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1. 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bookmarkStart w:id="20" w:name="lorem-ipsum-2"/>
    <w:p>
      <w:pPr>
        <w:pStyle w:val="Heading2"/>
      </w:pPr>
      <w:r>
        <w:t xml:space="preserve">1.1 Lorem Ipsum 2</w:t>
      </w:r>
    </w:p>
    <w:p>
      <w:pPr>
        <w:pStyle w:val="FirstParagraph"/>
      </w:pPr>
      <w:r>
        <w:rPr>
          <w:iCs/>
          <w:i/>
          <w:bCs/>
          <w:b/>
        </w:rPr>
        <w:t xml:space="preserve">Lorem Ipsum</w:t>
      </w:r>
    </w:p>
    <w:p>
      <w:pPr>
        <w:pStyle w:val="BodyText"/>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22" w:name="mapping-counts"/>
    <w:p>
      <w:pPr>
        <w:pStyle w:val="Heading1"/>
      </w:pPr>
      <w:r>
        <w:t xml:space="preserve">2. Mapping + Counts</w:t>
      </w:r>
    </w:p>
    <w:bookmarkEnd w:id="22"/>
    <w:bookmarkStart w:id="32" w:name="introduction"/>
    <w:p>
      <w:pPr>
        <w:pStyle w:val="Heading1"/>
      </w:pPr>
      <w:r>
        <w:t xml:space="preserve">3. Introduction</w:t>
      </w:r>
    </w:p>
    <w:p>
      <w:pPr>
        <w:pStyle w:val="FirstParagraph"/>
      </w:pPr>
      <w:r>
        <w:t xml:space="preserve">Note: counts filtered to only include counts conducted between 2018-2022. We have all historical counts for permanent counters and 2017-2023 SDC stored in our database.</w:t>
      </w:r>
    </w:p>
    <w:bookmarkStart w:id="31" w:name="count-locations"/>
    <w:p>
      <w:pPr>
        <w:pStyle w:val="Heading2"/>
      </w:pPr>
      <w:r>
        <w:t xml:space="preserve">3.1 Count Locations</w:t>
      </w:r>
    </w:p>
    <w:p>
      <w:pPr>
        <w:pStyle w:val="FirstParagraph"/>
      </w:pPr>
      <w:hyperlink w:anchor="fig-count_locs">
        <w:r>
          <w:rPr>
            <w:rStyle w:val="Hyperlink"/>
          </w:rPr>
          <w:t xml:space="preserve">Figure 3.1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3.1: Permanant and Short Duration Count Locations</w:t>
            </w:r>
          </w:p>
          <w:bookmarkEnd w:id="23"/>
        </w:tc>
      </w:tr>
    </w:tbl>
    <w:bookmarkStart w:id="25" w:name="permanent-counters"/>
    <w:p>
      <w:pPr>
        <w:pStyle w:val="Heading3"/>
      </w:pPr>
      <w:r>
        <w:t xml:space="preserve">3.1.1 Permanent Counters</w:t>
      </w:r>
    </w:p>
    <w:bookmarkStart w:id="24" w:name="tbl-perm_summary"/>
    <w:p>
      <w:pPr>
        <w:pStyle w:val="TableCaption"/>
      </w:pPr>
      <w:r>
        <w:t xml:space="preserve">Table 3.1: Perm Summary/Overview (only includes 2018-2022 counts).</w:t>
      </w:r>
    </w:p>
    <w:tbl>
      <w:tblPr>
        <w:tblStyle w:val="Table"/>
        <w:tblW w:type="auto" w:w="0"/>
        <w:tblLook w:firstRow="1" w:lastRow="0" w:firstColumn="0" w:lastColumn="0" w:noHBand="0" w:noVBand="0" w:val="0020"/>
        <w:tblCaption w:val="Table 3.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3.1.2 Consectuive Zeros</w:t>
      </w:r>
    </w:p>
    <w:bookmarkStart w:id="26" w:name="tbl-perm_summary_zero"/>
    <w:p>
      <w:pPr>
        <w:pStyle w:val="TableCaption"/>
      </w:pPr>
      <w:r>
        <w:t xml:space="preserve">Table 3.2: QC: Consectuive Zeros (only includes 2018-2022 counts).</w:t>
      </w:r>
    </w:p>
    <w:tbl>
      <w:tblPr>
        <w:tblStyle w:val="Table"/>
        <w:tblW w:type="auto" w:w="0"/>
        <w:tblLook w:firstRow="1" w:lastRow="0" w:firstColumn="0" w:lastColumn="0" w:noHBand="0" w:noVBand="0" w:val="0020"/>
        <w:tblCaption w:val="Table 3.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3.1.3 Short Duration Counts</w:t>
      </w:r>
    </w:p>
    <w:bookmarkStart w:id="28" w:name="tbl-sdc_summary"/>
    <w:p>
      <w:pPr>
        <w:pStyle w:val="TableCaption"/>
      </w:pPr>
      <w:r>
        <w:t xml:space="preserve">Table 3.3: SDC Summary/Overview.</w:t>
      </w:r>
    </w:p>
    <w:tbl>
      <w:tblPr>
        <w:tblStyle w:val="Table"/>
        <w:tblW w:type="auto" w:w="0"/>
        <w:tblLook w:firstRow="1" w:lastRow="0" w:firstColumn="0" w:lastColumn="0" w:noHBand="0" w:noVBand="0" w:val="0020"/>
        <w:tblCaption w:val="Table 3.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3.4: SDC Locations.</w:t>
      </w:r>
    </w:p>
    <w:tbl>
      <w:tblPr>
        <w:tblStyle w:val="Table"/>
        <w:tblW w:type="auto" w:w="0"/>
        <w:tblLook w:firstRow="1" w:lastRow="0" w:firstColumn="0" w:lastColumn="0" w:noHBand="0" w:noVBand="0" w:val="0020"/>
        <w:tblCaption w:val="Table 3.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bookmarkEnd w:id="30"/>
    <w:bookmarkEnd w:id="31"/>
    <w:bookmarkEnd w:id="32"/>
    <w:bookmarkStart w:id="33" w:name="hin-intro"/>
    <w:p>
      <w:pPr>
        <w:pStyle w:val="Heading1"/>
      </w:pPr>
      <w:r>
        <w:t xml:space="preserve">4.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bookmarkEnd w:id="33"/>
    <w:bookmarkStart w:id="47" w:name="intro-and-purpose"/>
    <w:p>
      <w:pPr>
        <w:pStyle w:val="Heading1"/>
      </w:pPr>
      <w:r>
        <w:t xml:space="preserve">5.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1"/>
        </w:numPr>
        <w:pStyle w:val="Compact"/>
      </w:pPr>
      <w:r>
        <w:t xml:space="preserve">a descriptive safety analysis of more recent crash data</w:t>
      </w:r>
    </w:p>
    <w:p>
      <w:pPr>
        <w:numPr>
          <w:ilvl w:val="0"/>
          <w:numId w:val="1001"/>
        </w:numPr>
        <w:pStyle w:val="Compact"/>
      </w:pPr>
      <w:r>
        <w:t xml:space="preserve">a Statewide High Injury Network, which was built on xxxxxx bicyclist, pedestrian, and other vulnerable road user crashes from 2018-2022</w:t>
      </w:r>
    </w:p>
    <w:p>
      <w:pPr>
        <w:numPr>
          <w:ilvl w:val="0"/>
          <w:numId w:val="1001"/>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5.1 Data Overview</w:t>
      </w:r>
    </w:p>
    <w:bookmarkStart w:id="40" w:name="crash-data"/>
    <w:p>
      <w:pPr>
        <w:pStyle w:val="Heading3"/>
      </w:pPr>
      <w:r>
        <w:t xml:space="preserve">5.1.1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2"/>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2"/>
        </w:numPr>
        <w:pStyle w:val="Compact"/>
      </w:pPr>
      <w:r>
        <w:t xml:space="preserve">Missing coordinates - Crash location GPS coordinates were not available.</w:t>
      </w:r>
    </w:p>
    <w:p>
      <w:pPr>
        <w:numPr>
          <w:ilvl w:val="0"/>
          <w:numId w:val="1002"/>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2"/>
        </w:numPr>
        <w:pStyle w:val="Compact"/>
      </w:pPr>
      <w:r>
        <w:t xml:space="preserve">Too far away from the street or along a private street - The geospatial location of the crash is greater than 300 feet from any street or the street was a private roadway.</w:t>
      </w:r>
    </w:p>
    <w:p>
      <w:pPr>
        <w:numPr>
          <w:ilvl w:val="0"/>
          <w:numId w:val="1002"/>
        </w:numPr>
        <w:pStyle w:val="Compact"/>
      </w:pPr>
      <w:r>
        <w:t xml:space="preserve">The crash occurred in a parking lot – The location type recorded in the crash data is a parking lot.</w:t>
      </w:r>
    </w:p>
    <w:p>
      <w:pPr>
        <w:numPr>
          <w:ilvl w:val="0"/>
          <w:numId w:val="1002"/>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5.2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3"/>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3"/>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4"/>
        </w:numPr>
        <w:pStyle w:val="Compact"/>
      </w:pPr>
      <w:r>
        <w:t xml:space="preserve">severe lacerations</w:t>
      </w:r>
    </w:p>
    <w:p>
      <w:pPr>
        <w:numPr>
          <w:ilvl w:val="1"/>
          <w:numId w:val="1004"/>
        </w:numPr>
        <w:pStyle w:val="Compact"/>
      </w:pPr>
      <w:r>
        <w:t xml:space="preserve">broken or distorted limbs</w:t>
      </w:r>
    </w:p>
    <w:p>
      <w:pPr>
        <w:numPr>
          <w:ilvl w:val="1"/>
          <w:numId w:val="1004"/>
        </w:numPr>
        <w:pStyle w:val="Compact"/>
      </w:pPr>
      <w:r>
        <w:t xml:space="preserve">skull or chest injuries</w:t>
      </w:r>
    </w:p>
    <w:p>
      <w:pPr>
        <w:numPr>
          <w:ilvl w:val="1"/>
          <w:numId w:val="1004"/>
        </w:numPr>
        <w:pStyle w:val="Compact"/>
      </w:pPr>
      <w:r>
        <w:t xml:space="preserve">abdominal injuries</w:t>
      </w:r>
    </w:p>
    <w:p>
      <w:pPr>
        <w:numPr>
          <w:ilvl w:val="1"/>
          <w:numId w:val="1004"/>
        </w:numPr>
        <w:pStyle w:val="Compact"/>
      </w:pPr>
      <w:r>
        <w:t xml:space="preserve">unconsciousness at or when taken from the scene of the crash, or unable to leave the crash scene without assistance</w:t>
      </w:r>
      <w:r>
        <w:t xml:space="preserve"> </w:t>
      </w:r>
    </w:p>
    <w:p>
      <w:pPr>
        <w:numPr>
          <w:ilvl w:val="0"/>
          <w:numId w:val="1003"/>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5"/>
        </w:numPr>
        <w:pStyle w:val="Compact"/>
      </w:pPr>
      <w:r>
        <w:t xml:space="preserve">lump on the head</w:t>
      </w:r>
    </w:p>
    <w:p>
      <w:pPr>
        <w:numPr>
          <w:ilvl w:val="1"/>
          <w:numId w:val="1005"/>
        </w:numPr>
        <w:pStyle w:val="Compact"/>
      </w:pPr>
      <w:r>
        <w:t xml:space="preserve">abrasions</w:t>
      </w:r>
    </w:p>
    <w:p>
      <w:pPr>
        <w:numPr>
          <w:ilvl w:val="1"/>
          <w:numId w:val="1005"/>
        </w:numPr>
        <w:pStyle w:val="Compact"/>
      </w:pPr>
      <w:r>
        <w:t xml:space="preserve">bruises</w:t>
      </w:r>
    </w:p>
    <w:p>
      <w:pPr>
        <w:numPr>
          <w:ilvl w:val="1"/>
          <w:numId w:val="1005"/>
        </w:numPr>
        <w:pStyle w:val="Compact"/>
      </w:pPr>
      <w:r>
        <w:t xml:space="preserve">minor lacerations (cuts on the skin surface with minimal bleeding and no exposure of deeper tissue/muscle)</w:t>
      </w:r>
    </w:p>
    <w:p>
      <w:pPr>
        <w:numPr>
          <w:ilvl w:val="0"/>
          <w:numId w:val="1003"/>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6"/>
        </w:numPr>
        <w:pStyle w:val="Compact"/>
      </w:pPr>
      <w:r>
        <w:t xml:space="preserve">momentary loss of consciousness</w:t>
      </w:r>
    </w:p>
    <w:p>
      <w:pPr>
        <w:numPr>
          <w:ilvl w:val="1"/>
          <w:numId w:val="1006"/>
        </w:numPr>
        <w:pStyle w:val="Compact"/>
      </w:pPr>
      <w:r>
        <w:t xml:space="preserve">claim of injury</w:t>
      </w:r>
    </w:p>
    <w:p>
      <w:pPr>
        <w:numPr>
          <w:ilvl w:val="1"/>
          <w:numId w:val="1006"/>
        </w:numPr>
        <w:pStyle w:val="Compact"/>
      </w:pPr>
      <w:r>
        <w:t xml:space="preserve">limping</w:t>
      </w:r>
    </w:p>
    <w:p>
      <w:pPr>
        <w:numPr>
          <w:ilvl w:val="1"/>
          <w:numId w:val="1006"/>
        </w:numPr>
        <w:pStyle w:val="Compact"/>
      </w:pPr>
      <w:r>
        <w:t xml:space="preserve">complaint of pain or nausea</w:t>
      </w:r>
    </w:p>
    <w:p>
      <w:pPr>
        <w:numPr>
          <w:ilvl w:val="0"/>
          <w:numId w:val="1003"/>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5.3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bookmarkEnd w:id="49"/>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dc:creator>
  <cp:keywords/>
  <dcterms:created xsi:type="dcterms:W3CDTF">2024-06-11T09:15:22Z</dcterms:created>
  <dcterms:modified xsi:type="dcterms:W3CDTF">2024-06-11T09:15:22Z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toc-title">
    <vt:lpwstr>Table of contents</vt:lpwstr>
  </property>
  <property fmtid="{D5CDD505-2E9C-101B-9397-08002B2CF9AE}" pid="18" name="website">
    <vt:lpwstr/>
  </property>
</Properties>
</file>