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image1.png" ContentType="image/png"/>
  <Override PartName="/word/media/image2.jpeg" ContentType="image/jpe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Project</w:t>
      </w:r>
      <w:r>
        <w:t xml:space="preserve"> </w:t>
      </w:r>
      <w:r>
        <w:t xml:space="preserve">Title</w:t>
      </w:r>
    </w:p>
    <w:p>
      <w:pPr>
        <w:pStyle w:val="Author"/>
      </w:pPr>
      <w:r>
        <w:t xml:space="preserve">Brian</w:t>
      </w:r>
    </w:p>
    <w:p>
      <w:pPr>
        <w:pStyle w:val="Date"/>
      </w:pPr>
      <w:r>
        <w:t xml:space="preserve">6/11/24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1" w:name="preface"/>
    <w:p>
      <w:pPr>
        <w:pStyle w:val="Heading1"/>
      </w:pPr>
      <w:r>
        <w:t xml:space="preserve">1. Preface</w:t>
      </w:r>
    </w:p>
    <w:p>
      <w:pPr>
        <w:pStyle w:val="FirstParagraph"/>
      </w:pPr>
      <w:r>
        <w:t xml:space="preserve">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bookmarkStart w:id="20" w:name="lorem-ipsum-2"/>
    <w:p>
      <w:pPr>
        <w:pStyle w:val="Heading2"/>
      </w:pPr>
      <w:r>
        <w:t xml:space="preserve">1.1 Lorem Ipsum 2</w:t>
      </w:r>
    </w:p>
    <w:p>
      <w:pPr>
        <w:pStyle w:val="FirstParagraph"/>
      </w:pPr>
      <w:r>
        <w:rPr>
          <w:iCs/>
          <w:i/>
          <w:bCs/>
          <w:b/>
        </w:rPr>
        <w:t xml:space="preserve">Lorem Ipsum</w:t>
      </w:r>
    </w:p>
    <w:p>
      <w:pPr>
        <w:pStyle w:val="BodyText"/>
      </w:pPr>
      <w:r>
        <w:t xml:space="preserve">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r>
        <w:br w:type="page"/>
      </w:r>
    </w:p>
    <w:bookmarkEnd w:id="20"/>
    <w:bookmarkEnd w:id="21"/>
    <w:bookmarkStart w:id="22" w:name="mapping-counts"/>
    <w:p>
      <w:pPr>
        <w:pStyle w:val="Heading1"/>
      </w:pPr>
      <w:r>
        <w:t xml:space="preserve">2. Mapping + Counts</w:t>
      </w:r>
    </w:p>
    <w:bookmarkEnd w:id="22"/>
    <w:bookmarkStart w:id="32" w:name="introduction"/>
    <w:p>
      <w:pPr>
        <w:pStyle w:val="Heading1"/>
      </w:pPr>
      <w:r>
        <w:t xml:space="preserve">3. Introduction</w:t>
      </w:r>
    </w:p>
    <w:p>
      <w:pPr>
        <w:pStyle w:val="FirstParagraph"/>
      </w:pPr>
      <w:r>
        <w:t xml:space="preserve">Note: counts filtered to only include counts conducted between 2018-2022. We have all historical counts for permanent counters and 2017-2023 SDC stored in our database.</w:t>
      </w:r>
    </w:p>
    <w:bookmarkStart w:id="31" w:name="count-locations"/>
    <w:p>
      <w:pPr>
        <w:pStyle w:val="Heading2"/>
      </w:pPr>
      <w:r>
        <w:t xml:space="preserve">3.1 Count Locations</w:t>
      </w:r>
    </w:p>
    <w:p>
      <w:pPr>
        <w:pStyle w:val="FirstParagraph"/>
      </w:pPr>
      <w:hyperlink w:anchor="fig-count_locs">
        <w:r>
          <w:rPr>
            <w:rStyle w:val="Hyperlink"/>
          </w:rPr>
          <w:t xml:space="preserve">Figure 3.1</w:t>
        </w:r>
      </w:hyperlink>
      <w:r>
        <w:t xml:space="preserve"> </w:t>
      </w:r>
      <w:r>
        <w:t xml:space="preserve">displays where we have permanent (magenta) and short duration counts (yellow) available for this effort.</w:t>
      </w:r>
    </w:p>
    <w:tbl>
      <w:tblPr>
        <w:tblStyle w:val="Table"/>
        <w:tblW w:type="pct" w:w="5000"/>
        <w:tblLook w:firstRow="0" w:lastRow="0" w:firstColumn="0" w:lastColumn="0" w:noHBand="0" w:noVBand="0" w:val="0000"/>
      </w:tblPr>
      <w:tblGrid>
        <w:gridCol w:w="7920"/>
      </w:tblGrid>
      <w:tr>
        <w:tc>
          <w:tcPr/>
          <w:bookmarkStart w:id="23" w:name="fig-count_locs"/>
          <w:p>
            <w:pPr>
              <w:jc w:val="center"/>
            </w:pPr>
            <w:pPr>
              <w:jc w:val="start"/>
              <w:spacing w:before="200"/>
              <w:pStyle w:val="ImageCaption"/>
            </w:pPr>
            <w:r>
              <w:t xml:space="preserve">Figure 3.1: Permanant and Short Duration Count Locations</w:t>
            </w:r>
          </w:p>
          <w:bookmarkEnd w:id="23"/>
        </w:tc>
      </w:tr>
    </w:tbl>
    <w:bookmarkStart w:id="25" w:name="permanent-counters"/>
    <w:p>
      <w:pPr>
        <w:pStyle w:val="Heading3"/>
      </w:pPr>
      <w:r>
        <w:t xml:space="preserve">3.1.1 Permanent Counters</w:t>
      </w:r>
    </w:p>
    <w:bookmarkStart w:id="24" w:name="tbl-perm_summary"/>
    <w:p>
      <w:pPr>
        <w:pStyle w:val="TableCaption"/>
      </w:pPr>
      <w:r>
        <w:t xml:space="preserve">Table 3.1: Perm Summary/Overview (only includes 2018-2022 counts).</w:t>
      </w:r>
    </w:p>
    <w:tbl>
      <w:tblPr>
        <w:tblStyle w:val="Table"/>
        <w:tblW w:type="auto" w:w="0"/>
        <w:tblLook w:firstRow="1" w:lastRow="0" w:firstColumn="0" w:lastColumn="0" w:noHBand="0" w:noVBand="0" w:val="0020"/>
        <w:tblCaption w:val="Table 3.1: Perm Summary/Overview (only includes 2018-2022 counts)."/>
      </w:tblPr>
      <w:tblGrid>
        <w:gridCol w:w="1584"/>
        <w:gridCol w:w="1584"/>
        <w:gridCol w:w="1584"/>
        <w:gridCol w:w="1584"/>
        <w:gridCol w:w="1584"/>
      </w:tblGrid>
      <w:tr>
        <w:trPr>
          <w:tblHeader w:val="true"/>
        </w:trPr>
        <w:tc>
          <w:tcPr/>
          <w:p>
            <w:pPr>
              <w:pStyle w:val="Compact"/>
              <w:jc w:val="left"/>
            </w:pPr>
            <w:r>
              <w:t xml:space="preserve">name</w:t>
            </w:r>
          </w:p>
        </w:tc>
        <w:tc>
          <w:tcPr/>
          <w:p>
            <w:pPr>
              <w:pStyle w:val="Compact"/>
              <w:jc w:val="left"/>
            </w:pPr>
            <w:r>
              <w:t xml:space="preserve">install_date</w:t>
            </w:r>
          </w:p>
        </w:tc>
        <w:tc>
          <w:tcPr/>
          <w:p>
            <w:pPr>
              <w:pStyle w:val="Compact"/>
              <w:jc w:val="left"/>
            </w:pPr>
            <w:r>
              <w:t xml:space="preserve">uninstall_date</w:t>
            </w:r>
          </w:p>
        </w:tc>
        <w:tc>
          <w:tcPr/>
          <w:p>
            <w:pPr>
              <w:pStyle w:val="Compact"/>
              <w:jc w:val="left"/>
            </w:pPr>
            <w:r>
              <w:t xml:space="preserve">obs_duration</w:t>
            </w:r>
          </w:p>
        </w:tc>
        <w:tc>
          <w:tcPr/>
          <w:p>
            <w:pPr>
              <w:pStyle w:val="Compact"/>
              <w:jc w:val="left"/>
            </w:pPr>
            <w:r>
              <w:t xml:space="preserve">modes</w:t>
            </w:r>
          </w:p>
        </w:tc>
      </w:tr>
      <w:tr>
        <w:tc>
          <w:tcPr/>
          <w:p>
            <w:pPr>
              <w:pStyle w:val="Compact"/>
              <w:jc w:val="left"/>
            </w:pPr>
            <w:r>
              <w:t xml:space="preserve">2nd Ave PBL</w:t>
            </w:r>
          </w:p>
        </w:tc>
        <w:tc>
          <w:tcPr/>
          <w:p>
            <w:pPr>
              <w:pStyle w:val="Compact"/>
              <w:jc w:val="left"/>
            </w:pPr>
            <w:r>
              <w:t xml:space="preserve">4/23/16</w:t>
            </w:r>
          </w:p>
        </w:tc>
        <w:tc>
          <w:tcPr/>
          <w:p>
            <w:pPr>
              <w:pStyle w:val="Compact"/>
            </w:pPr>
          </w:p>
        </w:tc>
        <w:tc>
          <w:tcPr/>
          <w:p>
            <w:pPr>
              <w:pStyle w:val="Compact"/>
              <w:jc w:val="left"/>
            </w:pPr>
            <w:r>
              <w:t xml:space="preserve">4 years 11 mons 30 days 23:00:00</w:t>
            </w:r>
          </w:p>
        </w:tc>
        <w:tc>
          <w:tcPr/>
          <w:p>
            <w:pPr>
              <w:pStyle w:val="Compact"/>
              <w:jc w:val="left"/>
            </w:pPr>
            <w:r>
              <w:t xml:space="preserve">Bike</w:t>
            </w:r>
          </w:p>
        </w:tc>
      </w:tr>
      <w:tr>
        <w:tc>
          <w:tcPr/>
          <w:p>
            <w:pPr>
              <w:pStyle w:val="Compact"/>
              <w:jc w:val="left"/>
            </w:pPr>
            <w:r>
              <w:t xml:space="preserve">39th Ave NE Greenway</w:t>
            </w:r>
          </w:p>
        </w:tc>
        <w:tc>
          <w:tcPr/>
          <w:p>
            <w:pPr>
              <w:pStyle w:val="Compact"/>
              <w:jc w:val="left"/>
            </w:pPr>
            <w:r>
              <w:t xml:space="preserve">1/1/14</w:t>
            </w:r>
          </w:p>
        </w:tc>
        <w:tc>
          <w:tcPr/>
          <w:p>
            <w:pPr>
              <w:pStyle w:val="Compact"/>
              <w:jc w:val="left"/>
            </w:pPr>
            <w:r>
              <w:t xml:space="preserve">5/31/18</w:t>
            </w:r>
          </w:p>
        </w:tc>
        <w:tc>
          <w:tcPr/>
          <w:p>
            <w:pPr>
              <w:pStyle w:val="Compact"/>
              <w:jc w:val="left"/>
            </w:pPr>
            <w:r>
              <w:t xml:space="preserve">0 years 4 mons 29 days 23:00:00</w:t>
            </w:r>
          </w:p>
        </w:tc>
        <w:tc>
          <w:tcPr/>
          <w:p>
            <w:pPr>
              <w:pStyle w:val="Compact"/>
              <w:jc w:val="left"/>
            </w:pPr>
            <w:r>
              <w:t xml:space="preserve">Bike</w:t>
            </w:r>
          </w:p>
        </w:tc>
      </w:tr>
      <w:tr>
        <w:tc>
          <w:tcPr/>
          <w:p>
            <w:pPr>
              <w:pStyle w:val="Compact"/>
              <w:jc w:val="left"/>
            </w:pPr>
            <w:r>
              <w:t xml:space="preserve">BGT</w:t>
            </w:r>
          </w:p>
        </w:tc>
        <w:tc>
          <w:tcPr/>
          <w:p>
            <w:pPr>
              <w:pStyle w:val="Compact"/>
              <w:jc w:val="left"/>
            </w:pPr>
            <w:r>
              <w:t xml:space="preserve">1/1/14</w:t>
            </w:r>
          </w:p>
        </w:tc>
        <w:tc>
          <w:tcPr/>
          <w:p>
            <w:pPr>
              <w:pStyle w:val="Compact"/>
            </w:pPr>
          </w:p>
        </w:tc>
        <w:tc>
          <w:tcPr/>
          <w:p>
            <w:pPr>
              <w:pStyle w:val="Compact"/>
              <w:jc w:val="left"/>
            </w:pPr>
            <w:r>
              <w:t xml:space="preserve">4 years 11 mons 30 days 23:00:00</w:t>
            </w:r>
          </w:p>
        </w:tc>
        <w:tc>
          <w:tcPr/>
          <w:p>
            <w:pPr>
              <w:pStyle w:val="Compact"/>
              <w:jc w:val="left"/>
            </w:pPr>
            <w:r>
              <w:t xml:space="preserve">Bike and Ped</w:t>
            </w:r>
          </w:p>
        </w:tc>
      </w:tr>
      <w:tr>
        <w:tc>
          <w:tcPr/>
          <w:p>
            <w:pPr>
              <w:pStyle w:val="Compact"/>
              <w:jc w:val="left"/>
            </w:pPr>
            <w:r>
              <w:t xml:space="preserve">Broadway PBL</w:t>
            </w:r>
          </w:p>
        </w:tc>
        <w:tc>
          <w:tcPr/>
          <w:p>
            <w:pPr>
              <w:pStyle w:val="Compact"/>
              <w:jc w:val="left"/>
            </w:pPr>
            <w:r>
              <w:t xml:space="preserve">1/1/14</w:t>
            </w:r>
          </w:p>
        </w:tc>
        <w:tc>
          <w:tcPr/>
          <w:p>
            <w:pPr>
              <w:pStyle w:val="Compact"/>
              <w:jc w:val="left"/>
            </w:pPr>
            <w:r>
              <w:t xml:space="preserve">10/30/21</w:t>
            </w:r>
          </w:p>
        </w:tc>
        <w:tc>
          <w:tcPr/>
          <w:p>
            <w:pPr>
              <w:pStyle w:val="Compact"/>
              <w:jc w:val="left"/>
            </w:pPr>
            <w:r>
              <w:t xml:space="preserve">3 years 9 mons 29 days 23:00:00</w:t>
            </w:r>
          </w:p>
        </w:tc>
        <w:tc>
          <w:tcPr/>
          <w:p>
            <w:pPr>
              <w:pStyle w:val="Compact"/>
              <w:jc w:val="left"/>
            </w:pPr>
            <w:r>
              <w:t xml:space="preserve">Bike</w:t>
            </w:r>
          </w:p>
        </w:tc>
      </w:tr>
      <w:tr>
        <w:tc>
          <w:tcPr/>
          <w:p>
            <w:pPr>
              <w:pStyle w:val="Compact"/>
              <w:jc w:val="left"/>
            </w:pPr>
            <w:r>
              <w:t xml:space="preserve">Chief Sealth</w:t>
            </w:r>
          </w:p>
        </w:tc>
        <w:tc>
          <w:tcPr/>
          <w:p>
            <w:pPr>
              <w:pStyle w:val="Compact"/>
              <w:jc w:val="left"/>
            </w:pPr>
            <w:r>
              <w:t xml:space="preserve">1/1/14</w:t>
            </w:r>
          </w:p>
        </w:tc>
        <w:tc>
          <w:tcPr/>
          <w:p>
            <w:pPr>
              <w:pStyle w:val="Compact"/>
              <w:jc w:val="left"/>
            </w:pPr>
            <w:r>
              <w:t xml:space="preserve">10/30/21</w:t>
            </w:r>
          </w:p>
        </w:tc>
        <w:tc>
          <w:tcPr/>
          <w:p>
            <w:pPr>
              <w:pStyle w:val="Compact"/>
              <w:jc w:val="left"/>
            </w:pPr>
            <w:r>
              <w:t xml:space="preserve">1 year 4 mons 29 days 23:00:00</w:t>
            </w:r>
          </w:p>
        </w:tc>
        <w:tc>
          <w:tcPr/>
          <w:p>
            <w:pPr>
              <w:pStyle w:val="Compact"/>
              <w:jc w:val="left"/>
            </w:pPr>
            <w:r>
              <w:t xml:space="preserve">Bike</w:t>
            </w:r>
          </w:p>
        </w:tc>
      </w:tr>
      <w:tr>
        <w:tc>
          <w:tcPr/>
          <w:p>
            <w:pPr>
              <w:pStyle w:val="Compact"/>
              <w:jc w:val="left"/>
            </w:pPr>
            <w:r>
              <w:t xml:space="preserve">Elliot Bay</w:t>
            </w:r>
          </w:p>
        </w:tc>
        <w:tc>
          <w:tcPr/>
          <w:p>
            <w:pPr>
              <w:pStyle w:val="Compact"/>
              <w:jc w:val="left"/>
            </w:pPr>
            <w:r>
              <w:t xml:space="preserve">5/11/13</w:t>
            </w:r>
          </w:p>
        </w:tc>
        <w:tc>
          <w:tcPr/>
          <w:p>
            <w:pPr>
              <w:pStyle w:val="Compact"/>
              <w:jc w:val="left"/>
            </w:pPr>
            <w:r>
              <w:t xml:space="preserve">12/11/22</w:t>
            </w:r>
          </w:p>
        </w:tc>
        <w:tc>
          <w:tcPr/>
          <w:p>
            <w:pPr>
              <w:pStyle w:val="Compact"/>
              <w:jc w:val="left"/>
            </w:pPr>
            <w:r>
              <w:t xml:space="preserve">4 years 11 mons 10 days 23:00:00</w:t>
            </w:r>
          </w:p>
        </w:tc>
        <w:tc>
          <w:tcPr/>
          <w:p>
            <w:pPr>
              <w:pStyle w:val="Compact"/>
              <w:jc w:val="left"/>
            </w:pPr>
            <w:r>
              <w:t xml:space="preserve">Bike and Ped</w:t>
            </w:r>
          </w:p>
        </w:tc>
      </w:tr>
      <w:tr>
        <w:tc>
          <w:tcPr/>
          <w:p>
            <w:pPr>
              <w:pStyle w:val="Compact"/>
              <w:jc w:val="left"/>
            </w:pPr>
            <w:r>
              <w:t xml:space="preserve">Fremont Bridge</w:t>
            </w:r>
          </w:p>
        </w:tc>
        <w:tc>
          <w:tcPr/>
          <w:p>
            <w:pPr>
              <w:pStyle w:val="Compact"/>
              <w:jc w:val="left"/>
            </w:pPr>
            <w:r>
              <w:t xml:space="preserve">10/8/12</w:t>
            </w:r>
          </w:p>
        </w:tc>
        <w:tc>
          <w:tcPr/>
          <w:p>
            <w:pPr>
              <w:pStyle w:val="Compact"/>
            </w:pPr>
          </w:p>
        </w:tc>
        <w:tc>
          <w:tcPr/>
          <w:p>
            <w:pPr>
              <w:pStyle w:val="Compact"/>
              <w:jc w:val="left"/>
            </w:pPr>
            <w:r>
              <w:t xml:space="preserve">4 years 11 mons 30 days 23:00:00</w:t>
            </w:r>
          </w:p>
        </w:tc>
        <w:tc>
          <w:tcPr/>
          <w:p>
            <w:pPr>
              <w:pStyle w:val="Compact"/>
              <w:jc w:val="left"/>
            </w:pPr>
            <w:r>
              <w:t xml:space="preserve">Bike</w:t>
            </w:r>
          </w:p>
        </w:tc>
      </w:tr>
      <w:tr>
        <w:tc>
          <w:tcPr/>
          <w:p>
            <w:pPr>
              <w:pStyle w:val="Compact"/>
              <w:jc w:val="left"/>
            </w:pPr>
            <w:r>
              <w:t xml:space="preserve">MTS or I-90 Trail</w:t>
            </w:r>
          </w:p>
        </w:tc>
        <w:tc>
          <w:tcPr/>
          <w:p>
            <w:pPr>
              <w:pStyle w:val="Compact"/>
              <w:jc w:val="left"/>
            </w:pPr>
            <w:r>
              <w:t xml:space="preserve">12/18/13</w:t>
            </w:r>
          </w:p>
        </w:tc>
        <w:tc>
          <w:tcPr/>
          <w:p>
            <w:pPr>
              <w:pStyle w:val="Compact"/>
              <w:jc w:val="left"/>
            </w:pPr>
            <w:r>
              <w:t xml:space="preserve">12/31/21</w:t>
            </w:r>
          </w:p>
        </w:tc>
        <w:tc>
          <w:tcPr/>
          <w:p>
            <w:pPr>
              <w:pStyle w:val="Compact"/>
              <w:jc w:val="left"/>
            </w:pPr>
            <w:r>
              <w:t xml:space="preserve">3 years 11 mons 30 days 23:00:00</w:t>
            </w:r>
          </w:p>
        </w:tc>
        <w:tc>
          <w:tcPr/>
          <w:p>
            <w:pPr>
              <w:pStyle w:val="Compact"/>
              <w:jc w:val="left"/>
            </w:pPr>
            <w:r>
              <w:t xml:space="preserve">Bike and Ped</w:t>
            </w:r>
          </w:p>
        </w:tc>
      </w:tr>
      <w:tr>
        <w:tc>
          <w:tcPr/>
          <w:p>
            <w:pPr>
              <w:pStyle w:val="Compact"/>
              <w:jc w:val="left"/>
            </w:pPr>
            <w:r>
              <w:t xml:space="preserve">NW 58th St</w:t>
            </w:r>
          </w:p>
        </w:tc>
        <w:tc>
          <w:tcPr/>
          <w:p>
            <w:pPr>
              <w:pStyle w:val="Compact"/>
              <w:jc w:val="left"/>
            </w:pPr>
            <w:r>
              <w:t xml:space="preserve">1/1/14</w:t>
            </w:r>
          </w:p>
        </w:tc>
        <w:tc>
          <w:tcPr/>
          <w:p>
            <w:pPr>
              <w:pStyle w:val="Compact"/>
              <w:jc w:val="left"/>
            </w:pPr>
            <w:r>
              <w:t xml:space="preserve">7/31/22</w:t>
            </w:r>
          </w:p>
        </w:tc>
        <w:tc>
          <w:tcPr/>
          <w:p>
            <w:pPr>
              <w:pStyle w:val="Compact"/>
              <w:jc w:val="left"/>
            </w:pPr>
            <w:r>
              <w:t xml:space="preserve">4 years 6 mons 30 days 23:00:00</w:t>
            </w:r>
          </w:p>
        </w:tc>
        <w:tc>
          <w:tcPr/>
          <w:p>
            <w:pPr>
              <w:pStyle w:val="Compact"/>
              <w:jc w:val="left"/>
            </w:pPr>
            <w:r>
              <w:t xml:space="preserve">Bike</w:t>
            </w:r>
          </w:p>
        </w:tc>
      </w:tr>
      <w:tr>
        <w:tc>
          <w:tcPr/>
          <w:p>
            <w:pPr>
              <w:pStyle w:val="Compact"/>
              <w:jc w:val="left"/>
            </w:pPr>
            <w:r>
              <w:t xml:space="preserve">Spokane Bridge</w:t>
            </w:r>
          </w:p>
        </w:tc>
        <w:tc>
          <w:tcPr/>
          <w:p>
            <w:pPr>
              <w:pStyle w:val="Compact"/>
              <w:jc w:val="left"/>
            </w:pPr>
            <w:r>
              <w:t xml:space="preserve">11/24/13</w:t>
            </w:r>
          </w:p>
        </w:tc>
        <w:tc>
          <w:tcPr/>
          <w:p>
            <w:pPr>
              <w:pStyle w:val="Compact"/>
            </w:pPr>
          </w:p>
        </w:tc>
        <w:tc>
          <w:tcPr/>
          <w:p>
            <w:pPr>
              <w:pStyle w:val="Compact"/>
              <w:jc w:val="left"/>
            </w:pPr>
            <w:r>
              <w:t xml:space="preserve">4 years 11 mons 30 days 23:00:00</w:t>
            </w:r>
          </w:p>
        </w:tc>
        <w:tc>
          <w:tcPr/>
          <w:p>
            <w:pPr>
              <w:pStyle w:val="Compact"/>
              <w:jc w:val="left"/>
            </w:pPr>
            <w:r>
              <w:t xml:space="preserve">Bike</w:t>
            </w:r>
          </w:p>
        </w:tc>
      </w:tr>
    </w:tbl>
    <w:bookmarkEnd w:id="24"/>
    <w:bookmarkEnd w:id="25"/>
    <w:bookmarkStart w:id="27" w:name="consectuive-zeros"/>
    <w:p>
      <w:pPr>
        <w:pStyle w:val="Heading3"/>
      </w:pPr>
      <w:r>
        <w:t xml:space="preserve">3.1.2 Consectuive Zeros</w:t>
      </w:r>
    </w:p>
    <w:bookmarkStart w:id="26" w:name="tbl-perm_summary_zero"/>
    <w:p>
      <w:pPr>
        <w:pStyle w:val="TableCaption"/>
      </w:pPr>
      <w:r>
        <w:t xml:space="preserve">Table 3.2: QC: Consectuive Zeros (only includes 2018-2022 counts).</w:t>
      </w:r>
    </w:p>
    <w:tbl>
      <w:tblPr>
        <w:tblStyle w:val="Table"/>
        <w:tblW w:type="auto" w:w="0"/>
        <w:tblLook w:firstRow="1" w:lastRow="0" w:firstColumn="0" w:lastColumn="0" w:noHBand="0" w:noVBand="0" w:val="0020"/>
        <w:tblCaption w:val="Table 3.2: QC: Consectuive Zeros (only includes 2018-2022 counts)."/>
      </w:tblPr>
      <w:tblGrid>
        <w:gridCol w:w="1584"/>
        <w:gridCol w:w="1584"/>
        <w:gridCol w:w="1584"/>
        <w:gridCol w:w="1584"/>
        <w:gridCol w:w="1584"/>
      </w:tblGrid>
      <w:tr>
        <w:trPr>
          <w:tblHeader w:val="true"/>
        </w:trPr>
        <w:tc>
          <w:tcPr/>
          <w:p>
            <w:pPr>
              <w:pStyle w:val="Compact"/>
              <w:jc w:val="left"/>
            </w:pPr>
            <w:r>
              <w:t xml:space="preserve">station_id</w:t>
            </w:r>
          </w:p>
        </w:tc>
        <w:tc>
          <w:tcPr/>
          <w:p>
            <w:pPr>
              <w:pStyle w:val="Compact"/>
              <w:jc w:val="right"/>
            </w:pPr>
            <w:r>
              <w:t xml:space="preserve">year</w:t>
            </w:r>
          </w:p>
        </w:tc>
        <w:tc>
          <w:tcPr/>
          <w:p>
            <w:pPr>
              <w:pStyle w:val="Compact"/>
              <w:jc w:val="left"/>
            </w:pPr>
            <w:r>
              <w:t xml:space="preserve">n_zero_flags</w:t>
            </w:r>
          </w:p>
        </w:tc>
        <w:tc>
          <w:tcPr/>
          <w:p>
            <w:pPr>
              <w:pStyle w:val="Compact"/>
              <w:jc w:val="left"/>
            </w:pPr>
            <w:r>
              <w:t xml:space="preserve">n_records</w:t>
            </w:r>
          </w:p>
        </w:tc>
        <w:tc>
          <w:tcPr/>
          <w:p>
            <w:pPr>
              <w:pStyle w:val="Compact"/>
              <w:jc w:val="left"/>
            </w:pPr>
            <w:r>
              <w:t xml:space="preserve">pct_flagged</w:t>
            </w:r>
          </w:p>
        </w:tc>
      </w:tr>
      <w:tr>
        <w:tc>
          <w:tcPr/>
          <w:p>
            <w:pPr>
              <w:pStyle w:val="Compact"/>
              <w:jc w:val="left"/>
            </w:pPr>
            <w:r>
              <w:t xml:space="preserve">2nd_nb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8,736</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2022</w:t>
            </w:r>
          </w:p>
        </w:tc>
        <w:tc>
          <w:tcPr/>
          <w:p>
            <w:pPr>
              <w:pStyle w:val="Compact"/>
              <w:jc w:val="left"/>
            </w:pPr>
            <w:r>
              <w:t xml:space="preserve">12</w:t>
            </w:r>
          </w:p>
        </w:tc>
        <w:tc>
          <w:tcPr/>
          <w:p>
            <w:pPr>
              <w:pStyle w:val="Compact"/>
              <w:jc w:val="left"/>
            </w:pPr>
            <w:r>
              <w:t xml:space="preserve">8,760</w:t>
            </w:r>
          </w:p>
        </w:tc>
        <w:tc>
          <w:tcPr/>
          <w:p>
            <w:pPr>
              <w:pStyle w:val="Compact"/>
              <w:jc w:val="left"/>
            </w:pPr>
            <w:r>
              <w:t xml:space="preserve">0.14%</w:t>
            </w:r>
          </w:p>
        </w:tc>
      </w:tr>
      <w:tr>
        <w:tc>
          <w:tcPr/>
          <w:p>
            <w:pPr>
              <w:pStyle w:val="Compact"/>
              <w:jc w:val="left"/>
            </w:pPr>
            <w:r>
              <w:t xml:space="preserve">2nd_sb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8,736</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2022</w:t>
            </w:r>
          </w:p>
        </w:tc>
        <w:tc>
          <w:tcPr/>
          <w:p>
            <w:pPr>
              <w:pStyle w:val="Compact"/>
              <w:jc w:val="left"/>
            </w:pPr>
            <w:r>
              <w:t xml:space="preserve">12</w:t>
            </w:r>
          </w:p>
        </w:tc>
        <w:tc>
          <w:tcPr/>
          <w:p>
            <w:pPr>
              <w:pStyle w:val="Compact"/>
              <w:jc w:val="left"/>
            </w:pPr>
            <w:r>
              <w:t xml:space="preserve">8,760</w:t>
            </w:r>
          </w:p>
        </w:tc>
        <w:tc>
          <w:tcPr/>
          <w:p>
            <w:pPr>
              <w:pStyle w:val="Compact"/>
              <w:jc w:val="left"/>
            </w:pPr>
            <w:r>
              <w:t xml:space="preserve">0.14%</w:t>
            </w:r>
          </w:p>
        </w:tc>
      </w:tr>
      <w:tr>
        <w:tc>
          <w:tcPr/>
          <w:p>
            <w:pPr>
              <w:pStyle w:val="Compact"/>
              <w:jc w:val="left"/>
            </w:pPr>
            <w:r>
              <w:t xml:space="preserve">39_nb</w:t>
            </w:r>
          </w:p>
        </w:tc>
        <w:tc>
          <w:tcPr/>
          <w:p>
            <w:pPr>
              <w:pStyle w:val="Compact"/>
              <w:jc w:val="right"/>
            </w:pPr>
            <w:r>
              <w:t xml:space="preserve">2018</w:t>
            </w:r>
          </w:p>
        </w:tc>
        <w:tc>
          <w:tcPr/>
          <w:p>
            <w:pPr>
              <w:pStyle w:val="Compact"/>
              <w:jc w:val="left"/>
            </w:pPr>
            <w:r>
              <w:t xml:space="preserve">18</w:t>
            </w:r>
          </w:p>
        </w:tc>
        <w:tc>
          <w:tcPr/>
          <w:p>
            <w:pPr>
              <w:pStyle w:val="Compact"/>
              <w:jc w:val="left"/>
            </w:pPr>
            <w:r>
              <w:t xml:space="preserve">3,600</w:t>
            </w:r>
          </w:p>
        </w:tc>
        <w:tc>
          <w:tcPr/>
          <w:p>
            <w:pPr>
              <w:pStyle w:val="Compact"/>
              <w:jc w:val="left"/>
            </w:pPr>
            <w:r>
              <w:t xml:space="preserve">0.50%</w:t>
            </w:r>
          </w:p>
        </w:tc>
      </w:tr>
      <w:tr>
        <w:tc>
          <w:tcPr/>
          <w:p>
            <w:pPr>
              <w:pStyle w:val="Compact"/>
              <w:jc w:val="left"/>
            </w:pPr>
            <w:r>
              <w:t xml:space="preserve">39_sb</w:t>
            </w:r>
          </w:p>
        </w:tc>
        <w:tc>
          <w:tcPr/>
          <w:p>
            <w:pPr>
              <w:pStyle w:val="Compact"/>
              <w:jc w:val="right"/>
            </w:pPr>
            <w:r>
              <w:t xml:space="preserve">2018</w:t>
            </w:r>
          </w:p>
        </w:tc>
        <w:tc>
          <w:tcPr/>
          <w:p>
            <w:pPr>
              <w:pStyle w:val="Compact"/>
              <w:jc w:val="left"/>
            </w:pPr>
            <w:r>
              <w:t xml:space="preserve">18</w:t>
            </w:r>
          </w:p>
        </w:tc>
        <w:tc>
          <w:tcPr/>
          <w:p>
            <w:pPr>
              <w:pStyle w:val="Compact"/>
              <w:jc w:val="left"/>
            </w:pPr>
            <w:r>
              <w:t xml:space="preserve">3,600</w:t>
            </w:r>
          </w:p>
        </w:tc>
        <w:tc>
          <w:tcPr/>
          <w:p>
            <w:pPr>
              <w:pStyle w:val="Compact"/>
              <w:jc w:val="left"/>
            </w:pPr>
            <w:r>
              <w:t xml:space="preserve">0.50%</w:t>
            </w:r>
          </w:p>
        </w:tc>
      </w:tr>
      <w:tr>
        <w:tc>
          <w:tcPr/>
          <w:p>
            <w:pPr>
              <w:pStyle w:val="Compact"/>
              <w:jc w:val="left"/>
            </w:pPr>
            <w:r>
              <w:t xml:space="preserve">58_eb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58_eb</w:t>
            </w:r>
          </w:p>
        </w:tc>
        <w:tc>
          <w:tcPr/>
          <w:p>
            <w:pPr>
              <w:pStyle w:val="Compact"/>
              <w:jc w:val="right"/>
            </w:pPr>
            <w:r>
              <w:t xml:space="preserve">2019</w:t>
            </w:r>
          </w:p>
        </w:tc>
        <w:tc>
          <w:tcPr/>
          <w:p>
            <w:pPr>
              <w:pStyle w:val="Compact"/>
              <w:jc w:val="left"/>
            </w:pPr>
            <w:r>
              <w:t xml:space="preserve">293</w:t>
            </w:r>
          </w:p>
        </w:tc>
        <w:tc>
          <w:tcPr/>
          <w:p>
            <w:pPr>
              <w:pStyle w:val="Compact"/>
              <w:jc w:val="left"/>
            </w:pPr>
            <w:r>
              <w:t xml:space="preserve">8,088</w:t>
            </w:r>
          </w:p>
        </w:tc>
        <w:tc>
          <w:tcPr/>
          <w:p>
            <w:pPr>
              <w:pStyle w:val="Compact"/>
              <w:jc w:val="left"/>
            </w:pPr>
            <w:r>
              <w:t xml:space="preserve">3.62%</w:t>
            </w:r>
          </w:p>
        </w:tc>
      </w:tr>
      <w:tr>
        <w:tc>
          <w:tcPr/>
          <w:p>
            <w:pPr>
              <w:pStyle w:val="Compact"/>
              <w:jc w:val="left"/>
            </w:pPr>
            <w:r>
              <w:t xml:space="preserve">58_eb</w:t>
            </w:r>
          </w:p>
        </w:tc>
        <w:tc>
          <w:tcPr/>
          <w:p>
            <w:pPr>
              <w:pStyle w:val="Compact"/>
              <w:jc w:val="right"/>
            </w:pPr>
            <w:r>
              <w:t xml:space="preserve">2020</w:t>
            </w:r>
          </w:p>
        </w:tc>
        <w:tc>
          <w:tcPr/>
          <w:p>
            <w:pPr>
              <w:pStyle w:val="Compact"/>
              <w:jc w:val="left"/>
            </w:pPr>
            <w:r>
              <w:t xml:space="preserve">327</w:t>
            </w:r>
          </w:p>
        </w:tc>
        <w:tc>
          <w:tcPr/>
          <w:p>
            <w:pPr>
              <w:pStyle w:val="Compact"/>
              <w:jc w:val="left"/>
            </w:pPr>
            <w:r>
              <w:t xml:space="preserve">8,040</w:t>
            </w:r>
          </w:p>
        </w:tc>
        <w:tc>
          <w:tcPr/>
          <w:p>
            <w:pPr>
              <w:pStyle w:val="Compact"/>
              <w:jc w:val="left"/>
            </w:pPr>
            <w:r>
              <w:t xml:space="preserve">4.07%</w:t>
            </w:r>
          </w:p>
        </w:tc>
      </w:tr>
      <w:tr>
        <w:tc>
          <w:tcPr/>
          <w:p>
            <w:pPr>
              <w:pStyle w:val="Compact"/>
              <w:jc w:val="left"/>
            </w:pPr>
            <w:r>
              <w:t xml:space="preserve">58_eb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8,726</w:t>
            </w:r>
          </w:p>
        </w:tc>
        <w:tc>
          <w:tcPr/>
          <w:p>
            <w:pPr>
              <w:pStyle w:val="Compact"/>
              <w:jc w:val="left"/>
            </w:pPr>
            <w:r>
              <w:t xml:space="preserve">0.00%</w:t>
            </w:r>
          </w:p>
        </w:tc>
      </w:tr>
      <w:tr>
        <w:tc>
          <w:tcPr/>
          <w:p>
            <w:pPr>
              <w:pStyle w:val="Compact"/>
              <w:jc w:val="left"/>
            </w:pPr>
            <w:r>
              <w:t xml:space="preserve">58_eb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5,088</w:t>
            </w:r>
          </w:p>
        </w:tc>
        <w:tc>
          <w:tcPr/>
          <w:p>
            <w:pPr>
              <w:pStyle w:val="Compact"/>
              <w:jc w:val="left"/>
            </w:pPr>
            <w:r>
              <w:t xml:space="preserve">0.00%</w:t>
            </w:r>
          </w:p>
        </w:tc>
      </w:tr>
      <w:tr>
        <w:tc>
          <w:tcPr/>
          <w:p>
            <w:pPr>
              <w:pStyle w:val="Compact"/>
              <w:jc w:val="left"/>
            </w:pPr>
            <w:r>
              <w:t xml:space="preserve">58_wb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58_wb</w:t>
            </w:r>
          </w:p>
        </w:tc>
        <w:tc>
          <w:tcPr/>
          <w:p>
            <w:pPr>
              <w:pStyle w:val="Compact"/>
              <w:jc w:val="right"/>
            </w:pPr>
            <w:r>
              <w:t xml:space="preserve">2019</w:t>
            </w:r>
          </w:p>
        </w:tc>
        <w:tc>
          <w:tcPr/>
          <w:p>
            <w:pPr>
              <w:pStyle w:val="Compact"/>
              <w:jc w:val="left"/>
            </w:pPr>
            <w:r>
              <w:t xml:space="preserve">271</w:t>
            </w:r>
          </w:p>
        </w:tc>
        <w:tc>
          <w:tcPr/>
          <w:p>
            <w:pPr>
              <w:pStyle w:val="Compact"/>
              <w:jc w:val="left"/>
            </w:pPr>
            <w:r>
              <w:t xml:space="preserve">8,088</w:t>
            </w:r>
          </w:p>
        </w:tc>
        <w:tc>
          <w:tcPr/>
          <w:p>
            <w:pPr>
              <w:pStyle w:val="Compact"/>
              <w:jc w:val="left"/>
            </w:pPr>
            <w:r>
              <w:t xml:space="preserve">3.35%</w:t>
            </w:r>
          </w:p>
        </w:tc>
      </w:tr>
      <w:tr>
        <w:tc>
          <w:tcPr/>
          <w:p>
            <w:pPr>
              <w:pStyle w:val="Compact"/>
              <w:jc w:val="left"/>
            </w:pPr>
            <w:r>
              <w:t xml:space="preserve">58_wb</w:t>
            </w:r>
          </w:p>
        </w:tc>
        <w:tc>
          <w:tcPr/>
          <w:p>
            <w:pPr>
              <w:pStyle w:val="Compact"/>
              <w:jc w:val="right"/>
            </w:pPr>
            <w:r>
              <w:t xml:space="preserve">2020</w:t>
            </w:r>
          </w:p>
        </w:tc>
        <w:tc>
          <w:tcPr/>
          <w:p>
            <w:pPr>
              <w:pStyle w:val="Compact"/>
              <w:jc w:val="left"/>
            </w:pPr>
            <w:r>
              <w:t xml:space="preserve">364</w:t>
            </w:r>
          </w:p>
        </w:tc>
        <w:tc>
          <w:tcPr/>
          <w:p>
            <w:pPr>
              <w:pStyle w:val="Compact"/>
              <w:jc w:val="left"/>
            </w:pPr>
            <w:r>
              <w:t xml:space="preserve">8,040</w:t>
            </w:r>
          </w:p>
        </w:tc>
        <w:tc>
          <w:tcPr/>
          <w:p>
            <w:pPr>
              <w:pStyle w:val="Compact"/>
              <w:jc w:val="left"/>
            </w:pPr>
            <w:r>
              <w:t xml:space="preserve">4.53%</w:t>
            </w:r>
          </w:p>
        </w:tc>
      </w:tr>
      <w:tr>
        <w:tc>
          <w:tcPr/>
          <w:p>
            <w:pPr>
              <w:pStyle w:val="Compact"/>
              <w:jc w:val="left"/>
            </w:pPr>
            <w:r>
              <w:t xml:space="preserve">58_wb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8,726</w:t>
            </w:r>
          </w:p>
        </w:tc>
        <w:tc>
          <w:tcPr/>
          <w:p>
            <w:pPr>
              <w:pStyle w:val="Compact"/>
              <w:jc w:val="left"/>
            </w:pPr>
            <w:r>
              <w:t xml:space="preserve">0.00%</w:t>
            </w:r>
          </w:p>
        </w:tc>
      </w:tr>
      <w:tr>
        <w:tc>
          <w:tcPr/>
          <w:p>
            <w:pPr>
              <w:pStyle w:val="Compact"/>
              <w:jc w:val="left"/>
            </w:pPr>
            <w:r>
              <w:t xml:space="preserve">58_wb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5,088</w:t>
            </w:r>
          </w:p>
        </w:tc>
        <w:tc>
          <w:tcPr/>
          <w:p>
            <w:pPr>
              <w:pStyle w:val="Compact"/>
              <w:jc w:val="left"/>
            </w:pPr>
            <w:r>
              <w:t xml:space="preserve">0.00%</w:t>
            </w:r>
          </w:p>
        </w:tc>
      </w:tr>
      <w:tr>
        <w:tc>
          <w:tcPr/>
          <w:p>
            <w:pPr>
              <w:pStyle w:val="Compact"/>
              <w:jc w:val="left"/>
            </w:pPr>
            <w:r>
              <w:t xml:space="preserve">90_b_eb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90_b_eb</w:t>
            </w:r>
          </w:p>
        </w:tc>
        <w:tc>
          <w:tcPr/>
          <w:p>
            <w:pPr>
              <w:pStyle w:val="Compact"/>
              <w:jc w:val="right"/>
            </w:pPr>
            <w:r>
              <w:t xml:space="preserve">2019</w:t>
            </w:r>
          </w:p>
        </w:tc>
        <w:tc>
          <w:tcPr/>
          <w:p>
            <w:pPr>
              <w:pStyle w:val="Compact"/>
              <w:jc w:val="left"/>
            </w:pPr>
            <w:r>
              <w:t xml:space="preserve">308</w:t>
            </w:r>
          </w:p>
        </w:tc>
        <w:tc>
          <w:tcPr/>
          <w:p>
            <w:pPr>
              <w:pStyle w:val="Compact"/>
              <w:jc w:val="left"/>
            </w:pPr>
            <w:r>
              <w:t xml:space="preserve">8,760</w:t>
            </w:r>
          </w:p>
        </w:tc>
        <w:tc>
          <w:tcPr/>
          <w:p>
            <w:pPr>
              <w:pStyle w:val="Compact"/>
              <w:jc w:val="left"/>
            </w:pPr>
            <w:r>
              <w:t xml:space="preserve">3.52%</w:t>
            </w:r>
          </w:p>
        </w:tc>
      </w:tr>
      <w:tr>
        <w:tc>
          <w:tcPr/>
          <w:p>
            <w:pPr>
              <w:pStyle w:val="Compact"/>
              <w:jc w:val="left"/>
            </w:pPr>
            <w:r>
              <w:t xml:space="preserve">90_b_eb</w:t>
            </w:r>
          </w:p>
        </w:tc>
        <w:tc>
          <w:tcPr/>
          <w:p>
            <w:pPr>
              <w:pStyle w:val="Compact"/>
              <w:jc w:val="right"/>
            </w:pPr>
            <w:r>
              <w:t xml:space="preserve">2020</w:t>
            </w:r>
          </w:p>
        </w:tc>
        <w:tc>
          <w:tcPr/>
          <w:p>
            <w:pPr>
              <w:pStyle w:val="Compact"/>
              <w:jc w:val="left"/>
            </w:pPr>
            <w:r>
              <w:t xml:space="preserve">170</w:t>
            </w:r>
          </w:p>
        </w:tc>
        <w:tc>
          <w:tcPr/>
          <w:p>
            <w:pPr>
              <w:pStyle w:val="Compact"/>
              <w:jc w:val="left"/>
            </w:pPr>
            <w:r>
              <w:t xml:space="preserve">8,784</w:t>
            </w:r>
          </w:p>
        </w:tc>
        <w:tc>
          <w:tcPr/>
          <w:p>
            <w:pPr>
              <w:pStyle w:val="Compact"/>
              <w:jc w:val="left"/>
            </w:pPr>
            <w:r>
              <w:t xml:space="preserve">1.94%</w:t>
            </w:r>
          </w:p>
        </w:tc>
      </w:tr>
      <w:tr>
        <w:tc>
          <w:tcPr/>
          <w:p>
            <w:pPr>
              <w:pStyle w:val="Compact"/>
              <w:jc w:val="left"/>
            </w:pPr>
            <w:r>
              <w:t xml:space="preserve">90_b_eb</w:t>
            </w:r>
          </w:p>
        </w:tc>
        <w:tc>
          <w:tcPr/>
          <w:p>
            <w:pPr>
              <w:pStyle w:val="Compact"/>
              <w:jc w:val="right"/>
            </w:pPr>
            <w:r>
              <w:t xml:space="preserve">2021</w:t>
            </w:r>
          </w:p>
        </w:tc>
        <w:tc>
          <w:tcPr/>
          <w:p>
            <w:pPr>
              <w:pStyle w:val="Compact"/>
              <w:jc w:val="left"/>
            </w:pPr>
            <w:r>
              <w:t xml:space="preserve">862</w:t>
            </w:r>
          </w:p>
        </w:tc>
        <w:tc>
          <w:tcPr/>
          <w:p>
            <w:pPr>
              <w:pStyle w:val="Compact"/>
              <w:jc w:val="left"/>
            </w:pPr>
            <w:r>
              <w:t xml:space="preserve">8,760</w:t>
            </w:r>
          </w:p>
        </w:tc>
        <w:tc>
          <w:tcPr/>
          <w:p>
            <w:pPr>
              <w:pStyle w:val="Compact"/>
              <w:jc w:val="left"/>
            </w:pPr>
            <w:r>
              <w:t xml:space="preserve">9.84%</w:t>
            </w:r>
          </w:p>
        </w:tc>
      </w:tr>
      <w:tr>
        <w:tc>
          <w:tcPr/>
          <w:p>
            <w:pPr>
              <w:pStyle w:val="Compact"/>
              <w:jc w:val="left"/>
            </w:pPr>
            <w:r>
              <w:t xml:space="preserve">90_b_wb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90_b_wb</w:t>
            </w:r>
          </w:p>
        </w:tc>
        <w:tc>
          <w:tcPr/>
          <w:p>
            <w:pPr>
              <w:pStyle w:val="Compact"/>
              <w:jc w:val="right"/>
            </w:pPr>
            <w:r>
              <w:t xml:space="preserve">2019</w:t>
            </w:r>
          </w:p>
        </w:tc>
        <w:tc>
          <w:tcPr/>
          <w:p>
            <w:pPr>
              <w:pStyle w:val="Compact"/>
              <w:jc w:val="left"/>
            </w:pPr>
            <w:r>
              <w:t xml:space="preserve">338</w:t>
            </w:r>
          </w:p>
        </w:tc>
        <w:tc>
          <w:tcPr/>
          <w:p>
            <w:pPr>
              <w:pStyle w:val="Compact"/>
              <w:jc w:val="left"/>
            </w:pPr>
            <w:r>
              <w:t xml:space="preserve">8,760</w:t>
            </w:r>
          </w:p>
        </w:tc>
        <w:tc>
          <w:tcPr/>
          <w:p>
            <w:pPr>
              <w:pStyle w:val="Compact"/>
              <w:jc w:val="left"/>
            </w:pPr>
            <w:r>
              <w:t xml:space="preserve">3.86%</w:t>
            </w:r>
          </w:p>
        </w:tc>
      </w:tr>
      <w:tr>
        <w:tc>
          <w:tcPr/>
          <w:p>
            <w:pPr>
              <w:pStyle w:val="Compact"/>
              <w:jc w:val="left"/>
            </w:pPr>
            <w:r>
              <w:t xml:space="preserve">90_b_wb</w:t>
            </w:r>
          </w:p>
        </w:tc>
        <w:tc>
          <w:tcPr/>
          <w:p>
            <w:pPr>
              <w:pStyle w:val="Compact"/>
              <w:jc w:val="right"/>
            </w:pPr>
            <w:r>
              <w:t xml:space="preserve">2020</w:t>
            </w:r>
          </w:p>
        </w:tc>
        <w:tc>
          <w:tcPr/>
          <w:p>
            <w:pPr>
              <w:pStyle w:val="Compact"/>
              <w:jc w:val="left"/>
            </w:pPr>
            <w:r>
              <w:t xml:space="preserve">170</w:t>
            </w:r>
          </w:p>
        </w:tc>
        <w:tc>
          <w:tcPr/>
          <w:p>
            <w:pPr>
              <w:pStyle w:val="Compact"/>
              <w:jc w:val="left"/>
            </w:pPr>
            <w:r>
              <w:t xml:space="preserve">8,784</w:t>
            </w:r>
          </w:p>
        </w:tc>
        <w:tc>
          <w:tcPr/>
          <w:p>
            <w:pPr>
              <w:pStyle w:val="Compact"/>
              <w:jc w:val="left"/>
            </w:pPr>
            <w:r>
              <w:t xml:space="preserve">1.94%</w:t>
            </w:r>
          </w:p>
        </w:tc>
      </w:tr>
      <w:tr>
        <w:tc>
          <w:tcPr/>
          <w:p>
            <w:pPr>
              <w:pStyle w:val="Compact"/>
              <w:jc w:val="left"/>
            </w:pPr>
            <w:r>
              <w:t xml:space="preserve">90_b_wb</w:t>
            </w:r>
          </w:p>
        </w:tc>
        <w:tc>
          <w:tcPr/>
          <w:p>
            <w:pPr>
              <w:pStyle w:val="Compact"/>
              <w:jc w:val="right"/>
            </w:pPr>
            <w:r>
              <w:t xml:space="preserve">2021</w:t>
            </w:r>
          </w:p>
        </w:tc>
        <w:tc>
          <w:tcPr/>
          <w:p>
            <w:pPr>
              <w:pStyle w:val="Compact"/>
              <w:jc w:val="left"/>
            </w:pPr>
            <w:r>
              <w:t xml:space="preserve">1,794</w:t>
            </w:r>
          </w:p>
        </w:tc>
        <w:tc>
          <w:tcPr/>
          <w:p>
            <w:pPr>
              <w:pStyle w:val="Compact"/>
              <w:jc w:val="left"/>
            </w:pPr>
            <w:r>
              <w:t xml:space="preserve">8,760</w:t>
            </w:r>
          </w:p>
        </w:tc>
        <w:tc>
          <w:tcPr/>
          <w:p>
            <w:pPr>
              <w:pStyle w:val="Compact"/>
              <w:jc w:val="left"/>
            </w:pPr>
            <w:r>
              <w:t xml:space="preserve">20.48%</w:t>
            </w:r>
          </w:p>
        </w:tc>
      </w:tr>
      <w:tr>
        <w:tc>
          <w:tcPr/>
          <w:p>
            <w:pPr>
              <w:pStyle w:val="Compact"/>
              <w:jc w:val="left"/>
            </w:pPr>
            <w:r>
              <w:t xml:space="preserve">90_p_eb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90_p_eb</w:t>
            </w:r>
          </w:p>
        </w:tc>
        <w:tc>
          <w:tcPr/>
          <w:p>
            <w:pPr>
              <w:pStyle w:val="Compact"/>
              <w:jc w:val="right"/>
            </w:pPr>
            <w:r>
              <w:t xml:space="preserve">2019</w:t>
            </w:r>
          </w:p>
        </w:tc>
        <w:tc>
          <w:tcPr/>
          <w:p>
            <w:pPr>
              <w:pStyle w:val="Compact"/>
              <w:jc w:val="left"/>
            </w:pPr>
            <w:r>
              <w:t xml:space="preserve">3,370</w:t>
            </w:r>
          </w:p>
        </w:tc>
        <w:tc>
          <w:tcPr/>
          <w:p>
            <w:pPr>
              <w:pStyle w:val="Compact"/>
              <w:jc w:val="left"/>
            </w:pPr>
            <w:r>
              <w:t xml:space="preserve">8,760</w:t>
            </w:r>
          </w:p>
        </w:tc>
        <w:tc>
          <w:tcPr/>
          <w:p>
            <w:pPr>
              <w:pStyle w:val="Compact"/>
              <w:jc w:val="left"/>
            </w:pPr>
            <w:r>
              <w:t xml:space="preserve">38.47%</w:t>
            </w:r>
          </w:p>
        </w:tc>
      </w:tr>
      <w:tr>
        <w:tc>
          <w:tcPr/>
          <w:p>
            <w:pPr>
              <w:pStyle w:val="Compact"/>
              <w:jc w:val="left"/>
            </w:pPr>
            <w:r>
              <w:t xml:space="preserve">90_p_eb</w:t>
            </w:r>
          </w:p>
        </w:tc>
        <w:tc>
          <w:tcPr/>
          <w:p>
            <w:pPr>
              <w:pStyle w:val="Compact"/>
              <w:jc w:val="right"/>
            </w:pPr>
            <w:r>
              <w:t xml:space="preserve">2020</w:t>
            </w:r>
          </w:p>
        </w:tc>
        <w:tc>
          <w:tcPr/>
          <w:p>
            <w:pPr>
              <w:pStyle w:val="Compact"/>
              <w:jc w:val="left"/>
            </w:pPr>
            <w:r>
              <w:t xml:space="preserve">7,404</w:t>
            </w:r>
          </w:p>
        </w:tc>
        <w:tc>
          <w:tcPr/>
          <w:p>
            <w:pPr>
              <w:pStyle w:val="Compact"/>
              <w:jc w:val="left"/>
            </w:pPr>
            <w:r>
              <w:t xml:space="preserve">8,784</w:t>
            </w:r>
          </w:p>
        </w:tc>
        <w:tc>
          <w:tcPr/>
          <w:p>
            <w:pPr>
              <w:pStyle w:val="Compact"/>
              <w:jc w:val="left"/>
            </w:pPr>
            <w:r>
              <w:t xml:space="preserve">84.29%</w:t>
            </w:r>
          </w:p>
        </w:tc>
      </w:tr>
      <w:tr>
        <w:tc>
          <w:tcPr/>
          <w:p>
            <w:pPr>
              <w:pStyle w:val="Compact"/>
              <w:jc w:val="left"/>
            </w:pPr>
            <w:r>
              <w:t xml:space="preserve">90_p_eb</w:t>
            </w:r>
          </w:p>
        </w:tc>
        <w:tc>
          <w:tcPr/>
          <w:p>
            <w:pPr>
              <w:pStyle w:val="Compact"/>
              <w:jc w:val="right"/>
            </w:pPr>
            <w:r>
              <w:t xml:space="preserve">2021</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90_p_wb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90_p_wb</w:t>
            </w:r>
          </w:p>
        </w:tc>
        <w:tc>
          <w:tcPr/>
          <w:p>
            <w:pPr>
              <w:pStyle w:val="Compact"/>
              <w:jc w:val="right"/>
            </w:pPr>
            <w:r>
              <w:t xml:space="preserve">2019</w:t>
            </w:r>
          </w:p>
        </w:tc>
        <w:tc>
          <w:tcPr/>
          <w:p>
            <w:pPr>
              <w:pStyle w:val="Compact"/>
              <w:jc w:val="left"/>
            </w:pPr>
            <w:r>
              <w:t xml:space="preserve">3,370</w:t>
            </w:r>
          </w:p>
        </w:tc>
        <w:tc>
          <w:tcPr/>
          <w:p>
            <w:pPr>
              <w:pStyle w:val="Compact"/>
              <w:jc w:val="left"/>
            </w:pPr>
            <w:r>
              <w:t xml:space="preserve">8,760</w:t>
            </w:r>
          </w:p>
        </w:tc>
        <w:tc>
          <w:tcPr/>
          <w:p>
            <w:pPr>
              <w:pStyle w:val="Compact"/>
              <w:jc w:val="left"/>
            </w:pPr>
            <w:r>
              <w:t xml:space="preserve">38.47%</w:t>
            </w:r>
          </w:p>
        </w:tc>
      </w:tr>
      <w:tr>
        <w:tc>
          <w:tcPr/>
          <w:p>
            <w:pPr>
              <w:pStyle w:val="Compact"/>
              <w:jc w:val="left"/>
            </w:pPr>
            <w:r>
              <w:t xml:space="preserve">90_p_wb</w:t>
            </w:r>
          </w:p>
        </w:tc>
        <w:tc>
          <w:tcPr/>
          <w:p>
            <w:pPr>
              <w:pStyle w:val="Compact"/>
              <w:jc w:val="right"/>
            </w:pPr>
            <w:r>
              <w:t xml:space="preserve">2020</w:t>
            </w:r>
          </w:p>
        </w:tc>
        <w:tc>
          <w:tcPr/>
          <w:p>
            <w:pPr>
              <w:pStyle w:val="Compact"/>
              <w:jc w:val="left"/>
            </w:pPr>
            <w:r>
              <w:t xml:space="preserve">7,404</w:t>
            </w:r>
          </w:p>
        </w:tc>
        <w:tc>
          <w:tcPr/>
          <w:p>
            <w:pPr>
              <w:pStyle w:val="Compact"/>
              <w:jc w:val="left"/>
            </w:pPr>
            <w:r>
              <w:t xml:space="preserve">8,784</w:t>
            </w:r>
          </w:p>
        </w:tc>
        <w:tc>
          <w:tcPr/>
          <w:p>
            <w:pPr>
              <w:pStyle w:val="Compact"/>
              <w:jc w:val="left"/>
            </w:pPr>
            <w:r>
              <w:t xml:space="preserve">84.29%</w:t>
            </w:r>
          </w:p>
        </w:tc>
      </w:tr>
      <w:tr>
        <w:tc>
          <w:tcPr/>
          <w:p>
            <w:pPr>
              <w:pStyle w:val="Compact"/>
              <w:jc w:val="left"/>
            </w:pPr>
            <w:r>
              <w:t xml:space="preserve">90_p_wb</w:t>
            </w:r>
          </w:p>
        </w:tc>
        <w:tc>
          <w:tcPr/>
          <w:p>
            <w:pPr>
              <w:pStyle w:val="Compact"/>
              <w:jc w:val="right"/>
            </w:pPr>
            <w:r>
              <w:t xml:space="preserve">2021</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bgt_b_nb</w:t>
            </w:r>
          </w:p>
        </w:tc>
        <w:tc>
          <w:tcPr/>
          <w:p>
            <w:pPr>
              <w:pStyle w:val="Compact"/>
              <w:jc w:val="right"/>
            </w:pPr>
            <w:r>
              <w:t xml:space="preserve">2018</w:t>
            </w:r>
          </w:p>
        </w:tc>
        <w:tc>
          <w:tcPr/>
          <w:p>
            <w:pPr>
              <w:pStyle w:val="Compact"/>
              <w:jc w:val="left"/>
            </w:pPr>
            <w:r>
              <w:t xml:space="preserve">2,390</w:t>
            </w:r>
          </w:p>
        </w:tc>
        <w:tc>
          <w:tcPr/>
          <w:p>
            <w:pPr>
              <w:pStyle w:val="Compact"/>
              <w:jc w:val="left"/>
            </w:pPr>
            <w:r>
              <w:t xml:space="preserve">8,760</w:t>
            </w:r>
          </w:p>
        </w:tc>
        <w:tc>
          <w:tcPr/>
          <w:p>
            <w:pPr>
              <w:pStyle w:val="Compact"/>
              <w:jc w:val="left"/>
            </w:pPr>
            <w:r>
              <w:t xml:space="preserve">27.28%</w:t>
            </w:r>
          </w:p>
        </w:tc>
      </w:tr>
      <w:tr>
        <w:tc>
          <w:tcPr/>
          <w:p>
            <w:pPr>
              <w:pStyle w:val="Compact"/>
              <w:jc w:val="left"/>
            </w:pPr>
            <w:r>
              <w:t xml:space="preserve">bgt_b_nb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bgt_b_nb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7,008</w:t>
            </w:r>
          </w:p>
        </w:tc>
        <w:tc>
          <w:tcPr/>
          <w:p>
            <w:pPr>
              <w:pStyle w:val="Compact"/>
              <w:jc w:val="left"/>
            </w:pPr>
            <w:r>
              <w:t xml:space="preserve">0.00%</w:t>
            </w:r>
          </w:p>
        </w:tc>
      </w:tr>
      <w:tr>
        <w:tc>
          <w:tcPr/>
          <w:p>
            <w:pPr>
              <w:pStyle w:val="Compact"/>
              <w:jc w:val="left"/>
            </w:pPr>
            <w:r>
              <w:t xml:space="preserve">bgt_b_nb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1,464</w:t>
            </w:r>
          </w:p>
        </w:tc>
        <w:tc>
          <w:tcPr/>
          <w:p>
            <w:pPr>
              <w:pStyle w:val="Compact"/>
              <w:jc w:val="left"/>
            </w:pPr>
            <w:r>
              <w:t xml:space="preserve">0.00%</w:t>
            </w:r>
          </w:p>
        </w:tc>
      </w:tr>
      <w:tr>
        <w:tc>
          <w:tcPr/>
          <w:p>
            <w:pPr>
              <w:pStyle w:val="Compact"/>
              <w:jc w:val="left"/>
            </w:pPr>
            <w:r>
              <w:t xml:space="preserve">bgt_b_nb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2018</w:t>
            </w:r>
          </w:p>
        </w:tc>
        <w:tc>
          <w:tcPr/>
          <w:p>
            <w:pPr>
              <w:pStyle w:val="Compact"/>
              <w:jc w:val="left"/>
            </w:pPr>
            <w:r>
              <w:t xml:space="preserve">2,378</w:t>
            </w:r>
          </w:p>
        </w:tc>
        <w:tc>
          <w:tcPr/>
          <w:p>
            <w:pPr>
              <w:pStyle w:val="Compact"/>
              <w:jc w:val="left"/>
            </w:pPr>
            <w:r>
              <w:t xml:space="preserve">8,760</w:t>
            </w:r>
          </w:p>
        </w:tc>
        <w:tc>
          <w:tcPr/>
          <w:p>
            <w:pPr>
              <w:pStyle w:val="Compact"/>
              <w:jc w:val="left"/>
            </w:pPr>
            <w:r>
              <w:t xml:space="preserve">27.15%</w:t>
            </w:r>
          </w:p>
        </w:tc>
      </w:tr>
      <w:tr>
        <w:tc>
          <w:tcPr/>
          <w:p>
            <w:pPr>
              <w:pStyle w:val="Compact"/>
              <w:jc w:val="left"/>
            </w:pPr>
            <w:r>
              <w:t xml:space="preserve">bgt_b_sb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7,008</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1,464</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bgt_p_nb</w:t>
            </w:r>
          </w:p>
        </w:tc>
        <w:tc>
          <w:tcPr/>
          <w:p>
            <w:pPr>
              <w:pStyle w:val="Compact"/>
              <w:jc w:val="right"/>
            </w:pPr>
            <w:r>
              <w:t xml:space="preserve">2018</w:t>
            </w:r>
          </w:p>
        </w:tc>
        <w:tc>
          <w:tcPr/>
          <w:p>
            <w:pPr>
              <w:pStyle w:val="Compact"/>
              <w:jc w:val="left"/>
            </w:pPr>
            <w:r>
              <w:t xml:space="preserve">2,488</w:t>
            </w:r>
          </w:p>
        </w:tc>
        <w:tc>
          <w:tcPr/>
          <w:p>
            <w:pPr>
              <w:pStyle w:val="Compact"/>
              <w:jc w:val="left"/>
            </w:pPr>
            <w:r>
              <w:t xml:space="preserve">8,760</w:t>
            </w:r>
          </w:p>
        </w:tc>
        <w:tc>
          <w:tcPr/>
          <w:p>
            <w:pPr>
              <w:pStyle w:val="Compact"/>
              <w:jc w:val="left"/>
            </w:pPr>
            <w:r>
              <w:t xml:space="preserve">28.40%</w:t>
            </w:r>
          </w:p>
        </w:tc>
      </w:tr>
      <w:tr>
        <w:tc>
          <w:tcPr/>
          <w:p>
            <w:pPr>
              <w:pStyle w:val="Compact"/>
              <w:jc w:val="left"/>
            </w:pPr>
            <w:r>
              <w:t xml:space="preserve">bgt_p_nb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bgt_p_nb</w:t>
            </w:r>
          </w:p>
        </w:tc>
        <w:tc>
          <w:tcPr/>
          <w:p>
            <w:pPr>
              <w:pStyle w:val="Compact"/>
              <w:jc w:val="right"/>
            </w:pPr>
            <w:r>
              <w:t xml:space="preserve">2020</w:t>
            </w:r>
          </w:p>
        </w:tc>
        <w:tc>
          <w:tcPr/>
          <w:p>
            <w:pPr>
              <w:pStyle w:val="Compact"/>
              <w:jc w:val="left"/>
            </w:pPr>
            <w:r>
              <w:t xml:space="preserve">363</w:t>
            </w:r>
          </w:p>
        </w:tc>
        <w:tc>
          <w:tcPr/>
          <w:p>
            <w:pPr>
              <w:pStyle w:val="Compact"/>
              <w:jc w:val="left"/>
            </w:pPr>
            <w:r>
              <w:t xml:space="preserve">7,008</w:t>
            </w:r>
          </w:p>
        </w:tc>
        <w:tc>
          <w:tcPr/>
          <w:p>
            <w:pPr>
              <w:pStyle w:val="Compact"/>
              <w:jc w:val="left"/>
            </w:pPr>
            <w:r>
              <w:t xml:space="preserve">5.18%</w:t>
            </w:r>
          </w:p>
        </w:tc>
      </w:tr>
      <w:tr>
        <w:tc>
          <w:tcPr/>
          <w:p>
            <w:pPr>
              <w:pStyle w:val="Compact"/>
              <w:jc w:val="left"/>
            </w:pPr>
            <w:r>
              <w:t xml:space="preserve">bgt_p_nb</w:t>
            </w:r>
          </w:p>
        </w:tc>
        <w:tc>
          <w:tcPr/>
          <w:p>
            <w:pPr>
              <w:pStyle w:val="Compact"/>
              <w:jc w:val="right"/>
            </w:pPr>
            <w:r>
              <w:t xml:space="preserve">2021</w:t>
            </w:r>
          </w:p>
        </w:tc>
        <w:tc>
          <w:tcPr/>
          <w:p>
            <w:pPr>
              <w:pStyle w:val="Compact"/>
              <w:jc w:val="left"/>
            </w:pPr>
            <w:r>
              <w:t xml:space="preserve">1,464</w:t>
            </w:r>
          </w:p>
        </w:tc>
        <w:tc>
          <w:tcPr/>
          <w:p>
            <w:pPr>
              <w:pStyle w:val="Compact"/>
              <w:jc w:val="left"/>
            </w:pPr>
            <w:r>
              <w:t xml:space="preserve">1,464</w:t>
            </w:r>
          </w:p>
        </w:tc>
        <w:tc>
          <w:tcPr/>
          <w:p>
            <w:pPr>
              <w:pStyle w:val="Compact"/>
              <w:jc w:val="left"/>
            </w:pPr>
            <w:r>
              <w:t xml:space="preserve">100.00%</w:t>
            </w:r>
          </w:p>
        </w:tc>
      </w:tr>
      <w:tr>
        <w:tc>
          <w:tcPr/>
          <w:p>
            <w:pPr>
              <w:pStyle w:val="Compact"/>
              <w:jc w:val="left"/>
            </w:pPr>
            <w:r>
              <w:t xml:space="preserve">bgt_p_nb</w:t>
            </w:r>
          </w:p>
        </w:tc>
        <w:tc>
          <w:tcPr/>
          <w:p>
            <w:pPr>
              <w:pStyle w:val="Compact"/>
              <w:jc w:val="right"/>
            </w:pPr>
            <w:r>
              <w:t xml:space="preserve">2022</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bgt_p_sb</w:t>
            </w:r>
          </w:p>
        </w:tc>
        <w:tc>
          <w:tcPr/>
          <w:p>
            <w:pPr>
              <w:pStyle w:val="Compact"/>
              <w:jc w:val="right"/>
            </w:pPr>
            <w:r>
              <w:t xml:space="preserve">2018</w:t>
            </w:r>
          </w:p>
        </w:tc>
        <w:tc>
          <w:tcPr/>
          <w:p>
            <w:pPr>
              <w:pStyle w:val="Compact"/>
              <w:jc w:val="left"/>
            </w:pPr>
            <w:r>
              <w:t xml:space="preserve">2,486</w:t>
            </w:r>
          </w:p>
        </w:tc>
        <w:tc>
          <w:tcPr/>
          <w:p>
            <w:pPr>
              <w:pStyle w:val="Compact"/>
              <w:jc w:val="left"/>
            </w:pPr>
            <w:r>
              <w:t xml:space="preserve">8,760</w:t>
            </w:r>
          </w:p>
        </w:tc>
        <w:tc>
          <w:tcPr/>
          <w:p>
            <w:pPr>
              <w:pStyle w:val="Compact"/>
              <w:jc w:val="left"/>
            </w:pPr>
            <w:r>
              <w:t xml:space="preserve">28.38%</w:t>
            </w:r>
          </w:p>
        </w:tc>
      </w:tr>
      <w:tr>
        <w:tc>
          <w:tcPr/>
          <w:p>
            <w:pPr>
              <w:pStyle w:val="Compact"/>
              <w:jc w:val="left"/>
            </w:pPr>
            <w:r>
              <w:t xml:space="preserve">bgt_p_sb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bgt_p_sb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7,008</w:t>
            </w:r>
          </w:p>
        </w:tc>
        <w:tc>
          <w:tcPr/>
          <w:p>
            <w:pPr>
              <w:pStyle w:val="Compact"/>
              <w:jc w:val="left"/>
            </w:pPr>
            <w:r>
              <w:t xml:space="preserve">0.00%</w:t>
            </w:r>
          </w:p>
        </w:tc>
      </w:tr>
      <w:tr>
        <w:tc>
          <w:tcPr/>
          <w:p>
            <w:pPr>
              <w:pStyle w:val="Compact"/>
              <w:jc w:val="left"/>
            </w:pPr>
            <w:r>
              <w:t xml:space="preserve">bgt_p_sb</w:t>
            </w:r>
          </w:p>
        </w:tc>
        <w:tc>
          <w:tcPr/>
          <w:p>
            <w:pPr>
              <w:pStyle w:val="Compact"/>
              <w:jc w:val="right"/>
            </w:pPr>
            <w:r>
              <w:t xml:space="preserve">2021</w:t>
            </w:r>
          </w:p>
        </w:tc>
        <w:tc>
          <w:tcPr/>
          <w:p>
            <w:pPr>
              <w:pStyle w:val="Compact"/>
              <w:jc w:val="left"/>
            </w:pPr>
            <w:r>
              <w:t xml:space="preserve">1,464</w:t>
            </w:r>
          </w:p>
        </w:tc>
        <w:tc>
          <w:tcPr/>
          <w:p>
            <w:pPr>
              <w:pStyle w:val="Compact"/>
              <w:jc w:val="left"/>
            </w:pPr>
            <w:r>
              <w:t xml:space="preserve">1,464</w:t>
            </w:r>
          </w:p>
        </w:tc>
        <w:tc>
          <w:tcPr/>
          <w:p>
            <w:pPr>
              <w:pStyle w:val="Compact"/>
              <w:jc w:val="left"/>
            </w:pPr>
            <w:r>
              <w:t xml:space="preserve">100.00%</w:t>
            </w:r>
          </w:p>
        </w:tc>
      </w:tr>
      <w:tr>
        <w:tc>
          <w:tcPr/>
          <w:p>
            <w:pPr>
              <w:pStyle w:val="Compact"/>
              <w:jc w:val="left"/>
            </w:pPr>
            <w:r>
              <w:t xml:space="preserve">bgt_p_sb</w:t>
            </w:r>
          </w:p>
        </w:tc>
        <w:tc>
          <w:tcPr/>
          <w:p>
            <w:pPr>
              <w:pStyle w:val="Compact"/>
              <w:jc w:val="right"/>
            </w:pPr>
            <w:r>
              <w:t xml:space="preserve">2022</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brd_nb</w:t>
            </w:r>
          </w:p>
        </w:tc>
        <w:tc>
          <w:tcPr/>
          <w:p>
            <w:pPr>
              <w:pStyle w:val="Compact"/>
              <w:jc w:val="right"/>
            </w:pPr>
            <w:r>
              <w:t xml:space="preserve">2018</w:t>
            </w:r>
          </w:p>
        </w:tc>
        <w:tc>
          <w:tcPr/>
          <w:p>
            <w:pPr>
              <w:pStyle w:val="Compact"/>
              <w:jc w:val="left"/>
            </w:pPr>
            <w:r>
              <w:t xml:space="preserve">112</w:t>
            </w:r>
          </w:p>
        </w:tc>
        <w:tc>
          <w:tcPr/>
          <w:p>
            <w:pPr>
              <w:pStyle w:val="Compact"/>
              <w:jc w:val="left"/>
            </w:pPr>
            <w:r>
              <w:t xml:space="preserve">8,760</w:t>
            </w:r>
          </w:p>
        </w:tc>
        <w:tc>
          <w:tcPr/>
          <w:p>
            <w:pPr>
              <w:pStyle w:val="Compact"/>
              <w:jc w:val="left"/>
            </w:pPr>
            <w:r>
              <w:t xml:space="preserve">1.28%</w:t>
            </w:r>
          </w:p>
        </w:tc>
      </w:tr>
      <w:tr>
        <w:tc>
          <w:tcPr/>
          <w:p>
            <w:pPr>
              <w:pStyle w:val="Compact"/>
              <w:jc w:val="left"/>
            </w:pPr>
            <w:r>
              <w:t xml:space="preserve">brd_nb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7,344</w:t>
            </w:r>
          </w:p>
        </w:tc>
        <w:tc>
          <w:tcPr/>
          <w:p>
            <w:pPr>
              <w:pStyle w:val="Compact"/>
              <w:jc w:val="left"/>
            </w:pPr>
            <w:r>
              <w:t xml:space="preserve">0.00%</w:t>
            </w:r>
          </w:p>
        </w:tc>
      </w:tr>
      <w:tr>
        <w:tc>
          <w:tcPr/>
          <w:p>
            <w:pPr>
              <w:pStyle w:val="Compact"/>
              <w:jc w:val="left"/>
            </w:pPr>
            <w:r>
              <w:t xml:space="preserve">brd_nb</w:t>
            </w:r>
          </w:p>
        </w:tc>
        <w:tc>
          <w:tcPr/>
          <w:p>
            <w:pPr>
              <w:pStyle w:val="Compact"/>
              <w:jc w:val="right"/>
            </w:pPr>
            <w:r>
              <w:t xml:space="preserve">2020</w:t>
            </w:r>
          </w:p>
        </w:tc>
        <w:tc>
          <w:tcPr/>
          <w:p>
            <w:pPr>
              <w:pStyle w:val="Compact"/>
              <w:jc w:val="left"/>
            </w:pPr>
            <w:r>
              <w:t xml:space="preserve">629</w:t>
            </w:r>
          </w:p>
        </w:tc>
        <w:tc>
          <w:tcPr/>
          <w:p>
            <w:pPr>
              <w:pStyle w:val="Compact"/>
              <w:jc w:val="left"/>
            </w:pPr>
            <w:r>
              <w:t xml:space="preserve">5,112</w:t>
            </w:r>
          </w:p>
        </w:tc>
        <w:tc>
          <w:tcPr/>
          <w:p>
            <w:pPr>
              <w:pStyle w:val="Compact"/>
              <w:jc w:val="left"/>
            </w:pPr>
            <w:r>
              <w:t xml:space="preserve">12.30%</w:t>
            </w:r>
          </w:p>
        </w:tc>
      </w:tr>
      <w:tr>
        <w:tc>
          <w:tcPr/>
          <w:p>
            <w:pPr>
              <w:pStyle w:val="Compact"/>
              <w:jc w:val="left"/>
            </w:pPr>
            <w:r>
              <w:t xml:space="preserve">brd_nb</w:t>
            </w:r>
          </w:p>
        </w:tc>
        <w:tc>
          <w:tcPr/>
          <w:p>
            <w:pPr>
              <w:pStyle w:val="Compact"/>
              <w:jc w:val="right"/>
            </w:pPr>
            <w:r>
              <w:t xml:space="preserve">2021</w:t>
            </w:r>
          </w:p>
        </w:tc>
        <w:tc>
          <w:tcPr/>
          <w:p>
            <w:pPr>
              <w:pStyle w:val="Compact"/>
              <w:jc w:val="left"/>
            </w:pPr>
            <w:r>
              <w:t xml:space="preserve">1,093</w:t>
            </w:r>
          </w:p>
        </w:tc>
        <w:tc>
          <w:tcPr/>
          <w:p>
            <w:pPr>
              <w:pStyle w:val="Compact"/>
              <w:jc w:val="left"/>
            </w:pPr>
            <w:r>
              <w:t xml:space="preserve">7,272</w:t>
            </w:r>
          </w:p>
        </w:tc>
        <w:tc>
          <w:tcPr/>
          <w:p>
            <w:pPr>
              <w:pStyle w:val="Compact"/>
              <w:jc w:val="left"/>
            </w:pPr>
            <w:r>
              <w:t xml:space="preserve">15.03%</w:t>
            </w:r>
          </w:p>
        </w:tc>
      </w:tr>
      <w:tr>
        <w:tc>
          <w:tcPr/>
          <w:p>
            <w:pPr>
              <w:pStyle w:val="Compact"/>
              <w:jc w:val="left"/>
            </w:pPr>
            <w:r>
              <w:t xml:space="preserve">brd_sb</w:t>
            </w:r>
          </w:p>
        </w:tc>
        <w:tc>
          <w:tcPr/>
          <w:p>
            <w:pPr>
              <w:pStyle w:val="Compact"/>
              <w:jc w:val="right"/>
            </w:pPr>
            <w:r>
              <w:t xml:space="preserve">2018</w:t>
            </w:r>
          </w:p>
        </w:tc>
        <w:tc>
          <w:tcPr/>
          <w:p>
            <w:pPr>
              <w:pStyle w:val="Compact"/>
              <w:jc w:val="left"/>
            </w:pPr>
            <w:r>
              <w:t xml:space="preserve">216</w:t>
            </w:r>
          </w:p>
        </w:tc>
        <w:tc>
          <w:tcPr/>
          <w:p>
            <w:pPr>
              <w:pStyle w:val="Compact"/>
              <w:jc w:val="left"/>
            </w:pPr>
            <w:r>
              <w:t xml:space="preserve">8,760</w:t>
            </w:r>
          </w:p>
        </w:tc>
        <w:tc>
          <w:tcPr/>
          <w:p>
            <w:pPr>
              <w:pStyle w:val="Compact"/>
              <w:jc w:val="left"/>
            </w:pPr>
            <w:r>
              <w:t xml:space="preserve">2.47%</w:t>
            </w:r>
          </w:p>
        </w:tc>
      </w:tr>
      <w:tr>
        <w:tc>
          <w:tcPr/>
          <w:p>
            <w:pPr>
              <w:pStyle w:val="Compact"/>
              <w:jc w:val="left"/>
            </w:pPr>
            <w:r>
              <w:t xml:space="preserve">brd_sb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7,344</w:t>
            </w:r>
          </w:p>
        </w:tc>
        <w:tc>
          <w:tcPr/>
          <w:p>
            <w:pPr>
              <w:pStyle w:val="Compact"/>
              <w:jc w:val="left"/>
            </w:pPr>
            <w:r>
              <w:t xml:space="preserve">0.00%</w:t>
            </w:r>
          </w:p>
        </w:tc>
      </w:tr>
      <w:tr>
        <w:tc>
          <w:tcPr/>
          <w:p>
            <w:pPr>
              <w:pStyle w:val="Compact"/>
              <w:jc w:val="left"/>
            </w:pPr>
            <w:r>
              <w:t xml:space="preserve">brd_sb</w:t>
            </w:r>
          </w:p>
        </w:tc>
        <w:tc>
          <w:tcPr/>
          <w:p>
            <w:pPr>
              <w:pStyle w:val="Compact"/>
              <w:jc w:val="right"/>
            </w:pPr>
            <w:r>
              <w:t xml:space="preserve">2020</w:t>
            </w:r>
          </w:p>
        </w:tc>
        <w:tc>
          <w:tcPr/>
          <w:p>
            <w:pPr>
              <w:pStyle w:val="Compact"/>
              <w:jc w:val="left"/>
            </w:pPr>
            <w:r>
              <w:t xml:space="preserve">727</w:t>
            </w:r>
          </w:p>
        </w:tc>
        <w:tc>
          <w:tcPr/>
          <w:p>
            <w:pPr>
              <w:pStyle w:val="Compact"/>
              <w:jc w:val="left"/>
            </w:pPr>
            <w:r>
              <w:t xml:space="preserve">5,112</w:t>
            </w:r>
          </w:p>
        </w:tc>
        <w:tc>
          <w:tcPr/>
          <w:p>
            <w:pPr>
              <w:pStyle w:val="Compact"/>
              <w:jc w:val="left"/>
            </w:pPr>
            <w:r>
              <w:t xml:space="preserve">14.22%</w:t>
            </w:r>
          </w:p>
        </w:tc>
      </w:tr>
      <w:tr>
        <w:tc>
          <w:tcPr/>
          <w:p>
            <w:pPr>
              <w:pStyle w:val="Compact"/>
              <w:jc w:val="left"/>
            </w:pPr>
            <w:r>
              <w:t xml:space="preserve">brd_sb</w:t>
            </w:r>
          </w:p>
        </w:tc>
        <w:tc>
          <w:tcPr/>
          <w:p>
            <w:pPr>
              <w:pStyle w:val="Compact"/>
              <w:jc w:val="right"/>
            </w:pPr>
            <w:r>
              <w:t xml:space="preserve">2021</w:t>
            </w:r>
          </w:p>
        </w:tc>
        <w:tc>
          <w:tcPr/>
          <w:p>
            <w:pPr>
              <w:pStyle w:val="Compact"/>
              <w:jc w:val="left"/>
            </w:pPr>
            <w:r>
              <w:t xml:space="preserve">1,155</w:t>
            </w:r>
          </w:p>
        </w:tc>
        <w:tc>
          <w:tcPr/>
          <w:p>
            <w:pPr>
              <w:pStyle w:val="Compact"/>
              <w:jc w:val="left"/>
            </w:pPr>
            <w:r>
              <w:t xml:space="preserve">7,272</w:t>
            </w:r>
          </w:p>
        </w:tc>
        <w:tc>
          <w:tcPr/>
          <w:p>
            <w:pPr>
              <w:pStyle w:val="Compact"/>
              <w:jc w:val="left"/>
            </w:pPr>
            <w:r>
              <w:t xml:space="preserve">15.88%</w:t>
            </w:r>
          </w:p>
        </w:tc>
      </w:tr>
      <w:tr>
        <w:tc>
          <w:tcPr/>
          <w:p>
            <w:pPr>
              <w:pStyle w:val="Compact"/>
              <w:jc w:val="left"/>
            </w:pPr>
            <w:r>
              <w:t xml:space="preserve">cs_b_nb</w:t>
            </w:r>
          </w:p>
        </w:tc>
        <w:tc>
          <w:tcPr/>
          <w:p>
            <w:pPr>
              <w:pStyle w:val="Compact"/>
              <w:jc w:val="right"/>
            </w:pPr>
            <w:r>
              <w:t xml:space="preserve">2020</w:t>
            </w:r>
          </w:p>
        </w:tc>
        <w:tc>
          <w:tcPr/>
          <w:p>
            <w:pPr>
              <w:pStyle w:val="Compact"/>
              <w:jc w:val="left"/>
            </w:pPr>
            <w:r>
              <w:t xml:space="preserve">257</w:t>
            </w:r>
          </w:p>
        </w:tc>
        <w:tc>
          <w:tcPr/>
          <w:p>
            <w:pPr>
              <w:pStyle w:val="Compact"/>
              <w:jc w:val="left"/>
            </w:pPr>
            <w:r>
              <w:t xml:space="preserve">5,136</w:t>
            </w:r>
          </w:p>
        </w:tc>
        <w:tc>
          <w:tcPr/>
          <w:p>
            <w:pPr>
              <w:pStyle w:val="Compact"/>
              <w:jc w:val="left"/>
            </w:pPr>
            <w:r>
              <w:t xml:space="preserve">5.00%</w:t>
            </w:r>
          </w:p>
        </w:tc>
      </w:tr>
      <w:tr>
        <w:tc>
          <w:tcPr/>
          <w:p>
            <w:pPr>
              <w:pStyle w:val="Compact"/>
              <w:jc w:val="left"/>
            </w:pPr>
            <w:r>
              <w:t xml:space="preserve">cs_b_nb</w:t>
            </w:r>
          </w:p>
        </w:tc>
        <w:tc>
          <w:tcPr/>
          <w:p>
            <w:pPr>
              <w:pStyle w:val="Compact"/>
              <w:jc w:val="right"/>
            </w:pPr>
            <w:r>
              <w:t xml:space="preserve">2021</w:t>
            </w:r>
          </w:p>
        </w:tc>
        <w:tc>
          <w:tcPr/>
          <w:p>
            <w:pPr>
              <w:pStyle w:val="Compact"/>
              <w:jc w:val="left"/>
            </w:pPr>
            <w:r>
              <w:t xml:space="preserve">2,444</w:t>
            </w:r>
          </w:p>
        </w:tc>
        <w:tc>
          <w:tcPr/>
          <w:p>
            <w:pPr>
              <w:pStyle w:val="Compact"/>
              <w:jc w:val="left"/>
            </w:pPr>
            <w:r>
              <w:t xml:space="preserve">7,262</w:t>
            </w:r>
          </w:p>
        </w:tc>
        <w:tc>
          <w:tcPr/>
          <w:p>
            <w:pPr>
              <w:pStyle w:val="Compact"/>
              <w:jc w:val="left"/>
            </w:pPr>
            <w:r>
              <w:t xml:space="preserve">33.65%</w:t>
            </w:r>
          </w:p>
        </w:tc>
      </w:tr>
      <w:tr>
        <w:tc>
          <w:tcPr/>
          <w:p>
            <w:pPr>
              <w:pStyle w:val="Compact"/>
              <w:jc w:val="left"/>
            </w:pPr>
            <w:r>
              <w:t xml:space="preserve">cs_b_sb</w:t>
            </w:r>
          </w:p>
        </w:tc>
        <w:tc>
          <w:tcPr/>
          <w:p>
            <w:pPr>
              <w:pStyle w:val="Compact"/>
              <w:jc w:val="right"/>
            </w:pPr>
            <w:r>
              <w:t xml:space="preserve">2020</w:t>
            </w:r>
          </w:p>
        </w:tc>
        <w:tc>
          <w:tcPr/>
          <w:p>
            <w:pPr>
              <w:pStyle w:val="Compact"/>
              <w:jc w:val="left"/>
            </w:pPr>
            <w:r>
              <w:t xml:space="preserve">250</w:t>
            </w:r>
          </w:p>
        </w:tc>
        <w:tc>
          <w:tcPr/>
          <w:p>
            <w:pPr>
              <w:pStyle w:val="Compact"/>
              <w:jc w:val="left"/>
            </w:pPr>
            <w:r>
              <w:t xml:space="preserve">5,136</w:t>
            </w:r>
          </w:p>
        </w:tc>
        <w:tc>
          <w:tcPr/>
          <w:p>
            <w:pPr>
              <w:pStyle w:val="Compact"/>
              <w:jc w:val="left"/>
            </w:pPr>
            <w:r>
              <w:t xml:space="preserve">4.87%</w:t>
            </w:r>
          </w:p>
        </w:tc>
      </w:tr>
      <w:tr>
        <w:tc>
          <w:tcPr/>
          <w:p>
            <w:pPr>
              <w:pStyle w:val="Compact"/>
              <w:jc w:val="left"/>
            </w:pPr>
            <w:r>
              <w:t xml:space="preserve">cs_b_sb</w:t>
            </w:r>
          </w:p>
        </w:tc>
        <w:tc>
          <w:tcPr/>
          <w:p>
            <w:pPr>
              <w:pStyle w:val="Compact"/>
              <w:jc w:val="right"/>
            </w:pPr>
            <w:r>
              <w:t xml:space="preserve">2021</w:t>
            </w:r>
          </w:p>
        </w:tc>
        <w:tc>
          <w:tcPr/>
          <w:p>
            <w:pPr>
              <w:pStyle w:val="Compact"/>
              <w:jc w:val="left"/>
            </w:pPr>
            <w:r>
              <w:t xml:space="preserve">2,225</w:t>
            </w:r>
          </w:p>
        </w:tc>
        <w:tc>
          <w:tcPr/>
          <w:p>
            <w:pPr>
              <w:pStyle w:val="Compact"/>
              <w:jc w:val="left"/>
            </w:pPr>
            <w:r>
              <w:t xml:space="preserve">7,262</w:t>
            </w:r>
          </w:p>
        </w:tc>
        <w:tc>
          <w:tcPr/>
          <w:p>
            <w:pPr>
              <w:pStyle w:val="Compact"/>
              <w:jc w:val="left"/>
            </w:pPr>
            <w:r>
              <w:t xml:space="preserve">30.64%</w:t>
            </w:r>
          </w:p>
        </w:tc>
      </w:tr>
      <w:tr>
        <w:tc>
          <w:tcPr/>
          <w:p>
            <w:pPr>
              <w:pStyle w:val="Compact"/>
              <w:jc w:val="left"/>
            </w:pPr>
            <w:r>
              <w:t xml:space="preserve">cs_p_nb</w:t>
            </w:r>
          </w:p>
        </w:tc>
        <w:tc>
          <w:tcPr/>
          <w:p>
            <w:pPr>
              <w:pStyle w:val="Compact"/>
              <w:jc w:val="right"/>
            </w:pPr>
            <w:r>
              <w:t xml:space="preserve">2020</w:t>
            </w:r>
          </w:p>
        </w:tc>
        <w:tc>
          <w:tcPr/>
          <w:p>
            <w:pPr>
              <w:pStyle w:val="Compact"/>
              <w:jc w:val="left"/>
            </w:pPr>
            <w:r>
              <w:t xml:space="preserve">5,136</w:t>
            </w:r>
          </w:p>
        </w:tc>
        <w:tc>
          <w:tcPr/>
          <w:p>
            <w:pPr>
              <w:pStyle w:val="Compact"/>
              <w:jc w:val="left"/>
            </w:pPr>
            <w:r>
              <w:t xml:space="preserve">5,136</w:t>
            </w:r>
          </w:p>
        </w:tc>
        <w:tc>
          <w:tcPr/>
          <w:p>
            <w:pPr>
              <w:pStyle w:val="Compact"/>
              <w:jc w:val="left"/>
            </w:pPr>
            <w:r>
              <w:t xml:space="preserve">100.00%</w:t>
            </w:r>
          </w:p>
        </w:tc>
      </w:tr>
      <w:tr>
        <w:tc>
          <w:tcPr/>
          <w:p>
            <w:pPr>
              <w:pStyle w:val="Compact"/>
              <w:jc w:val="left"/>
            </w:pPr>
            <w:r>
              <w:t xml:space="preserve">cs_p_nb</w:t>
            </w:r>
          </w:p>
        </w:tc>
        <w:tc>
          <w:tcPr/>
          <w:p>
            <w:pPr>
              <w:pStyle w:val="Compact"/>
              <w:jc w:val="right"/>
            </w:pPr>
            <w:r>
              <w:t xml:space="preserve">2021</w:t>
            </w:r>
          </w:p>
        </w:tc>
        <w:tc>
          <w:tcPr/>
          <w:p>
            <w:pPr>
              <w:pStyle w:val="Compact"/>
              <w:jc w:val="left"/>
            </w:pPr>
            <w:r>
              <w:t xml:space="preserve">7,262</w:t>
            </w:r>
          </w:p>
        </w:tc>
        <w:tc>
          <w:tcPr/>
          <w:p>
            <w:pPr>
              <w:pStyle w:val="Compact"/>
              <w:jc w:val="left"/>
            </w:pPr>
            <w:r>
              <w:t xml:space="preserve">7,262</w:t>
            </w:r>
          </w:p>
        </w:tc>
        <w:tc>
          <w:tcPr/>
          <w:p>
            <w:pPr>
              <w:pStyle w:val="Compact"/>
              <w:jc w:val="left"/>
            </w:pPr>
            <w:r>
              <w:t xml:space="preserve">100.00%</w:t>
            </w:r>
          </w:p>
        </w:tc>
      </w:tr>
      <w:tr>
        <w:tc>
          <w:tcPr/>
          <w:p>
            <w:pPr>
              <w:pStyle w:val="Compact"/>
              <w:jc w:val="left"/>
            </w:pPr>
            <w:r>
              <w:t xml:space="preserve">cs_p_sb</w:t>
            </w:r>
          </w:p>
        </w:tc>
        <w:tc>
          <w:tcPr/>
          <w:p>
            <w:pPr>
              <w:pStyle w:val="Compact"/>
              <w:jc w:val="right"/>
            </w:pPr>
            <w:r>
              <w:t xml:space="preserve">2020</w:t>
            </w:r>
          </w:p>
        </w:tc>
        <w:tc>
          <w:tcPr/>
          <w:p>
            <w:pPr>
              <w:pStyle w:val="Compact"/>
              <w:jc w:val="left"/>
            </w:pPr>
            <w:r>
              <w:t xml:space="preserve">5,136</w:t>
            </w:r>
          </w:p>
        </w:tc>
        <w:tc>
          <w:tcPr/>
          <w:p>
            <w:pPr>
              <w:pStyle w:val="Compact"/>
              <w:jc w:val="left"/>
            </w:pPr>
            <w:r>
              <w:t xml:space="preserve">5,136</w:t>
            </w:r>
          </w:p>
        </w:tc>
        <w:tc>
          <w:tcPr/>
          <w:p>
            <w:pPr>
              <w:pStyle w:val="Compact"/>
              <w:jc w:val="left"/>
            </w:pPr>
            <w:r>
              <w:t xml:space="preserve">100.00%</w:t>
            </w:r>
          </w:p>
        </w:tc>
      </w:tr>
      <w:tr>
        <w:tc>
          <w:tcPr/>
          <w:p>
            <w:pPr>
              <w:pStyle w:val="Compact"/>
              <w:jc w:val="left"/>
            </w:pPr>
            <w:r>
              <w:t xml:space="preserve">cs_p_sb</w:t>
            </w:r>
          </w:p>
        </w:tc>
        <w:tc>
          <w:tcPr/>
          <w:p>
            <w:pPr>
              <w:pStyle w:val="Compact"/>
              <w:jc w:val="right"/>
            </w:pPr>
            <w:r>
              <w:t xml:space="preserve">2021</w:t>
            </w:r>
          </w:p>
        </w:tc>
        <w:tc>
          <w:tcPr/>
          <w:p>
            <w:pPr>
              <w:pStyle w:val="Compact"/>
              <w:jc w:val="left"/>
            </w:pPr>
            <w:r>
              <w:t xml:space="preserve">7,262</w:t>
            </w:r>
          </w:p>
        </w:tc>
        <w:tc>
          <w:tcPr/>
          <w:p>
            <w:pPr>
              <w:pStyle w:val="Compact"/>
              <w:jc w:val="left"/>
            </w:pPr>
            <w:r>
              <w:t xml:space="preserve">7,262</w:t>
            </w:r>
          </w:p>
        </w:tc>
        <w:tc>
          <w:tcPr/>
          <w:p>
            <w:pPr>
              <w:pStyle w:val="Compact"/>
              <w:jc w:val="left"/>
            </w:pPr>
            <w:r>
              <w:t xml:space="preserve">100.00%</w:t>
            </w:r>
          </w:p>
        </w:tc>
      </w:tr>
      <w:tr>
        <w:tc>
          <w:tcPr/>
          <w:p>
            <w:pPr>
              <w:pStyle w:val="Compact"/>
              <w:jc w:val="left"/>
            </w:pPr>
            <w:r>
              <w:t xml:space="preserve">eb_b_nb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eb_b_nb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eb_b_nb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eb_b_sb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eb_b_sb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eb_b_sb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eb_p_nb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eb_p_nb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eb_p_nb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eb_p_sb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eb_p_sb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eb_p_sb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fmt_e</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2021</w:t>
            </w:r>
          </w:p>
        </w:tc>
        <w:tc>
          <w:tcPr/>
          <w:p>
            <w:pPr>
              <w:pStyle w:val="Compact"/>
              <w:jc w:val="left"/>
            </w:pPr>
            <w:r>
              <w:t xml:space="preserve">706</w:t>
            </w:r>
          </w:p>
        </w:tc>
        <w:tc>
          <w:tcPr/>
          <w:p>
            <w:pPr>
              <w:pStyle w:val="Compact"/>
              <w:jc w:val="left"/>
            </w:pPr>
            <w:r>
              <w:t xml:space="preserve">8,736</w:t>
            </w:r>
          </w:p>
        </w:tc>
        <w:tc>
          <w:tcPr/>
          <w:p>
            <w:pPr>
              <w:pStyle w:val="Compact"/>
              <w:jc w:val="left"/>
            </w:pPr>
            <w:r>
              <w:t xml:space="preserve">8.08%</w:t>
            </w:r>
          </w:p>
        </w:tc>
      </w:tr>
      <w:tr>
        <w:tc>
          <w:tcPr/>
          <w:p>
            <w:pPr>
              <w:pStyle w:val="Compact"/>
              <w:jc w:val="left"/>
            </w:pPr>
            <w:r>
              <w:t xml:space="preserve">sb_eb</w:t>
            </w:r>
          </w:p>
        </w:tc>
        <w:tc>
          <w:tcPr/>
          <w:p>
            <w:pPr>
              <w:pStyle w:val="Compact"/>
              <w:jc w:val="right"/>
            </w:pPr>
            <w:r>
              <w:t xml:space="preserve">2022</w:t>
            </w:r>
          </w:p>
        </w:tc>
        <w:tc>
          <w:tcPr/>
          <w:p>
            <w:pPr>
              <w:pStyle w:val="Compact"/>
              <w:jc w:val="left"/>
            </w:pPr>
            <w:r>
              <w:t xml:space="preserve">656</w:t>
            </w:r>
          </w:p>
        </w:tc>
        <w:tc>
          <w:tcPr/>
          <w:p>
            <w:pPr>
              <w:pStyle w:val="Compact"/>
              <w:jc w:val="left"/>
            </w:pPr>
            <w:r>
              <w:t xml:space="preserve">10,248</w:t>
            </w:r>
          </w:p>
        </w:tc>
        <w:tc>
          <w:tcPr/>
          <w:p>
            <w:pPr>
              <w:pStyle w:val="Compact"/>
              <w:jc w:val="left"/>
            </w:pPr>
            <w:r>
              <w:t xml:space="preserve">6.40%</w:t>
            </w:r>
          </w:p>
        </w:tc>
      </w:tr>
      <w:tr>
        <w:tc>
          <w:tcPr/>
          <w:p>
            <w:pPr>
              <w:pStyle w:val="Compact"/>
              <w:jc w:val="left"/>
            </w:pPr>
            <w:r>
              <w:t xml:space="preserve">sp_wb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sp_wb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sp_wb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sp_wb</w:t>
            </w:r>
          </w:p>
        </w:tc>
        <w:tc>
          <w:tcPr/>
          <w:p>
            <w:pPr>
              <w:pStyle w:val="Compact"/>
              <w:jc w:val="right"/>
            </w:pPr>
            <w:r>
              <w:t xml:space="preserve">2021</w:t>
            </w:r>
          </w:p>
        </w:tc>
        <w:tc>
          <w:tcPr/>
          <w:p>
            <w:pPr>
              <w:pStyle w:val="Compact"/>
              <w:jc w:val="left"/>
            </w:pPr>
            <w:r>
              <w:t xml:space="preserve">792</w:t>
            </w:r>
          </w:p>
        </w:tc>
        <w:tc>
          <w:tcPr/>
          <w:p>
            <w:pPr>
              <w:pStyle w:val="Compact"/>
              <w:jc w:val="left"/>
            </w:pPr>
            <w:r>
              <w:t xml:space="preserve">8,736</w:t>
            </w:r>
          </w:p>
        </w:tc>
        <w:tc>
          <w:tcPr/>
          <w:p>
            <w:pPr>
              <w:pStyle w:val="Compact"/>
              <w:jc w:val="left"/>
            </w:pPr>
            <w:r>
              <w:t xml:space="preserve">9.07%</w:t>
            </w:r>
          </w:p>
        </w:tc>
      </w:tr>
      <w:tr>
        <w:tc>
          <w:tcPr/>
          <w:p>
            <w:pPr>
              <w:pStyle w:val="Compact"/>
              <w:jc w:val="left"/>
            </w:pPr>
            <w:r>
              <w:t xml:space="preserve">sp_wb</w:t>
            </w:r>
          </w:p>
        </w:tc>
        <w:tc>
          <w:tcPr/>
          <w:p>
            <w:pPr>
              <w:pStyle w:val="Compact"/>
              <w:jc w:val="right"/>
            </w:pPr>
            <w:r>
              <w:t xml:space="preserve">2022</w:t>
            </w:r>
          </w:p>
        </w:tc>
        <w:tc>
          <w:tcPr/>
          <w:p>
            <w:pPr>
              <w:pStyle w:val="Compact"/>
              <w:jc w:val="left"/>
            </w:pPr>
            <w:r>
              <w:t xml:space="preserve">634</w:t>
            </w:r>
          </w:p>
        </w:tc>
        <w:tc>
          <w:tcPr/>
          <w:p>
            <w:pPr>
              <w:pStyle w:val="Compact"/>
              <w:jc w:val="left"/>
            </w:pPr>
            <w:r>
              <w:t xml:space="preserve">10,248</w:t>
            </w:r>
          </w:p>
        </w:tc>
        <w:tc>
          <w:tcPr/>
          <w:p>
            <w:pPr>
              <w:pStyle w:val="Compact"/>
              <w:jc w:val="left"/>
            </w:pPr>
            <w:r>
              <w:t xml:space="preserve">6.19%</w:t>
            </w:r>
          </w:p>
        </w:tc>
      </w:tr>
    </w:tbl>
    <w:bookmarkEnd w:id="26"/>
    <w:bookmarkEnd w:id="27"/>
    <w:bookmarkStart w:id="30" w:name="short-duration-counts"/>
    <w:p>
      <w:pPr>
        <w:pStyle w:val="Heading3"/>
      </w:pPr>
      <w:r>
        <w:t xml:space="preserve">3.1.3 Short Duration Counts</w:t>
      </w:r>
    </w:p>
    <w:bookmarkStart w:id="28" w:name="tbl-sdc_summary"/>
    <w:p>
      <w:pPr>
        <w:pStyle w:val="TableCaption"/>
      </w:pPr>
      <w:r>
        <w:t xml:space="preserve">Table 3.3: SDC Summary/Overview.</w:t>
      </w:r>
    </w:p>
    <w:tbl>
      <w:tblPr>
        <w:tblStyle w:val="Table"/>
        <w:tblW w:type="auto" w:w="0"/>
        <w:tblLook w:firstRow="1" w:lastRow="0" w:firstColumn="0" w:lastColumn="0" w:noHBand="0" w:noVBand="0" w:val="0020"/>
        <w:tblCaption w:val="Table 3.3: SDC Summary/Overview."/>
      </w:tblPr>
      <w:tblGrid>
        <w:gridCol w:w="990"/>
        <w:gridCol w:w="990"/>
        <w:gridCol w:w="990"/>
        <w:gridCol w:w="990"/>
        <w:gridCol w:w="990"/>
        <w:gridCol w:w="990"/>
        <w:gridCol w:w="990"/>
        <w:gridCol w:w="990"/>
      </w:tblGrid>
      <w:tr>
        <w:trPr>
          <w:tblHeader w:val="true"/>
        </w:trPr>
        <w:tc>
          <w:tcPr/>
          <w:p>
            <w:pPr>
              <w:pStyle w:val="Compact"/>
              <w:jc w:val="left"/>
            </w:pPr>
            <w:r>
              <w:t xml:space="preserve">dow</w:t>
            </w:r>
          </w:p>
        </w:tc>
        <w:tc>
          <w:tcPr/>
          <w:p>
            <w:pPr>
              <w:pStyle w:val="Compact"/>
              <w:jc w:val="left"/>
            </w:pPr>
            <w:r>
              <w:t xml:space="preserve">study_time_cat</w:t>
            </w:r>
          </w:p>
        </w:tc>
        <w:tc>
          <w:tcPr/>
          <w:p>
            <w:pPr>
              <w:pStyle w:val="Compact"/>
              <w:jc w:val="right"/>
            </w:pPr>
            <w:r>
              <w:t xml:space="preserve">n_sites</w:t>
            </w:r>
          </w:p>
        </w:tc>
        <w:tc>
          <w:tcPr/>
          <w:p>
            <w:pPr>
              <w:pStyle w:val="Compact"/>
              <w:jc w:val="right"/>
            </w:pPr>
            <w:r>
              <w:t xml:space="preserve">n_hours</w:t>
            </w:r>
          </w:p>
        </w:tc>
        <w:tc>
          <w:tcPr/>
          <w:p>
            <w:pPr>
              <w:pStyle w:val="Compact"/>
              <w:jc w:val="left"/>
            </w:pPr>
            <w:r>
              <w:t xml:space="preserve">n_bike</w:t>
            </w:r>
          </w:p>
        </w:tc>
        <w:tc>
          <w:tcPr/>
          <w:p>
            <w:pPr>
              <w:pStyle w:val="Compact"/>
              <w:jc w:val="left"/>
            </w:pPr>
            <w:r>
              <w:t xml:space="preserve">n_ped</w:t>
            </w:r>
          </w:p>
        </w:tc>
        <w:tc>
          <w:tcPr/>
          <w:p>
            <w:pPr>
              <w:pStyle w:val="Compact"/>
              <w:jc w:val="left"/>
            </w:pPr>
            <w:r>
              <w:t xml:space="preserve">bike_per_hr</w:t>
            </w:r>
          </w:p>
        </w:tc>
        <w:tc>
          <w:tcPr/>
          <w:p>
            <w:pPr>
              <w:pStyle w:val="Compact"/>
              <w:jc w:val="left"/>
            </w:pPr>
            <w:r>
              <w:t xml:space="preserve">ped_per_hr</w:t>
            </w:r>
          </w:p>
        </w:tc>
      </w:tr>
      <w:tr>
        <w:tc>
          <w:tcPr/>
          <w:p>
            <w:pPr>
              <w:pStyle w:val="Compact"/>
              <w:jc w:val="left"/>
            </w:pPr>
            <w:r>
              <w:t xml:space="preserve">Weekday</w:t>
            </w:r>
          </w:p>
        </w:tc>
        <w:tc>
          <w:tcPr/>
          <w:p>
            <w:pPr>
              <w:pStyle w:val="Compact"/>
              <w:jc w:val="left"/>
            </w:pPr>
            <w:r>
              <w:t xml:space="preserve">10:00 AM-12:00 PM</w:t>
            </w:r>
          </w:p>
        </w:tc>
        <w:tc>
          <w:tcPr/>
          <w:p>
            <w:pPr>
              <w:pStyle w:val="Compact"/>
              <w:jc w:val="right"/>
            </w:pPr>
            <w:r>
              <w:t xml:space="preserve">50</w:t>
            </w:r>
          </w:p>
        </w:tc>
        <w:tc>
          <w:tcPr/>
          <w:p>
            <w:pPr>
              <w:pStyle w:val="Compact"/>
              <w:jc w:val="right"/>
            </w:pPr>
            <w:r>
              <w:t xml:space="preserve">1786</w:t>
            </w:r>
          </w:p>
        </w:tc>
        <w:tc>
          <w:tcPr/>
          <w:p>
            <w:pPr>
              <w:pStyle w:val="Compact"/>
              <w:jc w:val="left"/>
            </w:pPr>
            <w:r>
              <w:t xml:space="preserve">17,949.0</w:t>
            </w:r>
          </w:p>
        </w:tc>
        <w:tc>
          <w:tcPr/>
          <w:p>
            <w:pPr>
              <w:pStyle w:val="Compact"/>
              <w:jc w:val="left"/>
            </w:pPr>
            <w:r>
              <w:t xml:space="preserve">338,965.0</w:t>
            </w:r>
          </w:p>
        </w:tc>
        <w:tc>
          <w:tcPr/>
          <w:p>
            <w:pPr>
              <w:pStyle w:val="Compact"/>
              <w:jc w:val="left"/>
            </w:pPr>
            <w:r>
              <w:t xml:space="preserve">10.0</w:t>
            </w:r>
          </w:p>
        </w:tc>
        <w:tc>
          <w:tcPr/>
          <w:p>
            <w:pPr>
              <w:pStyle w:val="Compact"/>
              <w:jc w:val="left"/>
            </w:pPr>
            <w:r>
              <w:t xml:space="preserve">189.8</w:t>
            </w:r>
          </w:p>
        </w:tc>
      </w:tr>
      <w:tr>
        <w:tc>
          <w:tcPr/>
          <w:p>
            <w:pPr>
              <w:pStyle w:val="Compact"/>
              <w:jc w:val="left"/>
            </w:pPr>
            <w:r>
              <w:t xml:space="preserve">Weekday</w:t>
            </w:r>
          </w:p>
        </w:tc>
        <w:tc>
          <w:tcPr/>
          <w:p>
            <w:pPr>
              <w:pStyle w:val="Compact"/>
              <w:jc w:val="left"/>
            </w:pPr>
            <w:r>
              <w:t xml:space="preserve">12:00 PM-2:00 PM</w:t>
            </w:r>
          </w:p>
        </w:tc>
        <w:tc>
          <w:tcPr/>
          <w:p>
            <w:pPr>
              <w:pStyle w:val="Compact"/>
              <w:jc w:val="right"/>
            </w:pPr>
            <w:r>
              <w:t xml:space="preserve">5</w:t>
            </w:r>
          </w:p>
        </w:tc>
        <w:tc>
          <w:tcPr/>
          <w:p>
            <w:pPr>
              <w:pStyle w:val="Compact"/>
              <w:jc w:val="right"/>
            </w:pPr>
            <w:r>
              <w:t xml:space="preserve">24</w:t>
            </w:r>
          </w:p>
        </w:tc>
        <w:tc>
          <w:tcPr/>
          <w:p>
            <w:pPr>
              <w:pStyle w:val="Compact"/>
              <w:jc w:val="left"/>
            </w:pPr>
            <w:r>
              <w:t xml:space="preserve">466.0</w:t>
            </w:r>
          </w:p>
        </w:tc>
        <w:tc>
          <w:tcPr/>
          <w:p>
            <w:pPr>
              <w:pStyle w:val="Compact"/>
              <w:jc w:val="left"/>
            </w:pPr>
            <w:r>
              <w:t xml:space="preserve">11,662.0</w:t>
            </w:r>
          </w:p>
        </w:tc>
        <w:tc>
          <w:tcPr/>
          <w:p>
            <w:pPr>
              <w:pStyle w:val="Compact"/>
              <w:jc w:val="left"/>
            </w:pPr>
            <w:r>
              <w:t xml:space="preserve">19.4</w:t>
            </w:r>
          </w:p>
        </w:tc>
        <w:tc>
          <w:tcPr/>
          <w:p>
            <w:pPr>
              <w:pStyle w:val="Compact"/>
              <w:jc w:val="left"/>
            </w:pPr>
            <w:r>
              <w:t xml:space="preserve">485.9</w:t>
            </w:r>
          </w:p>
        </w:tc>
      </w:tr>
      <w:tr>
        <w:tc>
          <w:tcPr/>
          <w:p>
            <w:pPr>
              <w:pStyle w:val="Compact"/>
              <w:jc w:val="left"/>
            </w:pPr>
            <w:r>
              <w:t xml:space="preserve">Weekday</w:t>
            </w:r>
          </w:p>
        </w:tc>
        <w:tc>
          <w:tcPr/>
          <w:p>
            <w:pPr>
              <w:pStyle w:val="Compact"/>
              <w:jc w:val="left"/>
            </w:pPr>
            <w:r>
              <w:t xml:space="preserve">5:00 PM-7:00 PM</w:t>
            </w:r>
          </w:p>
        </w:tc>
        <w:tc>
          <w:tcPr/>
          <w:p>
            <w:pPr>
              <w:pStyle w:val="Compact"/>
              <w:jc w:val="right"/>
            </w:pPr>
            <w:r>
              <w:t xml:space="preserve">49</w:t>
            </w:r>
          </w:p>
        </w:tc>
        <w:tc>
          <w:tcPr/>
          <w:p>
            <w:pPr>
              <w:pStyle w:val="Compact"/>
              <w:jc w:val="right"/>
            </w:pPr>
            <w:r>
              <w:t xml:space="preserve">1756</w:t>
            </w:r>
          </w:p>
        </w:tc>
        <w:tc>
          <w:tcPr/>
          <w:p>
            <w:pPr>
              <w:pStyle w:val="Compact"/>
              <w:jc w:val="left"/>
            </w:pPr>
            <w:r>
              <w:t xml:space="preserve">62,270.0</w:t>
            </w:r>
          </w:p>
        </w:tc>
        <w:tc>
          <w:tcPr/>
          <w:p>
            <w:pPr>
              <w:pStyle w:val="Compact"/>
              <w:jc w:val="left"/>
            </w:pPr>
            <w:r>
              <w:t xml:space="preserve">608,536.0</w:t>
            </w:r>
          </w:p>
        </w:tc>
        <w:tc>
          <w:tcPr/>
          <w:p>
            <w:pPr>
              <w:pStyle w:val="Compact"/>
              <w:jc w:val="left"/>
            </w:pPr>
            <w:r>
              <w:t xml:space="preserve">35.5</w:t>
            </w:r>
          </w:p>
        </w:tc>
        <w:tc>
          <w:tcPr/>
          <w:p>
            <w:pPr>
              <w:pStyle w:val="Compact"/>
              <w:jc w:val="left"/>
            </w:pPr>
            <w:r>
              <w:t xml:space="preserve">346.5</w:t>
            </w:r>
          </w:p>
        </w:tc>
      </w:tr>
      <w:tr>
        <w:tc>
          <w:tcPr/>
          <w:p>
            <w:pPr>
              <w:pStyle w:val="Compact"/>
              <w:jc w:val="left"/>
            </w:pPr>
            <w:r>
              <w:t xml:space="preserve">Weekend</w:t>
            </w:r>
          </w:p>
        </w:tc>
        <w:tc>
          <w:tcPr/>
          <w:p>
            <w:pPr>
              <w:pStyle w:val="Compact"/>
              <w:jc w:val="left"/>
            </w:pPr>
            <w:r>
              <w:t xml:space="preserve">10:00 AM-12:00 PM</w:t>
            </w:r>
          </w:p>
        </w:tc>
        <w:tc>
          <w:tcPr/>
          <w:p>
            <w:pPr>
              <w:pStyle w:val="Compact"/>
              <w:jc w:val="right"/>
            </w:pPr>
            <w:r>
              <w:t xml:space="preserve">4</w:t>
            </w:r>
          </w:p>
        </w:tc>
        <w:tc>
          <w:tcPr/>
          <w:p>
            <w:pPr>
              <w:pStyle w:val="Compact"/>
              <w:jc w:val="right"/>
            </w:pPr>
            <w:r>
              <w:t xml:space="preserve">8</w:t>
            </w:r>
          </w:p>
        </w:tc>
        <w:tc>
          <w:tcPr/>
          <w:p>
            <w:pPr>
              <w:pStyle w:val="Compact"/>
              <w:jc w:val="left"/>
            </w:pPr>
            <w:r>
              <w:t xml:space="preserve">84.0</w:t>
            </w:r>
          </w:p>
        </w:tc>
        <w:tc>
          <w:tcPr/>
          <w:p>
            <w:pPr>
              <w:pStyle w:val="Compact"/>
              <w:jc w:val="left"/>
            </w:pPr>
            <w:r>
              <w:t xml:space="preserve">1,392.0</w:t>
            </w:r>
          </w:p>
        </w:tc>
        <w:tc>
          <w:tcPr/>
          <w:p>
            <w:pPr>
              <w:pStyle w:val="Compact"/>
              <w:jc w:val="left"/>
            </w:pPr>
            <w:r>
              <w:t xml:space="preserve">10.5</w:t>
            </w:r>
          </w:p>
        </w:tc>
        <w:tc>
          <w:tcPr/>
          <w:p>
            <w:pPr>
              <w:pStyle w:val="Compact"/>
              <w:jc w:val="left"/>
            </w:pPr>
            <w:r>
              <w:t xml:space="preserve">174.0</w:t>
            </w:r>
          </w:p>
        </w:tc>
      </w:tr>
      <w:tr>
        <w:tc>
          <w:tcPr/>
          <w:p>
            <w:pPr>
              <w:pStyle w:val="Compact"/>
              <w:jc w:val="left"/>
            </w:pPr>
            <w:r>
              <w:t xml:space="preserve">Weekend</w:t>
            </w:r>
          </w:p>
        </w:tc>
        <w:tc>
          <w:tcPr/>
          <w:p>
            <w:pPr>
              <w:pStyle w:val="Compact"/>
              <w:jc w:val="left"/>
            </w:pPr>
            <w:r>
              <w:t xml:space="preserve">12:00 PM-2:00 PM</w:t>
            </w:r>
          </w:p>
        </w:tc>
        <w:tc>
          <w:tcPr/>
          <w:p>
            <w:pPr>
              <w:pStyle w:val="Compact"/>
              <w:jc w:val="right"/>
            </w:pPr>
            <w:r>
              <w:t xml:space="preserve">50</w:t>
            </w:r>
          </w:p>
        </w:tc>
        <w:tc>
          <w:tcPr/>
          <w:p>
            <w:pPr>
              <w:pStyle w:val="Compact"/>
              <w:jc w:val="right"/>
            </w:pPr>
            <w:r>
              <w:t xml:space="preserve">1770</w:t>
            </w:r>
          </w:p>
        </w:tc>
        <w:tc>
          <w:tcPr/>
          <w:p>
            <w:pPr>
              <w:pStyle w:val="Compact"/>
              <w:jc w:val="left"/>
            </w:pPr>
            <w:r>
              <w:t xml:space="preserve">34,339.0</w:t>
            </w:r>
          </w:p>
        </w:tc>
        <w:tc>
          <w:tcPr/>
          <w:p>
            <w:pPr>
              <w:pStyle w:val="Compact"/>
              <w:jc w:val="left"/>
            </w:pPr>
            <w:r>
              <w:t xml:space="preserve">559,484.0</w:t>
            </w:r>
          </w:p>
        </w:tc>
        <w:tc>
          <w:tcPr/>
          <w:p>
            <w:pPr>
              <w:pStyle w:val="Compact"/>
              <w:jc w:val="left"/>
            </w:pPr>
            <w:r>
              <w:t xml:space="preserve">19.4</w:t>
            </w:r>
          </w:p>
        </w:tc>
        <w:tc>
          <w:tcPr/>
          <w:p>
            <w:pPr>
              <w:pStyle w:val="Compact"/>
              <w:jc w:val="left"/>
            </w:pPr>
            <w:r>
              <w:t xml:space="preserve">316.1</w:t>
            </w:r>
          </w:p>
        </w:tc>
      </w:tr>
    </w:tbl>
    <w:bookmarkEnd w:id="28"/>
    <w:p>
      <w:pPr>
        <w:pStyle w:val="BodyText"/>
      </w:pPr>
      <w:r>
        <w:t xml:space="preserve"> </w:t>
      </w:r>
    </w:p>
    <w:bookmarkStart w:id="29" w:name="tbl-sdc_summary_year"/>
    <w:p>
      <w:pPr>
        <w:pStyle w:val="TableCaption"/>
      </w:pPr>
      <w:r>
        <w:t xml:space="preserve">Table 3.4: SDC Locations.</w:t>
      </w:r>
    </w:p>
    <w:tbl>
      <w:tblPr>
        <w:tblStyle w:val="Table"/>
        <w:tblW w:type="auto" w:w="0"/>
        <w:tblLook w:firstRow="1" w:lastRow="0" w:firstColumn="0" w:lastColumn="0" w:noHBand="0" w:noVBand="0" w:val="0020"/>
        <w:tblCaption w:val="Table 3.4: SDC Locations."/>
      </w:tblPr>
      <w:tblGrid>
        <w:gridCol w:w="990"/>
        <w:gridCol w:w="990"/>
        <w:gridCol w:w="990"/>
        <w:gridCol w:w="990"/>
        <w:gridCol w:w="990"/>
        <w:gridCol w:w="990"/>
        <w:gridCol w:w="990"/>
        <w:gridCol w:w="990"/>
      </w:tblGrid>
      <w:tr>
        <w:trPr>
          <w:tblHeader w:val="true"/>
        </w:trPr>
        <w:tc>
          <w:tcPr/>
          <w:p>
            <w:pPr>
              <w:pStyle w:val="Compact"/>
              <w:jc w:val="left"/>
            </w:pPr>
            <w:r>
              <w:t xml:space="preserve">site_descr</w:t>
            </w:r>
          </w:p>
        </w:tc>
        <w:tc>
          <w:tcPr/>
          <w:p>
            <w:pPr>
              <w:pStyle w:val="Compact"/>
              <w:jc w:val="right"/>
            </w:pPr>
            <w:r>
              <w:t xml:space="preserve">n_hours</w:t>
            </w:r>
          </w:p>
        </w:tc>
        <w:tc>
          <w:tcPr/>
          <w:p>
            <w:pPr>
              <w:pStyle w:val="Compact"/>
              <w:jc w:val="left"/>
            </w:pPr>
            <w:r>
              <w:t xml:space="preserve">n_bike</w:t>
            </w:r>
          </w:p>
        </w:tc>
        <w:tc>
          <w:tcPr/>
          <w:p>
            <w:pPr>
              <w:pStyle w:val="Compact"/>
              <w:jc w:val="left"/>
            </w:pPr>
            <w:r>
              <w:t xml:space="preserve">n_ped</w:t>
            </w:r>
          </w:p>
        </w:tc>
        <w:tc>
          <w:tcPr/>
          <w:p>
            <w:pPr>
              <w:pStyle w:val="Compact"/>
              <w:jc w:val="left"/>
            </w:pPr>
            <w:r>
              <w:t xml:space="preserve">bike_per_hr</w:t>
            </w:r>
          </w:p>
        </w:tc>
        <w:tc>
          <w:tcPr/>
          <w:p>
            <w:pPr>
              <w:pStyle w:val="Compact"/>
              <w:jc w:val="left"/>
            </w:pPr>
            <w:r>
              <w:t xml:space="preserve">ped_per_hr</w:t>
            </w:r>
          </w:p>
        </w:tc>
        <w:tc>
          <w:tcPr/>
          <w:p>
            <w:pPr>
              <w:pStyle w:val="Compact"/>
              <w:jc w:val="right"/>
            </w:pPr>
            <w:r>
              <w:t xml:space="preserve">start_year</w:t>
            </w:r>
          </w:p>
        </w:tc>
        <w:tc>
          <w:tcPr/>
          <w:p>
            <w:pPr>
              <w:pStyle w:val="Compact"/>
              <w:jc w:val="right"/>
            </w:pPr>
            <w:r>
              <w:t xml:space="preserve">end_year</w:t>
            </w:r>
          </w:p>
        </w:tc>
      </w:tr>
      <w:tr>
        <w:tc>
          <w:tcPr/>
          <w:p>
            <w:pPr>
              <w:pStyle w:val="Compact"/>
              <w:jc w:val="left"/>
            </w:pPr>
            <w:r>
              <w:t xml:space="preserve">12TH AVE AND E MADISON ST</w:t>
            </w:r>
          </w:p>
        </w:tc>
        <w:tc>
          <w:tcPr/>
          <w:p>
            <w:pPr>
              <w:pStyle w:val="Compact"/>
              <w:jc w:val="right"/>
            </w:pPr>
            <w:r>
              <w:t xml:space="preserve">108</w:t>
            </w:r>
          </w:p>
        </w:tc>
        <w:tc>
          <w:tcPr/>
          <w:p>
            <w:pPr>
              <w:pStyle w:val="Compact"/>
              <w:jc w:val="left"/>
            </w:pPr>
            <w:r>
              <w:t xml:space="preserve">3,698.0</w:t>
            </w:r>
          </w:p>
        </w:tc>
        <w:tc>
          <w:tcPr/>
          <w:p>
            <w:pPr>
              <w:pStyle w:val="Compact"/>
              <w:jc w:val="left"/>
            </w:pPr>
            <w:r>
              <w:t xml:space="preserve">60,076.0</w:t>
            </w:r>
          </w:p>
        </w:tc>
        <w:tc>
          <w:tcPr/>
          <w:p>
            <w:pPr>
              <w:pStyle w:val="Compact"/>
              <w:jc w:val="left"/>
            </w:pPr>
            <w:r>
              <w:t xml:space="preserve">34.2</w:t>
            </w:r>
          </w:p>
        </w:tc>
        <w:tc>
          <w:tcPr/>
          <w:p>
            <w:pPr>
              <w:pStyle w:val="Compact"/>
              <w:jc w:val="left"/>
            </w:pPr>
            <w:r>
              <w:t xml:space="preserve">556.3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12TH AVE NE AND NE 65TH ST</w:t>
            </w:r>
          </w:p>
        </w:tc>
        <w:tc>
          <w:tcPr/>
          <w:p>
            <w:pPr>
              <w:pStyle w:val="Compact"/>
              <w:jc w:val="right"/>
            </w:pPr>
            <w:r>
              <w:t xml:space="preserve">108</w:t>
            </w:r>
          </w:p>
        </w:tc>
        <w:tc>
          <w:tcPr/>
          <w:p>
            <w:pPr>
              <w:pStyle w:val="Compact"/>
              <w:jc w:val="left"/>
            </w:pPr>
            <w:r>
              <w:t xml:space="preserve">1,793.0</w:t>
            </w:r>
          </w:p>
        </w:tc>
        <w:tc>
          <w:tcPr/>
          <w:p>
            <w:pPr>
              <w:pStyle w:val="Compact"/>
              <w:jc w:val="left"/>
            </w:pPr>
            <w:r>
              <w:t xml:space="preserve">31,122.0</w:t>
            </w:r>
          </w:p>
        </w:tc>
        <w:tc>
          <w:tcPr/>
          <w:p>
            <w:pPr>
              <w:pStyle w:val="Compact"/>
              <w:jc w:val="left"/>
            </w:pPr>
            <w:r>
              <w:t xml:space="preserve">16.6</w:t>
            </w:r>
          </w:p>
        </w:tc>
        <w:tc>
          <w:tcPr/>
          <w:p>
            <w:pPr>
              <w:pStyle w:val="Compact"/>
              <w:jc w:val="left"/>
            </w:pPr>
            <w:r>
              <w:t xml:space="preserve">288.2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12TH AVE S AND S JACKSON ST</w:t>
            </w:r>
          </w:p>
        </w:tc>
        <w:tc>
          <w:tcPr/>
          <w:p>
            <w:pPr>
              <w:pStyle w:val="Compact"/>
              <w:jc w:val="right"/>
            </w:pPr>
            <w:r>
              <w:t xml:space="preserve">108</w:t>
            </w:r>
          </w:p>
        </w:tc>
        <w:tc>
          <w:tcPr/>
          <w:p>
            <w:pPr>
              <w:pStyle w:val="Compact"/>
              <w:jc w:val="left"/>
            </w:pPr>
            <w:r>
              <w:t xml:space="preserve">3,505.0</w:t>
            </w:r>
          </w:p>
        </w:tc>
        <w:tc>
          <w:tcPr/>
          <w:p>
            <w:pPr>
              <w:pStyle w:val="Compact"/>
              <w:jc w:val="left"/>
            </w:pPr>
            <w:r>
              <w:t xml:space="preserve">49,372.0</w:t>
            </w:r>
          </w:p>
        </w:tc>
        <w:tc>
          <w:tcPr/>
          <w:p>
            <w:pPr>
              <w:pStyle w:val="Compact"/>
              <w:jc w:val="left"/>
            </w:pPr>
            <w:r>
              <w:t xml:space="preserve">32.5</w:t>
            </w:r>
          </w:p>
        </w:tc>
        <w:tc>
          <w:tcPr/>
          <w:p>
            <w:pPr>
              <w:pStyle w:val="Compact"/>
              <w:jc w:val="left"/>
            </w:pPr>
            <w:r>
              <w:t xml:space="preserve">457.1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15TH AVE NW AND NW MARKET ST</w:t>
            </w:r>
          </w:p>
        </w:tc>
        <w:tc>
          <w:tcPr/>
          <w:p>
            <w:pPr>
              <w:pStyle w:val="Compact"/>
              <w:jc w:val="right"/>
            </w:pPr>
            <w:r>
              <w:t xml:space="preserve">108</w:t>
            </w:r>
          </w:p>
        </w:tc>
        <w:tc>
          <w:tcPr/>
          <w:p>
            <w:pPr>
              <w:pStyle w:val="Compact"/>
              <w:jc w:val="left"/>
            </w:pPr>
            <w:r>
              <w:t xml:space="preserve">253.0</w:t>
            </w:r>
          </w:p>
        </w:tc>
        <w:tc>
          <w:tcPr/>
          <w:p>
            <w:pPr>
              <w:pStyle w:val="Compact"/>
              <w:jc w:val="left"/>
            </w:pPr>
            <w:r>
              <w:t xml:space="preserve">44,306.0</w:t>
            </w:r>
          </w:p>
        </w:tc>
        <w:tc>
          <w:tcPr/>
          <w:p>
            <w:pPr>
              <w:pStyle w:val="Compact"/>
              <w:jc w:val="left"/>
            </w:pPr>
            <w:r>
              <w:t xml:space="preserve">2.3</w:t>
            </w:r>
          </w:p>
        </w:tc>
        <w:tc>
          <w:tcPr/>
          <w:p>
            <w:pPr>
              <w:pStyle w:val="Compact"/>
              <w:jc w:val="left"/>
            </w:pPr>
            <w:r>
              <w:t xml:space="preserve">410.2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15TH AVE W AND BALLARD BR</w:t>
            </w:r>
          </w:p>
        </w:tc>
        <w:tc>
          <w:tcPr/>
          <w:p>
            <w:pPr>
              <w:pStyle w:val="Compact"/>
              <w:jc w:val="right"/>
            </w:pPr>
            <w:r>
              <w:t xml:space="preserve">108</w:t>
            </w:r>
          </w:p>
        </w:tc>
        <w:tc>
          <w:tcPr/>
          <w:p>
            <w:pPr>
              <w:pStyle w:val="Compact"/>
              <w:jc w:val="left"/>
            </w:pPr>
            <w:r>
              <w:t xml:space="preserve">249.0</w:t>
            </w:r>
          </w:p>
        </w:tc>
        <w:tc>
          <w:tcPr/>
          <w:p>
            <w:pPr>
              <w:pStyle w:val="Compact"/>
              <w:jc w:val="left"/>
            </w:pPr>
            <w:r>
              <w:t xml:space="preserve">4,046.0</w:t>
            </w:r>
          </w:p>
        </w:tc>
        <w:tc>
          <w:tcPr/>
          <w:p>
            <w:pPr>
              <w:pStyle w:val="Compact"/>
              <w:jc w:val="left"/>
            </w:pPr>
            <w:r>
              <w:t xml:space="preserve">2.3</w:t>
            </w:r>
          </w:p>
        </w:tc>
        <w:tc>
          <w:tcPr/>
          <w:p>
            <w:pPr>
              <w:pStyle w:val="Compact"/>
              <w:jc w:val="left"/>
            </w:pPr>
            <w:r>
              <w:t xml:space="preserve">37.5</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1ST AVE S AND S JACKSON ST</w:t>
            </w:r>
          </w:p>
        </w:tc>
        <w:tc>
          <w:tcPr/>
          <w:p>
            <w:pPr>
              <w:pStyle w:val="Compact"/>
              <w:jc w:val="right"/>
            </w:pPr>
            <w:r>
              <w:t xml:space="preserve">108</w:t>
            </w:r>
          </w:p>
        </w:tc>
        <w:tc>
          <w:tcPr/>
          <w:p>
            <w:pPr>
              <w:pStyle w:val="Compact"/>
              <w:jc w:val="left"/>
            </w:pPr>
            <w:r>
              <w:t xml:space="preserve">2,347.0</w:t>
            </w:r>
          </w:p>
        </w:tc>
        <w:tc>
          <w:tcPr/>
          <w:p>
            <w:pPr>
              <w:pStyle w:val="Compact"/>
              <w:jc w:val="left"/>
            </w:pPr>
            <w:r>
              <w:t xml:space="preserve">39,967.0</w:t>
            </w:r>
          </w:p>
        </w:tc>
        <w:tc>
          <w:tcPr/>
          <w:p>
            <w:pPr>
              <w:pStyle w:val="Compact"/>
              <w:jc w:val="left"/>
            </w:pPr>
            <w:r>
              <w:t xml:space="preserve">21.7</w:t>
            </w:r>
          </w:p>
        </w:tc>
        <w:tc>
          <w:tcPr/>
          <w:p>
            <w:pPr>
              <w:pStyle w:val="Compact"/>
              <w:jc w:val="left"/>
            </w:pPr>
            <w:r>
              <w:t xml:space="preserve">370.1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1ST AVE S AND S LANDER ST</w:t>
            </w:r>
          </w:p>
        </w:tc>
        <w:tc>
          <w:tcPr/>
          <w:p>
            <w:pPr>
              <w:pStyle w:val="Compact"/>
              <w:jc w:val="right"/>
            </w:pPr>
            <w:r>
              <w:t xml:space="preserve">108</w:t>
            </w:r>
          </w:p>
        </w:tc>
        <w:tc>
          <w:tcPr/>
          <w:p>
            <w:pPr>
              <w:pStyle w:val="Compact"/>
              <w:jc w:val="left"/>
            </w:pPr>
            <w:r>
              <w:t xml:space="preserve">617.0</w:t>
            </w:r>
          </w:p>
        </w:tc>
        <w:tc>
          <w:tcPr/>
          <w:p>
            <w:pPr>
              <w:pStyle w:val="Compact"/>
              <w:jc w:val="left"/>
            </w:pPr>
            <w:r>
              <w:t xml:space="preserve">10,721.0</w:t>
            </w:r>
          </w:p>
        </w:tc>
        <w:tc>
          <w:tcPr/>
          <w:p>
            <w:pPr>
              <w:pStyle w:val="Compact"/>
              <w:jc w:val="left"/>
            </w:pPr>
            <w:r>
              <w:t xml:space="preserve">5.7</w:t>
            </w:r>
          </w:p>
        </w:tc>
        <w:tc>
          <w:tcPr/>
          <w:p>
            <w:pPr>
              <w:pStyle w:val="Compact"/>
              <w:jc w:val="left"/>
            </w:pPr>
            <w:r>
              <w:t xml:space="preserve">99.3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23RD AVE AND E UNION ST</w:t>
            </w:r>
          </w:p>
        </w:tc>
        <w:tc>
          <w:tcPr/>
          <w:p>
            <w:pPr>
              <w:pStyle w:val="Compact"/>
              <w:jc w:val="right"/>
            </w:pPr>
            <w:r>
              <w:t xml:space="preserve">108</w:t>
            </w:r>
          </w:p>
        </w:tc>
        <w:tc>
          <w:tcPr/>
          <w:p>
            <w:pPr>
              <w:pStyle w:val="Compact"/>
              <w:jc w:val="left"/>
            </w:pPr>
            <w:r>
              <w:t xml:space="preserve">1,661.0</w:t>
            </w:r>
          </w:p>
        </w:tc>
        <w:tc>
          <w:tcPr/>
          <w:p>
            <w:pPr>
              <w:pStyle w:val="Compact"/>
              <w:jc w:val="left"/>
            </w:pPr>
            <w:r>
              <w:t xml:space="preserve">22,367.0</w:t>
            </w:r>
          </w:p>
        </w:tc>
        <w:tc>
          <w:tcPr/>
          <w:p>
            <w:pPr>
              <w:pStyle w:val="Compact"/>
              <w:jc w:val="left"/>
            </w:pPr>
            <w:r>
              <w:t xml:space="preserve">15.4</w:t>
            </w:r>
          </w:p>
        </w:tc>
        <w:tc>
          <w:tcPr/>
          <w:p>
            <w:pPr>
              <w:pStyle w:val="Compact"/>
              <w:jc w:val="left"/>
            </w:pPr>
            <w:r>
              <w:t xml:space="preserve">207.1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24TH AVE NW AND NW MARKET ST</w:t>
            </w:r>
          </w:p>
        </w:tc>
        <w:tc>
          <w:tcPr/>
          <w:p>
            <w:pPr>
              <w:pStyle w:val="Compact"/>
              <w:jc w:val="right"/>
            </w:pPr>
            <w:r>
              <w:t xml:space="preserve">108</w:t>
            </w:r>
          </w:p>
        </w:tc>
        <w:tc>
          <w:tcPr/>
          <w:p>
            <w:pPr>
              <w:pStyle w:val="Compact"/>
              <w:jc w:val="left"/>
            </w:pPr>
            <w:r>
              <w:t xml:space="preserve">2,478.0</w:t>
            </w:r>
          </w:p>
        </w:tc>
        <w:tc>
          <w:tcPr/>
          <w:p>
            <w:pPr>
              <w:pStyle w:val="Compact"/>
              <w:jc w:val="left"/>
            </w:pPr>
            <w:r>
              <w:t xml:space="preserve">37,370.0</w:t>
            </w:r>
          </w:p>
        </w:tc>
        <w:tc>
          <w:tcPr/>
          <w:p>
            <w:pPr>
              <w:pStyle w:val="Compact"/>
              <w:jc w:val="left"/>
            </w:pPr>
            <w:r>
              <w:t xml:space="preserve">22.9</w:t>
            </w:r>
          </w:p>
        </w:tc>
        <w:tc>
          <w:tcPr/>
          <w:p>
            <w:pPr>
              <w:pStyle w:val="Compact"/>
              <w:jc w:val="left"/>
            </w:pPr>
            <w:r>
              <w:t xml:space="preserve">346.0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26TH AVE SW AND SW BARTON ST</w:t>
            </w:r>
          </w:p>
        </w:tc>
        <w:tc>
          <w:tcPr/>
          <w:p>
            <w:pPr>
              <w:pStyle w:val="Compact"/>
              <w:jc w:val="right"/>
            </w:pPr>
            <w:r>
              <w:t xml:space="preserve">108</w:t>
            </w:r>
          </w:p>
        </w:tc>
        <w:tc>
          <w:tcPr/>
          <w:p>
            <w:pPr>
              <w:pStyle w:val="Compact"/>
              <w:jc w:val="left"/>
            </w:pPr>
            <w:r>
              <w:t xml:space="preserve">226.0</w:t>
            </w:r>
          </w:p>
        </w:tc>
        <w:tc>
          <w:tcPr/>
          <w:p>
            <w:pPr>
              <w:pStyle w:val="Compact"/>
              <w:jc w:val="left"/>
            </w:pPr>
            <w:r>
              <w:t xml:space="preserve">8,234.0</w:t>
            </w:r>
          </w:p>
        </w:tc>
        <w:tc>
          <w:tcPr/>
          <w:p>
            <w:pPr>
              <w:pStyle w:val="Compact"/>
              <w:jc w:val="left"/>
            </w:pPr>
            <w:r>
              <w:t xml:space="preserve">2.1</w:t>
            </w:r>
          </w:p>
        </w:tc>
        <w:tc>
          <w:tcPr/>
          <w:p>
            <w:pPr>
              <w:pStyle w:val="Compact"/>
              <w:jc w:val="left"/>
            </w:pPr>
            <w:r>
              <w:t xml:space="preserve">76.2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32ND AVE NW AND NW 54TH ST</w:t>
            </w:r>
          </w:p>
        </w:tc>
        <w:tc>
          <w:tcPr/>
          <w:p>
            <w:pPr>
              <w:pStyle w:val="Compact"/>
              <w:jc w:val="right"/>
            </w:pPr>
            <w:r>
              <w:t xml:space="preserve">108</w:t>
            </w:r>
          </w:p>
        </w:tc>
        <w:tc>
          <w:tcPr/>
          <w:p>
            <w:pPr>
              <w:pStyle w:val="Compact"/>
              <w:jc w:val="left"/>
            </w:pPr>
            <w:r>
              <w:t xml:space="preserve">920.0</w:t>
            </w:r>
          </w:p>
        </w:tc>
        <w:tc>
          <w:tcPr/>
          <w:p>
            <w:pPr>
              <w:pStyle w:val="Compact"/>
              <w:jc w:val="left"/>
            </w:pPr>
            <w:r>
              <w:t xml:space="preserve">15,112.0</w:t>
            </w:r>
          </w:p>
        </w:tc>
        <w:tc>
          <w:tcPr/>
          <w:p>
            <w:pPr>
              <w:pStyle w:val="Compact"/>
              <w:jc w:val="left"/>
            </w:pPr>
            <w:r>
              <w:t xml:space="preserve">8.5</w:t>
            </w:r>
          </w:p>
        </w:tc>
        <w:tc>
          <w:tcPr/>
          <w:p>
            <w:pPr>
              <w:pStyle w:val="Compact"/>
              <w:jc w:val="left"/>
            </w:pPr>
            <w:r>
              <w:t xml:space="preserve">139.9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32ND AVE W AND W MCGRAW ST</w:t>
            </w:r>
          </w:p>
        </w:tc>
        <w:tc>
          <w:tcPr/>
          <w:p>
            <w:pPr>
              <w:pStyle w:val="Compact"/>
              <w:jc w:val="right"/>
            </w:pPr>
            <w:r>
              <w:t xml:space="preserve">106</w:t>
            </w:r>
          </w:p>
        </w:tc>
        <w:tc>
          <w:tcPr/>
          <w:p>
            <w:pPr>
              <w:pStyle w:val="Compact"/>
              <w:jc w:val="left"/>
            </w:pPr>
            <w:r>
              <w:t xml:space="preserve">487.0</w:t>
            </w:r>
          </w:p>
        </w:tc>
        <w:tc>
          <w:tcPr/>
          <w:p>
            <w:pPr>
              <w:pStyle w:val="Compact"/>
              <w:jc w:val="left"/>
            </w:pPr>
            <w:r>
              <w:t xml:space="preserve">22,148.0</w:t>
            </w:r>
          </w:p>
        </w:tc>
        <w:tc>
          <w:tcPr/>
          <w:p>
            <w:pPr>
              <w:pStyle w:val="Compact"/>
              <w:jc w:val="left"/>
            </w:pPr>
            <w:r>
              <w:t xml:space="preserve">4.6</w:t>
            </w:r>
          </w:p>
        </w:tc>
        <w:tc>
          <w:tcPr/>
          <w:p>
            <w:pPr>
              <w:pStyle w:val="Compact"/>
              <w:jc w:val="left"/>
            </w:pPr>
            <w:r>
              <w:t xml:space="preserve">208.9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35TH AVE SW AND SW AVALON WAY</w:t>
            </w:r>
          </w:p>
        </w:tc>
        <w:tc>
          <w:tcPr/>
          <w:p>
            <w:pPr>
              <w:pStyle w:val="Compact"/>
              <w:jc w:val="right"/>
            </w:pPr>
            <w:r>
              <w:t xml:space="preserve">108</w:t>
            </w:r>
          </w:p>
        </w:tc>
        <w:tc>
          <w:tcPr/>
          <w:p>
            <w:pPr>
              <w:pStyle w:val="Compact"/>
              <w:jc w:val="left"/>
            </w:pPr>
            <w:r>
              <w:t xml:space="preserve">2,029.0</w:t>
            </w:r>
          </w:p>
        </w:tc>
        <w:tc>
          <w:tcPr/>
          <w:p>
            <w:pPr>
              <w:pStyle w:val="Compact"/>
              <w:jc w:val="left"/>
            </w:pPr>
            <w:r>
              <w:t xml:space="preserve">12,141.0</w:t>
            </w:r>
          </w:p>
        </w:tc>
        <w:tc>
          <w:tcPr/>
          <w:p>
            <w:pPr>
              <w:pStyle w:val="Compact"/>
              <w:jc w:val="left"/>
            </w:pPr>
            <w:r>
              <w:t xml:space="preserve">18.8</w:t>
            </w:r>
          </w:p>
        </w:tc>
        <w:tc>
          <w:tcPr/>
          <w:p>
            <w:pPr>
              <w:pStyle w:val="Compact"/>
              <w:jc w:val="left"/>
            </w:pPr>
            <w:r>
              <w:t xml:space="preserve">112.4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5TH AVE AND STEWART ST</w:t>
            </w:r>
          </w:p>
        </w:tc>
        <w:tc>
          <w:tcPr/>
          <w:p>
            <w:pPr>
              <w:pStyle w:val="Compact"/>
              <w:jc w:val="right"/>
            </w:pPr>
            <w:r>
              <w:t xml:space="preserve">108</w:t>
            </w:r>
          </w:p>
        </w:tc>
        <w:tc>
          <w:tcPr/>
          <w:p>
            <w:pPr>
              <w:pStyle w:val="Compact"/>
              <w:jc w:val="left"/>
            </w:pPr>
            <w:r>
              <w:t xml:space="preserve">1,552.0</w:t>
            </w:r>
          </w:p>
        </w:tc>
        <w:tc>
          <w:tcPr/>
          <w:p>
            <w:pPr>
              <w:pStyle w:val="Compact"/>
              <w:jc w:val="left"/>
            </w:pPr>
            <w:r>
              <w:t xml:space="preserve">82,176.0</w:t>
            </w:r>
          </w:p>
        </w:tc>
        <w:tc>
          <w:tcPr/>
          <w:p>
            <w:pPr>
              <w:pStyle w:val="Compact"/>
              <w:jc w:val="left"/>
            </w:pPr>
            <w:r>
              <w:t xml:space="preserve">14.4</w:t>
            </w:r>
          </w:p>
        </w:tc>
        <w:tc>
          <w:tcPr/>
          <w:p>
            <w:pPr>
              <w:pStyle w:val="Compact"/>
              <w:jc w:val="left"/>
            </w:pPr>
            <w:r>
              <w:t xml:space="preserve">760.9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5TH AVE NE AND NE NORTHGATE WAY</w:t>
            </w:r>
          </w:p>
        </w:tc>
        <w:tc>
          <w:tcPr/>
          <w:p>
            <w:pPr>
              <w:pStyle w:val="Compact"/>
              <w:jc w:val="right"/>
            </w:pPr>
            <w:r>
              <w:t xml:space="preserve">108</w:t>
            </w:r>
          </w:p>
        </w:tc>
        <w:tc>
          <w:tcPr/>
          <w:p>
            <w:pPr>
              <w:pStyle w:val="Compact"/>
              <w:jc w:val="left"/>
            </w:pPr>
            <w:r>
              <w:t xml:space="preserve">228.0</w:t>
            </w:r>
          </w:p>
        </w:tc>
        <w:tc>
          <w:tcPr/>
          <w:p>
            <w:pPr>
              <w:pStyle w:val="Compact"/>
              <w:jc w:val="left"/>
            </w:pPr>
            <w:r>
              <w:t xml:space="preserve">27,124.0</w:t>
            </w:r>
          </w:p>
        </w:tc>
        <w:tc>
          <w:tcPr/>
          <w:p>
            <w:pPr>
              <w:pStyle w:val="Compact"/>
              <w:jc w:val="left"/>
            </w:pPr>
            <w:r>
              <w:t xml:space="preserve">2.1</w:t>
            </w:r>
          </w:p>
        </w:tc>
        <w:tc>
          <w:tcPr/>
          <w:p>
            <w:pPr>
              <w:pStyle w:val="Compact"/>
              <w:jc w:val="left"/>
            </w:pPr>
            <w:r>
              <w:t xml:space="preserve">251.1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6TH AVE AND MADISON ST</w:t>
            </w:r>
          </w:p>
        </w:tc>
        <w:tc>
          <w:tcPr/>
          <w:p>
            <w:pPr>
              <w:pStyle w:val="Compact"/>
              <w:jc w:val="right"/>
            </w:pPr>
            <w:r>
              <w:t xml:space="preserve">108</w:t>
            </w:r>
          </w:p>
        </w:tc>
        <w:tc>
          <w:tcPr/>
          <w:p>
            <w:pPr>
              <w:pStyle w:val="Compact"/>
              <w:jc w:val="left"/>
            </w:pPr>
            <w:r>
              <w:t xml:space="preserve">488.0</w:t>
            </w:r>
          </w:p>
        </w:tc>
        <w:tc>
          <w:tcPr/>
          <w:p>
            <w:pPr>
              <w:pStyle w:val="Compact"/>
              <w:jc w:val="left"/>
            </w:pPr>
            <w:r>
              <w:t xml:space="preserve">23,366.0</w:t>
            </w:r>
          </w:p>
        </w:tc>
        <w:tc>
          <w:tcPr/>
          <w:p>
            <w:pPr>
              <w:pStyle w:val="Compact"/>
              <w:jc w:val="left"/>
            </w:pPr>
            <w:r>
              <w:t xml:space="preserve">4.5</w:t>
            </w:r>
          </w:p>
        </w:tc>
        <w:tc>
          <w:tcPr/>
          <w:p>
            <w:pPr>
              <w:pStyle w:val="Compact"/>
              <w:jc w:val="left"/>
            </w:pPr>
            <w:r>
              <w:t xml:space="preserve">216.4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7TH AVE S AND S JACKSON ST</w:t>
            </w:r>
          </w:p>
        </w:tc>
        <w:tc>
          <w:tcPr/>
          <w:p>
            <w:pPr>
              <w:pStyle w:val="Compact"/>
              <w:jc w:val="right"/>
            </w:pPr>
            <w:r>
              <w:t xml:space="preserve">108</w:t>
            </w:r>
          </w:p>
        </w:tc>
        <w:tc>
          <w:tcPr/>
          <w:p>
            <w:pPr>
              <w:pStyle w:val="Compact"/>
              <w:jc w:val="left"/>
            </w:pPr>
            <w:r>
              <w:t xml:space="preserve">2,502.0</w:t>
            </w:r>
          </w:p>
        </w:tc>
        <w:tc>
          <w:tcPr/>
          <w:p>
            <w:pPr>
              <w:pStyle w:val="Compact"/>
              <w:jc w:val="left"/>
            </w:pPr>
            <w:r>
              <w:t xml:space="preserve">25,280.0</w:t>
            </w:r>
          </w:p>
        </w:tc>
        <w:tc>
          <w:tcPr/>
          <w:p>
            <w:pPr>
              <w:pStyle w:val="Compact"/>
              <w:jc w:val="left"/>
            </w:pPr>
            <w:r>
              <w:t xml:space="preserve">23.2</w:t>
            </w:r>
          </w:p>
        </w:tc>
        <w:tc>
          <w:tcPr/>
          <w:p>
            <w:pPr>
              <w:pStyle w:val="Compact"/>
              <w:jc w:val="left"/>
            </w:pPr>
            <w:r>
              <w:t xml:space="preserve">234.1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8TH AVE S AND S CLOVERDALE ST</w:t>
            </w:r>
          </w:p>
        </w:tc>
        <w:tc>
          <w:tcPr/>
          <w:p>
            <w:pPr>
              <w:pStyle w:val="Compact"/>
              <w:jc w:val="right"/>
            </w:pPr>
            <w:r>
              <w:t xml:space="preserve">108</w:t>
            </w:r>
          </w:p>
        </w:tc>
        <w:tc>
          <w:tcPr/>
          <w:p>
            <w:pPr>
              <w:pStyle w:val="Compact"/>
              <w:jc w:val="left"/>
            </w:pPr>
            <w:r>
              <w:t xml:space="preserve">617.0</w:t>
            </w:r>
          </w:p>
        </w:tc>
        <w:tc>
          <w:tcPr/>
          <w:p>
            <w:pPr>
              <w:pStyle w:val="Compact"/>
              <w:jc w:val="left"/>
            </w:pPr>
            <w:r>
              <w:t xml:space="preserve">3,700.0</w:t>
            </w:r>
          </w:p>
        </w:tc>
        <w:tc>
          <w:tcPr/>
          <w:p>
            <w:pPr>
              <w:pStyle w:val="Compact"/>
              <w:jc w:val="left"/>
            </w:pPr>
            <w:r>
              <w:t xml:space="preserve">5.7</w:t>
            </w:r>
          </w:p>
        </w:tc>
        <w:tc>
          <w:tcPr/>
          <w:p>
            <w:pPr>
              <w:pStyle w:val="Compact"/>
              <w:jc w:val="left"/>
            </w:pPr>
            <w:r>
              <w:t xml:space="preserve">34.3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8TH AVE S AND S DEARBORN ST</w:t>
            </w:r>
          </w:p>
        </w:tc>
        <w:tc>
          <w:tcPr/>
          <w:p>
            <w:pPr>
              <w:pStyle w:val="Compact"/>
              <w:jc w:val="right"/>
            </w:pPr>
            <w:r>
              <w:t xml:space="preserve">108</w:t>
            </w:r>
          </w:p>
        </w:tc>
        <w:tc>
          <w:tcPr/>
          <w:p>
            <w:pPr>
              <w:pStyle w:val="Compact"/>
              <w:jc w:val="left"/>
            </w:pPr>
            <w:r>
              <w:t xml:space="preserve">1,477.0</w:t>
            </w:r>
          </w:p>
        </w:tc>
        <w:tc>
          <w:tcPr/>
          <w:p>
            <w:pPr>
              <w:pStyle w:val="Compact"/>
              <w:jc w:val="left"/>
            </w:pPr>
            <w:r>
              <w:t xml:space="preserve">5,318.0</w:t>
            </w:r>
          </w:p>
        </w:tc>
        <w:tc>
          <w:tcPr/>
          <w:p>
            <w:pPr>
              <w:pStyle w:val="Compact"/>
              <w:jc w:val="left"/>
            </w:pPr>
            <w:r>
              <w:t xml:space="preserve">13.7</w:t>
            </w:r>
          </w:p>
        </w:tc>
        <w:tc>
          <w:tcPr/>
          <w:p>
            <w:pPr>
              <w:pStyle w:val="Compact"/>
              <w:jc w:val="left"/>
            </w:pPr>
            <w:r>
              <w:t xml:space="preserve">49.2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9TH AVE N AND MERCER SR ST</w:t>
            </w:r>
          </w:p>
        </w:tc>
        <w:tc>
          <w:tcPr/>
          <w:p>
            <w:pPr>
              <w:pStyle w:val="Compact"/>
              <w:jc w:val="right"/>
            </w:pPr>
            <w:r>
              <w:t xml:space="preserve">104</w:t>
            </w:r>
          </w:p>
        </w:tc>
        <w:tc>
          <w:tcPr/>
          <w:p>
            <w:pPr>
              <w:pStyle w:val="Compact"/>
              <w:jc w:val="left"/>
            </w:pPr>
            <w:r>
              <w:t xml:space="preserve">5,431.0</w:t>
            </w:r>
          </w:p>
        </w:tc>
        <w:tc>
          <w:tcPr/>
          <w:p>
            <w:pPr>
              <w:pStyle w:val="Compact"/>
              <w:jc w:val="left"/>
            </w:pPr>
            <w:r>
              <w:t xml:space="preserve">20,670.0</w:t>
            </w:r>
          </w:p>
        </w:tc>
        <w:tc>
          <w:tcPr/>
          <w:p>
            <w:pPr>
              <w:pStyle w:val="Compact"/>
              <w:jc w:val="left"/>
            </w:pPr>
            <w:r>
              <w:t xml:space="preserve">52.2</w:t>
            </w:r>
          </w:p>
        </w:tc>
        <w:tc>
          <w:tcPr/>
          <w:p>
            <w:pPr>
              <w:pStyle w:val="Compact"/>
              <w:jc w:val="left"/>
            </w:pPr>
            <w:r>
              <w:t xml:space="preserve">198.8</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AIRPORT WAY S AND S VALE ST</w:t>
            </w:r>
          </w:p>
        </w:tc>
        <w:tc>
          <w:tcPr/>
          <w:p>
            <w:pPr>
              <w:pStyle w:val="Compact"/>
              <w:jc w:val="right"/>
            </w:pPr>
            <w:r>
              <w:t xml:space="preserve">108</w:t>
            </w:r>
          </w:p>
        </w:tc>
        <w:tc>
          <w:tcPr/>
          <w:p>
            <w:pPr>
              <w:pStyle w:val="Compact"/>
              <w:jc w:val="left"/>
            </w:pPr>
            <w:r>
              <w:t xml:space="preserve">527.0</w:t>
            </w:r>
          </w:p>
        </w:tc>
        <w:tc>
          <w:tcPr/>
          <w:p>
            <w:pPr>
              <w:pStyle w:val="Compact"/>
              <w:jc w:val="left"/>
            </w:pPr>
            <w:r>
              <w:t xml:space="preserve">7,555.0</w:t>
            </w:r>
          </w:p>
        </w:tc>
        <w:tc>
          <w:tcPr/>
          <w:p>
            <w:pPr>
              <w:pStyle w:val="Compact"/>
              <w:jc w:val="left"/>
            </w:pPr>
            <w:r>
              <w:t xml:space="preserve">4.9</w:t>
            </w:r>
          </w:p>
        </w:tc>
        <w:tc>
          <w:tcPr/>
          <w:p>
            <w:pPr>
              <w:pStyle w:val="Compact"/>
              <w:jc w:val="left"/>
            </w:pPr>
            <w:r>
              <w:t xml:space="preserve">70.0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ALASKAN WAY AND BROAD ST</w:t>
            </w:r>
          </w:p>
        </w:tc>
        <w:tc>
          <w:tcPr/>
          <w:p>
            <w:pPr>
              <w:pStyle w:val="Compact"/>
              <w:jc w:val="right"/>
            </w:pPr>
            <w:r>
              <w:t xml:space="preserve">108</w:t>
            </w:r>
          </w:p>
        </w:tc>
        <w:tc>
          <w:tcPr/>
          <w:p>
            <w:pPr>
              <w:pStyle w:val="Compact"/>
              <w:jc w:val="left"/>
            </w:pPr>
            <w:r>
              <w:t xml:space="preserve">5,776.0</w:t>
            </w:r>
          </w:p>
        </w:tc>
        <w:tc>
          <w:tcPr/>
          <w:p>
            <w:pPr>
              <w:pStyle w:val="Compact"/>
              <w:jc w:val="left"/>
            </w:pPr>
            <w:r>
              <w:t xml:space="preserve">32,154.0</w:t>
            </w:r>
          </w:p>
        </w:tc>
        <w:tc>
          <w:tcPr/>
          <w:p>
            <w:pPr>
              <w:pStyle w:val="Compact"/>
              <w:jc w:val="left"/>
            </w:pPr>
            <w:r>
              <w:t xml:space="preserve">53.5</w:t>
            </w:r>
          </w:p>
        </w:tc>
        <w:tc>
          <w:tcPr/>
          <w:p>
            <w:pPr>
              <w:pStyle w:val="Compact"/>
              <w:jc w:val="left"/>
            </w:pPr>
            <w:r>
              <w:t xml:space="preserve">297.7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ALASKAN WAY AND COLUMBIA ST</w:t>
            </w:r>
          </w:p>
        </w:tc>
        <w:tc>
          <w:tcPr/>
          <w:p>
            <w:pPr>
              <w:pStyle w:val="Compact"/>
              <w:jc w:val="right"/>
            </w:pPr>
            <w:r>
              <w:t xml:space="preserve">102</w:t>
            </w:r>
          </w:p>
        </w:tc>
        <w:tc>
          <w:tcPr/>
          <w:p>
            <w:pPr>
              <w:pStyle w:val="Compact"/>
              <w:jc w:val="left"/>
            </w:pPr>
            <w:r>
              <w:t xml:space="preserve">3,061.0</w:t>
            </w:r>
          </w:p>
        </w:tc>
        <w:tc>
          <w:tcPr/>
          <w:p>
            <w:pPr>
              <w:pStyle w:val="Compact"/>
              <w:jc w:val="left"/>
            </w:pPr>
            <w:r>
              <w:t xml:space="preserve">25,817.0</w:t>
            </w:r>
          </w:p>
        </w:tc>
        <w:tc>
          <w:tcPr/>
          <w:p>
            <w:pPr>
              <w:pStyle w:val="Compact"/>
              <w:jc w:val="left"/>
            </w:pPr>
            <w:r>
              <w:t xml:space="preserve">30.0</w:t>
            </w:r>
          </w:p>
        </w:tc>
        <w:tc>
          <w:tcPr/>
          <w:p>
            <w:pPr>
              <w:pStyle w:val="Compact"/>
              <w:jc w:val="left"/>
            </w:pPr>
            <w:r>
              <w:t xml:space="preserve">253.1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BEACON AVE S AND S LANDER ST</w:t>
            </w:r>
          </w:p>
        </w:tc>
        <w:tc>
          <w:tcPr/>
          <w:p>
            <w:pPr>
              <w:pStyle w:val="Compact"/>
              <w:jc w:val="right"/>
            </w:pPr>
            <w:r>
              <w:t xml:space="preserve">108</w:t>
            </w:r>
          </w:p>
        </w:tc>
        <w:tc>
          <w:tcPr/>
          <w:p>
            <w:pPr>
              <w:pStyle w:val="Compact"/>
              <w:jc w:val="left"/>
            </w:pPr>
            <w:r>
              <w:t xml:space="preserve">1,150.0</w:t>
            </w:r>
          </w:p>
        </w:tc>
        <w:tc>
          <w:tcPr/>
          <w:p>
            <w:pPr>
              <w:pStyle w:val="Compact"/>
              <w:jc w:val="left"/>
            </w:pPr>
            <w:r>
              <w:t xml:space="preserve">22,634.0</w:t>
            </w:r>
          </w:p>
        </w:tc>
        <w:tc>
          <w:tcPr/>
          <w:p>
            <w:pPr>
              <w:pStyle w:val="Compact"/>
              <w:jc w:val="left"/>
            </w:pPr>
            <w:r>
              <w:t xml:space="preserve">10.6</w:t>
            </w:r>
          </w:p>
        </w:tc>
        <w:tc>
          <w:tcPr/>
          <w:p>
            <w:pPr>
              <w:pStyle w:val="Compact"/>
              <w:jc w:val="left"/>
            </w:pPr>
            <w:r>
              <w:t xml:space="preserve">209.6</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BOREN AVE AND PINE ST</w:t>
            </w:r>
          </w:p>
        </w:tc>
        <w:tc>
          <w:tcPr/>
          <w:p>
            <w:pPr>
              <w:pStyle w:val="Compact"/>
              <w:jc w:val="right"/>
            </w:pPr>
            <w:r>
              <w:t xml:space="preserve">108</w:t>
            </w:r>
          </w:p>
        </w:tc>
        <w:tc>
          <w:tcPr/>
          <w:p>
            <w:pPr>
              <w:pStyle w:val="Compact"/>
              <w:jc w:val="left"/>
            </w:pPr>
            <w:r>
              <w:t xml:space="preserve">3,914.0</w:t>
            </w:r>
          </w:p>
        </w:tc>
        <w:tc>
          <w:tcPr/>
          <w:p>
            <w:pPr>
              <w:pStyle w:val="Compact"/>
              <w:jc w:val="left"/>
            </w:pPr>
            <w:r>
              <w:t xml:space="preserve">43,796.0</w:t>
            </w:r>
          </w:p>
        </w:tc>
        <w:tc>
          <w:tcPr/>
          <w:p>
            <w:pPr>
              <w:pStyle w:val="Compact"/>
              <w:jc w:val="left"/>
            </w:pPr>
            <w:r>
              <w:t xml:space="preserve">36.2</w:t>
            </w:r>
          </w:p>
        </w:tc>
        <w:tc>
          <w:tcPr/>
          <w:p>
            <w:pPr>
              <w:pStyle w:val="Compact"/>
              <w:jc w:val="left"/>
            </w:pPr>
            <w:r>
              <w:t xml:space="preserve">405.5</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BOSTON ST AND QUEEN ANNE AVE N</w:t>
            </w:r>
          </w:p>
        </w:tc>
        <w:tc>
          <w:tcPr/>
          <w:p>
            <w:pPr>
              <w:pStyle w:val="Compact"/>
              <w:jc w:val="right"/>
            </w:pPr>
            <w:r>
              <w:t xml:space="preserve">104</w:t>
            </w:r>
          </w:p>
        </w:tc>
        <w:tc>
          <w:tcPr/>
          <w:p>
            <w:pPr>
              <w:pStyle w:val="Compact"/>
              <w:jc w:val="left"/>
            </w:pPr>
            <w:r>
              <w:t xml:space="preserve">686.0</w:t>
            </w:r>
          </w:p>
        </w:tc>
        <w:tc>
          <w:tcPr/>
          <w:p>
            <w:pPr>
              <w:pStyle w:val="Compact"/>
              <w:jc w:val="left"/>
            </w:pPr>
            <w:r>
              <w:t xml:space="preserve">47,237.0</w:t>
            </w:r>
          </w:p>
        </w:tc>
        <w:tc>
          <w:tcPr/>
          <w:p>
            <w:pPr>
              <w:pStyle w:val="Compact"/>
              <w:jc w:val="left"/>
            </w:pPr>
            <w:r>
              <w:t xml:space="preserve">6.6</w:t>
            </w:r>
          </w:p>
        </w:tc>
        <w:tc>
          <w:tcPr/>
          <w:p>
            <w:pPr>
              <w:pStyle w:val="Compact"/>
              <w:jc w:val="left"/>
            </w:pPr>
            <w:r>
              <w:t xml:space="preserve">454.2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BROAD ST AND VALLEY ST</w:t>
            </w:r>
          </w:p>
        </w:tc>
        <w:tc>
          <w:tcPr/>
          <w:p>
            <w:pPr>
              <w:pStyle w:val="Compact"/>
              <w:jc w:val="right"/>
            </w:pPr>
            <w:r>
              <w:t xml:space="preserve">106</w:t>
            </w:r>
          </w:p>
        </w:tc>
        <w:tc>
          <w:tcPr/>
          <w:p>
            <w:pPr>
              <w:pStyle w:val="Compact"/>
              <w:jc w:val="left"/>
            </w:pPr>
            <w:r>
              <w:t xml:space="preserve">2,332.0</w:t>
            </w:r>
          </w:p>
        </w:tc>
        <w:tc>
          <w:tcPr/>
          <w:p>
            <w:pPr>
              <w:pStyle w:val="Compact"/>
              <w:jc w:val="left"/>
            </w:pPr>
            <w:r>
              <w:t xml:space="preserve">31,691.0</w:t>
            </w:r>
          </w:p>
        </w:tc>
        <w:tc>
          <w:tcPr/>
          <w:p>
            <w:pPr>
              <w:pStyle w:val="Compact"/>
              <w:jc w:val="left"/>
            </w:pPr>
            <w:r>
              <w:t xml:space="preserve">22.0</w:t>
            </w:r>
          </w:p>
        </w:tc>
        <w:tc>
          <w:tcPr/>
          <w:p>
            <w:pPr>
              <w:pStyle w:val="Compact"/>
              <w:jc w:val="left"/>
            </w:pPr>
            <w:r>
              <w:t xml:space="preserve">299.0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BROADWAY AND E PINE ST</w:t>
            </w:r>
          </w:p>
        </w:tc>
        <w:tc>
          <w:tcPr/>
          <w:p>
            <w:pPr>
              <w:pStyle w:val="Compact"/>
              <w:jc w:val="right"/>
            </w:pPr>
            <w:r>
              <w:t xml:space="preserve">108</w:t>
            </w:r>
          </w:p>
        </w:tc>
        <w:tc>
          <w:tcPr/>
          <w:p>
            <w:pPr>
              <w:pStyle w:val="Compact"/>
              <w:jc w:val="left"/>
            </w:pPr>
            <w:r>
              <w:t xml:space="preserve">5,108.0</w:t>
            </w:r>
          </w:p>
        </w:tc>
        <w:tc>
          <w:tcPr/>
          <w:p>
            <w:pPr>
              <w:pStyle w:val="Compact"/>
              <w:jc w:val="left"/>
            </w:pPr>
            <w:r>
              <w:t xml:space="preserve">102,787.0</w:t>
            </w:r>
          </w:p>
        </w:tc>
        <w:tc>
          <w:tcPr/>
          <w:p>
            <w:pPr>
              <w:pStyle w:val="Compact"/>
              <w:jc w:val="left"/>
            </w:pPr>
            <w:r>
              <w:t xml:space="preserve">47.3</w:t>
            </w:r>
          </w:p>
        </w:tc>
        <w:tc>
          <w:tcPr/>
          <w:p>
            <w:pPr>
              <w:pStyle w:val="Compact"/>
              <w:jc w:val="left"/>
            </w:pPr>
            <w:r>
              <w:t xml:space="preserve">951.7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BROADWAY E AND E OLIVE WAY</w:t>
            </w:r>
          </w:p>
        </w:tc>
        <w:tc>
          <w:tcPr/>
          <w:p>
            <w:pPr>
              <w:pStyle w:val="Compact"/>
              <w:jc w:val="right"/>
            </w:pPr>
            <w:r>
              <w:t xml:space="preserve">106</w:t>
            </w:r>
          </w:p>
        </w:tc>
        <w:tc>
          <w:tcPr/>
          <w:p>
            <w:pPr>
              <w:pStyle w:val="Compact"/>
              <w:jc w:val="left"/>
            </w:pPr>
            <w:r>
              <w:t xml:space="preserve">2,408.0</w:t>
            </w:r>
          </w:p>
        </w:tc>
        <w:tc>
          <w:tcPr/>
          <w:p>
            <w:pPr>
              <w:pStyle w:val="Compact"/>
              <w:jc w:val="left"/>
            </w:pPr>
            <w:r>
              <w:t xml:space="preserve">134,418.0</w:t>
            </w:r>
          </w:p>
        </w:tc>
        <w:tc>
          <w:tcPr/>
          <w:p>
            <w:pPr>
              <w:pStyle w:val="Compact"/>
              <w:jc w:val="left"/>
            </w:pPr>
            <w:r>
              <w:t xml:space="preserve">22.7</w:t>
            </w:r>
          </w:p>
        </w:tc>
        <w:tc>
          <w:tcPr/>
          <w:p>
            <w:pPr>
              <w:pStyle w:val="Compact"/>
              <w:jc w:val="left"/>
            </w:pPr>
            <w:r>
              <w:t xml:space="preserve">1,268.1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BROOKLYN AVE NE AND NE 45TH ST</w:t>
            </w:r>
          </w:p>
        </w:tc>
        <w:tc>
          <w:tcPr/>
          <w:p>
            <w:pPr>
              <w:pStyle w:val="Compact"/>
              <w:jc w:val="right"/>
            </w:pPr>
            <w:r>
              <w:t xml:space="preserve">108</w:t>
            </w:r>
          </w:p>
        </w:tc>
        <w:tc>
          <w:tcPr/>
          <w:p>
            <w:pPr>
              <w:pStyle w:val="Compact"/>
              <w:jc w:val="left"/>
            </w:pPr>
            <w:r>
              <w:t xml:space="preserve">1,133.0</w:t>
            </w:r>
          </w:p>
        </w:tc>
        <w:tc>
          <w:tcPr/>
          <w:p>
            <w:pPr>
              <w:pStyle w:val="Compact"/>
              <w:jc w:val="left"/>
            </w:pPr>
            <w:r>
              <w:t xml:space="preserve">53,149.0</w:t>
            </w:r>
          </w:p>
        </w:tc>
        <w:tc>
          <w:tcPr/>
          <w:p>
            <w:pPr>
              <w:pStyle w:val="Compact"/>
              <w:jc w:val="left"/>
            </w:pPr>
            <w:r>
              <w:t xml:space="preserve">10.5</w:t>
            </w:r>
          </w:p>
        </w:tc>
        <w:tc>
          <w:tcPr/>
          <w:p>
            <w:pPr>
              <w:pStyle w:val="Compact"/>
              <w:jc w:val="left"/>
            </w:pPr>
            <w:r>
              <w:t xml:space="preserve">492.1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CALIFORNIA AVE SW AND FAUNTLEROY WAY SW</w:t>
            </w:r>
          </w:p>
        </w:tc>
        <w:tc>
          <w:tcPr/>
          <w:p>
            <w:pPr>
              <w:pStyle w:val="Compact"/>
              <w:jc w:val="right"/>
            </w:pPr>
            <w:r>
              <w:t xml:space="preserve">108</w:t>
            </w:r>
          </w:p>
        </w:tc>
        <w:tc>
          <w:tcPr/>
          <w:p>
            <w:pPr>
              <w:pStyle w:val="Compact"/>
              <w:jc w:val="left"/>
            </w:pPr>
            <w:r>
              <w:t xml:space="preserve">950.0</w:t>
            </w:r>
          </w:p>
        </w:tc>
        <w:tc>
          <w:tcPr/>
          <w:p>
            <w:pPr>
              <w:pStyle w:val="Compact"/>
              <w:jc w:val="left"/>
            </w:pPr>
            <w:r>
              <w:t xml:space="preserve">14,614.0</w:t>
            </w:r>
          </w:p>
        </w:tc>
        <w:tc>
          <w:tcPr/>
          <w:p>
            <w:pPr>
              <w:pStyle w:val="Compact"/>
              <w:jc w:val="left"/>
            </w:pPr>
            <w:r>
              <w:t xml:space="preserve">8.8</w:t>
            </w:r>
          </w:p>
        </w:tc>
        <w:tc>
          <w:tcPr/>
          <w:p>
            <w:pPr>
              <w:pStyle w:val="Compact"/>
              <w:jc w:val="left"/>
            </w:pPr>
            <w:r>
              <w:t xml:space="preserve">135.3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CALIFORNIA AVE SW AND SW ALASKA ST</w:t>
            </w:r>
          </w:p>
        </w:tc>
        <w:tc>
          <w:tcPr/>
          <w:p>
            <w:pPr>
              <w:pStyle w:val="Compact"/>
              <w:jc w:val="right"/>
            </w:pPr>
            <w:r>
              <w:t xml:space="preserve">108</w:t>
            </w:r>
          </w:p>
        </w:tc>
        <w:tc>
          <w:tcPr/>
          <w:p>
            <w:pPr>
              <w:pStyle w:val="Compact"/>
              <w:jc w:val="left"/>
            </w:pPr>
            <w:r>
              <w:t xml:space="preserve">802.0</w:t>
            </w:r>
          </w:p>
        </w:tc>
        <w:tc>
          <w:tcPr/>
          <w:p>
            <w:pPr>
              <w:pStyle w:val="Compact"/>
              <w:jc w:val="left"/>
            </w:pPr>
            <w:r>
              <w:t xml:space="preserve">54,691.0</w:t>
            </w:r>
          </w:p>
        </w:tc>
        <w:tc>
          <w:tcPr/>
          <w:p>
            <w:pPr>
              <w:pStyle w:val="Compact"/>
              <w:jc w:val="left"/>
            </w:pPr>
            <w:r>
              <w:t xml:space="preserve">7.4</w:t>
            </w:r>
          </w:p>
        </w:tc>
        <w:tc>
          <w:tcPr/>
          <w:p>
            <w:pPr>
              <w:pStyle w:val="Compact"/>
              <w:jc w:val="left"/>
            </w:pPr>
            <w:r>
              <w:t xml:space="preserve">506.4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DENNY WAY AND DEXTER AVE</w:t>
            </w:r>
          </w:p>
        </w:tc>
        <w:tc>
          <w:tcPr/>
          <w:p>
            <w:pPr>
              <w:pStyle w:val="Compact"/>
              <w:jc w:val="right"/>
            </w:pPr>
            <w:r>
              <w:t xml:space="preserve">108</w:t>
            </w:r>
          </w:p>
        </w:tc>
        <w:tc>
          <w:tcPr/>
          <w:p>
            <w:pPr>
              <w:pStyle w:val="Compact"/>
              <w:jc w:val="left"/>
            </w:pPr>
            <w:r>
              <w:t xml:space="preserve">5,286.0</w:t>
            </w:r>
          </w:p>
        </w:tc>
        <w:tc>
          <w:tcPr/>
          <w:p>
            <w:pPr>
              <w:pStyle w:val="Compact"/>
              <w:jc w:val="left"/>
            </w:pPr>
            <w:r>
              <w:t xml:space="preserve">50,152.0</w:t>
            </w:r>
          </w:p>
        </w:tc>
        <w:tc>
          <w:tcPr/>
          <w:p>
            <w:pPr>
              <w:pStyle w:val="Compact"/>
              <w:jc w:val="left"/>
            </w:pPr>
            <w:r>
              <w:t xml:space="preserve">48.9</w:t>
            </w:r>
          </w:p>
        </w:tc>
        <w:tc>
          <w:tcPr/>
          <w:p>
            <w:pPr>
              <w:pStyle w:val="Compact"/>
              <w:jc w:val="left"/>
            </w:pPr>
            <w:r>
              <w:t xml:space="preserve">464.4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EAST GREEN LAKE DR N AND NE RAVENNA EB BV</w:t>
            </w:r>
          </w:p>
        </w:tc>
        <w:tc>
          <w:tcPr/>
          <w:p>
            <w:pPr>
              <w:pStyle w:val="Compact"/>
              <w:jc w:val="right"/>
            </w:pPr>
            <w:r>
              <w:t xml:space="preserve">108</w:t>
            </w:r>
          </w:p>
        </w:tc>
        <w:tc>
          <w:tcPr/>
          <w:p>
            <w:pPr>
              <w:pStyle w:val="Compact"/>
              <w:jc w:val="left"/>
            </w:pPr>
            <w:r>
              <w:t xml:space="preserve">4,609.0</w:t>
            </w:r>
          </w:p>
        </w:tc>
        <w:tc>
          <w:tcPr/>
          <w:p>
            <w:pPr>
              <w:pStyle w:val="Compact"/>
              <w:jc w:val="left"/>
            </w:pPr>
            <w:r>
              <w:t xml:space="preserve">46,378.0</w:t>
            </w:r>
          </w:p>
        </w:tc>
        <w:tc>
          <w:tcPr/>
          <w:p>
            <w:pPr>
              <w:pStyle w:val="Compact"/>
              <w:jc w:val="left"/>
            </w:pPr>
            <w:r>
              <w:t xml:space="preserve">42.7</w:t>
            </w:r>
          </w:p>
        </w:tc>
        <w:tc>
          <w:tcPr/>
          <w:p>
            <w:pPr>
              <w:pStyle w:val="Compact"/>
              <w:jc w:val="left"/>
            </w:pPr>
            <w:r>
              <w:t xml:space="preserve">429.4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EAST MARGINAL WAY S AND S HANFORD ST</w:t>
            </w:r>
          </w:p>
        </w:tc>
        <w:tc>
          <w:tcPr/>
          <w:p>
            <w:pPr>
              <w:pStyle w:val="Compact"/>
              <w:jc w:val="right"/>
            </w:pPr>
            <w:r>
              <w:t xml:space="preserve">108</w:t>
            </w:r>
          </w:p>
        </w:tc>
        <w:tc>
          <w:tcPr/>
          <w:p>
            <w:pPr>
              <w:pStyle w:val="Compact"/>
              <w:jc w:val="left"/>
            </w:pPr>
            <w:r>
              <w:t xml:space="preserve">5,813.0</w:t>
            </w:r>
          </w:p>
        </w:tc>
        <w:tc>
          <w:tcPr/>
          <w:p>
            <w:pPr>
              <w:pStyle w:val="Compact"/>
              <w:jc w:val="left"/>
            </w:pPr>
            <w:r>
              <w:t xml:space="preserve">958.0</w:t>
            </w:r>
          </w:p>
        </w:tc>
        <w:tc>
          <w:tcPr/>
          <w:p>
            <w:pPr>
              <w:pStyle w:val="Compact"/>
              <w:jc w:val="left"/>
            </w:pPr>
            <w:r>
              <w:t xml:space="preserve">53.8</w:t>
            </w:r>
          </w:p>
        </w:tc>
        <w:tc>
          <w:tcPr/>
          <w:p>
            <w:pPr>
              <w:pStyle w:val="Compact"/>
              <w:jc w:val="left"/>
            </w:pPr>
            <w:r>
              <w:t xml:space="preserve">8.9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EASTLAKE AVE E AND FUHRMAN AVE E</w:t>
            </w:r>
          </w:p>
        </w:tc>
        <w:tc>
          <w:tcPr/>
          <w:p>
            <w:pPr>
              <w:pStyle w:val="Compact"/>
              <w:jc w:val="right"/>
            </w:pPr>
            <w:r>
              <w:t xml:space="preserve">108</w:t>
            </w:r>
          </w:p>
        </w:tc>
        <w:tc>
          <w:tcPr/>
          <w:p>
            <w:pPr>
              <w:pStyle w:val="Compact"/>
              <w:jc w:val="left"/>
            </w:pPr>
            <w:r>
              <w:t xml:space="preserve">9,226.0</w:t>
            </w:r>
          </w:p>
        </w:tc>
        <w:tc>
          <w:tcPr/>
          <w:p>
            <w:pPr>
              <w:pStyle w:val="Compact"/>
              <w:jc w:val="left"/>
            </w:pPr>
            <w:r>
              <w:t xml:space="preserve">13,178.0</w:t>
            </w:r>
          </w:p>
        </w:tc>
        <w:tc>
          <w:tcPr/>
          <w:p>
            <w:pPr>
              <w:pStyle w:val="Compact"/>
              <w:jc w:val="left"/>
            </w:pPr>
            <w:r>
              <w:t xml:space="preserve">85.4</w:t>
            </w:r>
          </w:p>
        </w:tc>
        <w:tc>
          <w:tcPr/>
          <w:p>
            <w:pPr>
              <w:pStyle w:val="Compact"/>
              <w:jc w:val="left"/>
            </w:pPr>
            <w:r>
              <w:t xml:space="preserve">122.0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FAIRVIEW AVE N AND MERCER ST</w:t>
            </w:r>
          </w:p>
        </w:tc>
        <w:tc>
          <w:tcPr/>
          <w:p>
            <w:pPr>
              <w:pStyle w:val="Compact"/>
              <w:jc w:val="right"/>
            </w:pPr>
            <w:r>
              <w:t xml:space="preserve">72</w:t>
            </w:r>
          </w:p>
        </w:tc>
        <w:tc>
          <w:tcPr/>
          <w:p>
            <w:pPr>
              <w:pStyle w:val="Compact"/>
              <w:jc w:val="left"/>
            </w:pPr>
            <w:r>
              <w:t xml:space="preserve">344.0</w:t>
            </w:r>
          </w:p>
        </w:tc>
        <w:tc>
          <w:tcPr/>
          <w:p>
            <w:pPr>
              <w:pStyle w:val="Compact"/>
              <w:jc w:val="left"/>
            </w:pPr>
            <w:r>
              <w:t xml:space="preserve">9,102.0</w:t>
            </w:r>
          </w:p>
        </w:tc>
        <w:tc>
          <w:tcPr/>
          <w:p>
            <w:pPr>
              <w:pStyle w:val="Compact"/>
              <w:jc w:val="left"/>
            </w:pPr>
            <w:r>
              <w:t xml:space="preserve">4.8</w:t>
            </w:r>
          </w:p>
        </w:tc>
        <w:tc>
          <w:tcPr/>
          <w:p>
            <w:pPr>
              <w:pStyle w:val="Compact"/>
              <w:jc w:val="left"/>
            </w:pPr>
            <w:r>
              <w:t xml:space="preserve">126.4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FAIRVIEW AVE N AND VALLEY ST</w:t>
            </w:r>
          </w:p>
        </w:tc>
        <w:tc>
          <w:tcPr/>
          <w:p>
            <w:pPr>
              <w:pStyle w:val="Compact"/>
              <w:jc w:val="right"/>
            </w:pPr>
            <w:r>
              <w:t xml:space="preserve">108</w:t>
            </w:r>
          </w:p>
        </w:tc>
        <w:tc>
          <w:tcPr/>
          <w:p>
            <w:pPr>
              <w:pStyle w:val="Compact"/>
              <w:jc w:val="left"/>
            </w:pPr>
            <w:r>
              <w:t xml:space="preserve">2,086.0</w:t>
            </w:r>
          </w:p>
        </w:tc>
        <w:tc>
          <w:tcPr/>
          <w:p>
            <w:pPr>
              <w:pStyle w:val="Compact"/>
              <w:jc w:val="left"/>
            </w:pPr>
            <w:r>
              <w:t xml:space="preserve">12,224.0</w:t>
            </w:r>
          </w:p>
        </w:tc>
        <w:tc>
          <w:tcPr/>
          <w:p>
            <w:pPr>
              <w:pStyle w:val="Compact"/>
              <w:jc w:val="left"/>
            </w:pPr>
            <w:r>
              <w:t xml:space="preserve">19.3</w:t>
            </w:r>
          </w:p>
        </w:tc>
        <w:tc>
          <w:tcPr/>
          <w:p>
            <w:pPr>
              <w:pStyle w:val="Compact"/>
              <w:jc w:val="left"/>
            </w:pPr>
            <w:r>
              <w:t xml:space="preserve">113.2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FAUNTLEROY WAY SW AND SW CLOVERDALE ST</w:t>
            </w:r>
          </w:p>
        </w:tc>
        <w:tc>
          <w:tcPr/>
          <w:p>
            <w:pPr>
              <w:pStyle w:val="Compact"/>
              <w:jc w:val="right"/>
            </w:pPr>
            <w:r>
              <w:t xml:space="preserve">106</w:t>
            </w:r>
          </w:p>
        </w:tc>
        <w:tc>
          <w:tcPr/>
          <w:p>
            <w:pPr>
              <w:pStyle w:val="Compact"/>
              <w:jc w:val="left"/>
            </w:pPr>
            <w:r>
              <w:t xml:space="preserve">984.0</w:t>
            </w:r>
          </w:p>
        </w:tc>
        <w:tc>
          <w:tcPr/>
          <w:p>
            <w:pPr>
              <w:pStyle w:val="Compact"/>
              <w:jc w:val="left"/>
            </w:pPr>
            <w:r>
              <w:t xml:space="preserve">5,070.0</w:t>
            </w:r>
          </w:p>
        </w:tc>
        <w:tc>
          <w:tcPr/>
          <w:p>
            <w:pPr>
              <w:pStyle w:val="Compact"/>
              <w:jc w:val="left"/>
            </w:pPr>
            <w:r>
              <w:t xml:space="preserve">9.3</w:t>
            </w:r>
          </w:p>
        </w:tc>
        <w:tc>
          <w:tcPr/>
          <w:p>
            <w:pPr>
              <w:pStyle w:val="Compact"/>
              <w:jc w:val="left"/>
            </w:pPr>
            <w:r>
              <w:t xml:space="preserve">47.8</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FREMONT AVE N AND N 34TH ST</w:t>
            </w:r>
          </w:p>
        </w:tc>
        <w:tc>
          <w:tcPr/>
          <w:p>
            <w:pPr>
              <w:pStyle w:val="Compact"/>
              <w:jc w:val="right"/>
            </w:pPr>
            <w:r>
              <w:t xml:space="preserve">108</w:t>
            </w:r>
          </w:p>
        </w:tc>
        <w:tc>
          <w:tcPr/>
          <w:p>
            <w:pPr>
              <w:pStyle w:val="Compact"/>
              <w:jc w:val="left"/>
            </w:pPr>
            <w:r>
              <w:t xml:space="preserve">15,517.0</w:t>
            </w:r>
          </w:p>
        </w:tc>
        <w:tc>
          <w:tcPr/>
          <w:p>
            <w:pPr>
              <w:pStyle w:val="Compact"/>
              <w:jc w:val="left"/>
            </w:pPr>
            <w:r>
              <w:t xml:space="preserve">47,402.0</w:t>
            </w:r>
          </w:p>
        </w:tc>
        <w:tc>
          <w:tcPr/>
          <w:p>
            <w:pPr>
              <w:pStyle w:val="Compact"/>
              <w:jc w:val="left"/>
            </w:pPr>
            <w:r>
              <w:t xml:space="preserve">143.7</w:t>
            </w:r>
          </w:p>
        </w:tc>
        <w:tc>
          <w:tcPr/>
          <w:p>
            <w:pPr>
              <w:pStyle w:val="Compact"/>
              <w:jc w:val="left"/>
            </w:pPr>
            <w:r>
              <w:t xml:space="preserve">438.9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GREENWOOD AVE N AND N 85TH ST</w:t>
            </w:r>
          </w:p>
        </w:tc>
        <w:tc>
          <w:tcPr/>
          <w:p>
            <w:pPr>
              <w:pStyle w:val="Compact"/>
              <w:jc w:val="right"/>
            </w:pPr>
            <w:r>
              <w:t xml:space="preserve">108</w:t>
            </w:r>
          </w:p>
        </w:tc>
        <w:tc>
          <w:tcPr/>
          <w:p>
            <w:pPr>
              <w:pStyle w:val="Compact"/>
              <w:jc w:val="left"/>
            </w:pPr>
            <w:r>
              <w:t xml:space="preserve">1,026.0</w:t>
            </w:r>
          </w:p>
        </w:tc>
        <w:tc>
          <w:tcPr/>
          <w:p>
            <w:pPr>
              <w:pStyle w:val="Compact"/>
              <w:jc w:val="left"/>
            </w:pPr>
            <w:r>
              <w:t xml:space="preserve">25,046.0</w:t>
            </w:r>
          </w:p>
        </w:tc>
        <w:tc>
          <w:tcPr/>
          <w:p>
            <w:pPr>
              <w:pStyle w:val="Compact"/>
              <w:jc w:val="left"/>
            </w:pPr>
            <w:r>
              <w:t xml:space="preserve">9.5</w:t>
            </w:r>
          </w:p>
        </w:tc>
        <w:tc>
          <w:tcPr/>
          <w:p>
            <w:pPr>
              <w:pStyle w:val="Compact"/>
              <w:jc w:val="left"/>
            </w:pPr>
            <w:r>
              <w:t xml:space="preserve">231.9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LAKE CITY WAY NE AND NE 125TH ST</w:t>
            </w:r>
          </w:p>
        </w:tc>
        <w:tc>
          <w:tcPr/>
          <w:p>
            <w:pPr>
              <w:pStyle w:val="Compact"/>
              <w:jc w:val="right"/>
            </w:pPr>
            <w:r>
              <w:t xml:space="preserve">108</w:t>
            </w:r>
          </w:p>
        </w:tc>
        <w:tc>
          <w:tcPr/>
          <w:p>
            <w:pPr>
              <w:pStyle w:val="Compact"/>
              <w:jc w:val="left"/>
            </w:pPr>
            <w:r>
              <w:t xml:space="preserve">379.0</w:t>
            </w:r>
          </w:p>
        </w:tc>
        <w:tc>
          <w:tcPr/>
          <w:p>
            <w:pPr>
              <w:pStyle w:val="Compact"/>
              <w:jc w:val="left"/>
            </w:pPr>
            <w:r>
              <w:t xml:space="preserve">21,253.0</w:t>
            </w:r>
          </w:p>
        </w:tc>
        <w:tc>
          <w:tcPr/>
          <w:p>
            <w:pPr>
              <w:pStyle w:val="Compact"/>
              <w:jc w:val="left"/>
            </w:pPr>
            <w:r>
              <w:t xml:space="preserve">3.5</w:t>
            </w:r>
          </w:p>
        </w:tc>
        <w:tc>
          <w:tcPr/>
          <w:p>
            <w:pPr>
              <w:pStyle w:val="Compact"/>
              <w:jc w:val="left"/>
            </w:pPr>
            <w:r>
              <w:t xml:space="preserve">196.8</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LINDEN AVE N AND N 130TH ST</w:t>
            </w:r>
          </w:p>
        </w:tc>
        <w:tc>
          <w:tcPr/>
          <w:p>
            <w:pPr>
              <w:pStyle w:val="Compact"/>
              <w:jc w:val="right"/>
            </w:pPr>
            <w:r>
              <w:t xml:space="preserve">110</w:t>
            </w:r>
          </w:p>
        </w:tc>
        <w:tc>
          <w:tcPr/>
          <w:p>
            <w:pPr>
              <w:pStyle w:val="Compact"/>
              <w:jc w:val="left"/>
            </w:pPr>
            <w:r>
              <w:t xml:space="preserve">2,881.0</w:t>
            </w:r>
          </w:p>
        </w:tc>
        <w:tc>
          <w:tcPr/>
          <w:p>
            <w:pPr>
              <w:pStyle w:val="Compact"/>
              <w:jc w:val="left"/>
            </w:pPr>
            <w:r>
              <w:t xml:space="preserve">6,885.0</w:t>
            </w:r>
          </w:p>
        </w:tc>
        <w:tc>
          <w:tcPr/>
          <w:p>
            <w:pPr>
              <w:pStyle w:val="Compact"/>
              <w:jc w:val="left"/>
            </w:pPr>
            <w:r>
              <w:t xml:space="preserve">26.2</w:t>
            </w:r>
          </w:p>
        </w:tc>
        <w:tc>
          <w:tcPr/>
          <w:p>
            <w:pPr>
              <w:pStyle w:val="Compact"/>
              <w:jc w:val="left"/>
            </w:pPr>
            <w:r>
              <w:t xml:space="preserve">62.6</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 L KING JR WAY S AND RAINIER AVE S</w:t>
            </w:r>
          </w:p>
        </w:tc>
        <w:tc>
          <w:tcPr/>
          <w:p>
            <w:pPr>
              <w:pStyle w:val="Compact"/>
              <w:jc w:val="right"/>
            </w:pPr>
            <w:r>
              <w:t xml:space="preserve">108</w:t>
            </w:r>
          </w:p>
        </w:tc>
        <w:tc>
          <w:tcPr/>
          <w:p>
            <w:pPr>
              <w:pStyle w:val="Compact"/>
              <w:jc w:val="left"/>
            </w:pPr>
            <w:r>
              <w:t xml:space="preserve">197.0</w:t>
            </w:r>
          </w:p>
        </w:tc>
        <w:tc>
          <w:tcPr/>
          <w:p>
            <w:pPr>
              <w:pStyle w:val="Compact"/>
              <w:jc w:val="left"/>
            </w:pPr>
            <w:r>
              <w:t xml:space="preserve">8,066.0</w:t>
            </w:r>
          </w:p>
        </w:tc>
        <w:tc>
          <w:tcPr/>
          <w:p>
            <w:pPr>
              <w:pStyle w:val="Compact"/>
              <w:jc w:val="left"/>
            </w:pPr>
            <w:r>
              <w:t xml:space="preserve">1.8</w:t>
            </w:r>
          </w:p>
        </w:tc>
        <w:tc>
          <w:tcPr/>
          <w:p>
            <w:pPr>
              <w:pStyle w:val="Compact"/>
              <w:jc w:val="left"/>
            </w:pPr>
            <w:r>
              <w:t xml:space="preserve">74.7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 L KING JR WR WAY S AND S ALASKA ST</w:t>
            </w:r>
          </w:p>
        </w:tc>
        <w:tc>
          <w:tcPr/>
          <w:p>
            <w:pPr>
              <w:pStyle w:val="Compact"/>
              <w:jc w:val="right"/>
            </w:pPr>
            <w:r>
              <w:t xml:space="preserve">108</w:t>
            </w:r>
          </w:p>
        </w:tc>
        <w:tc>
          <w:tcPr/>
          <w:p>
            <w:pPr>
              <w:pStyle w:val="Compact"/>
              <w:jc w:val="left"/>
            </w:pPr>
            <w:r>
              <w:t xml:space="preserve">399.0</w:t>
            </w:r>
          </w:p>
        </w:tc>
        <w:tc>
          <w:tcPr/>
          <w:p>
            <w:pPr>
              <w:pStyle w:val="Compact"/>
              <w:jc w:val="left"/>
            </w:pPr>
            <w:r>
              <w:t xml:space="preserve">13,837.0</w:t>
            </w:r>
          </w:p>
        </w:tc>
        <w:tc>
          <w:tcPr/>
          <w:p>
            <w:pPr>
              <w:pStyle w:val="Compact"/>
              <w:jc w:val="left"/>
            </w:pPr>
            <w:r>
              <w:t xml:space="preserve">3.7</w:t>
            </w:r>
          </w:p>
        </w:tc>
        <w:tc>
          <w:tcPr/>
          <w:p>
            <w:pPr>
              <w:pStyle w:val="Compact"/>
              <w:jc w:val="left"/>
            </w:pPr>
            <w:r>
              <w:t xml:space="preserve">128.1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 L KING JR WR WAY S AND S OTHELLO ST</w:t>
            </w:r>
          </w:p>
        </w:tc>
        <w:tc>
          <w:tcPr/>
          <w:p>
            <w:pPr>
              <w:pStyle w:val="Compact"/>
              <w:jc w:val="right"/>
            </w:pPr>
            <w:r>
              <w:t xml:space="preserve">108</w:t>
            </w:r>
          </w:p>
        </w:tc>
        <w:tc>
          <w:tcPr/>
          <w:p>
            <w:pPr>
              <w:pStyle w:val="Compact"/>
              <w:jc w:val="left"/>
            </w:pPr>
            <w:r>
              <w:t xml:space="preserve">289.0</w:t>
            </w:r>
          </w:p>
        </w:tc>
        <w:tc>
          <w:tcPr/>
          <w:p>
            <w:pPr>
              <w:pStyle w:val="Compact"/>
              <w:jc w:val="left"/>
            </w:pPr>
            <w:r>
              <w:t xml:space="preserve">29,229.0</w:t>
            </w:r>
          </w:p>
        </w:tc>
        <w:tc>
          <w:tcPr/>
          <w:p>
            <w:pPr>
              <w:pStyle w:val="Compact"/>
              <w:jc w:val="left"/>
            </w:pPr>
            <w:r>
              <w:t xml:space="preserve">2.7</w:t>
            </w:r>
          </w:p>
        </w:tc>
        <w:tc>
          <w:tcPr/>
          <w:p>
            <w:pPr>
              <w:pStyle w:val="Compact"/>
              <w:jc w:val="left"/>
            </w:pPr>
            <w:r>
              <w:t xml:space="preserve">270.6</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MONTLAKE BLVD NE AND NE PACIFIC ST</w:t>
            </w:r>
          </w:p>
        </w:tc>
        <w:tc>
          <w:tcPr/>
          <w:p>
            <w:pPr>
              <w:pStyle w:val="Compact"/>
              <w:jc w:val="right"/>
            </w:pPr>
            <w:r>
              <w:t xml:space="preserve">108</w:t>
            </w:r>
          </w:p>
        </w:tc>
        <w:tc>
          <w:tcPr/>
          <w:p>
            <w:pPr>
              <w:pStyle w:val="Compact"/>
              <w:jc w:val="left"/>
            </w:pPr>
            <w:r>
              <w:t xml:space="preserve">467.0</w:t>
            </w:r>
          </w:p>
        </w:tc>
        <w:tc>
          <w:tcPr/>
          <w:p>
            <w:pPr>
              <w:pStyle w:val="Compact"/>
              <w:jc w:val="left"/>
            </w:pPr>
            <w:r>
              <w:t xml:space="preserve">74,707.0</w:t>
            </w:r>
          </w:p>
        </w:tc>
        <w:tc>
          <w:tcPr/>
          <w:p>
            <w:pPr>
              <w:pStyle w:val="Compact"/>
              <w:jc w:val="left"/>
            </w:pPr>
            <w:r>
              <w:t xml:space="preserve">4.3</w:t>
            </w:r>
          </w:p>
        </w:tc>
        <w:tc>
          <w:tcPr/>
          <w:p>
            <w:pPr>
              <w:pStyle w:val="Compact"/>
              <w:jc w:val="left"/>
            </w:pPr>
            <w:r>
              <w:t xml:space="preserve">691.7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RAINIER AVE S AND S HENDERSON ST</w:t>
            </w:r>
          </w:p>
        </w:tc>
        <w:tc>
          <w:tcPr/>
          <w:p>
            <w:pPr>
              <w:pStyle w:val="Compact"/>
              <w:jc w:val="right"/>
            </w:pPr>
            <w:r>
              <w:t xml:space="preserve">108</w:t>
            </w:r>
          </w:p>
        </w:tc>
        <w:tc>
          <w:tcPr/>
          <w:p>
            <w:pPr>
              <w:pStyle w:val="Compact"/>
              <w:jc w:val="left"/>
            </w:pPr>
            <w:r>
              <w:t xml:space="preserve">352.0</w:t>
            </w:r>
          </w:p>
        </w:tc>
        <w:tc>
          <w:tcPr/>
          <w:p>
            <w:pPr>
              <w:pStyle w:val="Compact"/>
              <w:jc w:val="left"/>
            </w:pPr>
            <w:r>
              <w:t xml:space="preserve">11,694.0</w:t>
            </w:r>
          </w:p>
        </w:tc>
        <w:tc>
          <w:tcPr/>
          <w:p>
            <w:pPr>
              <w:pStyle w:val="Compact"/>
              <w:jc w:val="left"/>
            </w:pPr>
            <w:r>
              <w:t xml:space="preserve">3.3</w:t>
            </w:r>
          </w:p>
        </w:tc>
        <w:tc>
          <w:tcPr/>
          <w:p>
            <w:pPr>
              <w:pStyle w:val="Compact"/>
              <w:jc w:val="left"/>
            </w:pPr>
            <w:r>
              <w:t xml:space="preserve">108.3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SAND POINT WAY NE AND NE 65TH ST</w:t>
            </w:r>
          </w:p>
        </w:tc>
        <w:tc>
          <w:tcPr/>
          <w:p>
            <w:pPr>
              <w:pStyle w:val="Compact"/>
              <w:jc w:val="right"/>
            </w:pPr>
            <w:r>
              <w:t xml:space="preserve">108</w:t>
            </w:r>
          </w:p>
        </w:tc>
        <w:tc>
          <w:tcPr/>
          <w:p>
            <w:pPr>
              <w:pStyle w:val="Compact"/>
              <w:jc w:val="left"/>
            </w:pPr>
            <w:r>
              <w:t xml:space="preserve">903.0</w:t>
            </w:r>
          </w:p>
        </w:tc>
        <w:tc>
          <w:tcPr/>
          <w:p>
            <w:pPr>
              <w:pStyle w:val="Compact"/>
              <w:jc w:val="left"/>
            </w:pPr>
            <w:r>
              <w:t xml:space="preserve">6,909.0</w:t>
            </w:r>
          </w:p>
        </w:tc>
        <w:tc>
          <w:tcPr/>
          <w:p>
            <w:pPr>
              <w:pStyle w:val="Compact"/>
              <w:jc w:val="left"/>
            </w:pPr>
            <w:r>
              <w:t xml:space="preserve">8.4</w:t>
            </w:r>
          </w:p>
        </w:tc>
        <w:tc>
          <w:tcPr/>
          <w:p>
            <w:pPr>
              <w:pStyle w:val="Compact"/>
              <w:jc w:val="left"/>
            </w:pPr>
            <w:r>
              <w:t xml:space="preserve">64.0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STONE WAY N AND N 45TH ST</w:t>
            </w:r>
          </w:p>
        </w:tc>
        <w:tc>
          <w:tcPr/>
          <w:p>
            <w:pPr>
              <w:pStyle w:val="Compact"/>
              <w:jc w:val="right"/>
            </w:pPr>
            <w:r>
              <w:t xml:space="preserve">108</w:t>
            </w:r>
          </w:p>
        </w:tc>
        <w:tc>
          <w:tcPr/>
          <w:p>
            <w:pPr>
              <w:pStyle w:val="Compact"/>
              <w:jc w:val="left"/>
            </w:pPr>
            <w:r>
              <w:t xml:space="preserve">3,945.0</w:t>
            </w:r>
          </w:p>
        </w:tc>
        <w:tc>
          <w:tcPr/>
          <w:p>
            <w:pPr>
              <w:pStyle w:val="Compact"/>
              <w:jc w:val="left"/>
            </w:pPr>
            <w:r>
              <w:t xml:space="preserve">22,790.0</w:t>
            </w:r>
          </w:p>
        </w:tc>
        <w:tc>
          <w:tcPr/>
          <w:p>
            <w:pPr>
              <w:pStyle w:val="Compact"/>
              <w:jc w:val="left"/>
            </w:pPr>
            <w:r>
              <w:t xml:space="preserve">36.5</w:t>
            </w:r>
          </w:p>
        </w:tc>
        <w:tc>
          <w:tcPr/>
          <w:p>
            <w:pPr>
              <w:pStyle w:val="Compact"/>
              <w:jc w:val="left"/>
            </w:pPr>
            <w:r>
              <w:t xml:space="preserve">211.0</w:t>
            </w:r>
          </w:p>
        </w:tc>
        <w:tc>
          <w:tcPr/>
          <w:p>
            <w:pPr>
              <w:pStyle w:val="Compact"/>
              <w:jc w:val="right"/>
            </w:pPr>
            <w:r>
              <w:t xml:space="preserve">2018</w:t>
            </w:r>
          </w:p>
        </w:tc>
        <w:tc>
          <w:tcPr/>
          <w:p>
            <w:pPr>
              <w:pStyle w:val="Compact"/>
              <w:jc w:val="right"/>
            </w:pPr>
            <w:r>
              <w:t xml:space="preserve">2022</w:t>
            </w:r>
          </w:p>
        </w:tc>
      </w:tr>
    </w:tbl>
    <w:bookmarkEnd w:id="29"/>
    <w:bookmarkEnd w:id="30"/>
    <w:bookmarkEnd w:id="31"/>
    <w:bookmarkEnd w:id="32"/>
    <w:bookmarkStart w:id="33" w:name="hin-intro"/>
    <w:p>
      <w:pPr>
        <w:pStyle w:val="Heading1"/>
      </w:pPr>
      <w:r>
        <w:t xml:space="preserve">4. HIN Intro</w:t>
      </w:r>
    </w:p>
    <w:p>
      <w:pPr>
        <w:pStyle w:val="FirstParagraph"/>
      </w:pPr>
      <w:r>
        <w:t xml:space="preserve">There are many established ways to examine crashes to better understand traffic safety patterns. Hotspot analyses have long been used to address high crash locations by retrospectively identifying the greatest concentrations of reported crashes over a determined period of time. Hotspot analysis is a valuable method to visualize locations with historic crash issues, but it is less effective at identifying locations with latent crash risk factors. In this way, it can be described as reactive. Additionally, hotspots may be less effective for analyzing bicyclist safety if crash frequencies are low due to geographic sparsity, which can exacerbate issues related to regression to the mean. Conversely, a systemic analysis is effective for identifying roadways with risk factors for crashes, independent from their crash history. For example, a wide arterial with a 45-mph posted speed limit, high traffic volumes, no bike facility, and few trip-attracting land uses may not have any reported bike crashes. However, the roadway and operational characteristics of that arterial are associated with higher bicycle crash risk. The absence of crashes is therefore not a reflection of low crash risk, but a reflection of lack of exposure that hotspot analyses cannot adequately convey. Systemic analysis is largely proactive; it allows planners and engineers to find locations that may warrant safety improvements before crashes have occurred there.</w:t>
      </w:r>
    </w:p>
    <w:p>
      <w:pPr>
        <w:pStyle w:val="BodyText"/>
      </w:pPr>
      <w:r>
        <w:t xml:space="preserve">High injury networks strike a balance between entirely retrospective and entirely proactive methods. Using spatial patterns of crash history, a High Injury Network identifies areas on the road network where crashes have been concentrated in sequence. A stretch of arterial roadway with crashes occurring at every other intersection might not show up on a traditional hotspot analysis because no one location has multiple crashes happening in the same place. However, the pattern of crashes all along the corridor suggests a larger safety issue. Further, the entire corridor likely shares similar characteristics that could be addressed systemically – even the intersections along the corridor that have not yet had crashes.</w:t>
      </w:r>
    </w:p>
    <w:p>
      <w:pPr>
        <w:pStyle w:val="BodyText"/>
      </w:pPr>
      <w:r>
        <w:t xml:space="preserve">This section describes the development of a statewide High Injury Network and the results of the related High Injury Network analysis. The High Injury Network was built from a standard sliding windows analysis, which measures severity-weighted crash density by mode along segments on the network.</w:t>
      </w:r>
    </w:p>
    <w:bookmarkEnd w:id="33"/>
    <w:bookmarkStart w:id="47" w:name="intro-and-purpose"/>
    <w:p>
      <w:pPr>
        <w:pStyle w:val="Heading1"/>
      </w:pPr>
      <w:r>
        <w:t xml:space="preserve">5. Intro and Purpose</w:t>
      </w:r>
    </w:p>
    <w:p>
      <w:pPr>
        <w:pStyle w:val="FirstParagraph"/>
      </w:pPr>
      <w:r>
        <w:t xml:space="preserve">The Bipartisan Infrastructure Law (BIL), passed in 2021, created a new requirement for state departments of transportation to conduct a Vulnerable Road User Safety Assessment (VRUSA) every five years. Anchored in the Safe System Approach (SSA), this assessment must use a data-driven process to identify high-risk areas and incorporate equity and demographics into the analysis. Official guidance around the VRUSA recommends the use of a High Injury Network, predictive analysis, and/or systemic analysis to identify high-risk areas</w:t>
      </w:r>
      <w:r>
        <w:rPr>
          <w:rStyle w:val="FootnoteReference"/>
        </w:rPr>
        <w:footnoteReference w:id="34"/>
      </w:r>
      <w:r>
        <w:t xml:space="preserve">.</w:t>
      </w:r>
    </w:p>
    <w:p>
      <w:pPr>
        <w:pStyle w:val="BodyText"/>
      </w:pPr>
      <w:r>
        <w:t xml:space="preserve">To improve the safety of vulnerable road users in the state of Minnesota and partially satisfy the new VRUSA requirements, the Minnesota Department of Transportation’s (MnDOT) Office of Traffic Engineering (OTE) commissioned a Vulnerable Road User Safety Assessment in 2022, including the development of a High Injury Network for the state and a study of bicycling crashes from 2016-2019 in urban and rural areas within the state. The initial VRUSA built upon a recently-completed study of pedestrian safety in the state. The resulting VRUSA report captured trends and risk factors related to crashes involving bicyclists, pedestrians, and other vulnerable road users using personal conveyances across the state to direct infrastructure improvements and safety countermeasures, especially those that reduce crashes that result in cyclists’ serious injury or death. This report builds on the prior VRUSA and safety work and updates the vulnerable road user safety analysis through:</w:t>
      </w:r>
    </w:p>
    <w:p>
      <w:pPr>
        <w:numPr>
          <w:ilvl w:val="0"/>
          <w:numId w:val="1001"/>
        </w:numPr>
        <w:pStyle w:val="Compact"/>
      </w:pPr>
      <w:r>
        <w:t xml:space="preserve">a descriptive safety analysis of more recent crash data</w:t>
      </w:r>
    </w:p>
    <w:p>
      <w:pPr>
        <w:numPr>
          <w:ilvl w:val="0"/>
          <w:numId w:val="1001"/>
        </w:numPr>
        <w:pStyle w:val="Compact"/>
      </w:pPr>
      <w:r>
        <w:t xml:space="preserve">a Statewide High Injury Network, which was built on xxxxxx bicyclist, pedestrian, and other vulnerable road user crashes from 2018-2022</w:t>
      </w:r>
    </w:p>
    <w:p>
      <w:pPr>
        <w:numPr>
          <w:ilvl w:val="0"/>
          <w:numId w:val="1001"/>
        </w:numPr>
        <w:pStyle w:val="Compact"/>
      </w:pPr>
      <w:r>
        <w:t xml:space="preserve">integration of this updated VRUSA into the 2025-2029 SHSP</w:t>
      </w:r>
    </w:p>
    <w:p>
      <w:pPr>
        <w:pStyle w:val="FirstParagraph"/>
      </w:pPr>
      <w:r>
        <w:t xml:space="preserve">This report focuses on vulnerable road user crashes, paralleling the 2021 Minnesota Statewide Pedestrian Safety Analysis</w:t>
      </w:r>
      <w:r>
        <w:rPr>
          <w:rStyle w:val="FootnoteReference"/>
        </w:rPr>
        <w:footnoteReference w:id="36"/>
      </w:r>
      <w:r>
        <w:t xml:space="preserve"> </w:t>
      </w:r>
      <w:r>
        <w:t xml:space="preserve">and the 2022 Minnesota Vulnerable Road User Safety Assessment</w:t>
      </w:r>
      <w:r>
        <w:rPr>
          <w:rStyle w:val="FootnoteReference"/>
        </w:rPr>
        <w:footnoteReference w:id="38"/>
      </w:r>
      <w:r>
        <w:t xml:space="preserve">. While bicyclists and pedestrians are different roadway users, use different infrastructure in many places, and have both overlapping and distinct safety concerns, both are vulnerable roadway users who are disproportionately killed and seriously injured in the transportation system. Often, bicycle and pedestrian countermeasures are planned and implemented in tandem, and an understanding of bicycle and pedestrian crash trends needs to inform these processes. Collectively, the 2021 Minnesota Statewide Pedestrian Safety Analysis, the 2022 VRUSA, and the current VRUSA update (including the development of a High Injury Network for vulnerable road users) constitute a robust, data-driven process for identifying higher-risk areas in the transportation system.</w:t>
      </w:r>
    </w:p>
    <w:p>
      <w:pPr>
        <w:pStyle w:val="BodyText"/>
      </w:pPr>
      <w:r>
        <w:t xml:space="preserve">This report follows the methodology of the initial Minnesota Vulnerable Road User Safety Assessment. For the descriptive and systemic analyses, VRU crashes from 2018-2022 are conflated with roadway and environmental characteristics to create a dataset for analysis,including variables about injury severity, lighting, roadway functional classification, development intensity, Suitability of Pedestrian and Cyclist Environment (SPACE) scores and related factors, and bicycle infrastructure. Given data limitations, some of the detailed analysis focuses only on MnDOT’s trunk highway network.</w:t>
      </w:r>
    </w:p>
    <w:p>
      <w:pPr>
        <w:pStyle w:val="BodyText"/>
      </w:pPr>
      <w:r>
        <w:t xml:space="preserve">This report also presents a statewide High Injury Network, which uses a standard sliding window analysis to measure severity-weighted crash density by mode. The HIN section of the analysis includes all vulnerable road users: bicyclists, pedestrians, and other personal conveyances.</w:t>
      </w:r>
    </w:p>
    <w:p>
      <w:pPr>
        <w:pStyle w:val="BodyText"/>
      </w:pPr>
      <w:r>
        <w:t xml:space="preserve">The rest of the report is structured as follows: First, an overview of the crash data is presented, followed by descriptive and systemic analyses. The descriptive analyses present trends among crash and temporal variables. The systemic analysis presents the High Injury Network.</w:t>
      </w:r>
    </w:p>
    <w:bookmarkStart w:id="41" w:name="data-overview"/>
    <w:p>
      <w:pPr>
        <w:pStyle w:val="Heading2"/>
      </w:pPr>
      <w:r>
        <w:t xml:space="preserve">5.1 Data Overview</w:t>
      </w:r>
    </w:p>
    <w:bookmarkStart w:id="40" w:name="crash-data"/>
    <w:p>
      <w:pPr>
        <w:pStyle w:val="Heading3"/>
      </w:pPr>
      <w:r>
        <w:t xml:space="preserve">5.1.1 Crash Data</w:t>
      </w:r>
    </w:p>
    <w:p>
      <w:pPr>
        <w:pStyle w:val="FirstParagraph"/>
      </w:pPr>
      <w:r>
        <w:t xml:space="preserve">Crash, party, and vehicle data that were provided to the consultant team include reported crashes from 2018 through 2022 for crashes for all modes (pedestrians, bicyclists, other - personal conveyances, and motorists).</w:t>
      </w:r>
    </w:p>
    <w:p>
      <w:pPr>
        <w:pStyle w:val="BodyText"/>
      </w:pPr>
      <w:r>
        <w:t xml:space="preserve">All crash data were processed by Safe Streets Research &amp; Consulting (</w:t>
      </w:r>
      <w:r>
        <w:t xml:space="preserve">“</w:t>
      </w:r>
      <w:r>
        <w:t xml:space="preserve">Safe Streets</w:t>
      </w:r>
      <w:r>
        <w:t xml:space="preserve">”</w:t>
      </w:r>
      <w:r>
        <w:t xml:space="preserve">) and loaded into a Postgres database for additional analysis using Python, SQL, and R programming languages. The crash, party, and vehicle tables have a relational structure, which is common for storing crash data. For every reported crash, there is one crash record. The party and vehicle tables contain information for all the primary</w:t>
      </w:r>
      <w:r>
        <w:t xml:space="preserve"> </w:t>
      </w:r>
      <w:r>
        <w:t xml:space="preserve">“</w:t>
      </w:r>
      <w:r>
        <w:t xml:space="preserve">actors</w:t>
      </w:r>
      <w:r>
        <w:t xml:space="preserve">”</w:t>
      </w:r>
      <w:r>
        <w:t xml:space="preserve"> </w:t>
      </w:r>
      <w:r>
        <w:t xml:space="preserve">and their respective</w:t>
      </w:r>
      <w:r>
        <w:t xml:space="preserve"> </w:t>
      </w:r>
      <w:r>
        <w:t xml:space="preserve">“</w:t>
      </w:r>
      <w:r>
        <w:t xml:space="preserve">vehicles</w:t>
      </w:r>
      <w:r>
        <w:t xml:space="preserve">”</w:t>
      </w:r>
      <w:r>
        <w:t xml:space="preserve"> </w:t>
      </w:r>
      <w:r>
        <w:t xml:space="preserve">involved in the crash and have a many-to-one relationship – i.e., all relevant party records are matched via a case identification number to the one crash record. The party and vehicle tables contain information for each primary person and their</w:t>
      </w:r>
      <w:r>
        <w:t xml:space="preserve"> </w:t>
      </w:r>
      <w:r>
        <w:t xml:space="preserve">“</w:t>
      </w:r>
      <w:r>
        <w:t xml:space="preserve">vehicle</w:t>
      </w:r>
      <w:r>
        <w:t xml:space="preserve">”</w:t>
      </w:r>
      <w:r>
        <w:t xml:space="preserve"> </w:t>
      </w:r>
      <w:r>
        <w:t xml:space="preserve">such as age, sex, pre-crash action, injury severity, and vehicle characteristics. This structure is shown in xxxxx.</w:t>
      </w:r>
      <w:r>
        <w:t xml:space="preserve"> </w:t>
      </w:r>
      <w:r>
        <w:t xml:space="preserve"> </w:t>
      </w:r>
    </w:p>
    <w:p>
      <w:pPr>
        <w:pStyle w:val="BodyText"/>
      </w:pPr>
      <w:r>
        <w:t xml:space="preserve">Safe Streets processed and restructured the crash data used in this analysis. New variables were calculated and assigned, and the quality of the data was assessed through a robust quality control process. All reported crashes were processed (not just VRU crashes), but only crashes that involved at least one VRU and at least one motorist are included in this analysis.</w:t>
      </w:r>
      <w:r>
        <w:t xml:space="preserve"> </w:t>
      </w:r>
      <w:r>
        <w:t xml:space="preserve"> </w:t>
      </w:r>
    </w:p>
    <w:p>
      <w:pPr>
        <w:pStyle w:val="BodyText"/>
      </w:pPr>
      <w:r>
        <w:t xml:space="preserve">Crashes involving a person using a scooter (e.g., shared e-scooter or ADA assistive device) are defined in the State of Minnesota as pedestrian crashes. However, they are coded in MnDOT’s crash database as the unit type</w:t>
      </w:r>
      <w:r>
        <w:t xml:space="preserve"> </w:t>
      </w:r>
      <w:r>
        <w:t xml:space="preserve">“</w:t>
      </w:r>
      <w:r>
        <w:t xml:space="preserve">Other – Personal Conveyance</w:t>
      </w:r>
      <w:r>
        <w:t xml:space="preserve">”</w:t>
      </w:r>
      <w:r>
        <w:t xml:space="preserve"> </w:t>
      </w:r>
      <w:r>
        <w:t xml:space="preserve">rather than as</w:t>
      </w:r>
      <w:r>
        <w:t xml:space="preserve"> </w:t>
      </w:r>
      <w:r>
        <w:t xml:space="preserve">“</w:t>
      </w:r>
      <w:r>
        <w:t xml:space="preserve">Pedestrian</w:t>
      </w:r>
      <w:r>
        <w:t xml:space="preserve">”</w:t>
      </w:r>
      <w:r>
        <w:t xml:space="preserve">. The</w:t>
      </w:r>
      <w:r>
        <w:t xml:space="preserve"> </w:t>
      </w:r>
      <w:r>
        <w:t xml:space="preserve">“</w:t>
      </w:r>
      <w:r>
        <w:t xml:space="preserve">Other – Personal Conveyance</w:t>
      </w:r>
      <w:r>
        <w:t xml:space="preserve">”</w:t>
      </w:r>
      <w:r>
        <w:t xml:space="preserve"> </w:t>
      </w:r>
      <w:r>
        <w:t xml:space="preserve">category also includes many modes that are not pedestrians, such as farm equipment (tractor, combine), all-terrain vehicles, snowmobiles, horse and buggy, and the like. There is no single coded field in the crash database that differentiates between pedestrians using personal conveyance devices and these other modes. A targeted effort was conducted to classify these crashes based on a keyword scan of officer narratives. While we could reliably differentiate these crashes from farm equipment based on this procedure, we could not consistently differentiate between mobility scooters and other devices used by people with mobility impairments and other types of scooters or pedestrian devices. As stated in the 2019 Pedestrian Safety Analysis, a long-term solution to facilitate routine analysis of these modes in Minnesota would be to update the crash form with a field to indicate the type of scooter or device involvement (e.g., e-scooter, kick-scooter, ADA assistive device, moped scooter) and retrain officers to utilize the new field to record accurate and detailed information for more streamlined analysis.</w:t>
      </w:r>
    </w:p>
    <w:p>
      <w:pPr>
        <w:pStyle w:val="BodyText"/>
      </w:pPr>
      <w:r>
        <w:t xml:space="preserve">Crashes that met one or more of the following criteria were removed from the study dataset during the data consolidation process (see cccccc for the number of crashes that met each criterion; crashes can meet more than one criterion):</w:t>
      </w:r>
    </w:p>
    <w:p>
      <w:pPr>
        <w:numPr>
          <w:ilvl w:val="0"/>
          <w:numId w:val="1002"/>
        </w:numPr>
        <w:pStyle w:val="Compact"/>
      </w:pPr>
      <w:r>
        <w:t xml:space="preserve">Motorist-only (non-VRU) – The research team received a complete crash database for the years of interest (2018-2022). Because the scope of this project is only to analyze vulnerable road users, crashes that do not include a bicyclist, pedestrian, or someone potentially using a personal conveyance device are excluded from the analysis.</w:t>
      </w:r>
    </w:p>
    <w:p>
      <w:pPr>
        <w:numPr>
          <w:ilvl w:val="0"/>
          <w:numId w:val="1002"/>
        </w:numPr>
        <w:pStyle w:val="Compact"/>
      </w:pPr>
      <w:r>
        <w:t xml:space="preserve">Missing coordinates - Crash location GPS coordinates were not available.</w:t>
      </w:r>
    </w:p>
    <w:p>
      <w:pPr>
        <w:numPr>
          <w:ilvl w:val="0"/>
          <w:numId w:val="1002"/>
        </w:numPr>
        <w:pStyle w:val="Compact"/>
      </w:pPr>
      <w:r>
        <w:t xml:space="preserve">Farm Equipment – The</w:t>
      </w:r>
      <w:r>
        <w:t xml:space="preserve"> </w:t>
      </w:r>
      <w:r>
        <w:t xml:space="preserve">“</w:t>
      </w:r>
      <w:r>
        <w:t xml:space="preserve">unit type</w:t>
      </w:r>
      <w:r>
        <w:t xml:space="preserve">”</w:t>
      </w:r>
      <w:r>
        <w:t xml:space="preserve"> </w:t>
      </w:r>
      <w:r>
        <w:t xml:space="preserve">is coded as</w:t>
      </w:r>
      <w:r>
        <w:t xml:space="preserve"> </w:t>
      </w:r>
      <w:r>
        <w:t xml:space="preserve">“</w:t>
      </w:r>
      <w:r>
        <w:t xml:space="preserve">Other – Personal Conveyance</w:t>
      </w:r>
      <w:r>
        <w:t xml:space="preserve">”</w:t>
      </w:r>
      <w:r>
        <w:t xml:space="preserve"> </w:t>
      </w:r>
      <w:r>
        <w:t xml:space="preserve">and the officer narrative includes the words</w:t>
      </w:r>
      <w:r>
        <w:t xml:space="preserve"> </w:t>
      </w:r>
      <w:r>
        <w:t xml:space="preserve">“</w:t>
      </w:r>
      <w:r>
        <w:t xml:space="preserve">tractor</w:t>
      </w:r>
      <w:r>
        <w:t xml:space="preserve">”</w:t>
      </w:r>
      <w:r>
        <w:t xml:space="preserve">,</w:t>
      </w:r>
      <w:r>
        <w:t xml:space="preserve"> </w:t>
      </w:r>
      <w:r>
        <w:t xml:space="preserve">“</w:t>
      </w:r>
      <w:r>
        <w:t xml:space="preserve">horse</w:t>
      </w:r>
      <w:r>
        <w:t xml:space="preserve">”</w:t>
      </w:r>
      <w:r>
        <w:t xml:space="preserve">, or</w:t>
      </w:r>
      <w:r>
        <w:t xml:space="preserve"> </w:t>
      </w:r>
      <w:r>
        <w:t xml:space="preserve">“</w:t>
      </w:r>
      <w:r>
        <w:t xml:space="preserve">trailer.</w:t>
      </w:r>
      <w:r>
        <w:t xml:space="preserve">”</w:t>
      </w:r>
    </w:p>
    <w:p>
      <w:pPr>
        <w:numPr>
          <w:ilvl w:val="0"/>
          <w:numId w:val="1002"/>
        </w:numPr>
        <w:pStyle w:val="Compact"/>
      </w:pPr>
      <w:r>
        <w:t xml:space="preserve">Too far away from the street or along a private street - The geospatial location of the crash is greater than 300 feet from any street or the street was a private roadway.</w:t>
      </w:r>
    </w:p>
    <w:p>
      <w:pPr>
        <w:numPr>
          <w:ilvl w:val="0"/>
          <w:numId w:val="1002"/>
        </w:numPr>
        <w:pStyle w:val="Compact"/>
      </w:pPr>
      <w:r>
        <w:t xml:space="preserve">The crash occurred in a parking lot – The location type recorded in the crash data is a parking lot.</w:t>
      </w:r>
    </w:p>
    <w:p>
      <w:pPr>
        <w:numPr>
          <w:ilvl w:val="0"/>
          <w:numId w:val="1002"/>
        </w:numPr>
        <w:pStyle w:val="Compact"/>
      </w:pPr>
      <w:r>
        <w:t xml:space="preserve">Crashes that involved only a bicyclist and no other road users are not included in the crash data.</w:t>
      </w:r>
    </w:p>
    <w:bookmarkEnd w:id="40"/>
    <w:bookmarkEnd w:id="41"/>
    <w:bookmarkStart w:id="44" w:name="injury-severity-assignment"/>
    <w:p>
      <w:pPr>
        <w:pStyle w:val="Heading2"/>
      </w:pPr>
      <w:r>
        <w:t xml:space="preserve">5.2 Injury Severity Assignment</w:t>
      </w:r>
    </w:p>
    <w:p>
      <w:pPr>
        <w:pStyle w:val="FirstParagraph"/>
      </w:pPr>
      <w:r>
        <w:t xml:space="preserve">The officer-reported injury severity levels used in this analysis are specific to the most severely injured (MSI) road user involved in the crash. This injury severity is different than the reported MSI assigned to each crash record. In most cases, VRUs are the most severely injured victim involved in the crash. Using the victim-level severity helps improve accuracy of summarizing injury severities. It should be noted that research from the San Francisco Department of Public Health has documented reporting errors related to mis-coded injury severities, particularly for suspected serious injuries</w:t>
      </w:r>
      <w:r>
        <w:rPr>
          <w:rStyle w:val="FootnoteReference"/>
        </w:rPr>
        <w:footnoteReference w:id="42"/>
      </w:r>
      <w:r>
        <w:t xml:space="preserve">, suggesting a need for some fluidity when discussing minor and serious injuries. This analysis does not have access to hospital records to verify injury severities stored in the crash data, so the results in this document reflect the best available data at the time. For reference, the injury severities recorded in the crash data and summarized in this analysis are defined as followed:</w:t>
      </w:r>
    </w:p>
    <w:p>
      <w:pPr>
        <w:numPr>
          <w:ilvl w:val="0"/>
          <w:numId w:val="1003"/>
        </w:numPr>
        <w:pStyle w:val="Compact"/>
      </w:pPr>
      <w:r>
        <w:t xml:space="preserve">K - Fatal: A fatal injury is any injury that results in death within 30 days after the motor vehicle crash in which the injury occurred. If the person did not die at the scene but died within 30 days of the motor vehicle crash in which the injury occurred, the injury classification should be changed from the injury previously assigned to</w:t>
      </w:r>
      <w:r>
        <w:t xml:space="preserve"> </w:t>
      </w:r>
      <w:r>
        <w:t xml:space="preserve">“</w:t>
      </w:r>
      <w:r>
        <w:t xml:space="preserve">Fatal Injury.</w:t>
      </w:r>
      <w:r>
        <w:t xml:space="preserve">”</w:t>
      </w:r>
    </w:p>
    <w:p>
      <w:pPr>
        <w:numPr>
          <w:ilvl w:val="0"/>
          <w:numId w:val="1003"/>
        </w:numPr>
        <w:pStyle w:val="Compact"/>
      </w:pPr>
      <w:r>
        <w:t xml:space="preserve">A – Suspected Serious Injury: An incapacitating injury is any injury, other than a fatal injury, which prevents the injured person from walking, driving, or normally continuing the activities the person was capable of performing before the injury occurred. Also called</w:t>
      </w:r>
      <w:r>
        <w:t xml:space="preserve"> </w:t>
      </w:r>
      <w:r>
        <w:t xml:space="preserve">“</w:t>
      </w:r>
      <w:r>
        <w:t xml:space="preserve">Serious Injury</w:t>
      </w:r>
      <w:r>
        <w:t xml:space="preserve">”</w:t>
      </w:r>
      <w:r>
        <w:t xml:space="preserve"> </w:t>
      </w:r>
      <w:r>
        <w:t xml:space="preserve">or</w:t>
      </w:r>
      <w:r>
        <w:t xml:space="preserve"> </w:t>
      </w:r>
      <w:r>
        <w:t xml:space="preserve">“</w:t>
      </w:r>
      <w:r>
        <w:t xml:space="preserve">Injury A</w:t>
      </w:r>
      <w:r>
        <w:t xml:space="preserve">”</w:t>
      </w:r>
      <w:r>
        <w:t xml:space="preserve">. This category includes:</w:t>
      </w:r>
    </w:p>
    <w:p>
      <w:pPr>
        <w:numPr>
          <w:ilvl w:val="1"/>
          <w:numId w:val="1004"/>
        </w:numPr>
        <w:pStyle w:val="Compact"/>
      </w:pPr>
      <w:r>
        <w:t xml:space="preserve">severe lacerations</w:t>
      </w:r>
    </w:p>
    <w:p>
      <w:pPr>
        <w:numPr>
          <w:ilvl w:val="1"/>
          <w:numId w:val="1004"/>
        </w:numPr>
        <w:pStyle w:val="Compact"/>
      </w:pPr>
      <w:r>
        <w:t xml:space="preserve">broken or distorted limbs</w:t>
      </w:r>
    </w:p>
    <w:p>
      <w:pPr>
        <w:numPr>
          <w:ilvl w:val="1"/>
          <w:numId w:val="1004"/>
        </w:numPr>
        <w:pStyle w:val="Compact"/>
      </w:pPr>
      <w:r>
        <w:t xml:space="preserve">skull or chest injuries</w:t>
      </w:r>
    </w:p>
    <w:p>
      <w:pPr>
        <w:numPr>
          <w:ilvl w:val="1"/>
          <w:numId w:val="1004"/>
        </w:numPr>
        <w:pStyle w:val="Compact"/>
      </w:pPr>
      <w:r>
        <w:t xml:space="preserve">abdominal injuries</w:t>
      </w:r>
    </w:p>
    <w:p>
      <w:pPr>
        <w:numPr>
          <w:ilvl w:val="1"/>
          <w:numId w:val="1004"/>
        </w:numPr>
        <w:pStyle w:val="Compact"/>
      </w:pPr>
      <w:r>
        <w:t xml:space="preserve">unconsciousness at or when taken from the scene of the crash, or unable to leave the crash scene without assistance</w:t>
      </w:r>
      <w:r>
        <w:t xml:space="preserve"> </w:t>
      </w:r>
    </w:p>
    <w:p>
      <w:pPr>
        <w:numPr>
          <w:ilvl w:val="0"/>
          <w:numId w:val="1003"/>
        </w:numPr>
        <w:pStyle w:val="Compact"/>
      </w:pPr>
      <w:r>
        <w:t xml:space="preserve">B – Suspected Minor Injury: A minor injury is any injury that is evident at the scene of the crash, other than fatal or serious injuries. Also called</w:t>
      </w:r>
      <w:r>
        <w:t xml:space="preserve"> </w:t>
      </w:r>
      <w:r>
        <w:t xml:space="preserve">“</w:t>
      </w:r>
      <w:r>
        <w:t xml:space="preserve">Minor Injury</w:t>
      </w:r>
      <w:r>
        <w:t xml:space="preserve">”</w:t>
      </w:r>
      <w:r>
        <w:t xml:space="preserve"> </w:t>
      </w:r>
      <w:r>
        <w:t xml:space="preserve">or</w:t>
      </w:r>
      <w:r>
        <w:t xml:space="preserve"> </w:t>
      </w:r>
      <w:r>
        <w:t xml:space="preserve">“</w:t>
      </w:r>
      <w:r>
        <w:t xml:space="preserve">Injury B</w:t>
      </w:r>
      <w:r>
        <w:t xml:space="preserve">”</w:t>
      </w:r>
      <w:r>
        <w:t xml:space="preserve">. Examples include:</w:t>
      </w:r>
    </w:p>
    <w:p>
      <w:pPr>
        <w:numPr>
          <w:ilvl w:val="1"/>
          <w:numId w:val="1005"/>
        </w:numPr>
        <w:pStyle w:val="Compact"/>
      </w:pPr>
      <w:r>
        <w:t xml:space="preserve">lump on the head</w:t>
      </w:r>
    </w:p>
    <w:p>
      <w:pPr>
        <w:numPr>
          <w:ilvl w:val="1"/>
          <w:numId w:val="1005"/>
        </w:numPr>
        <w:pStyle w:val="Compact"/>
      </w:pPr>
      <w:r>
        <w:t xml:space="preserve">abrasions</w:t>
      </w:r>
    </w:p>
    <w:p>
      <w:pPr>
        <w:numPr>
          <w:ilvl w:val="1"/>
          <w:numId w:val="1005"/>
        </w:numPr>
        <w:pStyle w:val="Compact"/>
      </w:pPr>
      <w:r>
        <w:t xml:space="preserve">bruises</w:t>
      </w:r>
    </w:p>
    <w:p>
      <w:pPr>
        <w:numPr>
          <w:ilvl w:val="1"/>
          <w:numId w:val="1005"/>
        </w:numPr>
        <w:pStyle w:val="Compact"/>
      </w:pPr>
      <w:r>
        <w:t xml:space="preserve">minor lacerations (cuts on the skin surface with minimal bleeding and no exposure of deeper tissue/muscle)</w:t>
      </w:r>
    </w:p>
    <w:p>
      <w:pPr>
        <w:numPr>
          <w:ilvl w:val="0"/>
          <w:numId w:val="1003"/>
        </w:numPr>
        <w:pStyle w:val="Compact"/>
      </w:pPr>
      <w:r>
        <w:t xml:space="preserve">C – Possible Injury: A possible injury is any injury reported or claimed which is not a fatal, suspected serious, or suspected minor injury. Possible injuries are those that are reported by the person or are indicated by their behavior, but no wounds or injuries are readily evident. Examples include:</w:t>
      </w:r>
    </w:p>
    <w:p>
      <w:pPr>
        <w:numPr>
          <w:ilvl w:val="1"/>
          <w:numId w:val="1006"/>
        </w:numPr>
        <w:pStyle w:val="Compact"/>
      </w:pPr>
      <w:r>
        <w:t xml:space="preserve">momentary loss of consciousness</w:t>
      </w:r>
    </w:p>
    <w:p>
      <w:pPr>
        <w:numPr>
          <w:ilvl w:val="1"/>
          <w:numId w:val="1006"/>
        </w:numPr>
        <w:pStyle w:val="Compact"/>
      </w:pPr>
      <w:r>
        <w:t xml:space="preserve">claim of injury</w:t>
      </w:r>
    </w:p>
    <w:p>
      <w:pPr>
        <w:numPr>
          <w:ilvl w:val="1"/>
          <w:numId w:val="1006"/>
        </w:numPr>
        <w:pStyle w:val="Compact"/>
      </w:pPr>
      <w:r>
        <w:t xml:space="preserve">limping</w:t>
      </w:r>
    </w:p>
    <w:p>
      <w:pPr>
        <w:numPr>
          <w:ilvl w:val="1"/>
          <w:numId w:val="1006"/>
        </w:numPr>
        <w:pStyle w:val="Compact"/>
      </w:pPr>
      <w:r>
        <w:t xml:space="preserve">complaint of pain or nausea</w:t>
      </w:r>
    </w:p>
    <w:p>
      <w:pPr>
        <w:numPr>
          <w:ilvl w:val="0"/>
          <w:numId w:val="1003"/>
        </w:numPr>
        <w:pStyle w:val="Compact"/>
      </w:pPr>
      <w:r>
        <w:t xml:space="preserve">O – Property Damage Only: Crash where only property is damaged. No injuries resulted from the crash.</w:t>
      </w:r>
    </w:p>
    <w:bookmarkEnd w:id="44"/>
    <w:bookmarkStart w:id="46" w:name="roadway-and-contextual-data"/>
    <w:p>
      <w:pPr>
        <w:pStyle w:val="Heading2"/>
      </w:pPr>
      <w:r>
        <w:t xml:space="preserve">5.3 Roadway and Contextual Data</w:t>
      </w:r>
    </w:p>
    <w:p>
      <w:pPr>
        <w:pStyle w:val="FirstParagraph"/>
      </w:pPr>
      <w:r>
        <w:t xml:space="preserve">The crash dataset includes many useful variables for analyzing VRU safety; however, detailed information about roadway conditions and nearby land uses is also necessary to provide a more complete understanding of the context in which crashes occurred and support future countermeasure selection. A robust data collection and consolidation process was conducted as part of the 2021 MnDOT Statewide Pedestrian Safety Analysis. Data from that effort was provided to the study team for use in this VRU assessment. Data collected during the Statewide Pedestrian Safety Analysis was re-processed using the same methods documented in the data collection section of the Pedestrian Safety Analysis. Please refer to the Statewide Pedestrian Crash Analysis</w:t>
      </w:r>
      <w:r>
        <w:rPr>
          <w:rStyle w:val="FootnoteReference"/>
        </w:rPr>
        <w:footnoteReference w:id="45"/>
      </w:r>
      <w:r>
        <w:t xml:space="preserve"> </w:t>
      </w:r>
      <w:r>
        <w:t xml:space="preserve">for a detailed summary regarding data usage and limitations.</w:t>
      </w:r>
    </w:p>
    <w:bookmarkEnd w:id="46"/>
    <w:bookmarkEnd w:id="47"/>
    <w:bookmarkStart w:id="49" w:name="acronyms"/>
    <w:p>
      <w:pPr>
        <w:pStyle w:val="Heading1"/>
      </w:pPr>
      <w:r>
        <w:t xml:space="preserve">Appendix A — Acronyms</w:t>
      </w:r>
    </w:p>
    <w:bookmarkStart w:id="48" w:name="tbl-acronyms"/>
    <w:p>
      <w:pPr>
        <w:pStyle w:val="TableCaption"/>
      </w:pPr>
      <w:r>
        <w:t xml:space="preserve">Table A.1: Acronyms</w:t>
      </w:r>
    </w:p>
    <w:tbl>
      <w:tblPr>
        <w:tblStyle w:val="Table"/>
        <w:tblW w:type="auto" w:w="0"/>
        <w:tblLook w:firstRow="1" w:lastRow="0" w:firstColumn="0" w:lastColumn="0" w:noHBand="0" w:noVBand="0" w:val="0020"/>
        <w:tblCaption w:val="Table A.1: Acronyms"/>
      </w:tblPr>
      <w:tblGrid>
        <w:gridCol w:w="3960"/>
        <w:gridCol w:w="3960"/>
      </w:tblGrid>
      <w:tr>
        <w:trPr>
          <w:tblHeader w:val="true"/>
        </w:trPr>
        <w:tc>
          <w:tcPr/>
          <w:p>
            <w:pPr>
              <w:pStyle w:val="Compact"/>
              <w:jc w:val="left"/>
            </w:pPr>
            <w:r>
              <w:t xml:space="preserve">Acronym</w:t>
            </w:r>
          </w:p>
        </w:tc>
        <w:tc>
          <w:tcPr/>
          <w:p>
            <w:pPr>
              <w:pStyle w:val="Compact"/>
              <w:jc w:val="left"/>
            </w:pPr>
            <w:r>
              <w:t xml:space="preserve">Definition</w:t>
            </w:r>
          </w:p>
        </w:tc>
      </w:tr>
      <w:tr>
        <w:tc>
          <w:tcPr/>
          <w:p>
            <w:pPr>
              <w:pStyle w:val="Compact"/>
              <w:jc w:val="left"/>
            </w:pPr>
            <w:r>
              <w:t xml:space="preserve">AADT</w:t>
            </w:r>
          </w:p>
        </w:tc>
        <w:tc>
          <w:tcPr/>
          <w:p>
            <w:pPr>
              <w:pStyle w:val="Compact"/>
              <w:jc w:val="left"/>
            </w:pPr>
            <w:r>
              <w:t xml:space="preserve">Annual Average Daily Traffic</w:t>
            </w:r>
          </w:p>
        </w:tc>
      </w:tr>
      <w:tr>
        <w:tc>
          <w:tcPr/>
          <w:p>
            <w:pPr>
              <w:pStyle w:val="Compact"/>
              <w:jc w:val="left"/>
            </w:pPr>
            <w:r>
              <w:t xml:space="preserve">ADA</w:t>
            </w:r>
          </w:p>
        </w:tc>
        <w:tc>
          <w:tcPr/>
          <w:p>
            <w:pPr>
              <w:pStyle w:val="Compact"/>
              <w:jc w:val="left"/>
            </w:pPr>
            <w:r>
              <w:t xml:space="preserve">Americans with Disabilities Act</w:t>
            </w:r>
          </w:p>
        </w:tc>
      </w:tr>
      <w:tr>
        <w:tc>
          <w:tcPr/>
          <w:p>
            <w:pPr>
              <w:pStyle w:val="Compact"/>
              <w:jc w:val="left"/>
            </w:pPr>
            <w:r>
              <w:t xml:space="preserve">FHWA</w:t>
            </w:r>
          </w:p>
        </w:tc>
        <w:tc>
          <w:tcPr/>
          <w:p>
            <w:pPr>
              <w:pStyle w:val="Compact"/>
              <w:jc w:val="left"/>
            </w:pPr>
            <w:r>
              <w:t xml:space="preserve">Federal Highway Administration</w:t>
            </w:r>
          </w:p>
        </w:tc>
      </w:tr>
      <w:tr>
        <w:tc>
          <w:tcPr/>
          <w:p>
            <w:pPr>
              <w:pStyle w:val="Compact"/>
              <w:jc w:val="left"/>
            </w:pPr>
            <w:r>
              <w:t xml:space="preserve">GIS</w:t>
            </w:r>
          </w:p>
        </w:tc>
        <w:tc>
          <w:tcPr/>
          <w:p>
            <w:pPr>
              <w:pStyle w:val="Compact"/>
              <w:jc w:val="left"/>
            </w:pPr>
            <w:r>
              <w:t xml:space="preserve">Geographic Information System</w:t>
            </w:r>
          </w:p>
        </w:tc>
      </w:tr>
      <w:tr>
        <w:tc>
          <w:tcPr/>
          <w:p>
            <w:pPr>
              <w:pStyle w:val="Compact"/>
              <w:jc w:val="left"/>
            </w:pPr>
            <w:r>
              <w:t xml:space="preserve">HIN</w:t>
            </w:r>
          </w:p>
        </w:tc>
        <w:tc>
          <w:tcPr/>
          <w:p>
            <w:pPr>
              <w:pStyle w:val="Compact"/>
              <w:jc w:val="left"/>
            </w:pPr>
            <w:r>
              <w:t xml:space="preserve">High Injury Network</w:t>
            </w:r>
          </w:p>
        </w:tc>
      </w:tr>
      <w:tr>
        <w:tc>
          <w:tcPr/>
          <w:p>
            <w:pPr>
              <w:pStyle w:val="Compact"/>
              <w:jc w:val="left"/>
            </w:pPr>
            <w:r>
              <w:t xml:space="preserve">KA</w:t>
            </w:r>
          </w:p>
        </w:tc>
        <w:tc>
          <w:tcPr/>
          <w:p>
            <w:pPr>
              <w:pStyle w:val="Compact"/>
              <w:jc w:val="left"/>
            </w:pPr>
            <w:r>
              <w:t xml:space="preserve">Killed of severely injured</w:t>
            </w:r>
          </w:p>
        </w:tc>
      </w:tr>
      <w:tr>
        <w:tc>
          <w:tcPr/>
          <w:p>
            <w:pPr>
              <w:pStyle w:val="Compact"/>
              <w:jc w:val="left"/>
            </w:pPr>
            <w:r>
              <w:t xml:space="preserve">MSI</w:t>
            </w:r>
          </w:p>
        </w:tc>
        <w:tc>
          <w:tcPr/>
          <w:p>
            <w:pPr>
              <w:pStyle w:val="Compact"/>
              <w:jc w:val="left"/>
            </w:pPr>
            <w:r>
              <w:t xml:space="preserve">Most severely injured</w:t>
            </w:r>
          </w:p>
        </w:tc>
      </w:tr>
      <w:tr>
        <w:tc>
          <w:tcPr/>
          <w:p>
            <w:pPr>
              <w:pStyle w:val="Compact"/>
              <w:jc w:val="left"/>
            </w:pPr>
            <w:r>
              <w:t xml:space="preserve">MC</w:t>
            </w:r>
          </w:p>
        </w:tc>
        <w:tc>
          <w:tcPr/>
          <w:p>
            <w:pPr>
              <w:pStyle w:val="Compact"/>
              <w:jc w:val="left"/>
            </w:pPr>
            <w:r>
              <w:t xml:space="preserve">Motorcycle</w:t>
            </w:r>
          </w:p>
        </w:tc>
      </w:tr>
      <w:tr>
        <w:tc>
          <w:tcPr/>
          <w:p>
            <w:pPr>
              <w:pStyle w:val="Compact"/>
              <w:jc w:val="left"/>
            </w:pPr>
            <w:r>
              <w:t xml:space="preserve">MV</w:t>
            </w:r>
          </w:p>
        </w:tc>
        <w:tc>
          <w:tcPr/>
          <w:p>
            <w:pPr>
              <w:pStyle w:val="Compact"/>
              <w:jc w:val="left"/>
            </w:pPr>
            <w:r>
              <w:t xml:space="preserve">Motor Vehicle</w:t>
            </w:r>
          </w:p>
        </w:tc>
      </w:tr>
      <w:tr>
        <w:tc>
          <w:tcPr/>
          <w:p>
            <w:pPr>
              <w:pStyle w:val="Compact"/>
              <w:jc w:val="left"/>
            </w:pPr>
            <w:r>
              <w:t xml:space="preserve">PED</w:t>
            </w:r>
          </w:p>
        </w:tc>
        <w:tc>
          <w:tcPr/>
          <w:p>
            <w:pPr>
              <w:pStyle w:val="Compact"/>
              <w:jc w:val="left"/>
            </w:pPr>
            <w:r>
              <w:t xml:space="preserve">Pedestrian</w:t>
            </w:r>
          </w:p>
        </w:tc>
      </w:tr>
      <w:tr>
        <w:tc>
          <w:tcPr/>
          <w:p>
            <w:pPr>
              <w:pStyle w:val="Compact"/>
              <w:jc w:val="left"/>
            </w:pPr>
            <w:r>
              <w:t xml:space="preserve">PHB</w:t>
            </w:r>
          </w:p>
        </w:tc>
        <w:tc>
          <w:tcPr/>
          <w:p>
            <w:pPr>
              <w:pStyle w:val="Compact"/>
              <w:jc w:val="left"/>
            </w:pPr>
            <w:r>
              <w:t xml:space="preserve">Pedestrian Hybrid Beacon</w:t>
            </w:r>
          </w:p>
        </w:tc>
      </w:tr>
      <w:tr>
        <w:tc>
          <w:tcPr/>
          <w:p>
            <w:pPr>
              <w:pStyle w:val="Compact"/>
              <w:jc w:val="left"/>
            </w:pPr>
            <w:r>
              <w:t xml:space="preserve">RRFB</w:t>
            </w:r>
          </w:p>
        </w:tc>
        <w:tc>
          <w:tcPr/>
          <w:p>
            <w:pPr>
              <w:pStyle w:val="Compact"/>
              <w:jc w:val="left"/>
            </w:pPr>
            <w:r>
              <w:t xml:space="preserve">Rectangular Rapid Flashing Beacon</w:t>
            </w:r>
          </w:p>
        </w:tc>
      </w:tr>
      <w:tr>
        <w:tc>
          <w:tcPr/>
          <w:p>
            <w:pPr>
              <w:pStyle w:val="Compact"/>
              <w:jc w:val="left"/>
            </w:pPr>
            <w:r>
              <w:t xml:space="preserve">SSA</w:t>
            </w:r>
          </w:p>
        </w:tc>
        <w:tc>
          <w:tcPr/>
          <w:p>
            <w:pPr>
              <w:pStyle w:val="Compact"/>
              <w:jc w:val="left"/>
            </w:pPr>
            <w:r>
              <w:t xml:space="preserve">Safe System Approach</w:t>
            </w:r>
          </w:p>
        </w:tc>
      </w:tr>
      <w:tr>
        <w:tc>
          <w:tcPr/>
          <w:p>
            <w:pPr>
              <w:pStyle w:val="Compact"/>
              <w:jc w:val="left"/>
            </w:pPr>
            <w:r>
              <w:t xml:space="preserve">VPD</w:t>
            </w:r>
          </w:p>
        </w:tc>
        <w:tc>
          <w:tcPr/>
          <w:p>
            <w:pPr>
              <w:pStyle w:val="Compact"/>
              <w:jc w:val="left"/>
            </w:pPr>
            <w:r>
              <w:t xml:space="preserve">Vehicles per day</w:t>
            </w:r>
          </w:p>
        </w:tc>
      </w:tr>
      <w:tr>
        <w:tc>
          <w:tcPr/>
          <w:p>
            <w:pPr>
              <w:pStyle w:val="Compact"/>
              <w:jc w:val="left"/>
            </w:pPr>
            <w:r>
              <w:t xml:space="preserve">VRU</w:t>
            </w:r>
          </w:p>
        </w:tc>
        <w:tc>
          <w:tcPr/>
          <w:p>
            <w:pPr>
              <w:pStyle w:val="Compact"/>
              <w:jc w:val="left"/>
            </w:pPr>
            <w:r>
              <w:t xml:space="preserve">Vulnerable road user</w:t>
            </w:r>
          </w:p>
        </w:tc>
      </w:tr>
      <w:tr>
        <w:tc>
          <w:tcPr/>
          <w:p>
            <w:pPr>
              <w:pStyle w:val="Compact"/>
              <w:jc w:val="left"/>
            </w:pPr>
            <w:r>
              <w:t xml:space="preserve">VRUSA</w:t>
            </w:r>
          </w:p>
        </w:tc>
        <w:tc>
          <w:tcPr/>
          <w:p>
            <w:pPr>
              <w:pStyle w:val="Compact"/>
              <w:jc w:val="left"/>
            </w:pPr>
            <w:r>
              <w:t xml:space="preserve">Vulnerable Road User Safety Assessment</w:t>
            </w:r>
          </w:p>
        </w:tc>
      </w:tr>
      <w:tr>
        <w:tc>
          <w:tcPr/>
          <w:p>
            <w:pPr>
              <w:pStyle w:val="Compact"/>
              <w:jc w:val="left"/>
            </w:pPr>
            <w:r>
              <w:t xml:space="preserve">K [**K**ABCO]</w:t>
            </w:r>
          </w:p>
        </w:tc>
        <w:tc>
          <w:tcPr/>
          <w:p>
            <w:pPr>
              <w:pStyle w:val="Compact"/>
              <w:jc w:val="left"/>
            </w:pPr>
            <w:r>
              <w:t xml:space="preserve">Fatal Injury Severity</w:t>
            </w:r>
          </w:p>
        </w:tc>
      </w:tr>
      <w:tr>
        <w:tc>
          <w:tcPr/>
          <w:p>
            <w:pPr>
              <w:pStyle w:val="Compact"/>
              <w:jc w:val="left"/>
            </w:pPr>
            <w:r>
              <w:t xml:space="preserve">A [K**A**BCO]</w:t>
            </w:r>
          </w:p>
        </w:tc>
        <w:tc>
          <w:tcPr/>
          <w:p>
            <w:pPr>
              <w:pStyle w:val="Compact"/>
              <w:jc w:val="left"/>
            </w:pPr>
            <w:r>
              <w:t xml:space="preserve">Suspected Serious Injury</w:t>
            </w:r>
          </w:p>
        </w:tc>
      </w:tr>
      <w:tr>
        <w:tc>
          <w:tcPr/>
          <w:p>
            <w:pPr>
              <w:pStyle w:val="Compact"/>
              <w:jc w:val="left"/>
            </w:pPr>
            <w:r>
              <w:t xml:space="preserve">C [KA**B**CO]</w:t>
            </w:r>
          </w:p>
        </w:tc>
        <w:tc>
          <w:tcPr/>
          <w:p>
            <w:pPr>
              <w:pStyle w:val="Compact"/>
              <w:jc w:val="left"/>
            </w:pPr>
            <w:r>
              <w:t xml:space="preserve">Minor Injury</w:t>
            </w:r>
          </w:p>
        </w:tc>
      </w:tr>
      <w:tr>
        <w:tc>
          <w:tcPr/>
          <w:p>
            <w:pPr>
              <w:pStyle w:val="Compact"/>
              <w:jc w:val="left"/>
            </w:pPr>
            <w:r>
              <w:t xml:space="preserve">C [KAB**C**O]</w:t>
            </w:r>
          </w:p>
        </w:tc>
        <w:tc>
          <w:tcPr/>
          <w:p>
            <w:pPr>
              <w:pStyle w:val="Compact"/>
              <w:jc w:val="left"/>
            </w:pPr>
            <w:r>
              <w:t xml:space="preserve">Possible Injury</w:t>
            </w:r>
          </w:p>
        </w:tc>
      </w:tr>
      <w:tr>
        <w:tc>
          <w:tcPr/>
          <w:p>
            <w:pPr>
              <w:pStyle w:val="Compact"/>
              <w:jc w:val="left"/>
            </w:pPr>
            <w:r>
              <w:t xml:space="preserve">O [KABC**O**] or PDO</w:t>
            </w:r>
          </w:p>
        </w:tc>
        <w:tc>
          <w:tcPr/>
          <w:p>
            <w:pPr>
              <w:pStyle w:val="Compact"/>
              <w:jc w:val="left"/>
            </w:pPr>
            <w:r>
              <w:t xml:space="preserve">Property Damage Only</w:t>
            </w:r>
          </w:p>
        </w:tc>
      </w:tr>
      <w:tr>
        <w:tc>
          <w:tcPr/>
          <w:p>
            <w:pPr>
              <w:pStyle w:val="Compact"/>
              <w:jc w:val="left"/>
            </w:pPr>
            <w:r>
              <w:t xml:space="preserve">KA or KSI</w:t>
            </w:r>
          </w:p>
        </w:tc>
        <w:tc>
          <w:tcPr/>
          <w:p>
            <w:pPr>
              <w:pStyle w:val="Compact"/>
              <w:jc w:val="left"/>
            </w:pPr>
            <w:r>
              <w:t xml:space="preserve">Killed or Seriously Injured</w:t>
            </w:r>
          </w:p>
        </w:tc>
      </w:tr>
    </w:tbl>
    <w:bookmarkEnd w:id="48"/>
    <w:bookmarkEnd w:id="49"/>
    <w:sectPr w:rsidR="00873728" w:rsidRPr="00873728" w:rsidSect="0035442F">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w:panose1 w:val="00000000000000000000"/>
    <w:charset w:val="4D"/>
    <w:family w:val="auto"/>
    <w:pitch w:val="variable"/>
    <w:sig w:usb0="A00002FF" w:usb1="7800205A" w:usb2="14600000" w:usb3="00000000" w:csb0="00000193" w:csb1="00000000"/>
  </w:font>
  <w:font w:name="Times New Roman (Body CS)">
    <w:altName w:val="Times New Roman"/>
    <w:panose1 w:val="020B0604020202020204"/>
    <w:charset w:val="00"/>
    <w:family w:val="roman"/>
    <w:notTrueType/>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4">
    <w:p>
      <w:pPr>
        <w:pStyle w:val="FootnoteText"/>
      </w:pPr>
      <w:r>
        <w:rPr>
          <w:rStyle w:val="FootnoteReference"/>
        </w:rPr>
        <w:footnoteRef/>
      </w:r>
      <w:r>
        <w:t xml:space="preserve"> </w:t>
      </w:r>
      <w:hyperlink r:id="rId35">
        <w:r>
          <w:rPr>
            <w:rStyle w:val="Hyperlink"/>
          </w:rPr>
          <w:t xml:space="preserve">https://highways.dot.gov/sites/fhwa.dot.gov/files/2022- 10/VRU%20Safety%20Assessment%20Guidance%20FINAL_508.pdf</w:t>
        </w:r>
      </w:hyperlink>
    </w:p>
  </w:footnote>
  <w:footnote w:id="36">
    <w:p>
      <w:pPr>
        <w:pStyle w:val="FootnoteText"/>
      </w:pPr>
      <w:r>
        <w:rPr>
          <w:rStyle w:val="FootnoteReference"/>
        </w:rPr>
        <w:footnoteRef/>
      </w:r>
      <w:r>
        <w:t xml:space="preserve"> </w:t>
      </w:r>
      <w:hyperlink r:id="rId37">
        <w:r>
          <w:rPr>
            <w:rStyle w:val="Hyperlink"/>
          </w:rPr>
          <w:t xml:space="preserve">https://edocs-public.dot.state.mn.us/edocs_public/DMResultSet/download?docId=26158751</w:t>
        </w:r>
      </w:hyperlink>
    </w:p>
  </w:footnote>
  <w:footnote w:id="38">
    <w:p>
      <w:pPr>
        <w:pStyle w:val="FootnoteText"/>
      </w:pPr>
      <w:r>
        <w:rPr>
          <w:rStyle w:val="FootnoteReference"/>
        </w:rPr>
        <w:footnoteRef/>
      </w:r>
      <w:r>
        <w:t xml:space="preserve"> </w:t>
      </w:r>
      <w:hyperlink r:id="rId39">
        <w:r>
          <w:rPr>
            <w:rStyle w:val="Hyperlink"/>
          </w:rPr>
          <w:t xml:space="preserve">https://www.dot.state.mn.us/trafficeng/safety/vrusa.html</w:t>
        </w:r>
      </w:hyperlink>
    </w:p>
  </w:footnote>
  <w:footnote w:id="42">
    <w:p>
      <w:pPr>
        <w:pStyle w:val="FootnoteText"/>
      </w:pPr>
      <w:r>
        <w:rPr>
          <w:rStyle w:val="FootnoteReference"/>
        </w:rPr>
        <w:footnoteRef/>
      </w:r>
      <w:r>
        <w:t xml:space="preserve"> </w:t>
      </w:r>
      <w:hyperlink r:id="rId43">
        <w:r>
          <w:rPr>
            <w:rStyle w:val="Hyperlink"/>
          </w:rPr>
          <w:t xml:space="preserve">https://www.visionzerosf.org/wp-content/uploads/2021/11/Severe-Injury-Trends 2011-2020 final report.pdf</w:t>
        </w:r>
      </w:hyperlink>
    </w:p>
  </w:footnote>
  <w:footnote w:id="45">
    <w:p>
      <w:pPr>
        <w:pStyle w:val="FootnoteText"/>
      </w:pPr>
      <w:r>
        <w:rPr>
          <w:rStyle w:val="FootnoteReference"/>
        </w:rPr>
        <w:footnoteRef/>
      </w:r>
      <w:r>
        <w:t xml:space="preserve"> </w:t>
      </w:r>
      <w:hyperlink r:id="rId37">
        <w:r>
          <w:rPr>
            <w:rStyle w:val="Hyperlink"/>
          </w:rPr>
          <w:t xml:space="preserve">https://edocs-public.dot.state.mn.us/edocs_public/DMResultSet/download?docId=26158751</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9A0EE7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54E7BB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0B01F7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5C1C1B5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A9B0656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2802A4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FA7C19F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30E0618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8644517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42EA22C"/>
    <w:lvl w:ilvl="0">
      <w:start w:val="1"/>
      <w:numFmt w:val="bullet"/>
      <w:lvlText w:val=""/>
      <w:lvlJc w:val="left"/>
      <w:pPr>
        <w:tabs>
          <w:tab w:pos="360" w:val="num"/>
        </w:tabs>
        <w:ind w:hanging="360" w:left="360"/>
      </w:pPr>
      <w:rPr>
        <w:rFonts w:ascii="Symbol" w:hAnsi="Symbol"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606885712" w:numId="1">
    <w:abstractNumId w:val="0"/>
  </w:num>
  <w:num w16cid:durableId="591740060" w:numId="2">
    <w:abstractNumId w:val="1"/>
  </w:num>
  <w:num w16cid:durableId="1748333763" w:numId="3">
    <w:abstractNumId w:val="2"/>
  </w:num>
  <w:num w16cid:durableId="1923098057" w:numId="4">
    <w:abstractNumId w:val="3"/>
  </w:num>
  <w:num w16cid:durableId="1571887013" w:numId="5">
    <w:abstractNumId w:val="8"/>
  </w:num>
  <w:num w16cid:durableId="1451512914" w:numId="6">
    <w:abstractNumId w:val="4"/>
  </w:num>
  <w:num w16cid:durableId="1962956561" w:numId="7">
    <w:abstractNumId w:val="5"/>
  </w:num>
  <w:num w16cid:durableId="491794334" w:numId="8">
    <w:abstractNumId w:val="6"/>
  </w:num>
  <w:num w16cid:durableId="746028987" w:numId="9">
    <w:abstractNumId w:val="7"/>
  </w:num>
  <w:num w16cid:durableId="1959024300" w:numId="10">
    <w:abstractNumId w:val="9"/>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94"/>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default="1" w:styleId="Normal" w:type="paragraph">
    <w:name w:val="Normal"/>
    <w:qFormat/>
    <w:rsid w:val="00216116"/>
    <w:pPr>
      <w:spacing w:after="160"/>
    </w:pPr>
  </w:style>
  <w:style w:styleId="Heading1" w:type="paragraph">
    <w:name w:val="heading 1"/>
    <w:basedOn w:val="Normal"/>
    <w:next w:val="Normal"/>
    <w:link w:val="Heading1Char"/>
    <w:uiPriority w:val="9"/>
    <w:qFormat/>
    <w:rsid w:val="00216116"/>
    <w:pPr>
      <w:keepNext/>
      <w:keepLines/>
      <w:spacing w:after="0" w:before="480"/>
      <w:outlineLvl w:val="0"/>
    </w:pPr>
    <w:rPr>
      <w:rFonts w:asciiTheme="majorHAnsi" w:cstheme="majorBidi" w:eastAsiaTheme="majorEastAsia" w:hAnsiTheme="majorHAnsi"/>
      <w:b/>
      <w:bCs/>
      <w:color w:val="002060"/>
      <w:sz w:val="32"/>
      <w:szCs w:val="32"/>
    </w:rPr>
  </w:style>
  <w:style w:styleId="Heading2" w:type="paragraph">
    <w:name w:val="heading 2"/>
    <w:basedOn w:val="Normal"/>
    <w:next w:val="Normal"/>
    <w:link w:val="Heading2Char"/>
    <w:uiPriority w:val="9"/>
    <w:unhideWhenUsed/>
    <w:qFormat/>
    <w:rsid w:val="00216116"/>
    <w:pPr>
      <w:keepNext/>
      <w:keepLines/>
      <w:spacing w:after="0" w:before="240"/>
      <w:outlineLvl w:val="1"/>
    </w:pPr>
    <w:rPr>
      <w:rFonts w:asciiTheme="majorHAnsi" w:cstheme="majorBidi" w:eastAsiaTheme="majorEastAsia" w:hAnsiTheme="majorHAnsi"/>
      <w:b/>
      <w:bCs/>
      <w:color w:val="002060"/>
      <w:sz w:val="26"/>
      <w:szCs w:val="26"/>
    </w:rPr>
  </w:style>
  <w:style w:styleId="Heading3" w:type="paragraph">
    <w:name w:val="heading 3"/>
    <w:basedOn w:val="Normal"/>
    <w:next w:val="Normal"/>
    <w:link w:val="Heading3Char"/>
    <w:uiPriority w:val="9"/>
    <w:unhideWhenUsed/>
    <w:qFormat/>
    <w:rsid w:val="00216116"/>
    <w:pPr>
      <w:keepNext/>
      <w:keepLines/>
      <w:spacing w:after="0" w:before="160"/>
      <w:outlineLvl w:val="2"/>
    </w:pPr>
    <w:rPr>
      <w:rFonts w:asciiTheme="majorHAnsi" w:cstheme="majorBidi" w:eastAsiaTheme="majorEastAsia" w:hAnsiTheme="majorHAnsi"/>
      <w:color w:themeColor="text1" w:themeTint="A6" w:val="595959"/>
    </w:rPr>
  </w:style>
  <w:style w:styleId="Heading4" w:type="paragraph">
    <w:name w:val="heading 4"/>
    <w:basedOn w:val="Normal"/>
    <w:next w:val="Normal"/>
    <w:link w:val="Heading4Char"/>
    <w:uiPriority w:val="9"/>
    <w:unhideWhenUsed/>
    <w:qFormat/>
    <w:rsid w:val="00216116"/>
    <w:pPr>
      <w:keepNext/>
      <w:keepLines/>
      <w:spacing w:after="0" w:before="160"/>
      <w:outlineLvl w:val="3"/>
    </w:pPr>
    <w:rPr>
      <w:rFonts w:asciiTheme="majorHAnsi" w:cstheme="majorBidi" w:eastAsiaTheme="majorEastAsia" w:hAnsiTheme="majorHAnsi"/>
      <w:i/>
      <w:iCs/>
      <w:color w:themeColor="text1" w:themeTint="A6" w:val="595959"/>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Hyperlink" w:type="character">
    <w:name w:val="Hyperlink"/>
    <w:basedOn w:val="DefaultParagraphFont"/>
    <w:uiPriority w:val="99"/>
    <w:unhideWhenUsed/>
    <w:rsid w:val="0035442F"/>
    <w:rPr>
      <w:color w:themeColor="hyperlink" w:val="0563C1"/>
      <w:u w:val="single"/>
    </w:rPr>
  </w:style>
  <w:style w:styleId="UnresolvedMention" w:type="character">
    <w:name w:val="Unresolved Mention"/>
    <w:basedOn w:val="DefaultParagraphFont"/>
    <w:uiPriority w:val="99"/>
    <w:rsid w:val="0035442F"/>
    <w:rPr>
      <w:color w:val="605E5C"/>
      <w:shd w:color="auto" w:fill="E1DFDD" w:val="clear"/>
    </w:rPr>
  </w:style>
  <w:style w:styleId="Title" w:type="paragraph">
    <w:name w:val="Title"/>
    <w:basedOn w:val="Normal"/>
    <w:next w:val="Normal"/>
    <w:link w:val="TitleChar"/>
    <w:uiPriority w:val="10"/>
    <w:qFormat/>
    <w:rsid w:val="00873728"/>
    <w:pPr>
      <w:spacing w:after="360" w:before="240"/>
      <w:contextualSpacing/>
    </w:pPr>
    <w:rPr>
      <w:rFonts w:ascii="Palatino" w:cstheme="majorBidi" w:eastAsiaTheme="majorEastAsia" w:hAnsi="Palatino"/>
      <w:b/>
      <w:bCs/>
      <w:noProof/>
      <w:color w:val="002060"/>
      <w:spacing w:val="-10"/>
      <w:kern w:val="28"/>
      <w:sz w:val="56"/>
      <w:szCs w:val="56"/>
    </w:rPr>
  </w:style>
  <w:style w:customStyle="1" w:styleId="TitleChar" w:type="character">
    <w:name w:val="Title Char"/>
    <w:basedOn w:val="DefaultParagraphFont"/>
    <w:link w:val="Title"/>
    <w:uiPriority w:val="10"/>
    <w:rsid w:val="00873728"/>
    <w:rPr>
      <w:rFonts w:ascii="Palatino" w:cstheme="majorBidi" w:eastAsiaTheme="majorEastAsia" w:hAnsi="Palatino"/>
      <w:b/>
      <w:bCs/>
      <w:noProof/>
      <w:color w:val="002060"/>
      <w:spacing w:val="-10"/>
      <w:kern w:val="28"/>
      <w:sz w:val="56"/>
      <w:szCs w:val="56"/>
    </w:rPr>
  </w:style>
  <w:style w:styleId="Subtitle" w:type="paragraph">
    <w:name w:val="Subtitle"/>
    <w:basedOn w:val="Normal"/>
    <w:next w:val="Normal"/>
    <w:link w:val="SubtitleChar"/>
    <w:uiPriority w:val="11"/>
    <w:qFormat/>
    <w:rsid w:val="00216116"/>
    <w:pPr>
      <w:numPr>
        <w:ilvl w:val="1"/>
      </w:numPr>
    </w:pPr>
    <w:rPr>
      <w:rFonts w:eastAsiaTheme="minorEastAsia"/>
      <w:color w:themeColor="text1" w:themeTint="A5" w:val="5A5A5A"/>
      <w:spacing w:val="15"/>
      <w:sz w:val="22"/>
      <w:szCs w:val="22"/>
    </w:rPr>
  </w:style>
  <w:style w:customStyle="1" w:styleId="SubtitleChar" w:type="character">
    <w:name w:val="Subtitle Char"/>
    <w:basedOn w:val="DefaultParagraphFont"/>
    <w:link w:val="Subtitle"/>
    <w:uiPriority w:val="11"/>
    <w:rsid w:val="00216116"/>
    <w:rPr>
      <w:rFonts w:eastAsiaTheme="minorEastAsia"/>
      <w:color w:themeColor="text1" w:themeTint="A5" w:val="5A5A5A"/>
      <w:spacing w:val="15"/>
      <w:sz w:val="22"/>
      <w:szCs w:val="22"/>
    </w:rPr>
  </w:style>
  <w:style w:styleId="CommentReference" w:type="character">
    <w:name w:val="annotation reference"/>
    <w:basedOn w:val="DefaultParagraphFont"/>
    <w:uiPriority w:val="99"/>
    <w:semiHidden/>
    <w:unhideWhenUsed/>
    <w:rsid w:val="00216116"/>
    <w:rPr>
      <w:sz w:val="16"/>
      <w:szCs w:val="16"/>
    </w:rPr>
  </w:style>
  <w:style w:styleId="CommentText" w:type="paragraph">
    <w:name w:val="annotation text"/>
    <w:basedOn w:val="Normal"/>
    <w:link w:val="CommentTextChar"/>
    <w:uiPriority w:val="99"/>
    <w:semiHidden/>
    <w:unhideWhenUsed/>
    <w:rsid w:val="00216116"/>
    <w:rPr>
      <w:sz w:val="20"/>
      <w:szCs w:val="20"/>
    </w:rPr>
  </w:style>
  <w:style w:customStyle="1" w:styleId="CommentTextChar" w:type="character">
    <w:name w:val="Comment Text Char"/>
    <w:basedOn w:val="DefaultParagraphFont"/>
    <w:link w:val="CommentText"/>
    <w:uiPriority w:val="99"/>
    <w:semiHidden/>
    <w:rsid w:val="00216116"/>
    <w:rPr>
      <w:sz w:val="20"/>
      <w:szCs w:val="20"/>
    </w:rPr>
  </w:style>
  <w:style w:styleId="CommentSubject" w:type="paragraph">
    <w:name w:val="annotation subject"/>
    <w:basedOn w:val="CommentText"/>
    <w:next w:val="CommentText"/>
    <w:link w:val="CommentSubjectChar"/>
    <w:uiPriority w:val="99"/>
    <w:semiHidden/>
    <w:unhideWhenUsed/>
    <w:rsid w:val="00216116"/>
    <w:rPr>
      <w:b/>
      <w:bCs/>
    </w:rPr>
  </w:style>
  <w:style w:customStyle="1" w:styleId="CommentSubjectChar" w:type="character">
    <w:name w:val="Comment Subject Char"/>
    <w:basedOn w:val="CommentTextChar"/>
    <w:link w:val="CommentSubject"/>
    <w:uiPriority w:val="99"/>
    <w:semiHidden/>
    <w:rsid w:val="00216116"/>
    <w:rPr>
      <w:b/>
      <w:bCs/>
      <w:sz w:val="20"/>
      <w:szCs w:val="20"/>
    </w:rPr>
  </w:style>
  <w:style w:styleId="IntenseReference" w:type="character">
    <w:name w:val="Intense Reference"/>
    <w:basedOn w:val="DefaultParagraphFont"/>
    <w:uiPriority w:val="32"/>
    <w:qFormat/>
    <w:rsid w:val="00216116"/>
    <w:rPr>
      <w:b/>
      <w:bCs/>
      <w:smallCaps/>
      <w:color w:themeColor="accent1" w:val="4472C4"/>
      <w:spacing w:val="5"/>
    </w:rPr>
  </w:style>
  <w:style w:customStyle="1" w:styleId="MemoHeaders" w:type="paragraph">
    <w:name w:val="Memo Headers"/>
    <w:basedOn w:val="Normal"/>
    <w:qFormat/>
    <w:rsid w:val="00216116"/>
    <w:pPr>
      <w:spacing w:after="240" w:before="240"/>
      <w:contextualSpacing/>
    </w:pPr>
    <w:rPr>
      <w:b/>
      <w:bCs/>
      <w:color w:val="002060"/>
    </w:rPr>
  </w:style>
  <w:style w:customStyle="1" w:styleId="Heading1Char" w:type="character">
    <w:name w:val="Heading 1 Char"/>
    <w:basedOn w:val="DefaultParagraphFont"/>
    <w:link w:val="Heading1"/>
    <w:uiPriority w:val="9"/>
    <w:rsid w:val="00216116"/>
    <w:rPr>
      <w:rFonts w:asciiTheme="majorHAnsi" w:cstheme="majorBidi" w:eastAsiaTheme="majorEastAsia" w:hAnsiTheme="majorHAnsi"/>
      <w:b/>
      <w:bCs/>
      <w:color w:val="002060"/>
      <w:sz w:val="32"/>
      <w:szCs w:val="32"/>
    </w:rPr>
  </w:style>
  <w:style w:customStyle="1" w:styleId="Heading2Char" w:type="character">
    <w:name w:val="Heading 2 Char"/>
    <w:basedOn w:val="DefaultParagraphFont"/>
    <w:link w:val="Heading2"/>
    <w:uiPriority w:val="9"/>
    <w:rsid w:val="00216116"/>
    <w:rPr>
      <w:rFonts w:asciiTheme="majorHAnsi" w:cstheme="majorBidi" w:eastAsiaTheme="majorEastAsia" w:hAnsiTheme="majorHAnsi"/>
      <w:b/>
      <w:bCs/>
      <w:color w:val="002060"/>
      <w:sz w:val="26"/>
      <w:szCs w:val="26"/>
    </w:rPr>
  </w:style>
  <w:style w:customStyle="1" w:styleId="Heading3Char" w:type="character">
    <w:name w:val="Heading 3 Char"/>
    <w:basedOn w:val="DefaultParagraphFont"/>
    <w:link w:val="Heading3"/>
    <w:uiPriority w:val="9"/>
    <w:rsid w:val="00216116"/>
    <w:rPr>
      <w:rFonts w:asciiTheme="majorHAnsi" w:cstheme="majorBidi" w:eastAsiaTheme="majorEastAsia" w:hAnsiTheme="majorHAnsi"/>
      <w:color w:themeColor="text1" w:themeTint="A6" w:val="595959"/>
    </w:rPr>
  </w:style>
  <w:style w:customStyle="1" w:styleId="Heading4Char" w:type="character">
    <w:name w:val="Heading 4 Char"/>
    <w:basedOn w:val="DefaultParagraphFont"/>
    <w:link w:val="Heading4"/>
    <w:uiPriority w:val="9"/>
    <w:rsid w:val="00216116"/>
    <w:rPr>
      <w:rFonts w:asciiTheme="majorHAnsi" w:cstheme="majorBidi" w:eastAsiaTheme="majorEastAsia" w:hAnsiTheme="majorHAnsi"/>
      <w:i/>
      <w:iCs/>
      <w:color w:themeColor="text1" w:themeTint="A6" w:val="595959"/>
    </w:rPr>
  </w:style>
  <w:style w:styleId="SubtleEmphasis" w:type="character">
    <w:name w:val="Subtle Emphasis"/>
    <w:basedOn w:val="DefaultParagraphFont"/>
    <w:uiPriority w:val="19"/>
    <w:qFormat/>
    <w:rsid w:val="00216116"/>
    <w:rPr>
      <w:i/>
      <w:iCs/>
      <w:color w:themeColor="text1" w:themeTint="A6" w:val="595959"/>
    </w:rPr>
  </w:style>
  <w:style w:styleId="Emphasis" w:type="character">
    <w:name w:val="Emphasis"/>
    <w:basedOn w:val="DefaultParagraphFont"/>
    <w:uiPriority w:val="20"/>
    <w:qFormat/>
    <w:rsid w:val="00216116"/>
    <w:rPr>
      <w:b/>
      <w:bCs/>
      <w:i/>
      <w:iCs/>
      <w:color w:val="002060"/>
    </w:rPr>
  </w:style>
  <w:style w:styleId="IntenseEmphasis" w:type="character">
    <w:name w:val="Intense Emphasis"/>
    <w:uiPriority w:val="21"/>
    <w:qFormat/>
    <w:rsid w:val="00563945"/>
    <w:rPr>
      <w:b/>
      <w:bCs/>
      <w:color w:val="B626B5"/>
    </w:rPr>
  </w:style>
  <w:style w:styleId="TableGrid" w:type="table">
    <w:name w:val="Table Grid"/>
    <w:aliases w:val="ssrc_basic"/>
    <w:basedOn w:val="TableNormal"/>
    <w:uiPriority w:val="39"/>
    <w:rsid w:val="00650EDC"/>
    <w:rPr>
      <w:color w:themeColor="text1" w:themeTint="A6" w:val="595959"/>
      <w:sz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blStylePr w:type="firstRow">
      <w:rPr>
        <w:rFonts w:asciiTheme="minorHAnsi" w:hAnsiTheme="minorHAnsi"/>
        <w:b/>
        <w:color w:themeColor="background1" w:val="FFFFFF"/>
      </w:rPr>
      <w:tblPr/>
      <w:tcPr>
        <w:shd w:color="auto" w:fill="1F3864" w:themeFill="accent1" w:themeFillShade="80" w:val="clear"/>
      </w:tcPr>
    </w:tblStylePr>
  </w:style>
  <w:style w:styleId="Caption" w:type="paragraph">
    <w:name w:val="caption"/>
    <w:basedOn w:val="Normal"/>
    <w:next w:val="Normal"/>
    <w:uiPriority w:val="35"/>
    <w:unhideWhenUsed/>
    <w:qFormat/>
    <w:rsid w:val="00873728"/>
    <w:pPr>
      <w:spacing w:after="200"/>
    </w:pPr>
    <w:rPr>
      <w:i/>
      <w:iCs/>
      <w:color w:themeColor="text2" w:val="44546A"/>
      <w:sz w:val="18"/>
      <w:szCs w:val="18"/>
    </w:rPr>
  </w:style>
  <w:style w:customStyle="1" w:styleId="TableCaption" w:type="paragraph">
    <w:name w:val="Table Caption"/>
    <w:basedOn w:val="Caption"/>
    <w:qFormat/>
    <w:rsid w:val="00873728"/>
    <w:pPr>
      <w:keepNext/>
      <w:spacing w:after="40" w:before="200"/>
    </w:pPr>
    <w:rPr>
      <w:b/>
      <w:bCs/>
      <w:i w:val="0"/>
      <w:iCs w:val="0"/>
      <w:color w:themeColor="text1" w:themeTint="A6" w:val="595959"/>
      <w:sz w:val="20"/>
      <w:szCs w:val="20"/>
    </w:rPr>
  </w:style>
  <w:style w:customStyle="1" w:styleId="Figurecaption" w:type="paragraph">
    <w:name w:val="Figure caption"/>
    <w:basedOn w:val="Caption"/>
    <w:qFormat/>
    <w:rsid w:val="00873728"/>
    <w:rPr>
      <w:b/>
      <w:bCs/>
      <w:i w:val="0"/>
      <w:iCs w:val="0"/>
      <w:color w:themeColor="text1" w:themeTint="A6" w:val="595959"/>
      <w:sz w:val="20"/>
      <w:szCs w:val="20"/>
    </w:rPr>
  </w:style>
  <w:style w:styleId="NoSpacing" w:type="paragraph">
    <w:name w:val="No Spacing"/>
    <w:uiPriority w:val="1"/>
    <w:qFormat/>
    <w:rsid w:val="00873728"/>
  </w:style>
  <w:style w:styleId="GridTable7Colorful" w:type="table">
    <w:name w:val="Grid Table 7 Colorful"/>
    <w:basedOn w:val="TableNormal"/>
    <w:uiPriority w:val="52"/>
    <w:rsid w:val="00873728"/>
    <w:rPr>
      <w:color w:themeColor="text1" w:val="000000"/>
    </w:rPr>
    <w:tblPr>
      <w:tblStyleRowBandSize w:val="1"/>
      <w:tblStyleColBandSize w:val="1"/>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insideV w:color="666666" w:space="0" w:sz="4" w:themeColor="text1"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iCs/>
      </w:rPr>
      <w:tblPr/>
      <w:tcPr>
        <w:tcBorders>
          <w:top w:val="nil"/>
          <w:left w:val="nil"/>
          <w:bottom w:val="nil"/>
          <w:insideH w:val="nil"/>
          <w:insideV w:val="nil"/>
        </w:tcBorders>
        <w:shd w:color="auto" w:fill="FFFFFF" w:themeFill="background1" w:val="clear"/>
      </w:tcPr>
    </w:tblStylePr>
    <w:tblStylePr w:type="lastCol">
      <w:rPr>
        <w:i/>
        <w:iCs/>
      </w:rPr>
      <w:tblPr/>
      <w:tcPr>
        <w:tcBorders>
          <w:top w:val="nil"/>
          <w:bottom w:val="nil"/>
          <w:right w:val="nil"/>
          <w:insideH w:val="nil"/>
          <w:insideV w:val="nil"/>
        </w:tcBorders>
        <w:shd w:color="auto" w:fill="FFFFFF" w:themeFill="background1" w:val="clear"/>
      </w:tcPr>
    </w:tblStylePr>
    <w:tblStylePr w:type="band1Vert">
      <w:tblPr/>
      <w:tcPr>
        <w:shd w:color="auto" w:fill="CCCCCC" w:themeFill="text1" w:themeFillTint="33" w:val="clear"/>
      </w:tcPr>
    </w:tblStylePr>
    <w:tblStylePr w:type="band1Horz">
      <w:tblPr/>
      <w:tcPr>
        <w:shd w:color="auto" w:fill="CCCCCC" w:themeFill="text1" w:themeFillTint="33" w:val="clear"/>
      </w:tcPr>
    </w:tblStylePr>
    <w:tblStylePr w:type="neCell">
      <w:tblPr/>
      <w:tcPr>
        <w:tcBorders>
          <w:bottom w:color="666666" w:space="0" w:sz="4" w:themeColor="text1" w:themeTint="99" w:val="single"/>
        </w:tcBorders>
      </w:tcPr>
    </w:tblStylePr>
    <w:tblStylePr w:type="nwCell">
      <w:tblPr/>
      <w:tcPr>
        <w:tcBorders>
          <w:bottom w:color="666666" w:space="0" w:sz="4" w:themeColor="text1" w:themeTint="99" w:val="single"/>
        </w:tcBorders>
      </w:tcPr>
    </w:tblStylePr>
    <w:tblStylePr w:type="seCell">
      <w:tblPr/>
      <w:tcPr>
        <w:tcBorders>
          <w:top w:color="666666" w:space="0" w:sz="4" w:themeColor="text1" w:themeTint="99" w:val="single"/>
        </w:tcBorders>
      </w:tcPr>
    </w:tblStylePr>
    <w:tblStylePr w:type="swCell">
      <w:tblPr/>
      <w:tcPr>
        <w:tcBorders>
          <w:top w:color="666666" w:space="0" w:sz="4" w:themeColor="text1" w:themeTint="99" w:val="single"/>
        </w:tcBorders>
      </w:tcPr>
    </w:tblStylePr>
  </w:style>
  <w:style w:styleId="GridTable7Colorful-Accent3" w:type="table">
    <w:name w:val="Grid Table 7 Colorful Accent 3"/>
    <w:basedOn w:val="TableNormal"/>
    <w:uiPriority w:val="52"/>
    <w:rsid w:val="00873728"/>
    <w:rPr>
      <w:color w:themeColor="accent3" w:themeShade="BF" w:val="7B7B7B"/>
    </w:rPr>
    <w:tblPr>
      <w:tblStyleRowBandSize w:val="1"/>
      <w:tblStyleColBandSize w:val="1"/>
      <w:tblBorders>
        <w:top w:color="C9C9C9" w:space="0" w:sz="4" w:themeColor="accent3" w:themeTint="99" w:val="single"/>
        <w:left w:color="C9C9C9" w:space="0" w:sz="4" w:themeColor="accent3" w:themeTint="99" w:val="single"/>
        <w:bottom w:color="C9C9C9" w:space="0" w:sz="4" w:themeColor="accent3" w:themeTint="99" w:val="single"/>
        <w:right w:color="C9C9C9" w:space="0" w:sz="4" w:themeColor="accent3" w:themeTint="99" w:val="single"/>
        <w:insideH w:color="C9C9C9" w:space="0" w:sz="4" w:themeColor="accent3" w:themeTint="99" w:val="single"/>
        <w:insideV w:color="C9C9C9" w:space="0" w:sz="4" w:themeColor="accent3"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iCs/>
      </w:rPr>
      <w:tblPr/>
      <w:tcPr>
        <w:tcBorders>
          <w:top w:val="nil"/>
          <w:left w:val="nil"/>
          <w:bottom w:val="nil"/>
          <w:insideH w:val="nil"/>
          <w:insideV w:val="nil"/>
        </w:tcBorders>
        <w:shd w:color="auto" w:fill="FFFFFF" w:themeFill="background1" w:val="clear"/>
      </w:tcPr>
    </w:tblStylePr>
    <w:tblStylePr w:type="lastCol">
      <w:rPr>
        <w:i/>
        <w:iCs/>
      </w:rPr>
      <w:tblPr/>
      <w:tcPr>
        <w:tcBorders>
          <w:top w:val="nil"/>
          <w:bottom w:val="nil"/>
          <w:right w:val="nil"/>
          <w:insideH w:val="nil"/>
          <w:insideV w:val="nil"/>
        </w:tcBorders>
        <w:shd w:color="auto" w:fill="FFFFFF" w:themeFill="background1" w:val="clear"/>
      </w:tcPr>
    </w:tblStylePr>
    <w:tblStylePr w:type="band1Vert">
      <w:tblPr/>
      <w:tcPr>
        <w:shd w:color="auto" w:fill="EDEDED" w:themeFill="accent3" w:themeFillTint="33" w:val="clear"/>
      </w:tcPr>
    </w:tblStylePr>
    <w:tblStylePr w:type="band1Horz">
      <w:tblPr/>
      <w:tcPr>
        <w:shd w:color="auto" w:fill="EDEDED" w:themeFill="accent3" w:themeFillTint="33" w:val="clear"/>
      </w:tcPr>
    </w:tblStylePr>
    <w:tblStylePr w:type="neCell">
      <w:tblPr/>
      <w:tcPr>
        <w:tcBorders>
          <w:bottom w:color="C9C9C9" w:space="0" w:sz="4" w:themeColor="accent3" w:themeTint="99" w:val="single"/>
        </w:tcBorders>
      </w:tcPr>
    </w:tblStylePr>
    <w:tblStylePr w:type="nwCell">
      <w:tblPr/>
      <w:tcPr>
        <w:tcBorders>
          <w:bottom w:color="C9C9C9" w:space="0" w:sz="4" w:themeColor="accent3" w:themeTint="99" w:val="single"/>
        </w:tcBorders>
      </w:tcPr>
    </w:tblStylePr>
    <w:tblStylePr w:type="seCell">
      <w:tblPr/>
      <w:tcPr>
        <w:tcBorders>
          <w:top w:color="C9C9C9" w:space="0" w:sz="4" w:themeColor="accent3" w:themeTint="99" w:val="single"/>
        </w:tcBorders>
      </w:tcPr>
    </w:tblStylePr>
    <w:tblStylePr w:type="swCell">
      <w:tblPr/>
      <w:tcPr>
        <w:tcBorders>
          <w:top w:color="C9C9C9" w:space="0" w:sz="4" w:themeColor="accent3" w:themeTint="99" w:val="single"/>
        </w:tcBorders>
      </w:tcPr>
    </w:tblStylePr>
  </w:style>
  <w:style w:styleId="GridTable6Colorful-Accent3" w:type="table">
    <w:name w:val="Grid Table 6 Colorful Accent 3"/>
    <w:basedOn w:val="TableNormal"/>
    <w:uiPriority w:val="51"/>
    <w:rsid w:val="00873728"/>
    <w:rPr>
      <w:color w:themeColor="accent3" w:themeShade="BF" w:val="7B7B7B"/>
    </w:rPr>
    <w:tblPr>
      <w:tblStyleRowBandSize w:val="1"/>
      <w:tblStyleColBandSize w:val="1"/>
      <w:tblBorders>
        <w:top w:color="C9C9C9" w:space="0" w:sz="4" w:themeColor="accent3" w:themeTint="99" w:val="single"/>
        <w:left w:color="C9C9C9" w:space="0" w:sz="4" w:themeColor="accent3" w:themeTint="99" w:val="single"/>
        <w:bottom w:color="C9C9C9" w:space="0" w:sz="4" w:themeColor="accent3" w:themeTint="99" w:val="single"/>
        <w:right w:color="C9C9C9" w:space="0" w:sz="4" w:themeColor="accent3" w:themeTint="99" w:val="single"/>
        <w:insideH w:color="C9C9C9" w:space="0" w:sz="4" w:themeColor="accent3" w:themeTint="99" w:val="single"/>
        <w:insideV w:color="C9C9C9" w:space="0" w:sz="4" w:themeColor="accent3" w:themeTint="99" w:val="single"/>
      </w:tblBorders>
    </w:tblPr>
    <w:tblStylePr w:type="firstRow">
      <w:rPr>
        <w:b/>
        <w:bCs/>
      </w:rPr>
      <w:tblPr/>
      <w:tcPr>
        <w:tcBorders>
          <w:bottom w:color="C9C9C9" w:space="0" w:sz="12" w:themeColor="accent3" w:themeTint="99" w:val="single"/>
        </w:tcBorders>
      </w:tcPr>
    </w:tblStylePr>
    <w:tblStylePr w:type="lastRow">
      <w:rPr>
        <w:b/>
        <w:bCs/>
      </w:rPr>
      <w:tblPr/>
      <w:tcPr>
        <w:tcBorders>
          <w:top w:color="C9C9C9" w:space="0" w:sz="4" w:themeColor="accent3" w:themeTint="99" w:val="double"/>
        </w:tcBorders>
      </w:tcPr>
    </w:tblStylePr>
    <w:tblStylePr w:type="firstCol">
      <w:rPr>
        <w:b/>
        <w:bCs/>
      </w:rPr>
    </w:tblStylePr>
    <w:tblStylePr w:type="lastCol">
      <w:rPr>
        <w:b/>
        <w:bCs/>
      </w:rPr>
    </w:tblStylePr>
    <w:tblStylePr w:type="band1Vert">
      <w:tblPr/>
      <w:tcPr>
        <w:shd w:color="auto" w:fill="EDEDED" w:themeFill="accent3" w:themeFillTint="33" w:val="clear"/>
      </w:tcPr>
    </w:tblStylePr>
    <w:tblStylePr w:type="band1Horz">
      <w:tblPr/>
      <w:tcPr>
        <w:shd w:color="auto" w:fill="EDEDED" w:themeFill="accent3" w:themeFillTint="33" w:val="clear"/>
      </w:tcPr>
    </w:tblStylePr>
  </w:style>
  <w:style w:styleId="PlainTable3" w:type="table">
    <w:name w:val="Plain Table 3"/>
    <w:basedOn w:val="TableNormal"/>
    <w:uiPriority w:val="43"/>
    <w:rsid w:val="00873728"/>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Tableheaderstyle" w:type="paragraph">
    <w:name w:val="Table header style"/>
    <w:basedOn w:val="NoSpacing"/>
    <w:qFormat/>
    <w:rsid w:val="00104481"/>
    <w:pPr>
      <w:spacing w:after="20" w:before="20"/>
    </w:pPr>
    <w:rPr>
      <w:rFonts w:cs="Times New Roman (Body CS)"/>
      <w:b/>
      <w:caps/>
      <w:color w:themeColor="background1" w:val="FFFFFF"/>
      <w:sz w:val="22"/>
      <w:szCs w:val="22"/>
    </w:rPr>
  </w:style>
  <w:style w:customStyle="1" w:styleId="Tablebodycellstyle" w:type="paragraph">
    <w:name w:val="Table body cell style"/>
    <w:basedOn w:val="NoSpacing"/>
    <w:qFormat/>
    <w:rsid w:val="00873728"/>
    <w:rPr>
      <w:color w:themeColor="text1" w:themeTint="A6" w:val="595959"/>
      <w:sz w:val="22"/>
      <w:szCs w:val="22"/>
    </w:rPr>
  </w:style>
  <w:style w:customStyle="1" w:styleId="Tablebodycellemphasis" w:type="paragraph">
    <w:name w:val="Table body cell emphasis"/>
    <w:basedOn w:val="Tablebodycellstyle"/>
    <w:qFormat/>
    <w:rsid w:val="00563945"/>
    <w:rPr>
      <w:color w:val="B626B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hyperlink" Id="rId37" Target="https://edocs-public.dot.state.mn.us/edocs_public/DMResultSet/download?docId=26158751" TargetMode="External" /><Relationship Type="http://schemas.openxmlformats.org/officeDocument/2006/relationships/hyperlink" Id="rId35" Target="https://highways.dot.gov/sites/fhwa.dot.gov/files/2022-%2010/VRU%20Safety%20Assessment%20Guidance%20FINAL_508.pdf" TargetMode="External" /><Relationship Type="http://schemas.openxmlformats.org/officeDocument/2006/relationships/hyperlink" Id="rId39" Target="https://www.dot.state.mn.us/trafficeng/safety/vrusa.html" TargetMode="External" /><Relationship Type="http://schemas.openxmlformats.org/officeDocument/2006/relationships/hyperlink" Id="rId43" Target="https://www.visionzerosf.org/wp-content/uploads/2021/11/Severe-Injury-Trends%202011-2020%20final%20report.pdf" TargetMode="External" /></Relationships>
</file>

<file path=word/_rels/footnotes.xml.rels><?xml version="1.0" encoding="UTF-8"?><Relationships xmlns="http://schemas.openxmlformats.org/package/2006/relationships"><Relationship Type="http://schemas.openxmlformats.org/officeDocument/2006/relationships/hyperlink" Id="rId37" Target="https://edocs-public.dot.state.mn.us/edocs_public/DMResultSet/download?docId=26158751" TargetMode="External" /><Relationship Type="http://schemas.openxmlformats.org/officeDocument/2006/relationships/hyperlink" Id="rId35" Target="https://highways.dot.gov/sites/fhwa.dot.gov/files/2022-%2010/VRU%20Safety%20Assessment%20Guidance%20FINAL_508.pdf" TargetMode="External" /><Relationship Type="http://schemas.openxmlformats.org/officeDocument/2006/relationships/hyperlink" Id="rId39" Target="https://www.dot.state.mn.us/trafficeng/safety/vrusa.html" TargetMode="External" /><Relationship Type="http://schemas.openxmlformats.org/officeDocument/2006/relationships/hyperlink" Id="rId43" Target="https://www.visionzerosf.org/wp-content/uploads/2021/11/Severe-Injury-Trends%202011-2020%20final%20report.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Pages>
  <Words>86</Words>
  <Characters>495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creator>Brian</dc:creator>
  <cp:keywords/>
  <dcterms:created xsi:type="dcterms:W3CDTF">2024-06-11T15:48:44Z</dcterms:created>
  <dcterms:modified xsi:type="dcterms:W3CDTF">2024-06-11T15:48:44Z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low-html">
    <vt:lpwstr>True</vt:lpwstr>
  </property>
  <property fmtid="{D5CDD505-2E9C-101B-9397-08002B2CF9AE}" pid="3" name="authors">
    <vt:lpwstr/>
  </property>
  <property fmtid="{D5CDD505-2E9C-101B-9397-08002B2CF9AE}" pid="4" name="biblio-config">
    <vt:lpwstr>True</vt:lpwstr>
  </property>
  <property fmtid="{D5CDD505-2E9C-101B-9397-08002B2CF9AE}" pid="5" name="book">
    <vt:lpwstr/>
  </property>
  <property fmtid="{D5CDD505-2E9C-101B-9397-08002B2CF9AE}" pid="6" name="by-author">
    <vt:lpwstr/>
  </property>
  <property fmtid="{D5CDD505-2E9C-101B-9397-08002B2CF9AE}" pid="7" name="comments">
    <vt:lpwstr/>
  </property>
  <property fmtid="{D5CDD505-2E9C-101B-9397-08002B2CF9AE}" pid="8" name="crossref">
    <vt:lpwstr/>
  </property>
  <property fmtid="{D5CDD505-2E9C-101B-9397-08002B2CF9AE}" pid="9" name="date">
    <vt:lpwstr>6/11/24</vt:lpwstr>
  </property>
  <property fmtid="{D5CDD505-2E9C-101B-9397-08002B2CF9AE}" pid="10" name="header-includes">
    <vt:lpwstr/>
  </property>
  <property fmtid="{D5CDD505-2E9C-101B-9397-08002B2CF9AE}" pid="11" name="html">
    <vt:lpwstr/>
  </property>
  <property fmtid="{D5CDD505-2E9C-101B-9397-08002B2CF9AE}" pid="12" name="include-after">
    <vt:lpwstr/>
  </property>
  <property fmtid="{D5CDD505-2E9C-101B-9397-08002B2CF9AE}" pid="13" name="include-before">
    <vt:lpwstr/>
  </property>
  <property fmtid="{D5CDD505-2E9C-101B-9397-08002B2CF9AE}" pid="14" name="knitr">
    <vt:lpwstr/>
  </property>
  <property fmtid="{D5CDD505-2E9C-101B-9397-08002B2CF9AE}" pid="15" name="labels">
    <vt:lpwstr/>
  </property>
  <property fmtid="{D5CDD505-2E9C-101B-9397-08002B2CF9AE}" pid="16" name="quarto-required">
    <vt:lpwstr>1.2.475</vt:lpwstr>
  </property>
  <property fmtid="{D5CDD505-2E9C-101B-9397-08002B2CF9AE}" pid="17" name="toc-title">
    <vt:lpwstr>Table of contents</vt:lpwstr>
  </property>
  <property fmtid="{D5CDD505-2E9C-101B-9397-08002B2CF9AE}" pid="18" name="website">
    <vt:lpwstr/>
  </property>
</Properties>
</file>