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image1.png" ContentType="image/png"/>
  <Override PartName="/word/media/image2.jpeg" ContentType="image/jpeg"/>
  <Override PartName="/word/media/image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Project</w:t>
      </w:r>
      <w:r>
        <w:t xml:space="preserve"> </w:t>
      </w:r>
      <w:r>
        <w:t xml:space="preserve">Title</w:t>
      </w:r>
    </w:p>
    <w:p>
      <w:pPr>
        <w:pStyle w:val="Author"/>
      </w:pPr>
      <w:r>
        <w:t xml:space="preserve">Brian</w:t>
      </w:r>
    </w:p>
    <w:p>
      <w:pPr>
        <w:pStyle w:val="Date"/>
      </w:pPr>
      <w:r>
        <w:t xml:space="preserve">6/11/24</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"1-2" \h \z \u</w:instrText>
            <w:fldChar w:fldCharType="separate"/>
            <w:fldChar w:fldCharType="end"/>
          </w:r>
        </w:p>
      </w:sdtContent>
    </w:sdt>
    <w:bookmarkStart w:id="21" w:name="preface"/>
    <w:p>
      <w:pPr>
        <w:pStyle w:val="Heading1"/>
      </w:pPr>
      <w:r>
        <w:t xml:space="preserve">1. Preface</w:t>
      </w:r>
    </w:p>
    <w:p>
      <w:pPr>
        <w:pStyle w:val="FirstParagraph"/>
      </w:pPr>
      <w:r>
        <w:t xml:space="preserve">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bookmarkStart w:id="20" w:name="lorem-ipsum-2"/>
    <w:p>
      <w:pPr>
        <w:pStyle w:val="Heading2"/>
      </w:pPr>
      <w:r>
        <w:t xml:space="preserve">1.1 Lorem Ipsum 2</w:t>
      </w:r>
    </w:p>
    <w:p>
      <w:pPr>
        <w:pStyle w:val="FirstParagraph"/>
      </w:pPr>
      <w:r>
        <w:rPr>
          <w:iCs/>
          <w:i/>
          <w:bCs/>
          <w:b/>
        </w:rPr>
        <w:t xml:space="preserve">Lorem Ipsum</w:t>
      </w:r>
    </w:p>
    <w:p>
      <w:pPr>
        <w:pStyle w:val="BodyText"/>
      </w:pPr>
      <w:r>
        <w:t xml:space="preserve">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r>
        <w:br w:type="page"/>
      </w:r>
    </w:p>
    <w:bookmarkEnd w:id="20"/>
    <w:bookmarkEnd w:id="21"/>
    <w:bookmarkStart w:id="22" w:name="mapping-counts"/>
    <w:p>
      <w:pPr>
        <w:pStyle w:val="Heading1"/>
      </w:pPr>
      <w:r>
        <w:t xml:space="preserve">2. Mapping + Counts</w:t>
      </w:r>
    </w:p>
    <w:bookmarkEnd w:id="22"/>
    <w:bookmarkStart w:id="32" w:name="introduction"/>
    <w:p>
      <w:pPr>
        <w:pStyle w:val="Heading1"/>
      </w:pPr>
      <w:r>
        <w:t xml:space="preserve">3. Introduction</w:t>
      </w:r>
    </w:p>
    <w:p>
      <w:pPr>
        <w:pStyle w:val="FirstParagraph"/>
      </w:pPr>
      <w:r>
        <w:t xml:space="preserve">Note: counts filtered to only include counts conducted between 2018-2022. We have all historical counts for permanent counters and 2017-2023 SDC stored in our database.</w:t>
      </w:r>
    </w:p>
    <w:bookmarkStart w:id="31" w:name="count-locations"/>
    <w:p>
      <w:pPr>
        <w:pStyle w:val="Heading2"/>
      </w:pPr>
      <w:r>
        <w:t xml:space="preserve">3.1 Count Locations</w:t>
      </w:r>
    </w:p>
    <w:p>
      <w:pPr>
        <w:pStyle w:val="FirstParagraph"/>
      </w:pPr>
      <w:hyperlink w:anchor="fig-count_locs">
        <w:r>
          <w:rPr>
            <w:rStyle w:val="Hyperlink"/>
          </w:rPr>
          <w:t xml:space="preserve">Figure 3.1</w:t>
        </w:r>
      </w:hyperlink>
      <w:r>
        <w:t xml:space="preserve"> </w:t>
      </w:r>
      <w:r>
        <w:t xml:space="preserve">displays where we have permanent (magenta) and short duration counts (yellow) available for this effort.</w:t>
      </w:r>
    </w:p>
    <w:tbl>
      <w:tblPr>
        <w:tblStyle w:val="Table"/>
        <w:tblW w:type="pct" w:w="5000"/>
        <w:tblLook w:firstRow="0" w:lastRow="0" w:firstColumn="0" w:lastColumn="0" w:noHBand="0" w:noVBand="0" w:val="0000"/>
      </w:tblPr>
      <w:tblGrid>
        <w:gridCol w:w="7920"/>
      </w:tblGrid>
      <w:tr>
        <w:tc>
          <w:tcPr/>
          <w:bookmarkStart w:id="23" w:name="fig-count_locs"/>
          <w:p>
            <w:pPr>
              <w:jc w:val="center"/>
            </w:pPr>
            <w:pPr>
              <w:jc w:val="start"/>
              <w:spacing w:before="200"/>
              <w:pStyle w:val="ImageCaption"/>
            </w:pPr>
            <w:r>
              <w:t xml:space="preserve">Figure 3.1: Permanant and Short Duration Count Locations</w:t>
            </w:r>
          </w:p>
          <w:bookmarkEnd w:id="23"/>
        </w:tc>
      </w:tr>
    </w:tbl>
    <w:bookmarkStart w:id="25" w:name="permanent-counters"/>
    <w:p>
      <w:pPr>
        <w:pStyle w:val="Heading3"/>
      </w:pPr>
      <w:r>
        <w:t xml:space="preserve">3.1.1 Permanent Counters</w:t>
      </w:r>
    </w:p>
    <w:bookmarkStart w:id="24" w:name="tbl-perm_summary"/>
    <w:p>
      <w:pPr>
        <w:pStyle w:val="TableCaption"/>
      </w:pPr>
      <w:r>
        <w:t xml:space="preserve">Table 3.1: Perm Summary/Overview (only includes 2018-2022 counts).</w:t>
      </w:r>
    </w:p>
    <w:tbl>
      <w:tblPr>
        <w:tblStyle w:val="Table"/>
        <w:tblW w:type="auto" w:w="0"/>
        <w:tblLook w:firstRow="1" w:lastRow="0" w:firstColumn="0" w:lastColumn="0" w:noHBand="0" w:noVBand="0" w:val="0020"/>
        <w:tblCaption w:val="Table 3.1: Perm Summary/Overview (only includes 2018-2022 counts)."/>
      </w:tblPr>
      <w:tblGrid>
        <w:gridCol w:w="1584"/>
        <w:gridCol w:w="1584"/>
        <w:gridCol w:w="1584"/>
        <w:gridCol w:w="1584"/>
        <w:gridCol w:w="1584"/>
      </w:tblGrid>
      <w:tr>
        <w:trPr>
          <w:tblHeader w:val="true"/>
        </w:trPr>
        <w:tc>
          <w:tcPr/>
          <w:p>
            <w:pPr>
              <w:pStyle w:val="Compact"/>
              <w:jc w:val="left"/>
            </w:pPr>
            <w:r>
              <w:t xml:space="preserve">name</w:t>
            </w:r>
          </w:p>
        </w:tc>
        <w:tc>
          <w:tcPr/>
          <w:p>
            <w:pPr>
              <w:pStyle w:val="Compact"/>
              <w:jc w:val="left"/>
            </w:pPr>
            <w:r>
              <w:t xml:space="preserve">install_date</w:t>
            </w:r>
          </w:p>
        </w:tc>
        <w:tc>
          <w:tcPr/>
          <w:p>
            <w:pPr>
              <w:pStyle w:val="Compact"/>
              <w:jc w:val="left"/>
            </w:pPr>
            <w:r>
              <w:t xml:space="preserve">uninstall_date</w:t>
            </w:r>
          </w:p>
        </w:tc>
        <w:tc>
          <w:tcPr/>
          <w:p>
            <w:pPr>
              <w:pStyle w:val="Compact"/>
              <w:jc w:val="left"/>
            </w:pPr>
            <w:r>
              <w:t xml:space="preserve">obs_duration</w:t>
            </w:r>
          </w:p>
        </w:tc>
        <w:tc>
          <w:tcPr/>
          <w:p>
            <w:pPr>
              <w:pStyle w:val="Compact"/>
              <w:jc w:val="left"/>
            </w:pPr>
            <w:r>
              <w:t xml:space="preserve">modes</w:t>
            </w:r>
          </w:p>
        </w:tc>
      </w:tr>
      <w:tr>
        <w:tc>
          <w:tcPr/>
          <w:p>
            <w:pPr>
              <w:pStyle w:val="Compact"/>
              <w:jc w:val="left"/>
            </w:pPr>
            <w:r>
              <w:t xml:space="preserve">2nd Ave PBL</w:t>
            </w:r>
          </w:p>
        </w:tc>
        <w:tc>
          <w:tcPr/>
          <w:p>
            <w:pPr>
              <w:pStyle w:val="Compact"/>
              <w:jc w:val="left"/>
            </w:pPr>
            <w:r>
              <w:t xml:space="preserve">4/23/16</w:t>
            </w:r>
          </w:p>
        </w:tc>
        <w:tc>
          <w:tcPr/>
          <w:p>
            <w:pPr>
              <w:pStyle w:val="Compact"/>
            </w:pPr>
          </w:p>
        </w:tc>
        <w:tc>
          <w:tcPr/>
          <w:p>
            <w:pPr>
              <w:pStyle w:val="Compact"/>
              <w:jc w:val="left"/>
            </w:pPr>
            <w:r>
              <w:t xml:space="preserve">4 years 11 mons 30 days 23:00:00</w:t>
            </w:r>
          </w:p>
        </w:tc>
        <w:tc>
          <w:tcPr/>
          <w:p>
            <w:pPr>
              <w:pStyle w:val="Compact"/>
              <w:jc w:val="left"/>
            </w:pPr>
            <w:r>
              <w:t xml:space="preserve">Bike</w:t>
            </w:r>
          </w:p>
        </w:tc>
      </w:tr>
      <w:tr>
        <w:tc>
          <w:tcPr/>
          <w:p>
            <w:pPr>
              <w:pStyle w:val="Compact"/>
              <w:jc w:val="left"/>
            </w:pPr>
            <w:r>
              <w:t xml:space="preserve">39th Ave NE Greenway</w:t>
            </w:r>
          </w:p>
        </w:tc>
        <w:tc>
          <w:tcPr/>
          <w:p>
            <w:pPr>
              <w:pStyle w:val="Compact"/>
              <w:jc w:val="left"/>
            </w:pPr>
            <w:r>
              <w:t xml:space="preserve">1/1/14</w:t>
            </w:r>
          </w:p>
        </w:tc>
        <w:tc>
          <w:tcPr/>
          <w:p>
            <w:pPr>
              <w:pStyle w:val="Compact"/>
              <w:jc w:val="left"/>
            </w:pPr>
            <w:r>
              <w:t xml:space="preserve">5/31/18</w:t>
            </w:r>
          </w:p>
        </w:tc>
        <w:tc>
          <w:tcPr/>
          <w:p>
            <w:pPr>
              <w:pStyle w:val="Compact"/>
              <w:jc w:val="left"/>
            </w:pPr>
            <w:r>
              <w:t xml:space="preserve">0 years 4 mons 29 days 23:00:00</w:t>
            </w:r>
          </w:p>
        </w:tc>
        <w:tc>
          <w:tcPr/>
          <w:p>
            <w:pPr>
              <w:pStyle w:val="Compact"/>
              <w:jc w:val="left"/>
            </w:pPr>
            <w:r>
              <w:t xml:space="preserve">Bike</w:t>
            </w:r>
          </w:p>
        </w:tc>
      </w:tr>
      <w:tr>
        <w:tc>
          <w:tcPr/>
          <w:p>
            <w:pPr>
              <w:pStyle w:val="Compact"/>
              <w:jc w:val="left"/>
            </w:pPr>
            <w:r>
              <w:t xml:space="preserve">BGT</w:t>
            </w:r>
          </w:p>
        </w:tc>
        <w:tc>
          <w:tcPr/>
          <w:p>
            <w:pPr>
              <w:pStyle w:val="Compact"/>
              <w:jc w:val="left"/>
            </w:pPr>
            <w:r>
              <w:t xml:space="preserve">1/1/14</w:t>
            </w:r>
          </w:p>
        </w:tc>
        <w:tc>
          <w:tcPr/>
          <w:p>
            <w:pPr>
              <w:pStyle w:val="Compact"/>
            </w:pPr>
          </w:p>
        </w:tc>
        <w:tc>
          <w:tcPr/>
          <w:p>
            <w:pPr>
              <w:pStyle w:val="Compact"/>
              <w:jc w:val="left"/>
            </w:pPr>
            <w:r>
              <w:t xml:space="preserve">4 years 11 mons 30 days 23:00:00</w:t>
            </w:r>
          </w:p>
        </w:tc>
        <w:tc>
          <w:tcPr/>
          <w:p>
            <w:pPr>
              <w:pStyle w:val="Compact"/>
              <w:jc w:val="left"/>
            </w:pPr>
            <w:r>
              <w:t xml:space="preserve">Bike and Ped</w:t>
            </w:r>
          </w:p>
        </w:tc>
      </w:tr>
      <w:tr>
        <w:tc>
          <w:tcPr/>
          <w:p>
            <w:pPr>
              <w:pStyle w:val="Compact"/>
              <w:jc w:val="left"/>
            </w:pPr>
            <w:r>
              <w:t xml:space="preserve">Broadway PBL</w:t>
            </w:r>
          </w:p>
        </w:tc>
        <w:tc>
          <w:tcPr/>
          <w:p>
            <w:pPr>
              <w:pStyle w:val="Compact"/>
              <w:jc w:val="left"/>
            </w:pPr>
            <w:r>
              <w:t xml:space="preserve">1/1/14</w:t>
            </w:r>
          </w:p>
        </w:tc>
        <w:tc>
          <w:tcPr/>
          <w:p>
            <w:pPr>
              <w:pStyle w:val="Compact"/>
              <w:jc w:val="left"/>
            </w:pPr>
            <w:r>
              <w:t xml:space="preserve">10/30/21</w:t>
            </w:r>
          </w:p>
        </w:tc>
        <w:tc>
          <w:tcPr/>
          <w:p>
            <w:pPr>
              <w:pStyle w:val="Compact"/>
              <w:jc w:val="left"/>
            </w:pPr>
            <w:r>
              <w:t xml:space="preserve">3 years 9 mons 29 days 23:00:00</w:t>
            </w:r>
          </w:p>
        </w:tc>
        <w:tc>
          <w:tcPr/>
          <w:p>
            <w:pPr>
              <w:pStyle w:val="Compact"/>
              <w:jc w:val="left"/>
            </w:pPr>
            <w:r>
              <w:t xml:space="preserve">Bike</w:t>
            </w:r>
          </w:p>
        </w:tc>
      </w:tr>
      <w:tr>
        <w:tc>
          <w:tcPr/>
          <w:p>
            <w:pPr>
              <w:pStyle w:val="Compact"/>
              <w:jc w:val="left"/>
            </w:pPr>
            <w:r>
              <w:t xml:space="preserve">Chief Sealth</w:t>
            </w:r>
          </w:p>
        </w:tc>
        <w:tc>
          <w:tcPr/>
          <w:p>
            <w:pPr>
              <w:pStyle w:val="Compact"/>
              <w:jc w:val="left"/>
            </w:pPr>
            <w:r>
              <w:t xml:space="preserve">1/1/14</w:t>
            </w:r>
          </w:p>
        </w:tc>
        <w:tc>
          <w:tcPr/>
          <w:p>
            <w:pPr>
              <w:pStyle w:val="Compact"/>
              <w:jc w:val="left"/>
            </w:pPr>
            <w:r>
              <w:t xml:space="preserve">10/30/21</w:t>
            </w:r>
          </w:p>
        </w:tc>
        <w:tc>
          <w:tcPr/>
          <w:p>
            <w:pPr>
              <w:pStyle w:val="Compact"/>
              <w:jc w:val="left"/>
            </w:pPr>
            <w:r>
              <w:t xml:space="preserve">1 year 4 mons 29 days 23:00:00</w:t>
            </w:r>
          </w:p>
        </w:tc>
        <w:tc>
          <w:tcPr/>
          <w:p>
            <w:pPr>
              <w:pStyle w:val="Compact"/>
              <w:jc w:val="left"/>
            </w:pPr>
            <w:r>
              <w:t xml:space="preserve">Bike</w:t>
            </w:r>
          </w:p>
        </w:tc>
      </w:tr>
      <w:tr>
        <w:tc>
          <w:tcPr/>
          <w:p>
            <w:pPr>
              <w:pStyle w:val="Compact"/>
              <w:jc w:val="left"/>
            </w:pPr>
            <w:r>
              <w:t xml:space="preserve">Elliot Bay</w:t>
            </w:r>
          </w:p>
        </w:tc>
        <w:tc>
          <w:tcPr/>
          <w:p>
            <w:pPr>
              <w:pStyle w:val="Compact"/>
              <w:jc w:val="left"/>
            </w:pPr>
            <w:r>
              <w:t xml:space="preserve">5/11/13</w:t>
            </w:r>
          </w:p>
        </w:tc>
        <w:tc>
          <w:tcPr/>
          <w:p>
            <w:pPr>
              <w:pStyle w:val="Compact"/>
              <w:jc w:val="left"/>
            </w:pPr>
            <w:r>
              <w:t xml:space="preserve">12/11/22</w:t>
            </w:r>
          </w:p>
        </w:tc>
        <w:tc>
          <w:tcPr/>
          <w:p>
            <w:pPr>
              <w:pStyle w:val="Compact"/>
              <w:jc w:val="left"/>
            </w:pPr>
            <w:r>
              <w:t xml:space="preserve">4 years 11 mons 10 days 23:00:00</w:t>
            </w:r>
          </w:p>
        </w:tc>
        <w:tc>
          <w:tcPr/>
          <w:p>
            <w:pPr>
              <w:pStyle w:val="Compact"/>
              <w:jc w:val="left"/>
            </w:pPr>
            <w:r>
              <w:t xml:space="preserve">Bike and Ped</w:t>
            </w:r>
          </w:p>
        </w:tc>
      </w:tr>
      <w:tr>
        <w:tc>
          <w:tcPr/>
          <w:p>
            <w:pPr>
              <w:pStyle w:val="Compact"/>
              <w:jc w:val="left"/>
            </w:pPr>
            <w:r>
              <w:t xml:space="preserve">Fremont Bridge</w:t>
            </w:r>
          </w:p>
        </w:tc>
        <w:tc>
          <w:tcPr/>
          <w:p>
            <w:pPr>
              <w:pStyle w:val="Compact"/>
              <w:jc w:val="left"/>
            </w:pPr>
            <w:r>
              <w:t xml:space="preserve">10/8/12</w:t>
            </w:r>
          </w:p>
        </w:tc>
        <w:tc>
          <w:tcPr/>
          <w:p>
            <w:pPr>
              <w:pStyle w:val="Compact"/>
            </w:pPr>
          </w:p>
        </w:tc>
        <w:tc>
          <w:tcPr/>
          <w:p>
            <w:pPr>
              <w:pStyle w:val="Compact"/>
              <w:jc w:val="left"/>
            </w:pPr>
            <w:r>
              <w:t xml:space="preserve">4 years 11 mons 30 days 23:00:00</w:t>
            </w:r>
          </w:p>
        </w:tc>
        <w:tc>
          <w:tcPr/>
          <w:p>
            <w:pPr>
              <w:pStyle w:val="Compact"/>
              <w:jc w:val="left"/>
            </w:pPr>
            <w:r>
              <w:t xml:space="preserve">Bike</w:t>
            </w:r>
          </w:p>
        </w:tc>
      </w:tr>
      <w:tr>
        <w:tc>
          <w:tcPr/>
          <w:p>
            <w:pPr>
              <w:pStyle w:val="Compact"/>
              <w:jc w:val="left"/>
            </w:pPr>
            <w:r>
              <w:t xml:space="preserve">MTS or I-90 Trail</w:t>
            </w:r>
          </w:p>
        </w:tc>
        <w:tc>
          <w:tcPr/>
          <w:p>
            <w:pPr>
              <w:pStyle w:val="Compact"/>
              <w:jc w:val="left"/>
            </w:pPr>
            <w:r>
              <w:t xml:space="preserve">12/18/13</w:t>
            </w:r>
          </w:p>
        </w:tc>
        <w:tc>
          <w:tcPr/>
          <w:p>
            <w:pPr>
              <w:pStyle w:val="Compact"/>
              <w:jc w:val="left"/>
            </w:pPr>
            <w:r>
              <w:t xml:space="preserve">12/31/21</w:t>
            </w:r>
          </w:p>
        </w:tc>
        <w:tc>
          <w:tcPr/>
          <w:p>
            <w:pPr>
              <w:pStyle w:val="Compact"/>
              <w:jc w:val="left"/>
            </w:pPr>
            <w:r>
              <w:t xml:space="preserve">3 years 11 mons 30 days 23:00:00</w:t>
            </w:r>
          </w:p>
        </w:tc>
        <w:tc>
          <w:tcPr/>
          <w:p>
            <w:pPr>
              <w:pStyle w:val="Compact"/>
              <w:jc w:val="left"/>
            </w:pPr>
            <w:r>
              <w:t xml:space="preserve">Bike and Ped</w:t>
            </w:r>
          </w:p>
        </w:tc>
      </w:tr>
      <w:tr>
        <w:tc>
          <w:tcPr/>
          <w:p>
            <w:pPr>
              <w:pStyle w:val="Compact"/>
              <w:jc w:val="left"/>
            </w:pPr>
            <w:r>
              <w:t xml:space="preserve">NW 58th St</w:t>
            </w:r>
          </w:p>
        </w:tc>
        <w:tc>
          <w:tcPr/>
          <w:p>
            <w:pPr>
              <w:pStyle w:val="Compact"/>
              <w:jc w:val="left"/>
            </w:pPr>
            <w:r>
              <w:t xml:space="preserve">1/1/14</w:t>
            </w:r>
          </w:p>
        </w:tc>
        <w:tc>
          <w:tcPr/>
          <w:p>
            <w:pPr>
              <w:pStyle w:val="Compact"/>
              <w:jc w:val="left"/>
            </w:pPr>
            <w:r>
              <w:t xml:space="preserve">7/31/22</w:t>
            </w:r>
          </w:p>
        </w:tc>
        <w:tc>
          <w:tcPr/>
          <w:p>
            <w:pPr>
              <w:pStyle w:val="Compact"/>
              <w:jc w:val="left"/>
            </w:pPr>
            <w:r>
              <w:t xml:space="preserve">4 years 6 mons 30 days 23:00:00</w:t>
            </w:r>
          </w:p>
        </w:tc>
        <w:tc>
          <w:tcPr/>
          <w:p>
            <w:pPr>
              <w:pStyle w:val="Compact"/>
              <w:jc w:val="left"/>
            </w:pPr>
            <w:r>
              <w:t xml:space="preserve">Bike</w:t>
            </w:r>
          </w:p>
        </w:tc>
      </w:tr>
      <w:tr>
        <w:tc>
          <w:tcPr/>
          <w:p>
            <w:pPr>
              <w:pStyle w:val="Compact"/>
              <w:jc w:val="left"/>
            </w:pPr>
            <w:r>
              <w:t xml:space="preserve">Spokane Bridge</w:t>
            </w:r>
          </w:p>
        </w:tc>
        <w:tc>
          <w:tcPr/>
          <w:p>
            <w:pPr>
              <w:pStyle w:val="Compact"/>
              <w:jc w:val="left"/>
            </w:pPr>
            <w:r>
              <w:t xml:space="preserve">11/24/13</w:t>
            </w:r>
          </w:p>
        </w:tc>
        <w:tc>
          <w:tcPr/>
          <w:p>
            <w:pPr>
              <w:pStyle w:val="Compact"/>
            </w:pPr>
          </w:p>
        </w:tc>
        <w:tc>
          <w:tcPr/>
          <w:p>
            <w:pPr>
              <w:pStyle w:val="Compact"/>
              <w:jc w:val="left"/>
            </w:pPr>
            <w:r>
              <w:t xml:space="preserve">4 years 11 mons 30 days 23:00:00</w:t>
            </w:r>
          </w:p>
        </w:tc>
        <w:tc>
          <w:tcPr/>
          <w:p>
            <w:pPr>
              <w:pStyle w:val="Compact"/>
              <w:jc w:val="left"/>
            </w:pPr>
            <w:r>
              <w:t xml:space="preserve">Bike</w:t>
            </w:r>
          </w:p>
        </w:tc>
      </w:tr>
    </w:tbl>
    <w:bookmarkEnd w:id="24"/>
    <w:bookmarkEnd w:id="25"/>
    <w:bookmarkStart w:id="27" w:name="consectuive-zeros"/>
    <w:p>
      <w:pPr>
        <w:pStyle w:val="Heading3"/>
      </w:pPr>
      <w:r>
        <w:t xml:space="preserve">3.1.2 Consectuive Zeros</w:t>
      </w:r>
    </w:p>
    <w:bookmarkStart w:id="26" w:name="tbl-perm_summary_zero"/>
    <w:p>
      <w:pPr>
        <w:pStyle w:val="TableCaption"/>
      </w:pPr>
      <w:r>
        <w:t xml:space="preserve">Table 3.2: QC: Consectuive Zeros (only includes 2018-2022 counts).</w:t>
      </w:r>
    </w:p>
    <w:tbl>
      <w:tblPr>
        <w:tblStyle w:val="Table"/>
        <w:tblW w:type="auto" w:w="0"/>
        <w:tblLook w:firstRow="1" w:lastRow="0" w:firstColumn="0" w:lastColumn="0" w:noHBand="0" w:noVBand="0" w:val="0020"/>
        <w:tblCaption w:val="Table 3.2: QC: Consectuive Zeros (only includes 2018-2022 counts)."/>
      </w:tblPr>
      <w:tblGrid>
        <w:gridCol w:w="1584"/>
        <w:gridCol w:w="1584"/>
        <w:gridCol w:w="1584"/>
        <w:gridCol w:w="1584"/>
        <w:gridCol w:w="1584"/>
      </w:tblGrid>
      <w:tr>
        <w:trPr>
          <w:tblHeader w:val="true"/>
        </w:trPr>
        <w:tc>
          <w:tcPr/>
          <w:p>
            <w:pPr>
              <w:pStyle w:val="Compact"/>
              <w:jc w:val="left"/>
            </w:pPr>
            <w:r>
              <w:t xml:space="preserve">station_id</w:t>
            </w:r>
          </w:p>
        </w:tc>
        <w:tc>
          <w:tcPr/>
          <w:p>
            <w:pPr>
              <w:pStyle w:val="Compact"/>
              <w:jc w:val="right"/>
            </w:pPr>
            <w:r>
              <w:t xml:space="preserve">year</w:t>
            </w:r>
          </w:p>
        </w:tc>
        <w:tc>
          <w:tcPr/>
          <w:p>
            <w:pPr>
              <w:pStyle w:val="Compact"/>
              <w:jc w:val="left"/>
            </w:pPr>
            <w:r>
              <w:t xml:space="preserve">n_zero_flags</w:t>
            </w:r>
          </w:p>
        </w:tc>
        <w:tc>
          <w:tcPr/>
          <w:p>
            <w:pPr>
              <w:pStyle w:val="Compact"/>
              <w:jc w:val="left"/>
            </w:pPr>
            <w:r>
              <w:t xml:space="preserve">n_records</w:t>
            </w:r>
          </w:p>
        </w:tc>
        <w:tc>
          <w:tcPr/>
          <w:p>
            <w:pPr>
              <w:pStyle w:val="Compact"/>
              <w:jc w:val="left"/>
            </w:pPr>
            <w:r>
              <w:t xml:space="preserve">pct_flagged</w:t>
            </w:r>
          </w:p>
        </w:tc>
      </w:tr>
      <w:tr>
        <w:tc>
          <w:tcPr/>
          <w:p>
            <w:pPr>
              <w:pStyle w:val="Compact"/>
              <w:jc w:val="left"/>
            </w:pPr>
            <w:r>
              <w:t xml:space="preserve">2nd_nb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2nd_nb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2nd_nb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2nd_nb</w:t>
            </w:r>
          </w:p>
        </w:tc>
        <w:tc>
          <w:tcPr/>
          <w:p>
            <w:pPr>
              <w:pStyle w:val="Compact"/>
              <w:jc w:val="right"/>
            </w:pPr>
            <w:r>
              <w:t xml:space="preserve">2021</w:t>
            </w:r>
          </w:p>
        </w:tc>
        <w:tc>
          <w:tcPr/>
          <w:p>
            <w:pPr>
              <w:pStyle w:val="Compact"/>
              <w:jc w:val="left"/>
            </w:pPr>
            <w:r>
              <w:t xml:space="preserve">0</w:t>
            </w:r>
          </w:p>
        </w:tc>
        <w:tc>
          <w:tcPr/>
          <w:p>
            <w:pPr>
              <w:pStyle w:val="Compact"/>
              <w:jc w:val="left"/>
            </w:pPr>
            <w:r>
              <w:t xml:space="preserve">8,736</w:t>
            </w:r>
          </w:p>
        </w:tc>
        <w:tc>
          <w:tcPr/>
          <w:p>
            <w:pPr>
              <w:pStyle w:val="Compact"/>
              <w:jc w:val="left"/>
            </w:pPr>
            <w:r>
              <w:t xml:space="preserve">0.00%</w:t>
            </w:r>
          </w:p>
        </w:tc>
      </w:tr>
      <w:tr>
        <w:tc>
          <w:tcPr/>
          <w:p>
            <w:pPr>
              <w:pStyle w:val="Compact"/>
              <w:jc w:val="left"/>
            </w:pPr>
            <w:r>
              <w:t xml:space="preserve">2nd_nb</w:t>
            </w:r>
          </w:p>
        </w:tc>
        <w:tc>
          <w:tcPr/>
          <w:p>
            <w:pPr>
              <w:pStyle w:val="Compact"/>
              <w:jc w:val="right"/>
            </w:pPr>
            <w:r>
              <w:t xml:space="preserve">2022</w:t>
            </w:r>
          </w:p>
        </w:tc>
        <w:tc>
          <w:tcPr/>
          <w:p>
            <w:pPr>
              <w:pStyle w:val="Compact"/>
              <w:jc w:val="left"/>
            </w:pPr>
            <w:r>
              <w:t xml:space="preserve">12</w:t>
            </w:r>
          </w:p>
        </w:tc>
        <w:tc>
          <w:tcPr/>
          <w:p>
            <w:pPr>
              <w:pStyle w:val="Compact"/>
              <w:jc w:val="left"/>
            </w:pPr>
            <w:r>
              <w:t xml:space="preserve">8,760</w:t>
            </w:r>
          </w:p>
        </w:tc>
        <w:tc>
          <w:tcPr/>
          <w:p>
            <w:pPr>
              <w:pStyle w:val="Compact"/>
              <w:jc w:val="left"/>
            </w:pPr>
            <w:r>
              <w:t xml:space="preserve">0.14%</w:t>
            </w:r>
          </w:p>
        </w:tc>
      </w:tr>
      <w:tr>
        <w:tc>
          <w:tcPr/>
          <w:p>
            <w:pPr>
              <w:pStyle w:val="Compact"/>
              <w:jc w:val="left"/>
            </w:pPr>
            <w:r>
              <w:t xml:space="preserve">2nd_sb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2nd_sb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2nd_sb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2nd_sb</w:t>
            </w:r>
          </w:p>
        </w:tc>
        <w:tc>
          <w:tcPr/>
          <w:p>
            <w:pPr>
              <w:pStyle w:val="Compact"/>
              <w:jc w:val="right"/>
            </w:pPr>
            <w:r>
              <w:t xml:space="preserve">2021</w:t>
            </w:r>
          </w:p>
        </w:tc>
        <w:tc>
          <w:tcPr/>
          <w:p>
            <w:pPr>
              <w:pStyle w:val="Compact"/>
              <w:jc w:val="left"/>
            </w:pPr>
            <w:r>
              <w:t xml:space="preserve">0</w:t>
            </w:r>
          </w:p>
        </w:tc>
        <w:tc>
          <w:tcPr/>
          <w:p>
            <w:pPr>
              <w:pStyle w:val="Compact"/>
              <w:jc w:val="left"/>
            </w:pPr>
            <w:r>
              <w:t xml:space="preserve">8,736</w:t>
            </w:r>
          </w:p>
        </w:tc>
        <w:tc>
          <w:tcPr/>
          <w:p>
            <w:pPr>
              <w:pStyle w:val="Compact"/>
              <w:jc w:val="left"/>
            </w:pPr>
            <w:r>
              <w:t xml:space="preserve">0.00%</w:t>
            </w:r>
          </w:p>
        </w:tc>
      </w:tr>
      <w:tr>
        <w:tc>
          <w:tcPr/>
          <w:p>
            <w:pPr>
              <w:pStyle w:val="Compact"/>
              <w:jc w:val="left"/>
            </w:pPr>
            <w:r>
              <w:t xml:space="preserve">2nd_sb</w:t>
            </w:r>
          </w:p>
        </w:tc>
        <w:tc>
          <w:tcPr/>
          <w:p>
            <w:pPr>
              <w:pStyle w:val="Compact"/>
              <w:jc w:val="right"/>
            </w:pPr>
            <w:r>
              <w:t xml:space="preserve">2022</w:t>
            </w:r>
          </w:p>
        </w:tc>
        <w:tc>
          <w:tcPr/>
          <w:p>
            <w:pPr>
              <w:pStyle w:val="Compact"/>
              <w:jc w:val="left"/>
            </w:pPr>
            <w:r>
              <w:t xml:space="preserve">12</w:t>
            </w:r>
          </w:p>
        </w:tc>
        <w:tc>
          <w:tcPr/>
          <w:p>
            <w:pPr>
              <w:pStyle w:val="Compact"/>
              <w:jc w:val="left"/>
            </w:pPr>
            <w:r>
              <w:t xml:space="preserve">8,760</w:t>
            </w:r>
          </w:p>
        </w:tc>
        <w:tc>
          <w:tcPr/>
          <w:p>
            <w:pPr>
              <w:pStyle w:val="Compact"/>
              <w:jc w:val="left"/>
            </w:pPr>
            <w:r>
              <w:t xml:space="preserve">0.14%</w:t>
            </w:r>
          </w:p>
        </w:tc>
      </w:tr>
      <w:tr>
        <w:tc>
          <w:tcPr/>
          <w:p>
            <w:pPr>
              <w:pStyle w:val="Compact"/>
              <w:jc w:val="left"/>
            </w:pPr>
            <w:r>
              <w:t xml:space="preserve">39_nb</w:t>
            </w:r>
          </w:p>
        </w:tc>
        <w:tc>
          <w:tcPr/>
          <w:p>
            <w:pPr>
              <w:pStyle w:val="Compact"/>
              <w:jc w:val="right"/>
            </w:pPr>
            <w:r>
              <w:t xml:space="preserve">2018</w:t>
            </w:r>
          </w:p>
        </w:tc>
        <w:tc>
          <w:tcPr/>
          <w:p>
            <w:pPr>
              <w:pStyle w:val="Compact"/>
              <w:jc w:val="left"/>
            </w:pPr>
            <w:r>
              <w:t xml:space="preserve">18</w:t>
            </w:r>
          </w:p>
        </w:tc>
        <w:tc>
          <w:tcPr/>
          <w:p>
            <w:pPr>
              <w:pStyle w:val="Compact"/>
              <w:jc w:val="left"/>
            </w:pPr>
            <w:r>
              <w:t xml:space="preserve">3,600</w:t>
            </w:r>
          </w:p>
        </w:tc>
        <w:tc>
          <w:tcPr/>
          <w:p>
            <w:pPr>
              <w:pStyle w:val="Compact"/>
              <w:jc w:val="left"/>
            </w:pPr>
            <w:r>
              <w:t xml:space="preserve">0.50%</w:t>
            </w:r>
          </w:p>
        </w:tc>
      </w:tr>
      <w:tr>
        <w:tc>
          <w:tcPr/>
          <w:p>
            <w:pPr>
              <w:pStyle w:val="Compact"/>
              <w:jc w:val="left"/>
            </w:pPr>
            <w:r>
              <w:t xml:space="preserve">39_sb</w:t>
            </w:r>
          </w:p>
        </w:tc>
        <w:tc>
          <w:tcPr/>
          <w:p>
            <w:pPr>
              <w:pStyle w:val="Compact"/>
              <w:jc w:val="right"/>
            </w:pPr>
            <w:r>
              <w:t xml:space="preserve">2018</w:t>
            </w:r>
          </w:p>
        </w:tc>
        <w:tc>
          <w:tcPr/>
          <w:p>
            <w:pPr>
              <w:pStyle w:val="Compact"/>
              <w:jc w:val="left"/>
            </w:pPr>
            <w:r>
              <w:t xml:space="preserve">18</w:t>
            </w:r>
          </w:p>
        </w:tc>
        <w:tc>
          <w:tcPr/>
          <w:p>
            <w:pPr>
              <w:pStyle w:val="Compact"/>
              <w:jc w:val="left"/>
            </w:pPr>
            <w:r>
              <w:t xml:space="preserve">3,600</w:t>
            </w:r>
          </w:p>
        </w:tc>
        <w:tc>
          <w:tcPr/>
          <w:p>
            <w:pPr>
              <w:pStyle w:val="Compact"/>
              <w:jc w:val="left"/>
            </w:pPr>
            <w:r>
              <w:t xml:space="preserve">0.50%</w:t>
            </w:r>
          </w:p>
        </w:tc>
      </w:tr>
      <w:tr>
        <w:tc>
          <w:tcPr/>
          <w:p>
            <w:pPr>
              <w:pStyle w:val="Compact"/>
              <w:jc w:val="left"/>
            </w:pPr>
            <w:r>
              <w:t xml:space="preserve">58_eb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58_eb</w:t>
            </w:r>
          </w:p>
        </w:tc>
        <w:tc>
          <w:tcPr/>
          <w:p>
            <w:pPr>
              <w:pStyle w:val="Compact"/>
              <w:jc w:val="right"/>
            </w:pPr>
            <w:r>
              <w:t xml:space="preserve">2019</w:t>
            </w:r>
          </w:p>
        </w:tc>
        <w:tc>
          <w:tcPr/>
          <w:p>
            <w:pPr>
              <w:pStyle w:val="Compact"/>
              <w:jc w:val="left"/>
            </w:pPr>
            <w:r>
              <w:t xml:space="preserve">293</w:t>
            </w:r>
          </w:p>
        </w:tc>
        <w:tc>
          <w:tcPr/>
          <w:p>
            <w:pPr>
              <w:pStyle w:val="Compact"/>
              <w:jc w:val="left"/>
            </w:pPr>
            <w:r>
              <w:t xml:space="preserve">8,088</w:t>
            </w:r>
          </w:p>
        </w:tc>
        <w:tc>
          <w:tcPr/>
          <w:p>
            <w:pPr>
              <w:pStyle w:val="Compact"/>
              <w:jc w:val="left"/>
            </w:pPr>
            <w:r>
              <w:t xml:space="preserve">3.62%</w:t>
            </w:r>
          </w:p>
        </w:tc>
      </w:tr>
      <w:tr>
        <w:tc>
          <w:tcPr/>
          <w:p>
            <w:pPr>
              <w:pStyle w:val="Compact"/>
              <w:jc w:val="left"/>
            </w:pPr>
            <w:r>
              <w:t xml:space="preserve">58_eb</w:t>
            </w:r>
          </w:p>
        </w:tc>
        <w:tc>
          <w:tcPr/>
          <w:p>
            <w:pPr>
              <w:pStyle w:val="Compact"/>
              <w:jc w:val="right"/>
            </w:pPr>
            <w:r>
              <w:t xml:space="preserve">2020</w:t>
            </w:r>
          </w:p>
        </w:tc>
        <w:tc>
          <w:tcPr/>
          <w:p>
            <w:pPr>
              <w:pStyle w:val="Compact"/>
              <w:jc w:val="left"/>
            </w:pPr>
            <w:r>
              <w:t xml:space="preserve">327</w:t>
            </w:r>
          </w:p>
        </w:tc>
        <w:tc>
          <w:tcPr/>
          <w:p>
            <w:pPr>
              <w:pStyle w:val="Compact"/>
              <w:jc w:val="left"/>
            </w:pPr>
            <w:r>
              <w:t xml:space="preserve">8,040</w:t>
            </w:r>
          </w:p>
        </w:tc>
        <w:tc>
          <w:tcPr/>
          <w:p>
            <w:pPr>
              <w:pStyle w:val="Compact"/>
              <w:jc w:val="left"/>
            </w:pPr>
            <w:r>
              <w:t xml:space="preserve">4.07%</w:t>
            </w:r>
          </w:p>
        </w:tc>
      </w:tr>
      <w:tr>
        <w:tc>
          <w:tcPr/>
          <w:p>
            <w:pPr>
              <w:pStyle w:val="Compact"/>
              <w:jc w:val="left"/>
            </w:pPr>
            <w:r>
              <w:t xml:space="preserve">58_eb</w:t>
            </w:r>
          </w:p>
        </w:tc>
        <w:tc>
          <w:tcPr/>
          <w:p>
            <w:pPr>
              <w:pStyle w:val="Compact"/>
              <w:jc w:val="right"/>
            </w:pPr>
            <w:r>
              <w:t xml:space="preserve">2021</w:t>
            </w:r>
          </w:p>
        </w:tc>
        <w:tc>
          <w:tcPr/>
          <w:p>
            <w:pPr>
              <w:pStyle w:val="Compact"/>
              <w:jc w:val="left"/>
            </w:pPr>
            <w:r>
              <w:t xml:space="preserve">0</w:t>
            </w:r>
          </w:p>
        </w:tc>
        <w:tc>
          <w:tcPr/>
          <w:p>
            <w:pPr>
              <w:pStyle w:val="Compact"/>
              <w:jc w:val="left"/>
            </w:pPr>
            <w:r>
              <w:t xml:space="preserve">8,726</w:t>
            </w:r>
          </w:p>
        </w:tc>
        <w:tc>
          <w:tcPr/>
          <w:p>
            <w:pPr>
              <w:pStyle w:val="Compact"/>
              <w:jc w:val="left"/>
            </w:pPr>
            <w:r>
              <w:t xml:space="preserve">0.00%</w:t>
            </w:r>
          </w:p>
        </w:tc>
      </w:tr>
      <w:tr>
        <w:tc>
          <w:tcPr/>
          <w:p>
            <w:pPr>
              <w:pStyle w:val="Compact"/>
              <w:jc w:val="left"/>
            </w:pPr>
            <w:r>
              <w:t xml:space="preserve">58_eb</w:t>
            </w:r>
          </w:p>
        </w:tc>
        <w:tc>
          <w:tcPr/>
          <w:p>
            <w:pPr>
              <w:pStyle w:val="Compact"/>
              <w:jc w:val="right"/>
            </w:pPr>
            <w:r>
              <w:t xml:space="preserve">2022</w:t>
            </w:r>
          </w:p>
        </w:tc>
        <w:tc>
          <w:tcPr/>
          <w:p>
            <w:pPr>
              <w:pStyle w:val="Compact"/>
              <w:jc w:val="left"/>
            </w:pPr>
            <w:r>
              <w:t xml:space="preserve">0</w:t>
            </w:r>
          </w:p>
        </w:tc>
        <w:tc>
          <w:tcPr/>
          <w:p>
            <w:pPr>
              <w:pStyle w:val="Compact"/>
              <w:jc w:val="left"/>
            </w:pPr>
            <w:r>
              <w:t xml:space="preserve">5,088</w:t>
            </w:r>
          </w:p>
        </w:tc>
        <w:tc>
          <w:tcPr/>
          <w:p>
            <w:pPr>
              <w:pStyle w:val="Compact"/>
              <w:jc w:val="left"/>
            </w:pPr>
            <w:r>
              <w:t xml:space="preserve">0.00%</w:t>
            </w:r>
          </w:p>
        </w:tc>
      </w:tr>
      <w:tr>
        <w:tc>
          <w:tcPr/>
          <w:p>
            <w:pPr>
              <w:pStyle w:val="Compact"/>
              <w:jc w:val="left"/>
            </w:pPr>
            <w:r>
              <w:t xml:space="preserve">58_wb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58_wb</w:t>
            </w:r>
          </w:p>
        </w:tc>
        <w:tc>
          <w:tcPr/>
          <w:p>
            <w:pPr>
              <w:pStyle w:val="Compact"/>
              <w:jc w:val="right"/>
            </w:pPr>
            <w:r>
              <w:t xml:space="preserve">2019</w:t>
            </w:r>
          </w:p>
        </w:tc>
        <w:tc>
          <w:tcPr/>
          <w:p>
            <w:pPr>
              <w:pStyle w:val="Compact"/>
              <w:jc w:val="left"/>
            </w:pPr>
            <w:r>
              <w:t xml:space="preserve">271</w:t>
            </w:r>
          </w:p>
        </w:tc>
        <w:tc>
          <w:tcPr/>
          <w:p>
            <w:pPr>
              <w:pStyle w:val="Compact"/>
              <w:jc w:val="left"/>
            </w:pPr>
            <w:r>
              <w:t xml:space="preserve">8,088</w:t>
            </w:r>
          </w:p>
        </w:tc>
        <w:tc>
          <w:tcPr/>
          <w:p>
            <w:pPr>
              <w:pStyle w:val="Compact"/>
              <w:jc w:val="left"/>
            </w:pPr>
            <w:r>
              <w:t xml:space="preserve">3.35%</w:t>
            </w:r>
          </w:p>
        </w:tc>
      </w:tr>
      <w:tr>
        <w:tc>
          <w:tcPr/>
          <w:p>
            <w:pPr>
              <w:pStyle w:val="Compact"/>
              <w:jc w:val="left"/>
            </w:pPr>
            <w:r>
              <w:t xml:space="preserve">58_wb</w:t>
            </w:r>
          </w:p>
        </w:tc>
        <w:tc>
          <w:tcPr/>
          <w:p>
            <w:pPr>
              <w:pStyle w:val="Compact"/>
              <w:jc w:val="right"/>
            </w:pPr>
            <w:r>
              <w:t xml:space="preserve">2020</w:t>
            </w:r>
          </w:p>
        </w:tc>
        <w:tc>
          <w:tcPr/>
          <w:p>
            <w:pPr>
              <w:pStyle w:val="Compact"/>
              <w:jc w:val="left"/>
            </w:pPr>
            <w:r>
              <w:t xml:space="preserve">364</w:t>
            </w:r>
          </w:p>
        </w:tc>
        <w:tc>
          <w:tcPr/>
          <w:p>
            <w:pPr>
              <w:pStyle w:val="Compact"/>
              <w:jc w:val="left"/>
            </w:pPr>
            <w:r>
              <w:t xml:space="preserve">8,040</w:t>
            </w:r>
          </w:p>
        </w:tc>
        <w:tc>
          <w:tcPr/>
          <w:p>
            <w:pPr>
              <w:pStyle w:val="Compact"/>
              <w:jc w:val="left"/>
            </w:pPr>
            <w:r>
              <w:t xml:space="preserve">4.53%</w:t>
            </w:r>
          </w:p>
        </w:tc>
      </w:tr>
      <w:tr>
        <w:tc>
          <w:tcPr/>
          <w:p>
            <w:pPr>
              <w:pStyle w:val="Compact"/>
              <w:jc w:val="left"/>
            </w:pPr>
            <w:r>
              <w:t xml:space="preserve">58_wb</w:t>
            </w:r>
          </w:p>
        </w:tc>
        <w:tc>
          <w:tcPr/>
          <w:p>
            <w:pPr>
              <w:pStyle w:val="Compact"/>
              <w:jc w:val="right"/>
            </w:pPr>
            <w:r>
              <w:t xml:space="preserve">2021</w:t>
            </w:r>
          </w:p>
        </w:tc>
        <w:tc>
          <w:tcPr/>
          <w:p>
            <w:pPr>
              <w:pStyle w:val="Compact"/>
              <w:jc w:val="left"/>
            </w:pPr>
            <w:r>
              <w:t xml:space="preserve">0</w:t>
            </w:r>
          </w:p>
        </w:tc>
        <w:tc>
          <w:tcPr/>
          <w:p>
            <w:pPr>
              <w:pStyle w:val="Compact"/>
              <w:jc w:val="left"/>
            </w:pPr>
            <w:r>
              <w:t xml:space="preserve">8,726</w:t>
            </w:r>
          </w:p>
        </w:tc>
        <w:tc>
          <w:tcPr/>
          <w:p>
            <w:pPr>
              <w:pStyle w:val="Compact"/>
              <w:jc w:val="left"/>
            </w:pPr>
            <w:r>
              <w:t xml:space="preserve">0.00%</w:t>
            </w:r>
          </w:p>
        </w:tc>
      </w:tr>
      <w:tr>
        <w:tc>
          <w:tcPr/>
          <w:p>
            <w:pPr>
              <w:pStyle w:val="Compact"/>
              <w:jc w:val="left"/>
            </w:pPr>
            <w:r>
              <w:t xml:space="preserve">58_wb</w:t>
            </w:r>
          </w:p>
        </w:tc>
        <w:tc>
          <w:tcPr/>
          <w:p>
            <w:pPr>
              <w:pStyle w:val="Compact"/>
              <w:jc w:val="right"/>
            </w:pPr>
            <w:r>
              <w:t xml:space="preserve">2022</w:t>
            </w:r>
          </w:p>
        </w:tc>
        <w:tc>
          <w:tcPr/>
          <w:p>
            <w:pPr>
              <w:pStyle w:val="Compact"/>
              <w:jc w:val="left"/>
            </w:pPr>
            <w:r>
              <w:t xml:space="preserve">0</w:t>
            </w:r>
          </w:p>
        </w:tc>
        <w:tc>
          <w:tcPr/>
          <w:p>
            <w:pPr>
              <w:pStyle w:val="Compact"/>
              <w:jc w:val="left"/>
            </w:pPr>
            <w:r>
              <w:t xml:space="preserve">5,088</w:t>
            </w:r>
          </w:p>
        </w:tc>
        <w:tc>
          <w:tcPr/>
          <w:p>
            <w:pPr>
              <w:pStyle w:val="Compact"/>
              <w:jc w:val="left"/>
            </w:pPr>
            <w:r>
              <w:t xml:space="preserve">0.00%</w:t>
            </w:r>
          </w:p>
        </w:tc>
      </w:tr>
      <w:tr>
        <w:tc>
          <w:tcPr/>
          <w:p>
            <w:pPr>
              <w:pStyle w:val="Compact"/>
              <w:jc w:val="left"/>
            </w:pPr>
            <w:r>
              <w:t xml:space="preserve">90_b_eb</w:t>
            </w:r>
          </w:p>
        </w:tc>
        <w:tc>
          <w:tcPr/>
          <w:p>
            <w:pPr>
              <w:pStyle w:val="Compact"/>
              <w:jc w:val="right"/>
            </w:pPr>
            <w:r>
              <w:t xml:space="preserve">2018</w:t>
            </w:r>
          </w:p>
        </w:tc>
        <w:tc>
          <w:tcPr/>
          <w:p>
            <w:pPr>
              <w:pStyle w:val="Compact"/>
              <w:jc w:val="left"/>
            </w:pPr>
            <w:r>
              <w:t xml:space="preserve">231</w:t>
            </w:r>
          </w:p>
        </w:tc>
        <w:tc>
          <w:tcPr/>
          <w:p>
            <w:pPr>
              <w:pStyle w:val="Compact"/>
              <w:jc w:val="left"/>
            </w:pPr>
            <w:r>
              <w:t xml:space="preserve">8,760</w:t>
            </w:r>
          </w:p>
        </w:tc>
        <w:tc>
          <w:tcPr/>
          <w:p>
            <w:pPr>
              <w:pStyle w:val="Compact"/>
              <w:jc w:val="left"/>
            </w:pPr>
            <w:r>
              <w:t xml:space="preserve">2.64%</w:t>
            </w:r>
          </w:p>
        </w:tc>
      </w:tr>
      <w:tr>
        <w:tc>
          <w:tcPr/>
          <w:p>
            <w:pPr>
              <w:pStyle w:val="Compact"/>
              <w:jc w:val="left"/>
            </w:pPr>
            <w:r>
              <w:t xml:space="preserve">90_b_eb</w:t>
            </w:r>
          </w:p>
        </w:tc>
        <w:tc>
          <w:tcPr/>
          <w:p>
            <w:pPr>
              <w:pStyle w:val="Compact"/>
              <w:jc w:val="right"/>
            </w:pPr>
            <w:r>
              <w:t xml:space="preserve">2019</w:t>
            </w:r>
          </w:p>
        </w:tc>
        <w:tc>
          <w:tcPr/>
          <w:p>
            <w:pPr>
              <w:pStyle w:val="Compact"/>
              <w:jc w:val="left"/>
            </w:pPr>
            <w:r>
              <w:t xml:space="preserve">308</w:t>
            </w:r>
          </w:p>
        </w:tc>
        <w:tc>
          <w:tcPr/>
          <w:p>
            <w:pPr>
              <w:pStyle w:val="Compact"/>
              <w:jc w:val="left"/>
            </w:pPr>
            <w:r>
              <w:t xml:space="preserve">8,760</w:t>
            </w:r>
          </w:p>
        </w:tc>
        <w:tc>
          <w:tcPr/>
          <w:p>
            <w:pPr>
              <w:pStyle w:val="Compact"/>
              <w:jc w:val="left"/>
            </w:pPr>
            <w:r>
              <w:t xml:space="preserve">3.52%</w:t>
            </w:r>
          </w:p>
        </w:tc>
      </w:tr>
      <w:tr>
        <w:tc>
          <w:tcPr/>
          <w:p>
            <w:pPr>
              <w:pStyle w:val="Compact"/>
              <w:jc w:val="left"/>
            </w:pPr>
            <w:r>
              <w:t xml:space="preserve">90_b_eb</w:t>
            </w:r>
          </w:p>
        </w:tc>
        <w:tc>
          <w:tcPr/>
          <w:p>
            <w:pPr>
              <w:pStyle w:val="Compact"/>
              <w:jc w:val="right"/>
            </w:pPr>
            <w:r>
              <w:t xml:space="preserve">2020</w:t>
            </w:r>
          </w:p>
        </w:tc>
        <w:tc>
          <w:tcPr/>
          <w:p>
            <w:pPr>
              <w:pStyle w:val="Compact"/>
              <w:jc w:val="left"/>
            </w:pPr>
            <w:r>
              <w:t xml:space="preserve">170</w:t>
            </w:r>
          </w:p>
        </w:tc>
        <w:tc>
          <w:tcPr/>
          <w:p>
            <w:pPr>
              <w:pStyle w:val="Compact"/>
              <w:jc w:val="left"/>
            </w:pPr>
            <w:r>
              <w:t xml:space="preserve">8,784</w:t>
            </w:r>
          </w:p>
        </w:tc>
        <w:tc>
          <w:tcPr/>
          <w:p>
            <w:pPr>
              <w:pStyle w:val="Compact"/>
              <w:jc w:val="left"/>
            </w:pPr>
            <w:r>
              <w:t xml:space="preserve">1.94%</w:t>
            </w:r>
          </w:p>
        </w:tc>
      </w:tr>
      <w:tr>
        <w:tc>
          <w:tcPr/>
          <w:p>
            <w:pPr>
              <w:pStyle w:val="Compact"/>
              <w:jc w:val="left"/>
            </w:pPr>
            <w:r>
              <w:t xml:space="preserve">90_b_eb</w:t>
            </w:r>
          </w:p>
        </w:tc>
        <w:tc>
          <w:tcPr/>
          <w:p>
            <w:pPr>
              <w:pStyle w:val="Compact"/>
              <w:jc w:val="right"/>
            </w:pPr>
            <w:r>
              <w:t xml:space="preserve">2021</w:t>
            </w:r>
          </w:p>
        </w:tc>
        <w:tc>
          <w:tcPr/>
          <w:p>
            <w:pPr>
              <w:pStyle w:val="Compact"/>
              <w:jc w:val="left"/>
            </w:pPr>
            <w:r>
              <w:t xml:space="preserve">862</w:t>
            </w:r>
          </w:p>
        </w:tc>
        <w:tc>
          <w:tcPr/>
          <w:p>
            <w:pPr>
              <w:pStyle w:val="Compact"/>
              <w:jc w:val="left"/>
            </w:pPr>
            <w:r>
              <w:t xml:space="preserve">8,760</w:t>
            </w:r>
          </w:p>
        </w:tc>
        <w:tc>
          <w:tcPr/>
          <w:p>
            <w:pPr>
              <w:pStyle w:val="Compact"/>
              <w:jc w:val="left"/>
            </w:pPr>
            <w:r>
              <w:t xml:space="preserve">9.84%</w:t>
            </w:r>
          </w:p>
        </w:tc>
      </w:tr>
      <w:tr>
        <w:tc>
          <w:tcPr/>
          <w:p>
            <w:pPr>
              <w:pStyle w:val="Compact"/>
              <w:jc w:val="left"/>
            </w:pPr>
            <w:r>
              <w:t xml:space="preserve">90_b_wb</w:t>
            </w:r>
          </w:p>
        </w:tc>
        <w:tc>
          <w:tcPr/>
          <w:p>
            <w:pPr>
              <w:pStyle w:val="Compact"/>
              <w:jc w:val="right"/>
            </w:pPr>
            <w:r>
              <w:t xml:space="preserve">2018</w:t>
            </w:r>
          </w:p>
        </w:tc>
        <w:tc>
          <w:tcPr/>
          <w:p>
            <w:pPr>
              <w:pStyle w:val="Compact"/>
              <w:jc w:val="left"/>
            </w:pPr>
            <w:r>
              <w:t xml:space="preserve">231</w:t>
            </w:r>
          </w:p>
        </w:tc>
        <w:tc>
          <w:tcPr/>
          <w:p>
            <w:pPr>
              <w:pStyle w:val="Compact"/>
              <w:jc w:val="left"/>
            </w:pPr>
            <w:r>
              <w:t xml:space="preserve">8,760</w:t>
            </w:r>
          </w:p>
        </w:tc>
        <w:tc>
          <w:tcPr/>
          <w:p>
            <w:pPr>
              <w:pStyle w:val="Compact"/>
              <w:jc w:val="left"/>
            </w:pPr>
            <w:r>
              <w:t xml:space="preserve">2.64%</w:t>
            </w:r>
          </w:p>
        </w:tc>
      </w:tr>
      <w:tr>
        <w:tc>
          <w:tcPr/>
          <w:p>
            <w:pPr>
              <w:pStyle w:val="Compact"/>
              <w:jc w:val="left"/>
            </w:pPr>
            <w:r>
              <w:t xml:space="preserve">90_b_wb</w:t>
            </w:r>
          </w:p>
        </w:tc>
        <w:tc>
          <w:tcPr/>
          <w:p>
            <w:pPr>
              <w:pStyle w:val="Compact"/>
              <w:jc w:val="right"/>
            </w:pPr>
            <w:r>
              <w:t xml:space="preserve">2019</w:t>
            </w:r>
          </w:p>
        </w:tc>
        <w:tc>
          <w:tcPr/>
          <w:p>
            <w:pPr>
              <w:pStyle w:val="Compact"/>
              <w:jc w:val="left"/>
            </w:pPr>
            <w:r>
              <w:t xml:space="preserve">338</w:t>
            </w:r>
          </w:p>
        </w:tc>
        <w:tc>
          <w:tcPr/>
          <w:p>
            <w:pPr>
              <w:pStyle w:val="Compact"/>
              <w:jc w:val="left"/>
            </w:pPr>
            <w:r>
              <w:t xml:space="preserve">8,760</w:t>
            </w:r>
          </w:p>
        </w:tc>
        <w:tc>
          <w:tcPr/>
          <w:p>
            <w:pPr>
              <w:pStyle w:val="Compact"/>
              <w:jc w:val="left"/>
            </w:pPr>
            <w:r>
              <w:t xml:space="preserve">3.86%</w:t>
            </w:r>
          </w:p>
        </w:tc>
      </w:tr>
      <w:tr>
        <w:tc>
          <w:tcPr/>
          <w:p>
            <w:pPr>
              <w:pStyle w:val="Compact"/>
              <w:jc w:val="left"/>
            </w:pPr>
            <w:r>
              <w:t xml:space="preserve">90_b_wb</w:t>
            </w:r>
          </w:p>
        </w:tc>
        <w:tc>
          <w:tcPr/>
          <w:p>
            <w:pPr>
              <w:pStyle w:val="Compact"/>
              <w:jc w:val="right"/>
            </w:pPr>
            <w:r>
              <w:t xml:space="preserve">2020</w:t>
            </w:r>
          </w:p>
        </w:tc>
        <w:tc>
          <w:tcPr/>
          <w:p>
            <w:pPr>
              <w:pStyle w:val="Compact"/>
              <w:jc w:val="left"/>
            </w:pPr>
            <w:r>
              <w:t xml:space="preserve">170</w:t>
            </w:r>
          </w:p>
        </w:tc>
        <w:tc>
          <w:tcPr/>
          <w:p>
            <w:pPr>
              <w:pStyle w:val="Compact"/>
              <w:jc w:val="left"/>
            </w:pPr>
            <w:r>
              <w:t xml:space="preserve">8,784</w:t>
            </w:r>
          </w:p>
        </w:tc>
        <w:tc>
          <w:tcPr/>
          <w:p>
            <w:pPr>
              <w:pStyle w:val="Compact"/>
              <w:jc w:val="left"/>
            </w:pPr>
            <w:r>
              <w:t xml:space="preserve">1.94%</w:t>
            </w:r>
          </w:p>
        </w:tc>
      </w:tr>
      <w:tr>
        <w:tc>
          <w:tcPr/>
          <w:p>
            <w:pPr>
              <w:pStyle w:val="Compact"/>
              <w:jc w:val="left"/>
            </w:pPr>
            <w:r>
              <w:t xml:space="preserve">90_b_wb</w:t>
            </w:r>
          </w:p>
        </w:tc>
        <w:tc>
          <w:tcPr/>
          <w:p>
            <w:pPr>
              <w:pStyle w:val="Compact"/>
              <w:jc w:val="right"/>
            </w:pPr>
            <w:r>
              <w:t xml:space="preserve">2021</w:t>
            </w:r>
          </w:p>
        </w:tc>
        <w:tc>
          <w:tcPr/>
          <w:p>
            <w:pPr>
              <w:pStyle w:val="Compact"/>
              <w:jc w:val="left"/>
            </w:pPr>
            <w:r>
              <w:t xml:space="preserve">1,794</w:t>
            </w:r>
          </w:p>
        </w:tc>
        <w:tc>
          <w:tcPr/>
          <w:p>
            <w:pPr>
              <w:pStyle w:val="Compact"/>
              <w:jc w:val="left"/>
            </w:pPr>
            <w:r>
              <w:t xml:space="preserve">8,760</w:t>
            </w:r>
          </w:p>
        </w:tc>
        <w:tc>
          <w:tcPr/>
          <w:p>
            <w:pPr>
              <w:pStyle w:val="Compact"/>
              <w:jc w:val="left"/>
            </w:pPr>
            <w:r>
              <w:t xml:space="preserve">20.48%</w:t>
            </w:r>
          </w:p>
        </w:tc>
      </w:tr>
      <w:tr>
        <w:tc>
          <w:tcPr/>
          <w:p>
            <w:pPr>
              <w:pStyle w:val="Compact"/>
              <w:jc w:val="left"/>
            </w:pPr>
            <w:r>
              <w:t xml:space="preserve">90_p_eb</w:t>
            </w:r>
          </w:p>
        </w:tc>
        <w:tc>
          <w:tcPr/>
          <w:p>
            <w:pPr>
              <w:pStyle w:val="Compact"/>
              <w:jc w:val="right"/>
            </w:pPr>
            <w:r>
              <w:t xml:space="preserve">2018</w:t>
            </w:r>
          </w:p>
        </w:tc>
        <w:tc>
          <w:tcPr/>
          <w:p>
            <w:pPr>
              <w:pStyle w:val="Compact"/>
              <w:jc w:val="left"/>
            </w:pPr>
            <w:r>
              <w:t xml:space="preserve">231</w:t>
            </w:r>
          </w:p>
        </w:tc>
        <w:tc>
          <w:tcPr/>
          <w:p>
            <w:pPr>
              <w:pStyle w:val="Compact"/>
              <w:jc w:val="left"/>
            </w:pPr>
            <w:r>
              <w:t xml:space="preserve">8,760</w:t>
            </w:r>
          </w:p>
        </w:tc>
        <w:tc>
          <w:tcPr/>
          <w:p>
            <w:pPr>
              <w:pStyle w:val="Compact"/>
              <w:jc w:val="left"/>
            </w:pPr>
            <w:r>
              <w:t xml:space="preserve">2.64%</w:t>
            </w:r>
          </w:p>
        </w:tc>
      </w:tr>
      <w:tr>
        <w:tc>
          <w:tcPr/>
          <w:p>
            <w:pPr>
              <w:pStyle w:val="Compact"/>
              <w:jc w:val="left"/>
            </w:pPr>
            <w:r>
              <w:t xml:space="preserve">90_p_eb</w:t>
            </w:r>
          </w:p>
        </w:tc>
        <w:tc>
          <w:tcPr/>
          <w:p>
            <w:pPr>
              <w:pStyle w:val="Compact"/>
              <w:jc w:val="right"/>
            </w:pPr>
            <w:r>
              <w:t xml:space="preserve">2019</w:t>
            </w:r>
          </w:p>
        </w:tc>
        <w:tc>
          <w:tcPr/>
          <w:p>
            <w:pPr>
              <w:pStyle w:val="Compact"/>
              <w:jc w:val="left"/>
            </w:pPr>
            <w:r>
              <w:t xml:space="preserve">3,370</w:t>
            </w:r>
          </w:p>
        </w:tc>
        <w:tc>
          <w:tcPr/>
          <w:p>
            <w:pPr>
              <w:pStyle w:val="Compact"/>
              <w:jc w:val="left"/>
            </w:pPr>
            <w:r>
              <w:t xml:space="preserve">8,760</w:t>
            </w:r>
          </w:p>
        </w:tc>
        <w:tc>
          <w:tcPr/>
          <w:p>
            <w:pPr>
              <w:pStyle w:val="Compact"/>
              <w:jc w:val="left"/>
            </w:pPr>
            <w:r>
              <w:t xml:space="preserve">38.47%</w:t>
            </w:r>
          </w:p>
        </w:tc>
      </w:tr>
      <w:tr>
        <w:tc>
          <w:tcPr/>
          <w:p>
            <w:pPr>
              <w:pStyle w:val="Compact"/>
              <w:jc w:val="left"/>
            </w:pPr>
            <w:r>
              <w:t xml:space="preserve">90_p_eb</w:t>
            </w:r>
          </w:p>
        </w:tc>
        <w:tc>
          <w:tcPr/>
          <w:p>
            <w:pPr>
              <w:pStyle w:val="Compact"/>
              <w:jc w:val="right"/>
            </w:pPr>
            <w:r>
              <w:t xml:space="preserve">2020</w:t>
            </w:r>
          </w:p>
        </w:tc>
        <w:tc>
          <w:tcPr/>
          <w:p>
            <w:pPr>
              <w:pStyle w:val="Compact"/>
              <w:jc w:val="left"/>
            </w:pPr>
            <w:r>
              <w:t xml:space="preserve">7,404</w:t>
            </w:r>
          </w:p>
        </w:tc>
        <w:tc>
          <w:tcPr/>
          <w:p>
            <w:pPr>
              <w:pStyle w:val="Compact"/>
              <w:jc w:val="left"/>
            </w:pPr>
            <w:r>
              <w:t xml:space="preserve">8,784</w:t>
            </w:r>
          </w:p>
        </w:tc>
        <w:tc>
          <w:tcPr/>
          <w:p>
            <w:pPr>
              <w:pStyle w:val="Compact"/>
              <w:jc w:val="left"/>
            </w:pPr>
            <w:r>
              <w:t xml:space="preserve">84.29%</w:t>
            </w:r>
          </w:p>
        </w:tc>
      </w:tr>
      <w:tr>
        <w:tc>
          <w:tcPr/>
          <w:p>
            <w:pPr>
              <w:pStyle w:val="Compact"/>
              <w:jc w:val="left"/>
            </w:pPr>
            <w:r>
              <w:t xml:space="preserve">90_p_eb</w:t>
            </w:r>
          </w:p>
        </w:tc>
        <w:tc>
          <w:tcPr/>
          <w:p>
            <w:pPr>
              <w:pStyle w:val="Compact"/>
              <w:jc w:val="right"/>
            </w:pPr>
            <w:r>
              <w:t xml:space="preserve">2021</w:t>
            </w:r>
          </w:p>
        </w:tc>
        <w:tc>
          <w:tcPr/>
          <w:p>
            <w:pPr>
              <w:pStyle w:val="Compact"/>
              <w:jc w:val="left"/>
            </w:pPr>
            <w:r>
              <w:t xml:space="preserve">8,760</w:t>
            </w:r>
          </w:p>
        </w:tc>
        <w:tc>
          <w:tcPr/>
          <w:p>
            <w:pPr>
              <w:pStyle w:val="Compact"/>
              <w:jc w:val="left"/>
            </w:pPr>
            <w:r>
              <w:t xml:space="preserve">8,760</w:t>
            </w:r>
          </w:p>
        </w:tc>
        <w:tc>
          <w:tcPr/>
          <w:p>
            <w:pPr>
              <w:pStyle w:val="Compact"/>
              <w:jc w:val="left"/>
            </w:pPr>
            <w:r>
              <w:t xml:space="preserve">100.00%</w:t>
            </w:r>
          </w:p>
        </w:tc>
      </w:tr>
      <w:tr>
        <w:tc>
          <w:tcPr/>
          <w:p>
            <w:pPr>
              <w:pStyle w:val="Compact"/>
              <w:jc w:val="left"/>
            </w:pPr>
            <w:r>
              <w:t xml:space="preserve">90_p_wb</w:t>
            </w:r>
          </w:p>
        </w:tc>
        <w:tc>
          <w:tcPr/>
          <w:p>
            <w:pPr>
              <w:pStyle w:val="Compact"/>
              <w:jc w:val="right"/>
            </w:pPr>
            <w:r>
              <w:t xml:space="preserve">2018</w:t>
            </w:r>
          </w:p>
        </w:tc>
        <w:tc>
          <w:tcPr/>
          <w:p>
            <w:pPr>
              <w:pStyle w:val="Compact"/>
              <w:jc w:val="left"/>
            </w:pPr>
            <w:r>
              <w:t xml:space="preserve">231</w:t>
            </w:r>
          </w:p>
        </w:tc>
        <w:tc>
          <w:tcPr/>
          <w:p>
            <w:pPr>
              <w:pStyle w:val="Compact"/>
              <w:jc w:val="left"/>
            </w:pPr>
            <w:r>
              <w:t xml:space="preserve">8,760</w:t>
            </w:r>
          </w:p>
        </w:tc>
        <w:tc>
          <w:tcPr/>
          <w:p>
            <w:pPr>
              <w:pStyle w:val="Compact"/>
              <w:jc w:val="left"/>
            </w:pPr>
            <w:r>
              <w:t xml:space="preserve">2.64%</w:t>
            </w:r>
          </w:p>
        </w:tc>
      </w:tr>
      <w:tr>
        <w:tc>
          <w:tcPr/>
          <w:p>
            <w:pPr>
              <w:pStyle w:val="Compact"/>
              <w:jc w:val="left"/>
            </w:pPr>
            <w:r>
              <w:t xml:space="preserve">90_p_wb</w:t>
            </w:r>
          </w:p>
        </w:tc>
        <w:tc>
          <w:tcPr/>
          <w:p>
            <w:pPr>
              <w:pStyle w:val="Compact"/>
              <w:jc w:val="right"/>
            </w:pPr>
            <w:r>
              <w:t xml:space="preserve">2019</w:t>
            </w:r>
          </w:p>
        </w:tc>
        <w:tc>
          <w:tcPr/>
          <w:p>
            <w:pPr>
              <w:pStyle w:val="Compact"/>
              <w:jc w:val="left"/>
            </w:pPr>
            <w:r>
              <w:t xml:space="preserve">3,370</w:t>
            </w:r>
          </w:p>
        </w:tc>
        <w:tc>
          <w:tcPr/>
          <w:p>
            <w:pPr>
              <w:pStyle w:val="Compact"/>
              <w:jc w:val="left"/>
            </w:pPr>
            <w:r>
              <w:t xml:space="preserve">8,760</w:t>
            </w:r>
          </w:p>
        </w:tc>
        <w:tc>
          <w:tcPr/>
          <w:p>
            <w:pPr>
              <w:pStyle w:val="Compact"/>
              <w:jc w:val="left"/>
            </w:pPr>
            <w:r>
              <w:t xml:space="preserve">38.47%</w:t>
            </w:r>
          </w:p>
        </w:tc>
      </w:tr>
      <w:tr>
        <w:tc>
          <w:tcPr/>
          <w:p>
            <w:pPr>
              <w:pStyle w:val="Compact"/>
              <w:jc w:val="left"/>
            </w:pPr>
            <w:r>
              <w:t xml:space="preserve">90_p_wb</w:t>
            </w:r>
          </w:p>
        </w:tc>
        <w:tc>
          <w:tcPr/>
          <w:p>
            <w:pPr>
              <w:pStyle w:val="Compact"/>
              <w:jc w:val="right"/>
            </w:pPr>
            <w:r>
              <w:t xml:space="preserve">2020</w:t>
            </w:r>
          </w:p>
        </w:tc>
        <w:tc>
          <w:tcPr/>
          <w:p>
            <w:pPr>
              <w:pStyle w:val="Compact"/>
              <w:jc w:val="left"/>
            </w:pPr>
            <w:r>
              <w:t xml:space="preserve">7,404</w:t>
            </w:r>
          </w:p>
        </w:tc>
        <w:tc>
          <w:tcPr/>
          <w:p>
            <w:pPr>
              <w:pStyle w:val="Compact"/>
              <w:jc w:val="left"/>
            </w:pPr>
            <w:r>
              <w:t xml:space="preserve">8,784</w:t>
            </w:r>
          </w:p>
        </w:tc>
        <w:tc>
          <w:tcPr/>
          <w:p>
            <w:pPr>
              <w:pStyle w:val="Compact"/>
              <w:jc w:val="left"/>
            </w:pPr>
            <w:r>
              <w:t xml:space="preserve">84.29%</w:t>
            </w:r>
          </w:p>
        </w:tc>
      </w:tr>
      <w:tr>
        <w:tc>
          <w:tcPr/>
          <w:p>
            <w:pPr>
              <w:pStyle w:val="Compact"/>
              <w:jc w:val="left"/>
            </w:pPr>
            <w:r>
              <w:t xml:space="preserve">90_p_wb</w:t>
            </w:r>
          </w:p>
        </w:tc>
        <w:tc>
          <w:tcPr/>
          <w:p>
            <w:pPr>
              <w:pStyle w:val="Compact"/>
              <w:jc w:val="right"/>
            </w:pPr>
            <w:r>
              <w:t xml:space="preserve">2021</w:t>
            </w:r>
          </w:p>
        </w:tc>
        <w:tc>
          <w:tcPr/>
          <w:p>
            <w:pPr>
              <w:pStyle w:val="Compact"/>
              <w:jc w:val="left"/>
            </w:pPr>
            <w:r>
              <w:t xml:space="preserve">8,760</w:t>
            </w:r>
          </w:p>
        </w:tc>
        <w:tc>
          <w:tcPr/>
          <w:p>
            <w:pPr>
              <w:pStyle w:val="Compact"/>
              <w:jc w:val="left"/>
            </w:pPr>
            <w:r>
              <w:t xml:space="preserve">8,760</w:t>
            </w:r>
          </w:p>
        </w:tc>
        <w:tc>
          <w:tcPr/>
          <w:p>
            <w:pPr>
              <w:pStyle w:val="Compact"/>
              <w:jc w:val="left"/>
            </w:pPr>
            <w:r>
              <w:t xml:space="preserve">100.00%</w:t>
            </w:r>
          </w:p>
        </w:tc>
      </w:tr>
      <w:tr>
        <w:tc>
          <w:tcPr/>
          <w:p>
            <w:pPr>
              <w:pStyle w:val="Compact"/>
              <w:jc w:val="left"/>
            </w:pPr>
            <w:r>
              <w:t xml:space="preserve">bgt_b_nb</w:t>
            </w:r>
          </w:p>
        </w:tc>
        <w:tc>
          <w:tcPr/>
          <w:p>
            <w:pPr>
              <w:pStyle w:val="Compact"/>
              <w:jc w:val="right"/>
            </w:pPr>
            <w:r>
              <w:t xml:space="preserve">2018</w:t>
            </w:r>
          </w:p>
        </w:tc>
        <w:tc>
          <w:tcPr/>
          <w:p>
            <w:pPr>
              <w:pStyle w:val="Compact"/>
              <w:jc w:val="left"/>
            </w:pPr>
            <w:r>
              <w:t xml:space="preserve">2,390</w:t>
            </w:r>
          </w:p>
        </w:tc>
        <w:tc>
          <w:tcPr/>
          <w:p>
            <w:pPr>
              <w:pStyle w:val="Compact"/>
              <w:jc w:val="left"/>
            </w:pPr>
            <w:r>
              <w:t xml:space="preserve">8,760</w:t>
            </w:r>
          </w:p>
        </w:tc>
        <w:tc>
          <w:tcPr/>
          <w:p>
            <w:pPr>
              <w:pStyle w:val="Compact"/>
              <w:jc w:val="left"/>
            </w:pPr>
            <w:r>
              <w:t xml:space="preserve">27.28%</w:t>
            </w:r>
          </w:p>
        </w:tc>
      </w:tr>
      <w:tr>
        <w:tc>
          <w:tcPr/>
          <w:p>
            <w:pPr>
              <w:pStyle w:val="Compact"/>
              <w:jc w:val="left"/>
            </w:pPr>
            <w:r>
              <w:t xml:space="preserve">bgt_b_nb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bgt_b_nb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7,008</w:t>
            </w:r>
          </w:p>
        </w:tc>
        <w:tc>
          <w:tcPr/>
          <w:p>
            <w:pPr>
              <w:pStyle w:val="Compact"/>
              <w:jc w:val="left"/>
            </w:pPr>
            <w:r>
              <w:t xml:space="preserve">0.00%</w:t>
            </w:r>
          </w:p>
        </w:tc>
      </w:tr>
      <w:tr>
        <w:tc>
          <w:tcPr/>
          <w:p>
            <w:pPr>
              <w:pStyle w:val="Compact"/>
              <w:jc w:val="left"/>
            </w:pPr>
            <w:r>
              <w:t xml:space="preserve">bgt_b_nb</w:t>
            </w:r>
          </w:p>
        </w:tc>
        <w:tc>
          <w:tcPr/>
          <w:p>
            <w:pPr>
              <w:pStyle w:val="Compact"/>
              <w:jc w:val="right"/>
            </w:pPr>
            <w:r>
              <w:t xml:space="preserve">2021</w:t>
            </w:r>
          </w:p>
        </w:tc>
        <w:tc>
          <w:tcPr/>
          <w:p>
            <w:pPr>
              <w:pStyle w:val="Compact"/>
              <w:jc w:val="left"/>
            </w:pPr>
            <w:r>
              <w:t xml:space="preserve">0</w:t>
            </w:r>
          </w:p>
        </w:tc>
        <w:tc>
          <w:tcPr/>
          <w:p>
            <w:pPr>
              <w:pStyle w:val="Compact"/>
              <w:jc w:val="left"/>
            </w:pPr>
            <w:r>
              <w:t xml:space="preserve">1,464</w:t>
            </w:r>
          </w:p>
        </w:tc>
        <w:tc>
          <w:tcPr/>
          <w:p>
            <w:pPr>
              <w:pStyle w:val="Compact"/>
              <w:jc w:val="left"/>
            </w:pPr>
            <w:r>
              <w:t xml:space="preserve">0.00%</w:t>
            </w:r>
          </w:p>
        </w:tc>
      </w:tr>
      <w:tr>
        <w:tc>
          <w:tcPr/>
          <w:p>
            <w:pPr>
              <w:pStyle w:val="Compact"/>
              <w:jc w:val="left"/>
            </w:pPr>
            <w:r>
              <w:t xml:space="preserve">bgt_b_nb</w:t>
            </w:r>
          </w:p>
        </w:tc>
        <w:tc>
          <w:tcPr/>
          <w:p>
            <w:pPr>
              <w:pStyle w:val="Compact"/>
              <w:jc w:val="right"/>
            </w:pPr>
            <w:r>
              <w:t xml:space="preserve">2022</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bgt_b_sb</w:t>
            </w:r>
          </w:p>
        </w:tc>
        <w:tc>
          <w:tcPr/>
          <w:p>
            <w:pPr>
              <w:pStyle w:val="Compact"/>
              <w:jc w:val="right"/>
            </w:pPr>
            <w:r>
              <w:t xml:space="preserve">2018</w:t>
            </w:r>
          </w:p>
        </w:tc>
        <w:tc>
          <w:tcPr/>
          <w:p>
            <w:pPr>
              <w:pStyle w:val="Compact"/>
              <w:jc w:val="left"/>
            </w:pPr>
            <w:r>
              <w:t xml:space="preserve">2,378</w:t>
            </w:r>
          </w:p>
        </w:tc>
        <w:tc>
          <w:tcPr/>
          <w:p>
            <w:pPr>
              <w:pStyle w:val="Compact"/>
              <w:jc w:val="left"/>
            </w:pPr>
            <w:r>
              <w:t xml:space="preserve">8,760</w:t>
            </w:r>
          </w:p>
        </w:tc>
        <w:tc>
          <w:tcPr/>
          <w:p>
            <w:pPr>
              <w:pStyle w:val="Compact"/>
              <w:jc w:val="left"/>
            </w:pPr>
            <w:r>
              <w:t xml:space="preserve">27.15%</w:t>
            </w:r>
          </w:p>
        </w:tc>
      </w:tr>
      <w:tr>
        <w:tc>
          <w:tcPr/>
          <w:p>
            <w:pPr>
              <w:pStyle w:val="Compact"/>
              <w:jc w:val="left"/>
            </w:pPr>
            <w:r>
              <w:t xml:space="preserve">bgt_b_sb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bgt_b_sb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7,008</w:t>
            </w:r>
          </w:p>
        </w:tc>
        <w:tc>
          <w:tcPr/>
          <w:p>
            <w:pPr>
              <w:pStyle w:val="Compact"/>
              <w:jc w:val="left"/>
            </w:pPr>
            <w:r>
              <w:t xml:space="preserve">0.00%</w:t>
            </w:r>
          </w:p>
        </w:tc>
      </w:tr>
      <w:tr>
        <w:tc>
          <w:tcPr/>
          <w:p>
            <w:pPr>
              <w:pStyle w:val="Compact"/>
              <w:jc w:val="left"/>
            </w:pPr>
            <w:r>
              <w:t xml:space="preserve">bgt_b_sb</w:t>
            </w:r>
          </w:p>
        </w:tc>
        <w:tc>
          <w:tcPr/>
          <w:p>
            <w:pPr>
              <w:pStyle w:val="Compact"/>
              <w:jc w:val="right"/>
            </w:pPr>
            <w:r>
              <w:t xml:space="preserve">2021</w:t>
            </w:r>
          </w:p>
        </w:tc>
        <w:tc>
          <w:tcPr/>
          <w:p>
            <w:pPr>
              <w:pStyle w:val="Compact"/>
              <w:jc w:val="left"/>
            </w:pPr>
            <w:r>
              <w:t xml:space="preserve">0</w:t>
            </w:r>
          </w:p>
        </w:tc>
        <w:tc>
          <w:tcPr/>
          <w:p>
            <w:pPr>
              <w:pStyle w:val="Compact"/>
              <w:jc w:val="left"/>
            </w:pPr>
            <w:r>
              <w:t xml:space="preserve">1,464</w:t>
            </w:r>
          </w:p>
        </w:tc>
        <w:tc>
          <w:tcPr/>
          <w:p>
            <w:pPr>
              <w:pStyle w:val="Compact"/>
              <w:jc w:val="left"/>
            </w:pPr>
            <w:r>
              <w:t xml:space="preserve">0.00%</w:t>
            </w:r>
          </w:p>
        </w:tc>
      </w:tr>
      <w:tr>
        <w:tc>
          <w:tcPr/>
          <w:p>
            <w:pPr>
              <w:pStyle w:val="Compact"/>
              <w:jc w:val="left"/>
            </w:pPr>
            <w:r>
              <w:t xml:space="preserve">bgt_b_sb</w:t>
            </w:r>
          </w:p>
        </w:tc>
        <w:tc>
          <w:tcPr/>
          <w:p>
            <w:pPr>
              <w:pStyle w:val="Compact"/>
              <w:jc w:val="right"/>
            </w:pPr>
            <w:r>
              <w:t xml:space="preserve">2022</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bgt_p_nb</w:t>
            </w:r>
          </w:p>
        </w:tc>
        <w:tc>
          <w:tcPr/>
          <w:p>
            <w:pPr>
              <w:pStyle w:val="Compact"/>
              <w:jc w:val="right"/>
            </w:pPr>
            <w:r>
              <w:t xml:space="preserve">2018</w:t>
            </w:r>
          </w:p>
        </w:tc>
        <w:tc>
          <w:tcPr/>
          <w:p>
            <w:pPr>
              <w:pStyle w:val="Compact"/>
              <w:jc w:val="left"/>
            </w:pPr>
            <w:r>
              <w:t xml:space="preserve">2,488</w:t>
            </w:r>
          </w:p>
        </w:tc>
        <w:tc>
          <w:tcPr/>
          <w:p>
            <w:pPr>
              <w:pStyle w:val="Compact"/>
              <w:jc w:val="left"/>
            </w:pPr>
            <w:r>
              <w:t xml:space="preserve">8,760</w:t>
            </w:r>
          </w:p>
        </w:tc>
        <w:tc>
          <w:tcPr/>
          <w:p>
            <w:pPr>
              <w:pStyle w:val="Compact"/>
              <w:jc w:val="left"/>
            </w:pPr>
            <w:r>
              <w:t xml:space="preserve">28.40%</w:t>
            </w:r>
          </w:p>
        </w:tc>
      </w:tr>
      <w:tr>
        <w:tc>
          <w:tcPr/>
          <w:p>
            <w:pPr>
              <w:pStyle w:val="Compact"/>
              <w:jc w:val="left"/>
            </w:pPr>
            <w:r>
              <w:t xml:space="preserve">bgt_p_nb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bgt_p_nb</w:t>
            </w:r>
          </w:p>
        </w:tc>
        <w:tc>
          <w:tcPr/>
          <w:p>
            <w:pPr>
              <w:pStyle w:val="Compact"/>
              <w:jc w:val="right"/>
            </w:pPr>
            <w:r>
              <w:t xml:space="preserve">2020</w:t>
            </w:r>
          </w:p>
        </w:tc>
        <w:tc>
          <w:tcPr/>
          <w:p>
            <w:pPr>
              <w:pStyle w:val="Compact"/>
              <w:jc w:val="left"/>
            </w:pPr>
            <w:r>
              <w:t xml:space="preserve">363</w:t>
            </w:r>
          </w:p>
        </w:tc>
        <w:tc>
          <w:tcPr/>
          <w:p>
            <w:pPr>
              <w:pStyle w:val="Compact"/>
              <w:jc w:val="left"/>
            </w:pPr>
            <w:r>
              <w:t xml:space="preserve">7,008</w:t>
            </w:r>
          </w:p>
        </w:tc>
        <w:tc>
          <w:tcPr/>
          <w:p>
            <w:pPr>
              <w:pStyle w:val="Compact"/>
              <w:jc w:val="left"/>
            </w:pPr>
            <w:r>
              <w:t xml:space="preserve">5.18%</w:t>
            </w:r>
          </w:p>
        </w:tc>
      </w:tr>
      <w:tr>
        <w:tc>
          <w:tcPr/>
          <w:p>
            <w:pPr>
              <w:pStyle w:val="Compact"/>
              <w:jc w:val="left"/>
            </w:pPr>
            <w:r>
              <w:t xml:space="preserve">bgt_p_nb</w:t>
            </w:r>
          </w:p>
        </w:tc>
        <w:tc>
          <w:tcPr/>
          <w:p>
            <w:pPr>
              <w:pStyle w:val="Compact"/>
              <w:jc w:val="right"/>
            </w:pPr>
            <w:r>
              <w:t xml:space="preserve">2021</w:t>
            </w:r>
          </w:p>
        </w:tc>
        <w:tc>
          <w:tcPr/>
          <w:p>
            <w:pPr>
              <w:pStyle w:val="Compact"/>
              <w:jc w:val="left"/>
            </w:pPr>
            <w:r>
              <w:t xml:space="preserve">1,464</w:t>
            </w:r>
          </w:p>
        </w:tc>
        <w:tc>
          <w:tcPr/>
          <w:p>
            <w:pPr>
              <w:pStyle w:val="Compact"/>
              <w:jc w:val="left"/>
            </w:pPr>
            <w:r>
              <w:t xml:space="preserve">1,464</w:t>
            </w:r>
          </w:p>
        </w:tc>
        <w:tc>
          <w:tcPr/>
          <w:p>
            <w:pPr>
              <w:pStyle w:val="Compact"/>
              <w:jc w:val="left"/>
            </w:pPr>
            <w:r>
              <w:t xml:space="preserve">100.00%</w:t>
            </w:r>
          </w:p>
        </w:tc>
      </w:tr>
      <w:tr>
        <w:tc>
          <w:tcPr/>
          <w:p>
            <w:pPr>
              <w:pStyle w:val="Compact"/>
              <w:jc w:val="left"/>
            </w:pPr>
            <w:r>
              <w:t xml:space="preserve">bgt_p_nb</w:t>
            </w:r>
          </w:p>
        </w:tc>
        <w:tc>
          <w:tcPr/>
          <w:p>
            <w:pPr>
              <w:pStyle w:val="Compact"/>
              <w:jc w:val="right"/>
            </w:pPr>
            <w:r>
              <w:t xml:space="preserve">2022</w:t>
            </w:r>
          </w:p>
        </w:tc>
        <w:tc>
          <w:tcPr/>
          <w:p>
            <w:pPr>
              <w:pStyle w:val="Compact"/>
              <w:jc w:val="left"/>
            </w:pPr>
            <w:r>
              <w:t xml:space="preserve">8,760</w:t>
            </w:r>
          </w:p>
        </w:tc>
        <w:tc>
          <w:tcPr/>
          <w:p>
            <w:pPr>
              <w:pStyle w:val="Compact"/>
              <w:jc w:val="left"/>
            </w:pPr>
            <w:r>
              <w:t xml:space="preserve">8,760</w:t>
            </w:r>
          </w:p>
        </w:tc>
        <w:tc>
          <w:tcPr/>
          <w:p>
            <w:pPr>
              <w:pStyle w:val="Compact"/>
              <w:jc w:val="left"/>
            </w:pPr>
            <w:r>
              <w:t xml:space="preserve">100.00%</w:t>
            </w:r>
          </w:p>
        </w:tc>
      </w:tr>
      <w:tr>
        <w:tc>
          <w:tcPr/>
          <w:p>
            <w:pPr>
              <w:pStyle w:val="Compact"/>
              <w:jc w:val="left"/>
            </w:pPr>
            <w:r>
              <w:t xml:space="preserve">bgt_p_sb</w:t>
            </w:r>
          </w:p>
        </w:tc>
        <w:tc>
          <w:tcPr/>
          <w:p>
            <w:pPr>
              <w:pStyle w:val="Compact"/>
              <w:jc w:val="right"/>
            </w:pPr>
            <w:r>
              <w:t xml:space="preserve">2018</w:t>
            </w:r>
          </w:p>
        </w:tc>
        <w:tc>
          <w:tcPr/>
          <w:p>
            <w:pPr>
              <w:pStyle w:val="Compact"/>
              <w:jc w:val="left"/>
            </w:pPr>
            <w:r>
              <w:t xml:space="preserve">2,486</w:t>
            </w:r>
          </w:p>
        </w:tc>
        <w:tc>
          <w:tcPr/>
          <w:p>
            <w:pPr>
              <w:pStyle w:val="Compact"/>
              <w:jc w:val="left"/>
            </w:pPr>
            <w:r>
              <w:t xml:space="preserve">8,760</w:t>
            </w:r>
          </w:p>
        </w:tc>
        <w:tc>
          <w:tcPr/>
          <w:p>
            <w:pPr>
              <w:pStyle w:val="Compact"/>
              <w:jc w:val="left"/>
            </w:pPr>
            <w:r>
              <w:t xml:space="preserve">28.38%</w:t>
            </w:r>
          </w:p>
        </w:tc>
      </w:tr>
      <w:tr>
        <w:tc>
          <w:tcPr/>
          <w:p>
            <w:pPr>
              <w:pStyle w:val="Compact"/>
              <w:jc w:val="left"/>
            </w:pPr>
            <w:r>
              <w:t xml:space="preserve">bgt_p_sb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bgt_p_sb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7,008</w:t>
            </w:r>
          </w:p>
        </w:tc>
        <w:tc>
          <w:tcPr/>
          <w:p>
            <w:pPr>
              <w:pStyle w:val="Compact"/>
              <w:jc w:val="left"/>
            </w:pPr>
            <w:r>
              <w:t xml:space="preserve">0.00%</w:t>
            </w:r>
          </w:p>
        </w:tc>
      </w:tr>
      <w:tr>
        <w:tc>
          <w:tcPr/>
          <w:p>
            <w:pPr>
              <w:pStyle w:val="Compact"/>
              <w:jc w:val="left"/>
            </w:pPr>
            <w:r>
              <w:t xml:space="preserve">bgt_p_sb</w:t>
            </w:r>
          </w:p>
        </w:tc>
        <w:tc>
          <w:tcPr/>
          <w:p>
            <w:pPr>
              <w:pStyle w:val="Compact"/>
              <w:jc w:val="right"/>
            </w:pPr>
            <w:r>
              <w:t xml:space="preserve">2021</w:t>
            </w:r>
          </w:p>
        </w:tc>
        <w:tc>
          <w:tcPr/>
          <w:p>
            <w:pPr>
              <w:pStyle w:val="Compact"/>
              <w:jc w:val="left"/>
            </w:pPr>
            <w:r>
              <w:t xml:space="preserve">1,464</w:t>
            </w:r>
          </w:p>
        </w:tc>
        <w:tc>
          <w:tcPr/>
          <w:p>
            <w:pPr>
              <w:pStyle w:val="Compact"/>
              <w:jc w:val="left"/>
            </w:pPr>
            <w:r>
              <w:t xml:space="preserve">1,464</w:t>
            </w:r>
          </w:p>
        </w:tc>
        <w:tc>
          <w:tcPr/>
          <w:p>
            <w:pPr>
              <w:pStyle w:val="Compact"/>
              <w:jc w:val="left"/>
            </w:pPr>
            <w:r>
              <w:t xml:space="preserve">100.00%</w:t>
            </w:r>
          </w:p>
        </w:tc>
      </w:tr>
      <w:tr>
        <w:tc>
          <w:tcPr/>
          <w:p>
            <w:pPr>
              <w:pStyle w:val="Compact"/>
              <w:jc w:val="left"/>
            </w:pPr>
            <w:r>
              <w:t xml:space="preserve">bgt_p_sb</w:t>
            </w:r>
          </w:p>
        </w:tc>
        <w:tc>
          <w:tcPr/>
          <w:p>
            <w:pPr>
              <w:pStyle w:val="Compact"/>
              <w:jc w:val="right"/>
            </w:pPr>
            <w:r>
              <w:t xml:space="preserve">2022</w:t>
            </w:r>
          </w:p>
        </w:tc>
        <w:tc>
          <w:tcPr/>
          <w:p>
            <w:pPr>
              <w:pStyle w:val="Compact"/>
              <w:jc w:val="left"/>
            </w:pPr>
            <w:r>
              <w:t xml:space="preserve">8,760</w:t>
            </w:r>
          </w:p>
        </w:tc>
        <w:tc>
          <w:tcPr/>
          <w:p>
            <w:pPr>
              <w:pStyle w:val="Compact"/>
              <w:jc w:val="left"/>
            </w:pPr>
            <w:r>
              <w:t xml:space="preserve">8,760</w:t>
            </w:r>
          </w:p>
        </w:tc>
        <w:tc>
          <w:tcPr/>
          <w:p>
            <w:pPr>
              <w:pStyle w:val="Compact"/>
              <w:jc w:val="left"/>
            </w:pPr>
            <w:r>
              <w:t xml:space="preserve">100.00%</w:t>
            </w:r>
          </w:p>
        </w:tc>
      </w:tr>
      <w:tr>
        <w:tc>
          <w:tcPr/>
          <w:p>
            <w:pPr>
              <w:pStyle w:val="Compact"/>
              <w:jc w:val="left"/>
            </w:pPr>
            <w:r>
              <w:t xml:space="preserve">brd_nb</w:t>
            </w:r>
          </w:p>
        </w:tc>
        <w:tc>
          <w:tcPr/>
          <w:p>
            <w:pPr>
              <w:pStyle w:val="Compact"/>
              <w:jc w:val="right"/>
            </w:pPr>
            <w:r>
              <w:t xml:space="preserve">2018</w:t>
            </w:r>
          </w:p>
        </w:tc>
        <w:tc>
          <w:tcPr/>
          <w:p>
            <w:pPr>
              <w:pStyle w:val="Compact"/>
              <w:jc w:val="left"/>
            </w:pPr>
            <w:r>
              <w:t xml:space="preserve">112</w:t>
            </w:r>
          </w:p>
        </w:tc>
        <w:tc>
          <w:tcPr/>
          <w:p>
            <w:pPr>
              <w:pStyle w:val="Compact"/>
              <w:jc w:val="left"/>
            </w:pPr>
            <w:r>
              <w:t xml:space="preserve">8,760</w:t>
            </w:r>
          </w:p>
        </w:tc>
        <w:tc>
          <w:tcPr/>
          <w:p>
            <w:pPr>
              <w:pStyle w:val="Compact"/>
              <w:jc w:val="left"/>
            </w:pPr>
            <w:r>
              <w:t xml:space="preserve">1.28%</w:t>
            </w:r>
          </w:p>
        </w:tc>
      </w:tr>
      <w:tr>
        <w:tc>
          <w:tcPr/>
          <w:p>
            <w:pPr>
              <w:pStyle w:val="Compact"/>
              <w:jc w:val="left"/>
            </w:pPr>
            <w:r>
              <w:t xml:space="preserve">brd_nb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7,344</w:t>
            </w:r>
          </w:p>
        </w:tc>
        <w:tc>
          <w:tcPr/>
          <w:p>
            <w:pPr>
              <w:pStyle w:val="Compact"/>
              <w:jc w:val="left"/>
            </w:pPr>
            <w:r>
              <w:t xml:space="preserve">0.00%</w:t>
            </w:r>
          </w:p>
        </w:tc>
      </w:tr>
      <w:tr>
        <w:tc>
          <w:tcPr/>
          <w:p>
            <w:pPr>
              <w:pStyle w:val="Compact"/>
              <w:jc w:val="left"/>
            </w:pPr>
            <w:r>
              <w:t xml:space="preserve">brd_nb</w:t>
            </w:r>
          </w:p>
        </w:tc>
        <w:tc>
          <w:tcPr/>
          <w:p>
            <w:pPr>
              <w:pStyle w:val="Compact"/>
              <w:jc w:val="right"/>
            </w:pPr>
            <w:r>
              <w:t xml:space="preserve">2020</w:t>
            </w:r>
          </w:p>
        </w:tc>
        <w:tc>
          <w:tcPr/>
          <w:p>
            <w:pPr>
              <w:pStyle w:val="Compact"/>
              <w:jc w:val="left"/>
            </w:pPr>
            <w:r>
              <w:t xml:space="preserve">629</w:t>
            </w:r>
          </w:p>
        </w:tc>
        <w:tc>
          <w:tcPr/>
          <w:p>
            <w:pPr>
              <w:pStyle w:val="Compact"/>
              <w:jc w:val="left"/>
            </w:pPr>
            <w:r>
              <w:t xml:space="preserve">5,112</w:t>
            </w:r>
          </w:p>
        </w:tc>
        <w:tc>
          <w:tcPr/>
          <w:p>
            <w:pPr>
              <w:pStyle w:val="Compact"/>
              <w:jc w:val="left"/>
            </w:pPr>
            <w:r>
              <w:t xml:space="preserve">12.30%</w:t>
            </w:r>
          </w:p>
        </w:tc>
      </w:tr>
      <w:tr>
        <w:tc>
          <w:tcPr/>
          <w:p>
            <w:pPr>
              <w:pStyle w:val="Compact"/>
              <w:jc w:val="left"/>
            </w:pPr>
            <w:r>
              <w:t xml:space="preserve">brd_nb</w:t>
            </w:r>
          </w:p>
        </w:tc>
        <w:tc>
          <w:tcPr/>
          <w:p>
            <w:pPr>
              <w:pStyle w:val="Compact"/>
              <w:jc w:val="right"/>
            </w:pPr>
            <w:r>
              <w:t xml:space="preserve">2021</w:t>
            </w:r>
          </w:p>
        </w:tc>
        <w:tc>
          <w:tcPr/>
          <w:p>
            <w:pPr>
              <w:pStyle w:val="Compact"/>
              <w:jc w:val="left"/>
            </w:pPr>
            <w:r>
              <w:t xml:space="preserve">1,093</w:t>
            </w:r>
          </w:p>
        </w:tc>
        <w:tc>
          <w:tcPr/>
          <w:p>
            <w:pPr>
              <w:pStyle w:val="Compact"/>
              <w:jc w:val="left"/>
            </w:pPr>
            <w:r>
              <w:t xml:space="preserve">7,272</w:t>
            </w:r>
          </w:p>
        </w:tc>
        <w:tc>
          <w:tcPr/>
          <w:p>
            <w:pPr>
              <w:pStyle w:val="Compact"/>
              <w:jc w:val="left"/>
            </w:pPr>
            <w:r>
              <w:t xml:space="preserve">15.03%</w:t>
            </w:r>
          </w:p>
        </w:tc>
      </w:tr>
      <w:tr>
        <w:tc>
          <w:tcPr/>
          <w:p>
            <w:pPr>
              <w:pStyle w:val="Compact"/>
              <w:jc w:val="left"/>
            </w:pPr>
            <w:r>
              <w:t xml:space="preserve">brd_sb</w:t>
            </w:r>
          </w:p>
        </w:tc>
        <w:tc>
          <w:tcPr/>
          <w:p>
            <w:pPr>
              <w:pStyle w:val="Compact"/>
              <w:jc w:val="right"/>
            </w:pPr>
            <w:r>
              <w:t xml:space="preserve">2018</w:t>
            </w:r>
          </w:p>
        </w:tc>
        <w:tc>
          <w:tcPr/>
          <w:p>
            <w:pPr>
              <w:pStyle w:val="Compact"/>
              <w:jc w:val="left"/>
            </w:pPr>
            <w:r>
              <w:t xml:space="preserve">216</w:t>
            </w:r>
          </w:p>
        </w:tc>
        <w:tc>
          <w:tcPr/>
          <w:p>
            <w:pPr>
              <w:pStyle w:val="Compact"/>
              <w:jc w:val="left"/>
            </w:pPr>
            <w:r>
              <w:t xml:space="preserve">8,760</w:t>
            </w:r>
          </w:p>
        </w:tc>
        <w:tc>
          <w:tcPr/>
          <w:p>
            <w:pPr>
              <w:pStyle w:val="Compact"/>
              <w:jc w:val="left"/>
            </w:pPr>
            <w:r>
              <w:t xml:space="preserve">2.47%</w:t>
            </w:r>
          </w:p>
        </w:tc>
      </w:tr>
      <w:tr>
        <w:tc>
          <w:tcPr/>
          <w:p>
            <w:pPr>
              <w:pStyle w:val="Compact"/>
              <w:jc w:val="left"/>
            </w:pPr>
            <w:r>
              <w:t xml:space="preserve">brd_sb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7,344</w:t>
            </w:r>
          </w:p>
        </w:tc>
        <w:tc>
          <w:tcPr/>
          <w:p>
            <w:pPr>
              <w:pStyle w:val="Compact"/>
              <w:jc w:val="left"/>
            </w:pPr>
            <w:r>
              <w:t xml:space="preserve">0.00%</w:t>
            </w:r>
          </w:p>
        </w:tc>
      </w:tr>
      <w:tr>
        <w:tc>
          <w:tcPr/>
          <w:p>
            <w:pPr>
              <w:pStyle w:val="Compact"/>
              <w:jc w:val="left"/>
            </w:pPr>
            <w:r>
              <w:t xml:space="preserve">brd_sb</w:t>
            </w:r>
          </w:p>
        </w:tc>
        <w:tc>
          <w:tcPr/>
          <w:p>
            <w:pPr>
              <w:pStyle w:val="Compact"/>
              <w:jc w:val="right"/>
            </w:pPr>
            <w:r>
              <w:t xml:space="preserve">2020</w:t>
            </w:r>
          </w:p>
        </w:tc>
        <w:tc>
          <w:tcPr/>
          <w:p>
            <w:pPr>
              <w:pStyle w:val="Compact"/>
              <w:jc w:val="left"/>
            </w:pPr>
            <w:r>
              <w:t xml:space="preserve">727</w:t>
            </w:r>
          </w:p>
        </w:tc>
        <w:tc>
          <w:tcPr/>
          <w:p>
            <w:pPr>
              <w:pStyle w:val="Compact"/>
              <w:jc w:val="left"/>
            </w:pPr>
            <w:r>
              <w:t xml:space="preserve">5,112</w:t>
            </w:r>
          </w:p>
        </w:tc>
        <w:tc>
          <w:tcPr/>
          <w:p>
            <w:pPr>
              <w:pStyle w:val="Compact"/>
              <w:jc w:val="left"/>
            </w:pPr>
            <w:r>
              <w:t xml:space="preserve">14.22%</w:t>
            </w:r>
          </w:p>
        </w:tc>
      </w:tr>
      <w:tr>
        <w:tc>
          <w:tcPr/>
          <w:p>
            <w:pPr>
              <w:pStyle w:val="Compact"/>
              <w:jc w:val="left"/>
            </w:pPr>
            <w:r>
              <w:t xml:space="preserve">brd_sb</w:t>
            </w:r>
          </w:p>
        </w:tc>
        <w:tc>
          <w:tcPr/>
          <w:p>
            <w:pPr>
              <w:pStyle w:val="Compact"/>
              <w:jc w:val="right"/>
            </w:pPr>
            <w:r>
              <w:t xml:space="preserve">2021</w:t>
            </w:r>
          </w:p>
        </w:tc>
        <w:tc>
          <w:tcPr/>
          <w:p>
            <w:pPr>
              <w:pStyle w:val="Compact"/>
              <w:jc w:val="left"/>
            </w:pPr>
            <w:r>
              <w:t xml:space="preserve">1,155</w:t>
            </w:r>
          </w:p>
        </w:tc>
        <w:tc>
          <w:tcPr/>
          <w:p>
            <w:pPr>
              <w:pStyle w:val="Compact"/>
              <w:jc w:val="left"/>
            </w:pPr>
            <w:r>
              <w:t xml:space="preserve">7,272</w:t>
            </w:r>
          </w:p>
        </w:tc>
        <w:tc>
          <w:tcPr/>
          <w:p>
            <w:pPr>
              <w:pStyle w:val="Compact"/>
              <w:jc w:val="left"/>
            </w:pPr>
            <w:r>
              <w:t xml:space="preserve">15.88%</w:t>
            </w:r>
          </w:p>
        </w:tc>
      </w:tr>
      <w:tr>
        <w:tc>
          <w:tcPr/>
          <w:p>
            <w:pPr>
              <w:pStyle w:val="Compact"/>
              <w:jc w:val="left"/>
            </w:pPr>
            <w:r>
              <w:t xml:space="preserve">cs_b_nb</w:t>
            </w:r>
          </w:p>
        </w:tc>
        <w:tc>
          <w:tcPr/>
          <w:p>
            <w:pPr>
              <w:pStyle w:val="Compact"/>
              <w:jc w:val="right"/>
            </w:pPr>
            <w:r>
              <w:t xml:space="preserve">2020</w:t>
            </w:r>
          </w:p>
        </w:tc>
        <w:tc>
          <w:tcPr/>
          <w:p>
            <w:pPr>
              <w:pStyle w:val="Compact"/>
              <w:jc w:val="left"/>
            </w:pPr>
            <w:r>
              <w:t xml:space="preserve">257</w:t>
            </w:r>
          </w:p>
        </w:tc>
        <w:tc>
          <w:tcPr/>
          <w:p>
            <w:pPr>
              <w:pStyle w:val="Compact"/>
              <w:jc w:val="left"/>
            </w:pPr>
            <w:r>
              <w:t xml:space="preserve">5,136</w:t>
            </w:r>
          </w:p>
        </w:tc>
        <w:tc>
          <w:tcPr/>
          <w:p>
            <w:pPr>
              <w:pStyle w:val="Compact"/>
              <w:jc w:val="left"/>
            </w:pPr>
            <w:r>
              <w:t xml:space="preserve">5.00%</w:t>
            </w:r>
          </w:p>
        </w:tc>
      </w:tr>
      <w:tr>
        <w:tc>
          <w:tcPr/>
          <w:p>
            <w:pPr>
              <w:pStyle w:val="Compact"/>
              <w:jc w:val="left"/>
            </w:pPr>
            <w:r>
              <w:t xml:space="preserve">cs_b_nb</w:t>
            </w:r>
          </w:p>
        </w:tc>
        <w:tc>
          <w:tcPr/>
          <w:p>
            <w:pPr>
              <w:pStyle w:val="Compact"/>
              <w:jc w:val="right"/>
            </w:pPr>
            <w:r>
              <w:t xml:space="preserve">2021</w:t>
            </w:r>
          </w:p>
        </w:tc>
        <w:tc>
          <w:tcPr/>
          <w:p>
            <w:pPr>
              <w:pStyle w:val="Compact"/>
              <w:jc w:val="left"/>
            </w:pPr>
            <w:r>
              <w:t xml:space="preserve">2,444</w:t>
            </w:r>
          </w:p>
        </w:tc>
        <w:tc>
          <w:tcPr/>
          <w:p>
            <w:pPr>
              <w:pStyle w:val="Compact"/>
              <w:jc w:val="left"/>
            </w:pPr>
            <w:r>
              <w:t xml:space="preserve">7,262</w:t>
            </w:r>
          </w:p>
        </w:tc>
        <w:tc>
          <w:tcPr/>
          <w:p>
            <w:pPr>
              <w:pStyle w:val="Compact"/>
              <w:jc w:val="left"/>
            </w:pPr>
            <w:r>
              <w:t xml:space="preserve">33.65%</w:t>
            </w:r>
          </w:p>
        </w:tc>
      </w:tr>
      <w:tr>
        <w:tc>
          <w:tcPr/>
          <w:p>
            <w:pPr>
              <w:pStyle w:val="Compact"/>
              <w:jc w:val="left"/>
            </w:pPr>
            <w:r>
              <w:t xml:space="preserve">cs_b_sb</w:t>
            </w:r>
          </w:p>
        </w:tc>
        <w:tc>
          <w:tcPr/>
          <w:p>
            <w:pPr>
              <w:pStyle w:val="Compact"/>
              <w:jc w:val="right"/>
            </w:pPr>
            <w:r>
              <w:t xml:space="preserve">2020</w:t>
            </w:r>
          </w:p>
        </w:tc>
        <w:tc>
          <w:tcPr/>
          <w:p>
            <w:pPr>
              <w:pStyle w:val="Compact"/>
              <w:jc w:val="left"/>
            </w:pPr>
            <w:r>
              <w:t xml:space="preserve">250</w:t>
            </w:r>
          </w:p>
        </w:tc>
        <w:tc>
          <w:tcPr/>
          <w:p>
            <w:pPr>
              <w:pStyle w:val="Compact"/>
              <w:jc w:val="left"/>
            </w:pPr>
            <w:r>
              <w:t xml:space="preserve">5,136</w:t>
            </w:r>
          </w:p>
        </w:tc>
        <w:tc>
          <w:tcPr/>
          <w:p>
            <w:pPr>
              <w:pStyle w:val="Compact"/>
              <w:jc w:val="left"/>
            </w:pPr>
            <w:r>
              <w:t xml:space="preserve">4.87%</w:t>
            </w:r>
          </w:p>
        </w:tc>
      </w:tr>
      <w:tr>
        <w:tc>
          <w:tcPr/>
          <w:p>
            <w:pPr>
              <w:pStyle w:val="Compact"/>
              <w:jc w:val="left"/>
            </w:pPr>
            <w:r>
              <w:t xml:space="preserve">cs_b_sb</w:t>
            </w:r>
          </w:p>
        </w:tc>
        <w:tc>
          <w:tcPr/>
          <w:p>
            <w:pPr>
              <w:pStyle w:val="Compact"/>
              <w:jc w:val="right"/>
            </w:pPr>
            <w:r>
              <w:t xml:space="preserve">2021</w:t>
            </w:r>
          </w:p>
        </w:tc>
        <w:tc>
          <w:tcPr/>
          <w:p>
            <w:pPr>
              <w:pStyle w:val="Compact"/>
              <w:jc w:val="left"/>
            </w:pPr>
            <w:r>
              <w:t xml:space="preserve">2,225</w:t>
            </w:r>
          </w:p>
        </w:tc>
        <w:tc>
          <w:tcPr/>
          <w:p>
            <w:pPr>
              <w:pStyle w:val="Compact"/>
              <w:jc w:val="left"/>
            </w:pPr>
            <w:r>
              <w:t xml:space="preserve">7,262</w:t>
            </w:r>
          </w:p>
        </w:tc>
        <w:tc>
          <w:tcPr/>
          <w:p>
            <w:pPr>
              <w:pStyle w:val="Compact"/>
              <w:jc w:val="left"/>
            </w:pPr>
            <w:r>
              <w:t xml:space="preserve">30.64%</w:t>
            </w:r>
          </w:p>
        </w:tc>
      </w:tr>
      <w:tr>
        <w:tc>
          <w:tcPr/>
          <w:p>
            <w:pPr>
              <w:pStyle w:val="Compact"/>
              <w:jc w:val="left"/>
            </w:pPr>
            <w:r>
              <w:t xml:space="preserve">cs_p_nb</w:t>
            </w:r>
          </w:p>
        </w:tc>
        <w:tc>
          <w:tcPr/>
          <w:p>
            <w:pPr>
              <w:pStyle w:val="Compact"/>
              <w:jc w:val="right"/>
            </w:pPr>
            <w:r>
              <w:t xml:space="preserve">2020</w:t>
            </w:r>
          </w:p>
        </w:tc>
        <w:tc>
          <w:tcPr/>
          <w:p>
            <w:pPr>
              <w:pStyle w:val="Compact"/>
              <w:jc w:val="left"/>
            </w:pPr>
            <w:r>
              <w:t xml:space="preserve">5,136</w:t>
            </w:r>
          </w:p>
        </w:tc>
        <w:tc>
          <w:tcPr/>
          <w:p>
            <w:pPr>
              <w:pStyle w:val="Compact"/>
              <w:jc w:val="left"/>
            </w:pPr>
            <w:r>
              <w:t xml:space="preserve">5,136</w:t>
            </w:r>
          </w:p>
        </w:tc>
        <w:tc>
          <w:tcPr/>
          <w:p>
            <w:pPr>
              <w:pStyle w:val="Compact"/>
              <w:jc w:val="left"/>
            </w:pPr>
            <w:r>
              <w:t xml:space="preserve">100.00%</w:t>
            </w:r>
          </w:p>
        </w:tc>
      </w:tr>
      <w:tr>
        <w:tc>
          <w:tcPr/>
          <w:p>
            <w:pPr>
              <w:pStyle w:val="Compact"/>
              <w:jc w:val="left"/>
            </w:pPr>
            <w:r>
              <w:t xml:space="preserve">cs_p_nb</w:t>
            </w:r>
          </w:p>
        </w:tc>
        <w:tc>
          <w:tcPr/>
          <w:p>
            <w:pPr>
              <w:pStyle w:val="Compact"/>
              <w:jc w:val="right"/>
            </w:pPr>
            <w:r>
              <w:t xml:space="preserve">2021</w:t>
            </w:r>
          </w:p>
        </w:tc>
        <w:tc>
          <w:tcPr/>
          <w:p>
            <w:pPr>
              <w:pStyle w:val="Compact"/>
              <w:jc w:val="left"/>
            </w:pPr>
            <w:r>
              <w:t xml:space="preserve">7,262</w:t>
            </w:r>
          </w:p>
        </w:tc>
        <w:tc>
          <w:tcPr/>
          <w:p>
            <w:pPr>
              <w:pStyle w:val="Compact"/>
              <w:jc w:val="left"/>
            </w:pPr>
            <w:r>
              <w:t xml:space="preserve">7,262</w:t>
            </w:r>
          </w:p>
        </w:tc>
        <w:tc>
          <w:tcPr/>
          <w:p>
            <w:pPr>
              <w:pStyle w:val="Compact"/>
              <w:jc w:val="left"/>
            </w:pPr>
            <w:r>
              <w:t xml:space="preserve">100.00%</w:t>
            </w:r>
          </w:p>
        </w:tc>
      </w:tr>
      <w:tr>
        <w:tc>
          <w:tcPr/>
          <w:p>
            <w:pPr>
              <w:pStyle w:val="Compact"/>
              <w:jc w:val="left"/>
            </w:pPr>
            <w:r>
              <w:t xml:space="preserve">cs_p_sb</w:t>
            </w:r>
          </w:p>
        </w:tc>
        <w:tc>
          <w:tcPr/>
          <w:p>
            <w:pPr>
              <w:pStyle w:val="Compact"/>
              <w:jc w:val="right"/>
            </w:pPr>
            <w:r>
              <w:t xml:space="preserve">2020</w:t>
            </w:r>
          </w:p>
        </w:tc>
        <w:tc>
          <w:tcPr/>
          <w:p>
            <w:pPr>
              <w:pStyle w:val="Compact"/>
              <w:jc w:val="left"/>
            </w:pPr>
            <w:r>
              <w:t xml:space="preserve">5,136</w:t>
            </w:r>
          </w:p>
        </w:tc>
        <w:tc>
          <w:tcPr/>
          <w:p>
            <w:pPr>
              <w:pStyle w:val="Compact"/>
              <w:jc w:val="left"/>
            </w:pPr>
            <w:r>
              <w:t xml:space="preserve">5,136</w:t>
            </w:r>
          </w:p>
        </w:tc>
        <w:tc>
          <w:tcPr/>
          <w:p>
            <w:pPr>
              <w:pStyle w:val="Compact"/>
              <w:jc w:val="left"/>
            </w:pPr>
            <w:r>
              <w:t xml:space="preserve">100.00%</w:t>
            </w:r>
          </w:p>
        </w:tc>
      </w:tr>
      <w:tr>
        <w:tc>
          <w:tcPr/>
          <w:p>
            <w:pPr>
              <w:pStyle w:val="Compact"/>
              <w:jc w:val="left"/>
            </w:pPr>
            <w:r>
              <w:t xml:space="preserve">cs_p_sb</w:t>
            </w:r>
          </w:p>
        </w:tc>
        <w:tc>
          <w:tcPr/>
          <w:p>
            <w:pPr>
              <w:pStyle w:val="Compact"/>
              <w:jc w:val="right"/>
            </w:pPr>
            <w:r>
              <w:t xml:space="preserve">2021</w:t>
            </w:r>
          </w:p>
        </w:tc>
        <w:tc>
          <w:tcPr/>
          <w:p>
            <w:pPr>
              <w:pStyle w:val="Compact"/>
              <w:jc w:val="left"/>
            </w:pPr>
            <w:r>
              <w:t xml:space="preserve">7,262</w:t>
            </w:r>
          </w:p>
        </w:tc>
        <w:tc>
          <w:tcPr/>
          <w:p>
            <w:pPr>
              <w:pStyle w:val="Compact"/>
              <w:jc w:val="left"/>
            </w:pPr>
            <w:r>
              <w:t xml:space="preserve">7,262</w:t>
            </w:r>
          </w:p>
        </w:tc>
        <w:tc>
          <w:tcPr/>
          <w:p>
            <w:pPr>
              <w:pStyle w:val="Compact"/>
              <w:jc w:val="left"/>
            </w:pPr>
            <w:r>
              <w:t xml:space="preserve">100.00%</w:t>
            </w:r>
          </w:p>
        </w:tc>
      </w:tr>
      <w:tr>
        <w:tc>
          <w:tcPr/>
          <w:p>
            <w:pPr>
              <w:pStyle w:val="Compact"/>
              <w:jc w:val="left"/>
            </w:pPr>
            <w:r>
              <w:t xml:space="preserve">eb_b_nb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eb_b_nb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eb_b_nb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eb_b_nb</w:t>
            </w:r>
          </w:p>
        </w:tc>
        <w:tc>
          <w:tcPr/>
          <w:p>
            <w:pPr>
              <w:pStyle w:val="Compact"/>
              <w:jc w:val="right"/>
            </w:pPr>
            <w:r>
              <w:t xml:space="preserve">2021</w:t>
            </w:r>
          </w:p>
        </w:tc>
        <w:tc>
          <w:tcPr/>
          <w:p>
            <w:pPr>
              <w:pStyle w:val="Compact"/>
              <w:jc w:val="left"/>
            </w:pPr>
            <w:r>
              <w:t xml:space="preserve">1,166</w:t>
            </w:r>
          </w:p>
        </w:tc>
        <w:tc>
          <w:tcPr/>
          <w:p>
            <w:pPr>
              <w:pStyle w:val="Compact"/>
              <w:jc w:val="left"/>
            </w:pPr>
            <w:r>
              <w:t xml:space="preserve">8,760</w:t>
            </w:r>
          </w:p>
        </w:tc>
        <w:tc>
          <w:tcPr/>
          <w:p>
            <w:pPr>
              <w:pStyle w:val="Compact"/>
              <w:jc w:val="left"/>
            </w:pPr>
            <w:r>
              <w:t xml:space="preserve">13.31%</w:t>
            </w:r>
          </w:p>
        </w:tc>
      </w:tr>
      <w:tr>
        <w:tc>
          <w:tcPr/>
          <w:p>
            <w:pPr>
              <w:pStyle w:val="Compact"/>
              <w:jc w:val="left"/>
            </w:pPr>
            <w:r>
              <w:t xml:space="preserve">eb_b_nb</w:t>
            </w:r>
          </w:p>
        </w:tc>
        <w:tc>
          <w:tcPr/>
          <w:p>
            <w:pPr>
              <w:pStyle w:val="Compact"/>
              <w:jc w:val="right"/>
            </w:pPr>
            <w:r>
              <w:t xml:space="preserve">2022</w:t>
            </w:r>
          </w:p>
        </w:tc>
        <w:tc>
          <w:tcPr/>
          <w:p>
            <w:pPr>
              <w:pStyle w:val="Compact"/>
              <w:jc w:val="left"/>
            </w:pPr>
            <w:r>
              <w:t xml:space="preserve">315</w:t>
            </w:r>
          </w:p>
        </w:tc>
        <w:tc>
          <w:tcPr/>
          <w:p>
            <w:pPr>
              <w:pStyle w:val="Compact"/>
              <w:jc w:val="left"/>
            </w:pPr>
            <w:r>
              <w:t xml:space="preserve">8,280</w:t>
            </w:r>
          </w:p>
        </w:tc>
        <w:tc>
          <w:tcPr/>
          <w:p>
            <w:pPr>
              <w:pStyle w:val="Compact"/>
              <w:jc w:val="left"/>
            </w:pPr>
            <w:r>
              <w:t xml:space="preserve">3.80%</w:t>
            </w:r>
          </w:p>
        </w:tc>
      </w:tr>
      <w:tr>
        <w:tc>
          <w:tcPr/>
          <w:p>
            <w:pPr>
              <w:pStyle w:val="Compact"/>
              <w:jc w:val="left"/>
            </w:pPr>
            <w:r>
              <w:t xml:space="preserve">eb_b_sb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eb_b_sb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eb_b_sb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eb_b_sb</w:t>
            </w:r>
          </w:p>
        </w:tc>
        <w:tc>
          <w:tcPr/>
          <w:p>
            <w:pPr>
              <w:pStyle w:val="Compact"/>
              <w:jc w:val="right"/>
            </w:pPr>
            <w:r>
              <w:t xml:space="preserve">2021</w:t>
            </w:r>
          </w:p>
        </w:tc>
        <w:tc>
          <w:tcPr/>
          <w:p>
            <w:pPr>
              <w:pStyle w:val="Compact"/>
              <w:jc w:val="left"/>
            </w:pPr>
            <w:r>
              <w:t xml:space="preserve">1,166</w:t>
            </w:r>
          </w:p>
        </w:tc>
        <w:tc>
          <w:tcPr/>
          <w:p>
            <w:pPr>
              <w:pStyle w:val="Compact"/>
              <w:jc w:val="left"/>
            </w:pPr>
            <w:r>
              <w:t xml:space="preserve">8,760</w:t>
            </w:r>
          </w:p>
        </w:tc>
        <w:tc>
          <w:tcPr/>
          <w:p>
            <w:pPr>
              <w:pStyle w:val="Compact"/>
              <w:jc w:val="left"/>
            </w:pPr>
            <w:r>
              <w:t xml:space="preserve">13.31%</w:t>
            </w:r>
          </w:p>
        </w:tc>
      </w:tr>
      <w:tr>
        <w:tc>
          <w:tcPr/>
          <w:p>
            <w:pPr>
              <w:pStyle w:val="Compact"/>
              <w:jc w:val="left"/>
            </w:pPr>
            <w:r>
              <w:t xml:space="preserve">eb_b_sb</w:t>
            </w:r>
          </w:p>
        </w:tc>
        <w:tc>
          <w:tcPr/>
          <w:p>
            <w:pPr>
              <w:pStyle w:val="Compact"/>
              <w:jc w:val="right"/>
            </w:pPr>
            <w:r>
              <w:t xml:space="preserve">2022</w:t>
            </w:r>
          </w:p>
        </w:tc>
        <w:tc>
          <w:tcPr/>
          <w:p>
            <w:pPr>
              <w:pStyle w:val="Compact"/>
              <w:jc w:val="left"/>
            </w:pPr>
            <w:r>
              <w:t xml:space="preserve">315</w:t>
            </w:r>
          </w:p>
        </w:tc>
        <w:tc>
          <w:tcPr/>
          <w:p>
            <w:pPr>
              <w:pStyle w:val="Compact"/>
              <w:jc w:val="left"/>
            </w:pPr>
            <w:r>
              <w:t xml:space="preserve">8,280</w:t>
            </w:r>
          </w:p>
        </w:tc>
        <w:tc>
          <w:tcPr/>
          <w:p>
            <w:pPr>
              <w:pStyle w:val="Compact"/>
              <w:jc w:val="left"/>
            </w:pPr>
            <w:r>
              <w:t xml:space="preserve">3.80%</w:t>
            </w:r>
          </w:p>
        </w:tc>
      </w:tr>
      <w:tr>
        <w:tc>
          <w:tcPr/>
          <w:p>
            <w:pPr>
              <w:pStyle w:val="Compact"/>
              <w:jc w:val="left"/>
            </w:pPr>
            <w:r>
              <w:t xml:space="preserve">eb_p_nb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eb_p_nb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eb_p_nb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eb_p_nb</w:t>
            </w:r>
          </w:p>
        </w:tc>
        <w:tc>
          <w:tcPr/>
          <w:p>
            <w:pPr>
              <w:pStyle w:val="Compact"/>
              <w:jc w:val="right"/>
            </w:pPr>
            <w:r>
              <w:t xml:space="preserve">2021</w:t>
            </w:r>
          </w:p>
        </w:tc>
        <w:tc>
          <w:tcPr/>
          <w:p>
            <w:pPr>
              <w:pStyle w:val="Compact"/>
              <w:jc w:val="left"/>
            </w:pPr>
            <w:r>
              <w:t xml:space="preserve">1,166</w:t>
            </w:r>
          </w:p>
        </w:tc>
        <w:tc>
          <w:tcPr/>
          <w:p>
            <w:pPr>
              <w:pStyle w:val="Compact"/>
              <w:jc w:val="left"/>
            </w:pPr>
            <w:r>
              <w:t xml:space="preserve">8,760</w:t>
            </w:r>
          </w:p>
        </w:tc>
        <w:tc>
          <w:tcPr/>
          <w:p>
            <w:pPr>
              <w:pStyle w:val="Compact"/>
              <w:jc w:val="left"/>
            </w:pPr>
            <w:r>
              <w:t xml:space="preserve">13.31%</w:t>
            </w:r>
          </w:p>
        </w:tc>
      </w:tr>
      <w:tr>
        <w:tc>
          <w:tcPr/>
          <w:p>
            <w:pPr>
              <w:pStyle w:val="Compact"/>
              <w:jc w:val="left"/>
            </w:pPr>
            <w:r>
              <w:t xml:space="preserve">eb_p_nb</w:t>
            </w:r>
          </w:p>
        </w:tc>
        <w:tc>
          <w:tcPr/>
          <w:p>
            <w:pPr>
              <w:pStyle w:val="Compact"/>
              <w:jc w:val="right"/>
            </w:pPr>
            <w:r>
              <w:t xml:space="preserve">2022</w:t>
            </w:r>
          </w:p>
        </w:tc>
        <w:tc>
          <w:tcPr/>
          <w:p>
            <w:pPr>
              <w:pStyle w:val="Compact"/>
              <w:jc w:val="left"/>
            </w:pPr>
            <w:r>
              <w:t xml:space="preserve">315</w:t>
            </w:r>
          </w:p>
        </w:tc>
        <w:tc>
          <w:tcPr/>
          <w:p>
            <w:pPr>
              <w:pStyle w:val="Compact"/>
              <w:jc w:val="left"/>
            </w:pPr>
            <w:r>
              <w:t xml:space="preserve">8,280</w:t>
            </w:r>
          </w:p>
        </w:tc>
        <w:tc>
          <w:tcPr/>
          <w:p>
            <w:pPr>
              <w:pStyle w:val="Compact"/>
              <w:jc w:val="left"/>
            </w:pPr>
            <w:r>
              <w:t xml:space="preserve">3.80%</w:t>
            </w:r>
          </w:p>
        </w:tc>
      </w:tr>
      <w:tr>
        <w:tc>
          <w:tcPr/>
          <w:p>
            <w:pPr>
              <w:pStyle w:val="Compact"/>
              <w:jc w:val="left"/>
            </w:pPr>
            <w:r>
              <w:t xml:space="preserve">eb_p_sb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eb_p_sb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eb_p_sb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eb_p_sb</w:t>
            </w:r>
          </w:p>
        </w:tc>
        <w:tc>
          <w:tcPr/>
          <w:p>
            <w:pPr>
              <w:pStyle w:val="Compact"/>
              <w:jc w:val="right"/>
            </w:pPr>
            <w:r>
              <w:t xml:space="preserve">2021</w:t>
            </w:r>
          </w:p>
        </w:tc>
        <w:tc>
          <w:tcPr/>
          <w:p>
            <w:pPr>
              <w:pStyle w:val="Compact"/>
              <w:jc w:val="left"/>
            </w:pPr>
            <w:r>
              <w:t xml:space="preserve">1,166</w:t>
            </w:r>
          </w:p>
        </w:tc>
        <w:tc>
          <w:tcPr/>
          <w:p>
            <w:pPr>
              <w:pStyle w:val="Compact"/>
              <w:jc w:val="left"/>
            </w:pPr>
            <w:r>
              <w:t xml:space="preserve">8,760</w:t>
            </w:r>
          </w:p>
        </w:tc>
        <w:tc>
          <w:tcPr/>
          <w:p>
            <w:pPr>
              <w:pStyle w:val="Compact"/>
              <w:jc w:val="left"/>
            </w:pPr>
            <w:r>
              <w:t xml:space="preserve">13.31%</w:t>
            </w:r>
          </w:p>
        </w:tc>
      </w:tr>
      <w:tr>
        <w:tc>
          <w:tcPr/>
          <w:p>
            <w:pPr>
              <w:pStyle w:val="Compact"/>
              <w:jc w:val="left"/>
            </w:pPr>
            <w:r>
              <w:t xml:space="preserve">eb_p_sb</w:t>
            </w:r>
          </w:p>
        </w:tc>
        <w:tc>
          <w:tcPr/>
          <w:p>
            <w:pPr>
              <w:pStyle w:val="Compact"/>
              <w:jc w:val="right"/>
            </w:pPr>
            <w:r>
              <w:t xml:space="preserve">2022</w:t>
            </w:r>
          </w:p>
        </w:tc>
        <w:tc>
          <w:tcPr/>
          <w:p>
            <w:pPr>
              <w:pStyle w:val="Compact"/>
              <w:jc w:val="left"/>
            </w:pPr>
            <w:r>
              <w:t xml:space="preserve">315</w:t>
            </w:r>
          </w:p>
        </w:tc>
        <w:tc>
          <w:tcPr/>
          <w:p>
            <w:pPr>
              <w:pStyle w:val="Compact"/>
              <w:jc w:val="left"/>
            </w:pPr>
            <w:r>
              <w:t xml:space="preserve">8,280</w:t>
            </w:r>
          </w:p>
        </w:tc>
        <w:tc>
          <w:tcPr/>
          <w:p>
            <w:pPr>
              <w:pStyle w:val="Compact"/>
              <w:jc w:val="left"/>
            </w:pPr>
            <w:r>
              <w:t xml:space="preserve">3.80%</w:t>
            </w:r>
          </w:p>
        </w:tc>
      </w:tr>
      <w:tr>
        <w:tc>
          <w:tcPr/>
          <w:p>
            <w:pPr>
              <w:pStyle w:val="Compact"/>
              <w:jc w:val="left"/>
            </w:pPr>
            <w:r>
              <w:t xml:space="preserve">fmt_e</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fmt_e</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fmt_e</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fmt_e</w:t>
            </w:r>
          </w:p>
        </w:tc>
        <w:tc>
          <w:tcPr/>
          <w:p>
            <w:pPr>
              <w:pStyle w:val="Compact"/>
              <w:jc w:val="right"/>
            </w:pPr>
            <w:r>
              <w:t xml:space="preserve">2021</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fmt_e</w:t>
            </w:r>
          </w:p>
        </w:tc>
        <w:tc>
          <w:tcPr/>
          <w:p>
            <w:pPr>
              <w:pStyle w:val="Compact"/>
              <w:jc w:val="right"/>
            </w:pPr>
            <w:r>
              <w:t xml:space="preserve">2022</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fmt_w</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fmt_w</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fmt_w</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fmt_w</w:t>
            </w:r>
          </w:p>
        </w:tc>
        <w:tc>
          <w:tcPr/>
          <w:p>
            <w:pPr>
              <w:pStyle w:val="Compact"/>
              <w:jc w:val="right"/>
            </w:pPr>
            <w:r>
              <w:t xml:space="preserve">2021</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fmt_w</w:t>
            </w:r>
          </w:p>
        </w:tc>
        <w:tc>
          <w:tcPr/>
          <w:p>
            <w:pPr>
              <w:pStyle w:val="Compact"/>
              <w:jc w:val="right"/>
            </w:pPr>
            <w:r>
              <w:t xml:space="preserve">2022</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sb_eb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sb_eb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sb_eb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sb_eb</w:t>
            </w:r>
          </w:p>
        </w:tc>
        <w:tc>
          <w:tcPr/>
          <w:p>
            <w:pPr>
              <w:pStyle w:val="Compact"/>
              <w:jc w:val="right"/>
            </w:pPr>
            <w:r>
              <w:t xml:space="preserve">2021</w:t>
            </w:r>
          </w:p>
        </w:tc>
        <w:tc>
          <w:tcPr/>
          <w:p>
            <w:pPr>
              <w:pStyle w:val="Compact"/>
              <w:jc w:val="left"/>
            </w:pPr>
            <w:r>
              <w:t xml:space="preserve">706</w:t>
            </w:r>
          </w:p>
        </w:tc>
        <w:tc>
          <w:tcPr/>
          <w:p>
            <w:pPr>
              <w:pStyle w:val="Compact"/>
              <w:jc w:val="left"/>
            </w:pPr>
            <w:r>
              <w:t xml:space="preserve">8,736</w:t>
            </w:r>
          </w:p>
        </w:tc>
        <w:tc>
          <w:tcPr/>
          <w:p>
            <w:pPr>
              <w:pStyle w:val="Compact"/>
              <w:jc w:val="left"/>
            </w:pPr>
            <w:r>
              <w:t xml:space="preserve">8.08%</w:t>
            </w:r>
          </w:p>
        </w:tc>
      </w:tr>
      <w:tr>
        <w:tc>
          <w:tcPr/>
          <w:p>
            <w:pPr>
              <w:pStyle w:val="Compact"/>
              <w:jc w:val="left"/>
            </w:pPr>
            <w:r>
              <w:t xml:space="preserve">sb_eb</w:t>
            </w:r>
          </w:p>
        </w:tc>
        <w:tc>
          <w:tcPr/>
          <w:p>
            <w:pPr>
              <w:pStyle w:val="Compact"/>
              <w:jc w:val="right"/>
            </w:pPr>
            <w:r>
              <w:t xml:space="preserve">2022</w:t>
            </w:r>
          </w:p>
        </w:tc>
        <w:tc>
          <w:tcPr/>
          <w:p>
            <w:pPr>
              <w:pStyle w:val="Compact"/>
              <w:jc w:val="left"/>
            </w:pPr>
            <w:r>
              <w:t xml:space="preserve">656</w:t>
            </w:r>
          </w:p>
        </w:tc>
        <w:tc>
          <w:tcPr/>
          <w:p>
            <w:pPr>
              <w:pStyle w:val="Compact"/>
              <w:jc w:val="left"/>
            </w:pPr>
            <w:r>
              <w:t xml:space="preserve">10,248</w:t>
            </w:r>
          </w:p>
        </w:tc>
        <w:tc>
          <w:tcPr/>
          <w:p>
            <w:pPr>
              <w:pStyle w:val="Compact"/>
              <w:jc w:val="left"/>
            </w:pPr>
            <w:r>
              <w:t xml:space="preserve">6.40%</w:t>
            </w:r>
          </w:p>
        </w:tc>
      </w:tr>
      <w:tr>
        <w:tc>
          <w:tcPr/>
          <w:p>
            <w:pPr>
              <w:pStyle w:val="Compact"/>
              <w:jc w:val="left"/>
            </w:pPr>
            <w:r>
              <w:t xml:space="preserve">sp_wb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sp_wb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sp_wb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sp_wb</w:t>
            </w:r>
          </w:p>
        </w:tc>
        <w:tc>
          <w:tcPr/>
          <w:p>
            <w:pPr>
              <w:pStyle w:val="Compact"/>
              <w:jc w:val="right"/>
            </w:pPr>
            <w:r>
              <w:t xml:space="preserve">2021</w:t>
            </w:r>
          </w:p>
        </w:tc>
        <w:tc>
          <w:tcPr/>
          <w:p>
            <w:pPr>
              <w:pStyle w:val="Compact"/>
              <w:jc w:val="left"/>
            </w:pPr>
            <w:r>
              <w:t xml:space="preserve">792</w:t>
            </w:r>
          </w:p>
        </w:tc>
        <w:tc>
          <w:tcPr/>
          <w:p>
            <w:pPr>
              <w:pStyle w:val="Compact"/>
              <w:jc w:val="left"/>
            </w:pPr>
            <w:r>
              <w:t xml:space="preserve">8,736</w:t>
            </w:r>
          </w:p>
        </w:tc>
        <w:tc>
          <w:tcPr/>
          <w:p>
            <w:pPr>
              <w:pStyle w:val="Compact"/>
              <w:jc w:val="left"/>
            </w:pPr>
            <w:r>
              <w:t xml:space="preserve">9.07%</w:t>
            </w:r>
          </w:p>
        </w:tc>
      </w:tr>
      <w:tr>
        <w:tc>
          <w:tcPr/>
          <w:p>
            <w:pPr>
              <w:pStyle w:val="Compact"/>
              <w:jc w:val="left"/>
            </w:pPr>
            <w:r>
              <w:t xml:space="preserve">sp_wb</w:t>
            </w:r>
          </w:p>
        </w:tc>
        <w:tc>
          <w:tcPr/>
          <w:p>
            <w:pPr>
              <w:pStyle w:val="Compact"/>
              <w:jc w:val="right"/>
            </w:pPr>
            <w:r>
              <w:t xml:space="preserve">2022</w:t>
            </w:r>
          </w:p>
        </w:tc>
        <w:tc>
          <w:tcPr/>
          <w:p>
            <w:pPr>
              <w:pStyle w:val="Compact"/>
              <w:jc w:val="left"/>
            </w:pPr>
            <w:r>
              <w:t xml:space="preserve">634</w:t>
            </w:r>
          </w:p>
        </w:tc>
        <w:tc>
          <w:tcPr/>
          <w:p>
            <w:pPr>
              <w:pStyle w:val="Compact"/>
              <w:jc w:val="left"/>
            </w:pPr>
            <w:r>
              <w:t xml:space="preserve">10,248</w:t>
            </w:r>
          </w:p>
        </w:tc>
        <w:tc>
          <w:tcPr/>
          <w:p>
            <w:pPr>
              <w:pStyle w:val="Compact"/>
              <w:jc w:val="left"/>
            </w:pPr>
            <w:r>
              <w:t xml:space="preserve">6.19%</w:t>
            </w:r>
          </w:p>
        </w:tc>
      </w:tr>
    </w:tbl>
    <w:bookmarkEnd w:id="26"/>
    <w:bookmarkEnd w:id="27"/>
    <w:bookmarkStart w:id="30" w:name="short-duration-counts"/>
    <w:p>
      <w:pPr>
        <w:pStyle w:val="Heading3"/>
      </w:pPr>
      <w:r>
        <w:t xml:space="preserve">3.1.3 Short Duration Counts</w:t>
      </w:r>
    </w:p>
    <w:bookmarkStart w:id="28" w:name="tbl-sdc_summary"/>
    <w:p>
      <w:pPr>
        <w:pStyle w:val="TableCaption"/>
      </w:pPr>
      <w:r>
        <w:t xml:space="preserve">Table 3.3: SDC Summary/Overview.</w:t>
      </w:r>
    </w:p>
    <w:tbl>
      <w:tblPr>
        <w:tblStyle w:val="Table"/>
        <w:tblW w:type="auto" w:w="0"/>
        <w:tblLook w:firstRow="1" w:lastRow="0" w:firstColumn="0" w:lastColumn="0" w:noHBand="0" w:noVBand="0" w:val="0020"/>
        <w:tblCaption w:val="Table 3.3: SDC Summary/Overview."/>
      </w:tblPr>
      <w:tblGrid>
        <w:gridCol w:w="990"/>
        <w:gridCol w:w="990"/>
        <w:gridCol w:w="990"/>
        <w:gridCol w:w="990"/>
        <w:gridCol w:w="990"/>
        <w:gridCol w:w="990"/>
        <w:gridCol w:w="990"/>
        <w:gridCol w:w="990"/>
      </w:tblGrid>
      <w:tr>
        <w:trPr>
          <w:tblHeader w:val="true"/>
        </w:trPr>
        <w:tc>
          <w:tcPr/>
          <w:p>
            <w:pPr>
              <w:pStyle w:val="Compact"/>
              <w:jc w:val="left"/>
            </w:pPr>
            <w:r>
              <w:t xml:space="preserve">dow</w:t>
            </w:r>
          </w:p>
        </w:tc>
        <w:tc>
          <w:tcPr/>
          <w:p>
            <w:pPr>
              <w:pStyle w:val="Compact"/>
              <w:jc w:val="left"/>
            </w:pPr>
            <w:r>
              <w:t xml:space="preserve">study_time_cat</w:t>
            </w:r>
          </w:p>
        </w:tc>
        <w:tc>
          <w:tcPr/>
          <w:p>
            <w:pPr>
              <w:pStyle w:val="Compact"/>
              <w:jc w:val="right"/>
            </w:pPr>
            <w:r>
              <w:t xml:space="preserve">n_sites</w:t>
            </w:r>
          </w:p>
        </w:tc>
        <w:tc>
          <w:tcPr/>
          <w:p>
            <w:pPr>
              <w:pStyle w:val="Compact"/>
              <w:jc w:val="right"/>
            </w:pPr>
            <w:r>
              <w:t xml:space="preserve">n_hours</w:t>
            </w:r>
          </w:p>
        </w:tc>
        <w:tc>
          <w:tcPr/>
          <w:p>
            <w:pPr>
              <w:pStyle w:val="Compact"/>
              <w:jc w:val="left"/>
            </w:pPr>
            <w:r>
              <w:t xml:space="preserve">n_bike</w:t>
            </w:r>
          </w:p>
        </w:tc>
        <w:tc>
          <w:tcPr/>
          <w:p>
            <w:pPr>
              <w:pStyle w:val="Compact"/>
              <w:jc w:val="left"/>
            </w:pPr>
            <w:r>
              <w:t xml:space="preserve">n_ped</w:t>
            </w:r>
          </w:p>
        </w:tc>
        <w:tc>
          <w:tcPr/>
          <w:p>
            <w:pPr>
              <w:pStyle w:val="Compact"/>
              <w:jc w:val="left"/>
            </w:pPr>
            <w:r>
              <w:t xml:space="preserve">bike_per_hr</w:t>
            </w:r>
          </w:p>
        </w:tc>
        <w:tc>
          <w:tcPr/>
          <w:p>
            <w:pPr>
              <w:pStyle w:val="Compact"/>
              <w:jc w:val="left"/>
            </w:pPr>
            <w:r>
              <w:t xml:space="preserve">ped_per_hr</w:t>
            </w:r>
          </w:p>
        </w:tc>
      </w:tr>
      <w:tr>
        <w:tc>
          <w:tcPr/>
          <w:p>
            <w:pPr>
              <w:pStyle w:val="Compact"/>
              <w:jc w:val="left"/>
            </w:pPr>
            <w:r>
              <w:t xml:space="preserve">Weekday</w:t>
            </w:r>
          </w:p>
        </w:tc>
        <w:tc>
          <w:tcPr/>
          <w:p>
            <w:pPr>
              <w:pStyle w:val="Compact"/>
              <w:jc w:val="left"/>
            </w:pPr>
            <w:r>
              <w:t xml:space="preserve">10:00 AM-12:00 PM</w:t>
            </w:r>
          </w:p>
        </w:tc>
        <w:tc>
          <w:tcPr/>
          <w:p>
            <w:pPr>
              <w:pStyle w:val="Compact"/>
              <w:jc w:val="right"/>
            </w:pPr>
            <w:r>
              <w:t xml:space="preserve">50</w:t>
            </w:r>
          </w:p>
        </w:tc>
        <w:tc>
          <w:tcPr/>
          <w:p>
            <w:pPr>
              <w:pStyle w:val="Compact"/>
              <w:jc w:val="right"/>
            </w:pPr>
            <w:r>
              <w:t xml:space="preserve">1786</w:t>
            </w:r>
          </w:p>
        </w:tc>
        <w:tc>
          <w:tcPr/>
          <w:p>
            <w:pPr>
              <w:pStyle w:val="Compact"/>
              <w:jc w:val="left"/>
            </w:pPr>
            <w:r>
              <w:t xml:space="preserve">17,949.0</w:t>
            </w:r>
          </w:p>
        </w:tc>
        <w:tc>
          <w:tcPr/>
          <w:p>
            <w:pPr>
              <w:pStyle w:val="Compact"/>
              <w:jc w:val="left"/>
            </w:pPr>
            <w:r>
              <w:t xml:space="preserve">338,965.0</w:t>
            </w:r>
          </w:p>
        </w:tc>
        <w:tc>
          <w:tcPr/>
          <w:p>
            <w:pPr>
              <w:pStyle w:val="Compact"/>
              <w:jc w:val="left"/>
            </w:pPr>
            <w:r>
              <w:t xml:space="preserve">10.0</w:t>
            </w:r>
          </w:p>
        </w:tc>
        <w:tc>
          <w:tcPr/>
          <w:p>
            <w:pPr>
              <w:pStyle w:val="Compact"/>
              <w:jc w:val="left"/>
            </w:pPr>
            <w:r>
              <w:t xml:space="preserve">189.8</w:t>
            </w:r>
          </w:p>
        </w:tc>
      </w:tr>
      <w:tr>
        <w:tc>
          <w:tcPr/>
          <w:p>
            <w:pPr>
              <w:pStyle w:val="Compact"/>
              <w:jc w:val="left"/>
            </w:pPr>
            <w:r>
              <w:t xml:space="preserve">Weekday</w:t>
            </w:r>
          </w:p>
        </w:tc>
        <w:tc>
          <w:tcPr/>
          <w:p>
            <w:pPr>
              <w:pStyle w:val="Compact"/>
              <w:jc w:val="left"/>
            </w:pPr>
            <w:r>
              <w:t xml:space="preserve">12:00 PM-2:00 PM</w:t>
            </w:r>
          </w:p>
        </w:tc>
        <w:tc>
          <w:tcPr/>
          <w:p>
            <w:pPr>
              <w:pStyle w:val="Compact"/>
              <w:jc w:val="right"/>
            </w:pPr>
            <w:r>
              <w:t xml:space="preserve">5</w:t>
            </w:r>
          </w:p>
        </w:tc>
        <w:tc>
          <w:tcPr/>
          <w:p>
            <w:pPr>
              <w:pStyle w:val="Compact"/>
              <w:jc w:val="right"/>
            </w:pPr>
            <w:r>
              <w:t xml:space="preserve">24</w:t>
            </w:r>
          </w:p>
        </w:tc>
        <w:tc>
          <w:tcPr/>
          <w:p>
            <w:pPr>
              <w:pStyle w:val="Compact"/>
              <w:jc w:val="left"/>
            </w:pPr>
            <w:r>
              <w:t xml:space="preserve">466.0</w:t>
            </w:r>
          </w:p>
        </w:tc>
        <w:tc>
          <w:tcPr/>
          <w:p>
            <w:pPr>
              <w:pStyle w:val="Compact"/>
              <w:jc w:val="left"/>
            </w:pPr>
            <w:r>
              <w:t xml:space="preserve">11,662.0</w:t>
            </w:r>
          </w:p>
        </w:tc>
        <w:tc>
          <w:tcPr/>
          <w:p>
            <w:pPr>
              <w:pStyle w:val="Compact"/>
              <w:jc w:val="left"/>
            </w:pPr>
            <w:r>
              <w:t xml:space="preserve">19.4</w:t>
            </w:r>
          </w:p>
        </w:tc>
        <w:tc>
          <w:tcPr/>
          <w:p>
            <w:pPr>
              <w:pStyle w:val="Compact"/>
              <w:jc w:val="left"/>
            </w:pPr>
            <w:r>
              <w:t xml:space="preserve">485.9</w:t>
            </w:r>
          </w:p>
        </w:tc>
      </w:tr>
      <w:tr>
        <w:tc>
          <w:tcPr/>
          <w:p>
            <w:pPr>
              <w:pStyle w:val="Compact"/>
              <w:jc w:val="left"/>
            </w:pPr>
            <w:r>
              <w:t xml:space="preserve">Weekday</w:t>
            </w:r>
          </w:p>
        </w:tc>
        <w:tc>
          <w:tcPr/>
          <w:p>
            <w:pPr>
              <w:pStyle w:val="Compact"/>
              <w:jc w:val="left"/>
            </w:pPr>
            <w:r>
              <w:t xml:space="preserve">5:00 PM-7:00 PM</w:t>
            </w:r>
          </w:p>
        </w:tc>
        <w:tc>
          <w:tcPr/>
          <w:p>
            <w:pPr>
              <w:pStyle w:val="Compact"/>
              <w:jc w:val="right"/>
            </w:pPr>
            <w:r>
              <w:t xml:space="preserve">49</w:t>
            </w:r>
          </w:p>
        </w:tc>
        <w:tc>
          <w:tcPr/>
          <w:p>
            <w:pPr>
              <w:pStyle w:val="Compact"/>
              <w:jc w:val="right"/>
            </w:pPr>
            <w:r>
              <w:t xml:space="preserve">1756</w:t>
            </w:r>
          </w:p>
        </w:tc>
        <w:tc>
          <w:tcPr/>
          <w:p>
            <w:pPr>
              <w:pStyle w:val="Compact"/>
              <w:jc w:val="left"/>
            </w:pPr>
            <w:r>
              <w:t xml:space="preserve">62,270.0</w:t>
            </w:r>
          </w:p>
        </w:tc>
        <w:tc>
          <w:tcPr/>
          <w:p>
            <w:pPr>
              <w:pStyle w:val="Compact"/>
              <w:jc w:val="left"/>
            </w:pPr>
            <w:r>
              <w:t xml:space="preserve">608,536.0</w:t>
            </w:r>
          </w:p>
        </w:tc>
        <w:tc>
          <w:tcPr/>
          <w:p>
            <w:pPr>
              <w:pStyle w:val="Compact"/>
              <w:jc w:val="left"/>
            </w:pPr>
            <w:r>
              <w:t xml:space="preserve">35.5</w:t>
            </w:r>
          </w:p>
        </w:tc>
        <w:tc>
          <w:tcPr/>
          <w:p>
            <w:pPr>
              <w:pStyle w:val="Compact"/>
              <w:jc w:val="left"/>
            </w:pPr>
            <w:r>
              <w:t xml:space="preserve">346.5</w:t>
            </w:r>
          </w:p>
        </w:tc>
      </w:tr>
      <w:tr>
        <w:tc>
          <w:tcPr/>
          <w:p>
            <w:pPr>
              <w:pStyle w:val="Compact"/>
              <w:jc w:val="left"/>
            </w:pPr>
            <w:r>
              <w:t xml:space="preserve">Weekend</w:t>
            </w:r>
          </w:p>
        </w:tc>
        <w:tc>
          <w:tcPr/>
          <w:p>
            <w:pPr>
              <w:pStyle w:val="Compact"/>
              <w:jc w:val="left"/>
            </w:pPr>
            <w:r>
              <w:t xml:space="preserve">10:00 AM-12:00 PM</w:t>
            </w:r>
          </w:p>
        </w:tc>
        <w:tc>
          <w:tcPr/>
          <w:p>
            <w:pPr>
              <w:pStyle w:val="Compact"/>
              <w:jc w:val="right"/>
            </w:pPr>
            <w:r>
              <w:t xml:space="preserve">4</w:t>
            </w:r>
          </w:p>
        </w:tc>
        <w:tc>
          <w:tcPr/>
          <w:p>
            <w:pPr>
              <w:pStyle w:val="Compact"/>
              <w:jc w:val="right"/>
            </w:pPr>
            <w:r>
              <w:t xml:space="preserve">8</w:t>
            </w:r>
          </w:p>
        </w:tc>
        <w:tc>
          <w:tcPr/>
          <w:p>
            <w:pPr>
              <w:pStyle w:val="Compact"/>
              <w:jc w:val="left"/>
            </w:pPr>
            <w:r>
              <w:t xml:space="preserve">84.0</w:t>
            </w:r>
          </w:p>
        </w:tc>
        <w:tc>
          <w:tcPr/>
          <w:p>
            <w:pPr>
              <w:pStyle w:val="Compact"/>
              <w:jc w:val="left"/>
            </w:pPr>
            <w:r>
              <w:t xml:space="preserve">1,392.0</w:t>
            </w:r>
          </w:p>
        </w:tc>
        <w:tc>
          <w:tcPr/>
          <w:p>
            <w:pPr>
              <w:pStyle w:val="Compact"/>
              <w:jc w:val="left"/>
            </w:pPr>
            <w:r>
              <w:t xml:space="preserve">10.5</w:t>
            </w:r>
          </w:p>
        </w:tc>
        <w:tc>
          <w:tcPr/>
          <w:p>
            <w:pPr>
              <w:pStyle w:val="Compact"/>
              <w:jc w:val="left"/>
            </w:pPr>
            <w:r>
              <w:t xml:space="preserve">174.0</w:t>
            </w:r>
          </w:p>
        </w:tc>
      </w:tr>
      <w:tr>
        <w:tc>
          <w:tcPr/>
          <w:p>
            <w:pPr>
              <w:pStyle w:val="Compact"/>
              <w:jc w:val="left"/>
            </w:pPr>
            <w:r>
              <w:t xml:space="preserve">Weekend</w:t>
            </w:r>
          </w:p>
        </w:tc>
        <w:tc>
          <w:tcPr/>
          <w:p>
            <w:pPr>
              <w:pStyle w:val="Compact"/>
              <w:jc w:val="left"/>
            </w:pPr>
            <w:r>
              <w:t xml:space="preserve">12:00 PM-2:00 PM</w:t>
            </w:r>
          </w:p>
        </w:tc>
        <w:tc>
          <w:tcPr/>
          <w:p>
            <w:pPr>
              <w:pStyle w:val="Compact"/>
              <w:jc w:val="right"/>
            </w:pPr>
            <w:r>
              <w:t xml:space="preserve">50</w:t>
            </w:r>
          </w:p>
        </w:tc>
        <w:tc>
          <w:tcPr/>
          <w:p>
            <w:pPr>
              <w:pStyle w:val="Compact"/>
              <w:jc w:val="right"/>
            </w:pPr>
            <w:r>
              <w:t xml:space="preserve">1770</w:t>
            </w:r>
          </w:p>
        </w:tc>
        <w:tc>
          <w:tcPr/>
          <w:p>
            <w:pPr>
              <w:pStyle w:val="Compact"/>
              <w:jc w:val="left"/>
            </w:pPr>
            <w:r>
              <w:t xml:space="preserve">34,339.0</w:t>
            </w:r>
          </w:p>
        </w:tc>
        <w:tc>
          <w:tcPr/>
          <w:p>
            <w:pPr>
              <w:pStyle w:val="Compact"/>
              <w:jc w:val="left"/>
            </w:pPr>
            <w:r>
              <w:t xml:space="preserve">559,484.0</w:t>
            </w:r>
          </w:p>
        </w:tc>
        <w:tc>
          <w:tcPr/>
          <w:p>
            <w:pPr>
              <w:pStyle w:val="Compact"/>
              <w:jc w:val="left"/>
            </w:pPr>
            <w:r>
              <w:t xml:space="preserve">19.4</w:t>
            </w:r>
          </w:p>
        </w:tc>
        <w:tc>
          <w:tcPr/>
          <w:p>
            <w:pPr>
              <w:pStyle w:val="Compact"/>
              <w:jc w:val="left"/>
            </w:pPr>
            <w:r>
              <w:t xml:space="preserve">316.1</w:t>
            </w:r>
          </w:p>
        </w:tc>
      </w:tr>
    </w:tbl>
    <w:bookmarkEnd w:id="28"/>
    <w:p>
      <w:pPr>
        <w:pStyle w:val="BodyText"/>
      </w:pPr>
      <w:r>
        <w:t xml:space="preserve"> </w:t>
      </w:r>
    </w:p>
    <w:bookmarkStart w:id="29" w:name="tbl-sdc_summary_year"/>
    <w:p>
      <w:pPr>
        <w:pStyle w:val="TableCaption"/>
      </w:pPr>
      <w:r>
        <w:t xml:space="preserve">Table 3.4: SDC Locations.</w:t>
      </w:r>
    </w:p>
    <w:tbl>
      <w:tblPr>
        <w:tblStyle w:val="Table"/>
        <w:tblW w:type="auto" w:w="0"/>
        <w:tblLook w:firstRow="1" w:lastRow="0" w:firstColumn="0" w:lastColumn="0" w:noHBand="0" w:noVBand="0" w:val="0020"/>
        <w:tblCaption w:val="Table 3.4: SDC Locations."/>
      </w:tblPr>
      <w:tblGrid>
        <w:gridCol w:w="990"/>
        <w:gridCol w:w="990"/>
        <w:gridCol w:w="990"/>
        <w:gridCol w:w="990"/>
        <w:gridCol w:w="990"/>
        <w:gridCol w:w="990"/>
        <w:gridCol w:w="990"/>
        <w:gridCol w:w="990"/>
      </w:tblGrid>
      <w:tr>
        <w:trPr>
          <w:tblHeader w:val="true"/>
        </w:trPr>
        <w:tc>
          <w:tcPr/>
          <w:p>
            <w:pPr>
              <w:pStyle w:val="Compact"/>
              <w:jc w:val="left"/>
            </w:pPr>
            <w:r>
              <w:t xml:space="preserve">site_descr</w:t>
            </w:r>
          </w:p>
        </w:tc>
        <w:tc>
          <w:tcPr/>
          <w:p>
            <w:pPr>
              <w:pStyle w:val="Compact"/>
              <w:jc w:val="right"/>
            </w:pPr>
            <w:r>
              <w:t xml:space="preserve">n_hours</w:t>
            </w:r>
          </w:p>
        </w:tc>
        <w:tc>
          <w:tcPr/>
          <w:p>
            <w:pPr>
              <w:pStyle w:val="Compact"/>
              <w:jc w:val="left"/>
            </w:pPr>
            <w:r>
              <w:t xml:space="preserve">n_bike</w:t>
            </w:r>
          </w:p>
        </w:tc>
        <w:tc>
          <w:tcPr/>
          <w:p>
            <w:pPr>
              <w:pStyle w:val="Compact"/>
              <w:jc w:val="left"/>
            </w:pPr>
            <w:r>
              <w:t xml:space="preserve">n_ped</w:t>
            </w:r>
          </w:p>
        </w:tc>
        <w:tc>
          <w:tcPr/>
          <w:p>
            <w:pPr>
              <w:pStyle w:val="Compact"/>
              <w:jc w:val="left"/>
            </w:pPr>
            <w:r>
              <w:t xml:space="preserve">bike_per_hr</w:t>
            </w:r>
          </w:p>
        </w:tc>
        <w:tc>
          <w:tcPr/>
          <w:p>
            <w:pPr>
              <w:pStyle w:val="Compact"/>
              <w:jc w:val="left"/>
            </w:pPr>
            <w:r>
              <w:t xml:space="preserve">ped_per_hr</w:t>
            </w:r>
          </w:p>
        </w:tc>
        <w:tc>
          <w:tcPr/>
          <w:p>
            <w:pPr>
              <w:pStyle w:val="Compact"/>
              <w:jc w:val="right"/>
            </w:pPr>
            <w:r>
              <w:t xml:space="preserve">start_year</w:t>
            </w:r>
          </w:p>
        </w:tc>
        <w:tc>
          <w:tcPr/>
          <w:p>
            <w:pPr>
              <w:pStyle w:val="Compact"/>
              <w:jc w:val="right"/>
            </w:pPr>
            <w:r>
              <w:t xml:space="preserve">end_year</w:t>
            </w:r>
          </w:p>
        </w:tc>
      </w:tr>
      <w:tr>
        <w:tc>
          <w:tcPr/>
          <w:p>
            <w:pPr>
              <w:pStyle w:val="Compact"/>
              <w:jc w:val="left"/>
            </w:pPr>
            <w:r>
              <w:t xml:space="preserve">12TH AVE AND E MADISON ST</w:t>
            </w:r>
          </w:p>
        </w:tc>
        <w:tc>
          <w:tcPr/>
          <w:p>
            <w:pPr>
              <w:pStyle w:val="Compact"/>
              <w:jc w:val="right"/>
            </w:pPr>
            <w:r>
              <w:t xml:space="preserve">108</w:t>
            </w:r>
          </w:p>
        </w:tc>
        <w:tc>
          <w:tcPr/>
          <w:p>
            <w:pPr>
              <w:pStyle w:val="Compact"/>
              <w:jc w:val="left"/>
            </w:pPr>
            <w:r>
              <w:t xml:space="preserve">3,698.0</w:t>
            </w:r>
          </w:p>
        </w:tc>
        <w:tc>
          <w:tcPr/>
          <w:p>
            <w:pPr>
              <w:pStyle w:val="Compact"/>
              <w:jc w:val="left"/>
            </w:pPr>
            <w:r>
              <w:t xml:space="preserve">60,076.0</w:t>
            </w:r>
          </w:p>
        </w:tc>
        <w:tc>
          <w:tcPr/>
          <w:p>
            <w:pPr>
              <w:pStyle w:val="Compact"/>
              <w:jc w:val="left"/>
            </w:pPr>
            <w:r>
              <w:t xml:space="preserve">34.2</w:t>
            </w:r>
          </w:p>
        </w:tc>
        <w:tc>
          <w:tcPr/>
          <w:p>
            <w:pPr>
              <w:pStyle w:val="Compact"/>
              <w:jc w:val="left"/>
            </w:pPr>
            <w:r>
              <w:t xml:space="preserve">556.3</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12TH AVE NE AND NE 65TH ST</w:t>
            </w:r>
          </w:p>
        </w:tc>
        <w:tc>
          <w:tcPr/>
          <w:p>
            <w:pPr>
              <w:pStyle w:val="Compact"/>
              <w:jc w:val="right"/>
            </w:pPr>
            <w:r>
              <w:t xml:space="preserve">108</w:t>
            </w:r>
          </w:p>
        </w:tc>
        <w:tc>
          <w:tcPr/>
          <w:p>
            <w:pPr>
              <w:pStyle w:val="Compact"/>
              <w:jc w:val="left"/>
            </w:pPr>
            <w:r>
              <w:t xml:space="preserve">1,793.0</w:t>
            </w:r>
          </w:p>
        </w:tc>
        <w:tc>
          <w:tcPr/>
          <w:p>
            <w:pPr>
              <w:pStyle w:val="Compact"/>
              <w:jc w:val="left"/>
            </w:pPr>
            <w:r>
              <w:t xml:space="preserve">31,122.0</w:t>
            </w:r>
          </w:p>
        </w:tc>
        <w:tc>
          <w:tcPr/>
          <w:p>
            <w:pPr>
              <w:pStyle w:val="Compact"/>
              <w:jc w:val="left"/>
            </w:pPr>
            <w:r>
              <w:t xml:space="preserve">16.6</w:t>
            </w:r>
          </w:p>
        </w:tc>
        <w:tc>
          <w:tcPr/>
          <w:p>
            <w:pPr>
              <w:pStyle w:val="Compact"/>
              <w:jc w:val="left"/>
            </w:pPr>
            <w:r>
              <w:t xml:space="preserve">288.2</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12TH AVE S AND S JACKSON ST</w:t>
            </w:r>
          </w:p>
        </w:tc>
        <w:tc>
          <w:tcPr/>
          <w:p>
            <w:pPr>
              <w:pStyle w:val="Compact"/>
              <w:jc w:val="right"/>
            </w:pPr>
            <w:r>
              <w:t xml:space="preserve">108</w:t>
            </w:r>
          </w:p>
        </w:tc>
        <w:tc>
          <w:tcPr/>
          <w:p>
            <w:pPr>
              <w:pStyle w:val="Compact"/>
              <w:jc w:val="left"/>
            </w:pPr>
            <w:r>
              <w:t xml:space="preserve">3,505.0</w:t>
            </w:r>
          </w:p>
        </w:tc>
        <w:tc>
          <w:tcPr/>
          <w:p>
            <w:pPr>
              <w:pStyle w:val="Compact"/>
              <w:jc w:val="left"/>
            </w:pPr>
            <w:r>
              <w:t xml:space="preserve">49,372.0</w:t>
            </w:r>
          </w:p>
        </w:tc>
        <w:tc>
          <w:tcPr/>
          <w:p>
            <w:pPr>
              <w:pStyle w:val="Compact"/>
              <w:jc w:val="left"/>
            </w:pPr>
            <w:r>
              <w:t xml:space="preserve">32.5</w:t>
            </w:r>
          </w:p>
        </w:tc>
        <w:tc>
          <w:tcPr/>
          <w:p>
            <w:pPr>
              <w:pStyle w:val="Compact"/>
              <w:jc w:val="left"/>
            </w:pPr>
            <w:r>
              <w:t xml:space="preserve">457.1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15TH AVE NW AND NW MARKET ST</w:t>
            </w:r>
          </w:p>
        </w:tc>
        <w:tc>
          <w:tcPr/>
          <w:p>
            <w:pPr>
              <w:pStyle w:val="Compact"/>
              <w:jc w:val="right"/>
            </w:pPr>
            <w:r>
              <w:t xml:space="preserve">108</w:t>
            </w:r>
          </w:p>
        </w:tc>
        <w:tc>
          <w:tcPr/>
          <w:p>
            <w:pPr>
              <w:pStyle w:val="Compact"/>
              <w:jc w:val="left"/>
            </w:pPr>
            <w:r>
              <w:t xml:space="preserve">253.0</w:t>
            </w:r>
          </w:p>
        </w:tc>
        <w:tc>
          <w:tcPr/>
          <w:p>
            <w:pPr>
              <w:pStyle w:val="Compact"/>
              <w:jc w:val="left"/>
            </w:pPr>
            <w:r>
              <w:t xml:space="preserve">44,306.0</w:t>
            </w:r>
          </w:p>
        </w:tc>
        <w:tc>
          <w:tcPr/>
          <w:p>
            <w:pPr>
              <w:pStyle w:val="Compact"/>
              <w:jc w:val="left"/>
            </w:pPr>
            <w:r>
              <w:t xml:space="preserve">2.3</w:t>
            </w:r>
          </w:p>
        </w:tc>
        <w:tc>
          <w:tcPr/>
          <w:p>
            <w:pPr>
              <w:pStyle w:val="Compact"/>
              <w:jc w:val="left"/>
            </w:pPr>
            <w:r>
              <w:t xml:space="preserve">410.2</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15TH AVE W AND BALLARD BR</w:t>
            </w:r>
          </w:p>
        </w:tc>
        <w:tc>
          <w:tcPr/>
          <w:p>
            <w:pPr>
              <w:pStyle w:val="Compact"/>
              <w:jc w:val="right"/>
            </w:pPr>
            <w:r>
              <w:t xml:space="preserve">108</w:t>
            </w:r>
          </w:p>
        </w:tc>
        <w:tc>
          <w:tcPr/>
          <w:p>
            <w:pPr>
              <w:pStyle w:val="Compact"/>
              <w:jc w:val="left"/>
            </w:pPr>
            <w:r>
              <w:t xml:space="preserve">249.0</w:t>
            </w:r>
          </w:p>
        </w:tc>
        <w:tc>
          <w:tcPr/>
          <w:p>
            <w:pPr>
              <w:pStyle w:val="Compact"/>
              <w:jc w:val="left"/>
            </w:pPr>
            <w:r>
              <w:t xml:space="preserve">4,046.0</w:t>
            </w:r>
          </w:p>
        </w:tc>
        <w:tc>
          <w:tcPr/>
          <w:p>
            <w:pPr>
              <w:pStyle w:val="Compact"/>
              <w:jc w:val="left"/>
            </w:pPr>
            <w:r>
              <w:t xml:space="preserve">2.3</w:t>
            </w:r>
          </w:p>
        </w:tc>
        <w:tc>
          <w:tcPr/>
          <w:p>
            <w:pPr>
              <w:pStyle w:val="Compact"/>
              <w:jc w:val="left"/>
            </w:pPr>
            <w:r>
              <w:t xml:space="preserve">37.5</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1ST AVE S AND S JACKSON ST</w:t>
            </w:r>
          </w:p>
        </w:tc>
        <w:tc>
          <w:tcPr/>
          <w:p>
            <w:pPr>
              <w:pStyle w:val="Compact"/>
              <w:jc w:val="right"/>
            </w:pPr>
            <w:r>
              <w:t xml:space="preserve">108</w:t>
            </w:r>
          </w:p>
        </w:tc>
        <w:tc>
          <w:tcPr/>
          <w:p>
            <w:pPr>
              <w:pStyle w:val="Compact"/>
              <w:jc w:val="left"/>
            </w:pPr>
            <w:r>
              <w:t xml:space="preserve">2,347.0</w:t>
            </w:r>
          </w:p>
        </w:tc>
        <w:tc>
          <w:tcPr/>
          <w:p>
            <w:pPr>
              <w:pStyle w:val="Compact"/>
              <w:jc w:val="left"/>
            </w:pPr>
            <w:r>
              <w:t xml:space="preserve">39,967.0</w:t>
            </w:r>
          </w:p>
        </w:tc>
        <w:tc>
          <w:tcPr/>
          <w:p>
            <w:pPr>
              <w:pStyle w:val="Compact"/>
              <w:jc w:val="left"/>
            </w:pPr>
            <w:r>
              <w:t xml:space="preserve">21.7</w:t>
            </w:r>
          </w:p>
        </w:tc>
        <w:tc>
          <w:tcPr/>
          <w:p>
            <w:pPr>
              <w:pStyle w:val="Compact"/>
              <w:jc w:val="left"/>
            </w:pPr>
            <w:r>
              <w:t xml:space="preserve">370.1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1ST AVE S AND S LANDER ST</w:t>
            </w:r>
          </w:p>
        </w:tc>
        <w:tc>
          <w:tcPr/>
          <w:p>
            <w:pPr>
              <w:pStyle w:val="Compact"/>
              <w:jc w:val="right"/>
            </w:pPr>
            <w:r>
              <w:t xml:space="preserve">108</w:t>
            </w:r>
          </w:p>
        </w:tc>
        <w:tc>
          <w:tcPr/>
          <w:p>
            <w:pPr>
              <w:pStyle w:val="Compact"/>
              <w:jc w:val="left"/>
            </w:pPr>
            <w:r>
              <w:t xml:space="preserve">617.0</w:t>
            </w:r>
          </w:p>
        </w:tc>
        <w:tc>
          <w:tcPr/>
          <w:p>
            <w:pPr>
              <w:pStyle w:val="Compact"/>
              <w:jc w:val="left"/>
            </w:pPr>
            <w:r>
              <w:t xml:space="preserve">10,721.0</w:t>
            </w:r>
          </w:p>
        </w:tc>
        <w:tc>
          <w:tcPr/>
          <w:p>
            <w:pPr>
              <w:pStyle w:val="Compact"/>
              <w:jc w:val="left"/>
            </w:pPr>
            <w:r>
              <w:t xml:space="preserve">5.7</w:t>
            </w:r>
          </w:p>
        </w:tc>
        <w:tc>
          <w:tcPr/>
          <w:p>
            <w:pPr>
              <w:pStyle w:val="Compact"/>
              <w:jc w:val="left"/>
            </w:pPr>
            <w:r>
              <w:t xml:space="preserve">99.3</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23RD AVE AND E UNION ST</w:t>
            </w:r>
          </w:p>
        </w:tc>
        <w:tc>
          <w:tcPr/>
          <w:p>
            <w:pPr>
              <w:pStyle w:val="Compact"/>
              <w:jc w:val="right"/>
            </w:pPr>
            <w:r>
              <w:t xml:space="preserve">108</w:t>
            </w:r>
          </w:p>
        </w:tc>
        <w:tc>
          <w:tcPr/>
          <w:p>
            <w:pPr>
              <w:pStyle w:val="Compact"/>
              <w:jc w:val="left"/>
            </w:pPr>
            <w:r>
              <w:t xml:space="preserve">1,661.0</w:t>
            </w:r>
          </w:p>
        </w:tc>
        <w:tc>
          <w:tcPr/>
          <w:p>
            <w:pPr>
              <w:pStyle w:val="Compact"/>
              <w:jc w:val="left"/>
            </w:pPr>
            <w:r>
              <w:t xml:space="preserve">22,367.0</w:t>
            </w:r>
          </w:p>
        </w:tc>
        <w:tc>
          <w:tcPr/>
          <w:p>
            <w:pPr>
              <w:pStyle w:val="Compact"/>
              <w:jc w:val="left"/>
            </w:pPr>
            <w:r>
              <w:t xml:space="preserve">15.4</w:t>
            </w:r>
          </w:p>
        </w:tc>
        <w:tc>
          <w:tcPr/>
          <w:p>
            <w:pPr>
              <w:pStyle w:val="Compact"/>
              <w:jc w:val="left"/>
            </w:pPr>
            <w:r>
              <w:t xml:space="preserve">207.1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24TH AVE NW AND NW MARKET ST</w:t>
            </w:r>
          </w:p>
        </w:tc>
        <w:tc>
          <w:tcPr/>
          <w:p>
            <w:pPr>
              <w:pStyle w:val="Compact"/>
              <w:jc w:val="right"/>
            </w:pPr>
            <w:r>
              <w:t xml:space="preserve">108</w:t>
            </w:r>
          </w:p>
        </w:tc>
        <w:tc>
          <w:tcPr/>
          <w:p>
            <w:pPr>
              <w:pStyle w:val="Compact"/>
              <w:jc w:val="left"/>
            </w:pPr>
            <w:r>
              <w:t xml:space="preserve">2,478.0</w:t>
            </w:r>
          </w:p>
        </w:tc>
        <w:tc>
          <w:tcPr/>
          <w:p>
            <w:pPr>
              <w:pStyle w:val="Compact"/>
              <w:jc w:val="left"/>
            </w:pPr>
            <w:r>
              <w:t xml:space="preserve">37,370.0</w:t>
            </w:r>
          </w:p>
        </w:tc>
        <w:tc>
          <w:tcPr/>
          <w:p>
            <w:pPr>
              <w:pStyle w:val="Compact"/>
              <w:jc w:val="left"/>
            </w:pPr>
            <w:r>
              <w:t xml:space="preserve">22.9</w:t>
            </w:r>
          </w:p>
        </w:tc>
        <w:tc>
          <w:tcPr/>
          <w:p>
            <w:pPr>
              <w:pStyle w:val="Compact"/>
              <w:jc w:val="left"/>
            </w:pPr>
            <w:r>
              <w:t xml:space="preserve">346.0</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26TH AVE SW AND SW BARTON ST</w:t>
            </w:r>
          </w:p>
        </w:tc>
        <w:tc>
          <w:tcPr/>
          <w:p>
            <w:pPr>
              <w:pStyle w:val="Compact"/>
              <w:jc w:val="right"/>
            </w:pPr>
            <w:r>
              <w:t xml:space="preserve">108</w:t>
            </w:r>
          </w:p>
        </w:tc>
        <w:tc>
          <w:tcPr/>
          <w:p>
            <w:pPr>
              <w:pStyle w:val="Compact"/>
              <w:jc w:val="left"/>
            </w:pPr>
            <w:r>
              <w:t xml:space="preserve">226.0</w:t>
            </w:r>
          </w:p>
        </w:tc>
        <w:tc>
          <w:tcPr/>
          <w:p>
            <w:pPr>
              <w:pStyle w:val="Compact"/>
              <w:jc w:val="left"/>
            </w:pPr>
            <w:r>
              <w:t xml:space="preserve">8,234.0</w:t>
            </w:r>
          </w:p>
        </w:tc>
        <w:tc>
          <w:tcPr/>
          <w:p>
            <w:pPr>
              <w:pStyle w:val="Compact"/>
              <w:jc w:val="left"/>
            </w:pPr>
            <w:r>
              <w:t xml:space="preserve">2.1</w:t>
            </w:r>
          </w:p>
        </w:tc>
        <w:tc>
          <w:tcPr/>
          <w:p>
            <w:pPr>
              <w:pStyle w:val="Compact"/>
              <w:jc w:val="left"/>
            </w:pPr>
            <w:r>
              <w:t xml:space="preserve">76.2</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32ND AVE NW AND NW 54TH ST</w:t>
            </w:r>
          </w:p>
        </w:tc>
        <w:tc>
          <w:tcPr/>
          <w:p>
            <w:pPr>
              <w:pStyle w:val="Compact"/>
              <w:jc w:val="right"/>
            </w:pPr>
            <w:r>
              <w:t xml:space="preserve">108</w:t>
            </w:r>
          </w:p>
        </w:tc>
        <w:tc>
          <w:tcPr/>
          <w:p>
            <w:pPr>
              <w:pStyle w:val="Compact"/>
              <w:jc w:val="left"/>
            </w:pPr>
            <w:r>
              <w:t xml:space="preserve">920.0</w:t>
            </w:r>
          </w:p>
        </w:tc>
        <w:tc>
          <w:tcPr/>
          <w:p>
            <w:pPr>
              <w:pStyle w:val="Compact"/>
              <w:jc w:val="left"/>
            </w:pPr>
            <w:r>
              <w:t xml:space="preserve">15,112.0</w:t>
            </w:r>
          </w:p>
        </w:tc>
        <w:tc>
          <w:tcPr/>
          <w:p>
            <w:pPr>
              <w:pStyle w:val="Compact"/>
              <w:jc w:val="left"/>
            </w:pPr>
            <w:r>
              <w:t xml:space="preserve">8.5</w:t>
            </w:r>
          </w:p>
        </w:tc>
        <w:tc>
          <w:tcPr/>
          <w:p>
            <w:pPr>
              <w:pStyle w:val="Compact"/>
              <w:jc w:val="left"/>
            </w:pPr>
            <w:r>
              <w:t xml:space="preserve">139.9</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32ND AVE W AND W MCGRAW ST</w:t>
            </w:r>
          </w:p>
        </w:tc>
        <w:tc>
          <w:tcPr/>
          <w:p>
            <w:pPr>
              <w:pStyle w:val="Compact"/>
              <w:jc w:val="right"/>
            </w:pPr>
            <w:r>
              <w:t xml:space="preserve">106</w:t>
            </w:r>
          </w:p>
        </w:tc>
        <w:tc>
          <w:tcPr/>
          <w:p>
            <w:pPr>
              <w:pStyle w:val="Compact"/>
              <w:jc w:val="left"/>
            </w:pPr>
            <w:r>
              <w:t xml:space="preserve">487.0</w:t>
            </w:r>
          </w:p>
        </w:tc>
        <w:tc>
          <w:tcPr/>
          <w:p>
            <w:pPr>
              <w:pStyle w:val="Compact"/>
              <w:jc w:val="left"/>
            </w:pPr>
            <w:r>
              <w:t xml:space="preserve">22,148.0</w:t>
            </w:r>
          </w:p>
        </w:tc>
        <w:tc>
          <w:tcPr/>
          <w:p>
            <w:pPr>
              <w:pStyle w:val="Compact"/>
              <w:jc w:val="left"/>
            </w:pPr>
            <w:r>
              <w:t xml:space="preserve">4.6</w:t>
            </w:r>
          </w:p>
        </w:tc>
        <w:tc>
          <w:tcPr/>
          <w:p>
            <w:pPr>
              <w:pStyle w:val="Compact"/>
              <w:jc w:val="left"/>
            </w:pPr>
            <w:r>
              <w:t xml:space="preserve">208.9</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35TH AVE SW AND SW AVALON WAY</w:t>
            </w:r>
          </w:p>
        </w:tc>
        <w:tc>
          <w:tcPr/>
          <w:p>
            <w:pPr>
              <w:pStyle w:val="Compact"/>
              <w:jc w:val="right"/>
            </w:pPr>
            <w:r>
              <w:t xml:space="preserve">108</w:t>
            </w:r>
          </w:p>
        </w:tc>
        <w:tc>
          <w:tcPr/>
          <w:p>
            <w:pPr>
              <w:pStyle w:val="Compact"/>
              <w:jc w:val="left"/>
            </w:pPr>
            <w:r>
              <w:t xml:space="preserve">2,029.0</w:t>
            </w:r>
          </w:p>
        </w:tc>
        <w:tc>
          <w:tcPr/>
          <w:p>
            <w:pPr>
              <w:pStyle w:val="Compact"/>
              <w:jc w:val="left"/>
            </w:pPr>
            <w:r>
              <w:t xml:space="preserve">12,141.0</w:t>
            </w:r>
          </w:p>
        </w:tc>
        <w:tc>
          <w:tcPr/>
          <w:p>
            <w:pPr>
              <w:pStyle w:val="Compact"/>
              <w:jc w:val="left"/>
            </w:pPr>
            <w:r>
              <w:t xml:space="preserve">18.8</w:t>
            </w:r>
          </w:p>
        </w:tc>
        <w:tc>
          <w:tcPr/>
          <w:p>
            <w:pPr>
              <w:pStyle w:val="Compact"/>
              <w:jc w:val="left"/>
            </w:pPr>
            <w:r>
              <w:t xml:space="preserve">112.4</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5TH AVE AND STEWART ST</w:t>
            </w:r>
          </w:p>
        </w:tc>
        <w:tc>
          <w:tcPr/>
          <w:p>
            <w:pPr>
              <w:pStyle w:val="Compact"/>
              <w:jc w:val="right"/>
            </w:pPr>
            <w:r>
              <w:t xml:space="preserve">108</w:t>
            </w:r>
          </w:p>
        </w:tc>
        <w:tc>
          <w:tcPr/>
          <w:p>
            <w:pPr>
              <w:pStyle w:val="Compact"/>
              <w:jc w:val="left"/>
            </w:pPr>
            <w:r>
              <w:t xml:space="preserve">1,552.0</w:t>
            </w:r>
          </w:p>
        </w:tc>
        <w:tc>
          <w:tcPr/>
          <w:p>
            <w:pPr>
              <w:pStyle w:val="Compact"/>
              <w:jc w:val="left"/>
            </w:pPr>
            <w:r>
              <w:t xml:space="preserve">82,176.0</w:t>
            </w:r>
          </w:p>
        </w:tc>
        <w:tc>
          <w:tcPr/>
          <w:p>
            <w:pPr>
              <w:pStyle w:val="Compact"/>
              <w:jc w:val="left"/>
            </w:pPr>
            <w:r>
              <w:t xml:space="preserve">14.4</w:t>
            </w:r>
          </w:p>
        </w:tc>
        <w:tc>
          <w:tcPr/>
          <w:p>
            <w:pPr>
              <w:pStyle w:val="Compact"/>
              <w:jc w:val="left"/>
            </w:pPr>
            <w:r>
              <w:t xml:space="preserve">760.9</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5TH AVE NE AND NE NORTHGATE WAY</w:t>
            </w:r>
          </w:p>
        </w:tc>
        <w:tc>
          <w:tcPr/>
          <w:p>
            <w:pPr>
              <w:pStyle w:val="Compact"/>
              <w:jc w:val="right"/>
            </w:pPr>
            <w:r>
              <w:t xml:space="preserve">108</w:t>
            </w:r>
          </w:p>
        </w:tc>
        <w:tc>
          <w:tcPr/>
          <w:p>
            <w:pPr>
              <w:pStyle w:val="Compact"/>
              <w:jc w:val="left"/>
            </w:pPr>
            <w:r>
              <w:t xml:space="preserve">228.0</w:t>
            </w:r>
          </w:p>
        </w:tc>
        <w:tc>
          <w:tcPr/>
          <w:p>
            <w:pPr>
              <w:pStyle w:val="Compact"/>
              <w:jc w:val="left"/>
            </w:pPr>
            <w:r>
              <w:t xml:space="preserve">27,124.0</w:t>
            </w:r>
          </w:p>
        </w:tc>
        <w:tc>
          <w:tcPr/>
          <w:p>
            <w:pPr>
              <w:pStyle w:val="Compact"/>
              <w:jc w:val="left"/>
            </w:pPr>
            <w:r>
              <w:t xml:space="preserve">2.1</w:t>
            </w:r>
          </w:p>
        </w:tc>
        <w:tc>
          <w:tcPr/>
          <w:p>
            <w:pPr>
              <w:pStyle w:val="Compact"/>
              <w:jc w:val="left"/>
            </w:pPr>
            <w:r>
              <w:t xml:space="preserve">251.1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6TH AVE AND MADISON ST</w:t>
            </w:r>
          </w:p>
        </w:tc>
        <w:tc>
          <w:tcPr/>
          <w:p>
            <w:pPr>
              <w:pStyle w:val="Compact"/>
              <w:jc w:val="right"/>
            </w:pPr>
            <w:r>
              <w:t xml:space="preserve">108</w:t>
            </w:r>
          </w:p>
        </w:tc>
        <w:tc>
          <w:tcPr/>
          <w:p>
            <w:pPr>
              <w:pStyle w:val="Compact"/>
              <w:jc w:val="left"/>
            </w:pPr>
            <w:r>
              <w:t xml:space="preserve">488.0</w:t>
            </w:r>
          </w:p>
        </w:tc>
        <w:tc>
          <w:tcPr/>
          <w:p>
            <w:pPr>
              <w:pStyle w:val="Compact"/>
              <w:jc w:val="left"/>
            </w:pPr>
            <w:r>
              <w:t xml:space="preserve">23,366.0</w:t>
            </w:r>
          </w:p>
        </w:tc>
        <w:tc>
          <w:tcPr/>
          <w:p>
            <w:pPr>
              <w:pStyle w:val="Compact"/>
              <w:jc w:val="left"/>
            </w:pPr>
            <w:r>
              <w:t xml:space="preserve">4.5</w:t>
            </w:r>
          </w:p>
        </w:tc>
        <w:tc>
          <w:tcPr/>
          <w:p>
            <w:pPr>
              <w:pStyle w:val="Compact"/>
              <w:jc w:val="left"/>
            </w:pPr>
            <w:r>
              <w:t xml:space="preserve">216.4</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7TH AVE S AND S JACKSON ST</w:t>
            </w:r>
          </w:p>
        </w:tc>
        <w:tc>
          <w:tcPr/>
          <w:p>
            <w:pPr>
              <w:pStyle w:val="Compact"/>
              <w:jc w:val="right"/>
            </w:pPr>
            <w:r>
              <w:t xml:space="preserve">108</w:t>
            </w:r>
          </w:p>
        </w:tc>
        <w:tc>
          <w:tcPr/>
          <w:p>
            <w:pPr>
              <w:pStyle w:val="Compact"/>
              <w:jc w:val="left"/>
            </w:pPr>
            <w:r>
              <w:t xml:space="preserve">2,502.0</w:t>
            </w:r>
          </w:p>
        </w:tc>
        <w:tc>
          <w:tcPr/>
          <w:p>
            <w:pPr>
              <w:pStyle w:val="Compact"/>
              <w:jc w:val="left"/>
            </w:pPr>
            <w:r>
              <w:t xml:space="preserve">25,280.0</w:t>
            </w:r>
          </w:p>
        </w:tc>
        <w:tc>
          <w:tcPr/>
          <w:p>
            <w:pPr>
              <w:pStyle w:val="Compact"/>
              <w:jc w:val="left"/>
            </w:pPr>
            <w:r>
              <w:t xml:space="preserve">23.2</w:t>
            </w:r>
          </w:p>
        </w:tc>
        <w:tc>
          <w:tcPr/>
          <w:p>
            <w:pPr>
              <w:pStyle w:val="Compact"/>
              <w:jc w:val="left"/>
            </w:pPr>
            <w:r>
              <w:t xml:space="preserve">234.1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8TH AVE S AND S CLOVERDALE ST</w:t>
            </w:r>
          </w:p>
        </w:tc>
        <w:tc>
          <w:tcPr/>
          <w:p>
            <w:pPr>
              <w:pStyle w:val="Compact"/>
              <w:jc w:val="right"/>
            </w:pPr>
            <w:r>
              <w:t xml:space="preserve">108</w:t>
            </w:r>
          </w:p>
        </w:tc>
        <w:tc>
          <w:tcPr/>
          <w:p>
            <w:pPr>
              <w:pStyle w:val="Compact"/>
              <w:jc w:val="left"/>
            </w:pPr>
            <w:r>
              <w:t xml:space="preserve">617.0</w:t>
            </w:r>
          </w:p>
        </w:tc>
        <w:tc>
          <w:tcPr/>
          <w:p>
            <w:pPr>
              <w:pStyle w:val="Compact"/>
              <w:jc w:val="left"/>
            </w:pPr>
            <w:r>
              <w:t xml:space="preserve">3,700.0</w:t>
            </w:r>
          </w:p>
        </w:tc>
        <w:tc>
          <w:tcPr/>
          <w:p>
            <w:pPr>
              <w:pStyle w:val="Compact"/>
              <w:jc w:val="left"/>
            </w:pPr>
            <w:r>
              <w:t xml:space="preserve">5.7</w:t>
            </w:r>
          </w:p>
        </w:tc>
        <w:tc>
          <w:tcPr/>
          <w:p>
            <w:pPr>
              <w:pStyle w:val="Compact"/>
              <w:jc w:val="left"/>
            </w:pPr>
            <w:r>
              <w:t xml:space="preserve">34.3</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8TH AVE S AND S DEARBORN ST</w:t>
            </w:r>
          </w:p>
        </w:tc>
        <w:tc>
          <w:tcPr/>
          <w:p>
            <w:pPr>
              <w:pStyle w:val="Compact"/>
              <w:jc w:val="right"/>
            </w:pPr>
            <w:r>
              <w:t xml:space="preserve">108</w:t>
            </w:r>
          </w:p>
        </w:tc>
        <w:tc>
          <w:tcPr/>
          <w:p>
            <w:pPr>
              <w:pStyle w:val="Compact"/>
              <w:jc w:val="left"/>
            </w:pPr>
            <w:r>
              <w:t xml:space="preserve">1,477.0</w:t>
            </w:r>
          </w:p>
        </w:tc>
        <w:tc>
          <w:tcPr/>
          <w:p>
            <w:pPr>
              <w:pStyle w:val="Compact"/>
              <w:jc w:val="left"/>
            </w:pPr>
            <w:r>
              <w:t xml:space="preserve">5,318.0</w:t>
            </w:r>
          </w:p>
        </w:tc>
        <w:tc>
          <w:tcPr/>
          <w:p>
            <w:pPr>
              <w:pStyle w:val="Compact"/>
              <w:jc w:val="left"/>
            </w:pPr>
            <w:r>
              <w:t xml:space="preserve">13.7</w:t>
            </w:r>
          </w:p>
        </w:tc>
        <w:tc>
          <w:tcPr/>
          <w:p>
            <w:pPr>
              <w:pStyle w:val="Compact"/>
              <w:jc w:val="left"/>
            </w:pPr>
            <w:r>
              <w:t xml:space="preserve">49.2</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9TH AVE N AND MERCER SR ST</w:t>
            </w:r>
          </w:p>
        </w:tc>
        <w:tc>
          <w:tcPr/>
          <w:p>
            <w:pPr>
              <w:pStyle w:val="Compact"/>
              <w:jc w:val="right"/>
            </w:pPr>
            <w:r>
              <w:t xml:space="preserve">104</w:t>
            </w:r>
          </w:p>
        </w:tc>
        <w:tc>
          <w:tcPr/>
          <w:p>
            <w:pPr>
              <w:pStyle w:val="Compact"/>
              <w:jc w:val="left"/>
            </w:pPr>
            <w:r>
              <w:t xml:space="preserve">5,431.0</w:t>
            </w:r>
          </w:p>
        </w:tc>
        <w:tc>
          <w:tcPr/>
          <w:p>
            <w:pPr>
              <w:pStyle w:val="Compact"/>
              <w:jc w:val="left"/>
            </w:pPr>
            <w:r>
              <w:t xml:space="preserve">20,670.0</w:t>
            </w:r>
          </w:p>
        </w:tc>
        <w:tc>
          <w:tcPr/>
          <w:p>
            <w:pPr>
              <w:pStyle w:val="Compact"/>
              <w:jc w:val="left"/>
            </w:pPr>
            <w:r>
              <w:t xml:space="preserve">52.2</w:t>
            </w:r>
          </w:p>
        </w:tc>
        <w:tc>
          <w:tcPr/>
          <w:p>
            <w:pPr>
              <w:pStyle w:val="Compact"/>
              <w:jc w:val="left"/>
            </w:pPr>
            <w:r>
              <w:t xml:space="preserve">198.8</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AIRPORT WAY S AND S VALE ST</w:t>
            </w:r>
          </w:p>
        </w:tc>
        <w:tc>
          <w:tcPr/>
          <w:p>
            <w:pPr>
              <w:pStyle w:val="Compact"/>
              <w:jc w:val="right"/>
            </w:pPr>
            <w:r>
              <w:t xml:space="preserve">108</w:t>
            </w:r>
          </w:p>
        </w:tc>
        <w:tc>
          <w:tcPr/>
          <w:p>
            <w:pPr>
              <w:pStyle w:val="Compact"/>
              <w:jc w:val="left"/>
            </w:pPr>
            <w:r>
              <w:t xml:space="preserve">527.0</w:t>
            </w:r>
          </w:p>
        </w:tc>
        <w:tc>
          <w:tcPr/>
          <w:p>
            <w:pPr>
              <w:pStyle w:val="Compact"/>
              <w:jc w:val="left"/>
            </w:pPr>
            <w:r>
              <w:t xml:space="preserve">7,555.0</w:t>
            </w:r>
          </w:p>
        </w:tc>
        <w:tc>
          <w:tcPr/>
          <w:p>
            <w:pPr>
              <w:pStyle w:val="Compact"/>
              <w:jc w:val="left"/>
            </w:pPr>
            <w:r>
              <w:t xml:space="preserve">4.9</w:t>
            </w:r>
          </w:p>
        </w:tc>
        <w:tc>
          <w:tcPr/>
          <w:p>
            <w:pPr>
              <w:pStyle w:val="Compact"/>
              <w:jc w:val="left"/>
            </w:pPr>
            <w:r>
              <w:t xml:space="preserve">70.0</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ALASKAN WAY AND BROAD ST</w:t>
            </w:r>
          </w:p>
        </w:tc>
        <w:tc>
          <w:tcPr/>
          <w:p>
            <w:pPr>
              <w:pStyle w:val="Compact"/>
              <w:jc w:val="right"/>
            </w:pPr>
            <w:r>
              <w:t xml:space="preserve">108</w:t>
            </w:r>
          </w:p>
        </w:tc>
        <w:tc>
          <w:tcPr/>
          <w:p>
            <w:pPr>
              <w:pStyle w:val="Compact"/>
              <w:jc w:val="left"/>
            </w:pPr>
            <w:r>
              <w:t xml:space="preserve">5,776.0</w:t>
            </w:r>
          </w:p>
        </w:tc>
        <w:tc>
          <w:tcPr/>
          <w:p>
            <w:pPr>
              <w:pStyle w:val="Compact"/>
              <w:jc w:val="left"/>
            </w:pPr>
            <w:r>
              <w:t xml:space="preserve">32,154.0</w:t>
            </w:r>
          </w:p>
        </w:tc>
        <w:tc>
          <w:tcPr/>
          <w:p>
            <w:pPr>
              <w:pStyle w:val="Compact"/>
              <w:jc w:val="left"/>
            </w:pPr>
            <w:r>
              <w:t xml:space="preserve">53.5</w:t>
            </w:r>
          </w:p>
        </w:tc>
        <w:tc>
          <w:tcPr/>
          <w:p>
            <w:pPr>
              <w:pStyle w:val="Compact"/>
              <w:jc w:val="left"/>
            </w:pPr>
            <w:r>
              <w:t xml:space="preserve">297.7</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ALASKAN WAY AND COLUMBIA ST</w:t>
            </w:r>
          </w:p>
        </w:tc>
        <w:tc>
          <w:tcPr/>
          <w:p>
            <w:pPr>
              <w:pStyle w:val="Compact"/>
              <w:jc w:val="right"/>
            </w:pPr>
            <w:r>
              <w:t xml:space="preserve">102</w:t>
            </w:r>
          </w:p>
        </w:tc>
        <w:tc>
          <w:tcPr/>
          <w:p>
            <w:pPr>
              <w:pStyle w:val="Compact"/>
              <w:jc w:val="left"/>
            </w:pPr>
            <w:r>
              <w:t xml:space="preserve">3,061.0</w:t>
            </w:r>
          </w:p>
        </w:tc>
        <w:tc>
          <w:tcPr/>
          <w:p>
            <w:pPr>
              <w:pStyle w:val="Compact"/>
              <w:jc w:val="left"/>
            </w:pPr>
            <w:r>
              <w:t xml:space="preserve">25,817.0</w:t>
            </w:r>
          </w:p>
        </w:tc>
        <w:tc>
          <w:tcPr/>
          <w:p>
            <w:pPr>
              <w:pStyle w:val="Compact"/>
              <w:jc w:val="left"/>
            </w:pPr>
            <w:r>
              <w:t xml:space="preserve">30.0</w:t>
            </w:r>
          </w:p>
        </w:tc>
        <w:tc>
          <w:tcPr/>
          <w:p>
            <w:pPr>
              <w:pStyle w:val="Compact"/>
              <w:jc w:val="left"/>
            </w:pPr>
            <w:r>
              <w:t xml:space="preserve">253.1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BEACON AVE S AND S LANDER ST</w:t>
            </w:r>
          </w:p>
        </w:tc>
        <w:tc>
          <w:tcPr/>
          <w:p>
            <w:pPr>
              <w:pStyle w:val="Compact"/>
              <w:jc w:val="right"/>
            </w:pPr>
            <w:r>
              <w:t xml:space="preserve">108</w:t>
            </w:r>
          </w:p>
        </w:tc>
        <w:tc>
          <w:tcPr/>
          <w:p>
            <w:pPr>
              <w:pStyle w:val="Compact"/>
              <w:jc w:val="left"/>
            </w:pPr>
            <w:r>
              <w:t xml:space="preserve">1,150.0</w:t>
            </w:r>
          </w:p>
        </w:tc>
        <w:tc>
          <w:tcPr/>
          <w:p>
            <w:pPr>
              <w:pStyle w:val="Compact"/>
              <w:jc w:val="left"/>
            </w:pPr>
            <w:r>
              <w:t xml:space="preserve">22,634.0</w:t>
            </w:r>
          </w:p>
        </w:tc>
        <w:tc>
          <w:tcPr/>
          <w:p>
            <w:pPr>
              <w:pStyle w:val="Compact"/>
              <w:jc w:val="left"/>
            </w:pPr>
            <w:r>
              <w:t xml:space="preserve">10.6</w:t>
            </w:r>
          </w:p>
        </w:tc>
        <w:tc>
          <w:tcPr/>
          <w:p>
            <w:pPr>
              <w:pStyle w:val="Compact"/>
              <w:jc w:val="left"/>
            </w:pPr>
            <w:r>
              <w:t xml:space="preserve">209.6</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BOREN AVE AND PINE ST</w:t>
            </w:r>
          </w:p>
        </w:tc>
        <w:tc>
          <w:tcPr/>
          <w:p>
            <w:pPr>
              <w:pStyle w:val="Compact"/>
              <w:jc w:val="right"/>
            </w:pPr>
            <w:r>
              <w:t xml:space="preserve">108</w:t>
            </w:r>
          </w:p>
        </w:tc>
        <w:tc>
          <w:tcPr/>
          <w:p>
            <w:pPr>
              <w:pStyle w:val="Compact"/>
              <w:jc w:val="left"/>
            </w:pPr>
            <w:r>
              <w:t xml:space="preserve">3,914.0</w:t>
            </w:r>
          </w:p>
        </w:tc>
        <w:tc>
          <w:tcPr/>
          <w:p>
            <w:pPr>
              <w:pStyle w:val="Compact"/>
              <w:jc w:val="left"/>
            </w:pPr>
            <w:r>
              <w:t xml:space="preserve">43,796.0</w:t>
            </w:r>
          </w:p>
        </w:tc>
        <w:tc>
          <w:tcPr/>
          <w:p>
            <w:pPr>
              <w:pStyle w:val="Compact"/>
              <w:jc w:val="left"/>
            </w:pPr>
            <w:r>
              <w:t xml:space="preserve">36.2</w:t>
            </w:r>
          </w:p>
        </w:tc>
        <w:tc>
          <w:tcPr/>
          <w:p>
            <w:pPr>
              <w:pStyle w:val="Compact"/>
              <w:jc w:val="left"/>
            </w:pPr>
            <w:r>
              <w:t xml:space="preserve">405.5</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BOSTON ST AND QUEEN ANNE AVE N</w:t>
            </w:r>
          </w:p>
        </w:tc>
        <w:tc>
          <w:tcPr/>
          <w:p>
            <w:pPr>
              <w:pStyle w:val="Compact"/>
              <w:jc w:val="right"/>
            </w:pPr>
            <w:r>
              <w:t xml:space="preserve">104</w:t>
            </w:r>
          </w:p>
        </w:tc>
        <w:tc>
          <w:tcPr/>
          <w:p>
            <w:pPr>
              <w:pStyle w:val="Compact"/>
              <w:jc w:val="left"/>
            </w:pPr>
            <w:r>
              <w:t xml:space="preserve">686.0</w:t>
            </w:r>
          </w:p>
        </w:tc>
        <w:tc>
          <w:tcPr/>
          <w:p>
            <w:pPr>
              <w:pStyle w:val="Compact"/>
              <w:jc w:val="left"/>
            </w:pPr>
            <w:r>
              <w:t xml:space="preserve">47,237.0</w:t>
            </w:r>
          </w:p>
        </w:tc>
        <w:tc>
          <w:tcPr/>
          <w:p>
            <w:pPr>
              <w:pStyle w:val="Compact"/>
              <w:jc w:val="left"/>
            </w:pPr>
            <w:r>
              <w:t xml:space="preserve">6.6</w:t>
            </w:r>
          </w:p>
        </w:tc>
        <w:tc>
          <w:tcPr/>
          <w:p>
            <w:pPr>
              <w:pStyle w:val="Compact"/>
              <w:jc w:val="left"/>
            </w:pPr>
            <w:r>
              <w:t xml:space="preserve">454.2</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BROAD ST AND VALLEY ST</w:t>
            </w:r>
          </w:p>
        </w:tc>
        <w:tc>
          <w:tcPr/>
          <w:p>
            <w:pPr>
              <w:pStyle w:val="Compact"/>
              <w:jc w:val="right"/>
            </w:pPr>
            <w:r>
              <w:t xml:space="preserve">106</w:t>
            </w:r>
          </w:p>
        </w:tc>
        <w:tc>
          <w:tcPr/>
          <w:p>
            <w:pPr>
              <w:pStyle w:val="Compact"/>
              <w:jc w:val="left"/>
            </w:pPr>
            <w:r>
              <w:t xml:space="preserve">2,332.0</w:t>
            </w:r>
          </w:p>
        </w:tc>
        <w:tc>
          <w:tcPr/>
          <w:p>
            <w:pPr>
              <w:pStyle w:val="Compact"/>
              <w:jc w:val="left"/>
            </w:pPr>
            <w:r>
              <w:t xml:space="preserve">31,691.0</w:t>
            </w:r>
          </w:p>
        </w:tc>
        <w:tc>
          <w:tcPr/>
          <w:p>
            <w:pPr>
              <w:pStyle w:val="Compact"/>
              <w:jc w:val="left"/>
            </w:pPr>
            <w:r>
              <w:t xml:space="preserve">22.0</w:t>
            </w:r>
          </w:p>
        </w:tc>
        <w:tc>
          <w:tcPr/>
          <w:p>
            <w:pPr>
              <w:pStyle w:val="Compact"/>
              <w:jc w:val="left"/>
            </w:pPr>
            <w:r>
              <w:t xml:space="preserve">299.0</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BROADWAY AND E PINE ST</w:t>
            </w:r>
          </w:p>
        </w:tc>
        <w:tc>
          <w:tcPr/>
          <w:p>
            <w:pPr>
              <w:pStyle w:val="Compact"/>
              <w:jc w:val="right"/>
            </w:pPr>
            <w:r>
              <w:t xml:space="preserve">108</w:t>
            </w:r>
          </w:p>
        </w:tc>
        <w:tc>
          <w:tcPr/>
          <w:p>
            <w:pPr>
              <w:pStyle w:val="Compact"/>
              <w:jc w:val="left"/>
            </w:pPr>
            <w:r>
              <w:t xml:space="preserve">5,108.0</w:t>
            </w:r>
          </w:p>
        </w:tc>
        <w:tc>
          <w:tcPr/>
          <w:p>
            <w:pPr>
              <w:pStyle w:val="Compact"/>
              <w:jc w:val="left"/>
            </w:pPr>
            <w:r>
              <w:t xml:space="preserve">102,787.0</w:t>
            </w:r>
          </w:p>
        </w:tc>
        <w:tc>
          <w:tcPr/>
          <w:p>
            <w:pPr>
              <w:pStyle w:val="Compact"/>
              <w:jc w:val="left"/>
            </w:pPr>
            <w:r>
              <w:t xml:space="preserve">47.3</w:t>
            </w:r>
          </w:p>
        </w:tc>
        <w:tc>
          <w:tcPr/>
          <w:p>
            <w:pPr>
              <w:pStyle w:val="Compact"/>
              <w:jc w:val="left"/>
            </w:pPr>
            <w:r>
              <w:t xml:space="preserve">951.7</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BROADWAY E AND E OLIVE WAY</w:t>
            </w:r>
          </w:p>
        </w:tc>
        <w:tc>
          <w:tcPr/>
          <w:p>
            <w:pPr>
              <w:pStyle w:val="Compact"/>
              <w:jc w:val="right"/>
            </w:pPr>
            <w:r>
              <w:t xml:space="preserve">106</w:t>
            </w:r>
          </w:p>
        </w:tc>
        <w:tc>
          <w:tcPr/>
          <w:p>
            <w:pPr>
              <w:pStyle w:val="Compact"/>
              <w:jc w:val="left"/>
            </w:pPr>
            <w:r>
              <w:t xml:space="preserve">2,408.0</w:t>
            </w:r>
          </w:p>
        </w:tc>
        <w:tc>
          <w:tcPr/>
          <w:p>
            <w:pPr>
              <w:pStyle w:val="Compact"/>
              <w:jc w:val="left"/>
            </w:pPr>
            <w:r>
              <w:t xml:space="preserve">134,418.0</w:t>
            </w:r>
          </w:p>
        </w:tc>
        <w:tc>
          <w:tcPr/>
          <w:p>
            <w:pPr>
              <w:pStyle w:val="Compact"/>
              <w:jc w:val="left"/>
            </w:pPr>
            <w:r>
              <w:t xml:space="preserve">22.7</w:t>
            </w:r>
          </w:p>
        </w:tc>
        <w:tc>
          <w:tcPr/>
          <w:p>
            <w:pPr>
              <w:pStyle w:val="Compact"/>
              <w:jc w:val="left"/>
            </w:pPr>
            <w:r>
              <w:t xml:space="preserve">1,268.1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BROOKLYN AVE NE AND NE 45TH ST</w:t>
            </w:r>
          </w:p>
        </w:tc>
        <w:tc>
          <w:tcPr/>
          <w:p>
            <w:pPr>
              <w:pStyle w:val="Compact"/>
              <w:jc w:val="right"/>
            </w:pPr>
            <w:r>
              <w:t xml:space="preserve">108</w:t>
            </w:r>
          </w:p>
        </w:tc>
        <w:tc>
          <w:tcPr/>
          <w:p>
            <w:pPr>
              <w:pStyle w:val="Compact"/>
              <w:jc w:val="left"/>
            </w:pPr>
            <w:r>
              <w:t xml:space="preserve">1,133.0</w:t>
            </w:r>
          </w:p>
        </w:tc>
        <w:tc>
          <w:tcPr/>
          <w:p>
            <w:pPr>
              <w:pStyle w:val="Compact"/>
              <w:jc w:val="left"/>
            </w:pPr>
            <w:r>
              <w:t xml:space="preserve">53,149.0</w:t>
            </w:r>
          </w:p>
        </w:tc>
        <w:tc>
          <w:tcPr/>
          <w:p>
            <w:pPr>
              <w:pStyle w:val="Compact"/>
              <w:jc w:val="left"/>
            </w:pPr>
            <w:r>
              <w:t xml:space="preserve">10.5</w:t>
            </w:r>
          </w:p>
        </w:tc>
        <w:tc>
          <w:tcPr/>
          <w:p>
            <w:pPr>
              <w:pStyle w:val="Compact"/>
              <w:jc w:val="left"/>
            </w:pPr>
            <w:r>
              <w:t xml:space="preserve">492.1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CALIFORNIA AVE SW AND FAUNTLEROY WAY SW</w:t>
            </w:r>
          </w:p>
        </w:tc>
        <w:tc>
          <w:tcPr/>
          <w:p>
            <w:pPr>
              <w:pStyle w:val="Compact"/>
              <w:jc w:val="right"/>
            </w:pPr>
            <w:r>
              <w:t xml:space="preserve">108</w:t>
            </w:r>
          </w:p>
        </w:tc>
        <w:tc>
          <w:tcPr/>
          <w:p>
            <w:pPr>
              <w:pStyle w:val="Compact"/>
              <w:jc w:val="left"/>
            </w:pPr>
            <w:r>
              <w:t xml:space="preserve">950.0</w:t>
            </w:r>
          </w:p>
        </w:tc>
        <w:tc>
          <w:tcPr/>
          <w:p>
            <w:pPr>
              <w:pStyle w:val="Compact"/>
              <w:jc w:val="left"/>
            </w:pPr>
            <w:r>
              <w:t xml:space="preserve">14,614.0</w:t>
            </w:r>
          </w:p>
        </w:tc>
        <w:tc>
          <w:tcPr/>
          <w:p>
            <w:pPr>
              <w:pStyle w:val="Compact"/>
              <w:jc w:val="left"/>
            </w:pPr>
            <w:r>
              <w:t xml:space="preserve">8.8</w:t>
            </w:r>
          </w:p>
        </w:tc>
        <w:tc>
          <w:tcPr/>
          <w:p>
            <w:pPr>
              <w:pStyle w:val="Compact"/>
              <w:jc w:val="left"/>
            </w:pPr>
            <w:r>
              <w:t xml:space="preserve">135.3</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CALIFORNIA AVE SW AND SW ALASKA ST</w:t>
            </w:r>
          </w:p>
        </w:tc>
        <w:tc>
          <w:tcPr/>
          <w:p>
            <w:pPr>
              <w:pStyle w:val="Compact"/>
              <w:jc w:val="right"/>
            </w:pPr>
            <w:r>
              <w:t xml:space="preserve">108</w:t>
            </w:r>
          </w:p>
        </w:tc>
        <w:tc>
          <w:tcPr/>
          <w:p>
            <w:pPr>
              <w:pStyle w:val="Compact"/>
              <w:jc w:val="left"/>
            </w:pPr>
            <w:r>
              <w:t xml:space="preserve">802.0</w:t>
            </w:r>
          </w:p>
        </w:tc>
        <w:tc>
          <w:tcPr/>
          <w:p>
            <w:pPr>
              <w:pStyle w:val="Compact"/>
              <w:jc w:val="left"/>
            </w:pPr>
            <w:r>
              <w:t xml:space="preserve">54,691.0</w:t>
            </w:r>
          </w:p>
        </w:tc>
        <w:tc>
          <w:tcPr/>
          <w:p>
            <w:pPr>
              <w:pStyle w:val="Compact"/>
              <w:jc w:val="left"/>
            </w:pPr>
            <w:r>
              <w:t xml:space="preserve">7.4</w:t>
            </w:r>
          </w:p>
        </w:tc>
        <w:tc>
          <w:tcPr/>
          <w:p>
            <w:pPr>
              <w:pStyle w:val="Compact"/>
              <w:jc w:val="left"/>
            </w:pPr>
            <w:r>
              <w:t xml:space="preserve">506.4</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DENNY WAY AND DEXTER AVE</w:t>
            </w:r>
          </w:p>
        </w:tc>
        <w:tc>
          <w:tcPr/>
          <w:p>
            <w:pPr>
              <w:pStyle w:val="Compact"/>
              <w:jc w:val="right"/>
            </w:pPr>
            <w:r>
              <w:t xml:space="preserve">108</w:t>
            </w:r>
          </w:p>
        </w:tc>
        <w:tc>
          <w:tcPr/>
          <w:p>
            <w:pPr>
              <w:pStyle w:val="Compact"/>
              <w:jc w:val="left"/>
            </w:pPr>
            <w:r>
              <w:t xml:space="preserve">5,286.0</w:t>
            </w:r>
          </w:p>
        </w:tc>
        <w:tc>
          <w:tcPr/>
          <w:p>
            <w:pPr>
              <w:pStyle w:val="Compact"/>
              <w:jc w:val="left"/>
            </w:pPr>
            <w:r>
              <w:t xml:space="preserve">50,152.0</w:t>
            </w:r>
          </w:p>
        </w:tc>
        <w:tc>
          <w:tcPr/>
          <w:p>
            <w:pPr>
              <w:pStyle w:val="Compact"/>
              <w:jc w:val="left"/>
            </w:pPr>
            <w:r>
              <w:t xml:space="preserve">48.9</w:t>
            </w:r>
          </w:p>
        </w:tc>
        <w:tc>
          <w:tcPr/>
          <w:p>
            <w:pPr>
              <w:pStyle w:val="Compact"/>
              <w:jc w:val="left"/>
            </w:pPr>
            <w:r>
              <w:t xml:space="preserve">464.4</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EAST GREEN LAKE DR N AND NE RAVENNA EB BV</w:t>
            </w:r>
          </w:p>
        </w:tc>
        <w:tc>
          <w:tcPr/>
          <w:p>
            <w:pPr>
              <w:pStyle w:val="Compact"/>
              <w:jc w:val="right"/>
            </w:pPr>
            <w:r>
              <w:t xml:space="preserve">108</w:t>
            </w:r>
          </w:p>
        </w:tc>
        <w:tc>
          <w:tcPr/>
          <w:p>
            <w:pPr>
              <w:pStyle w:val="Compact"/>
              <w:jc w:val="left"/>
            </w:pPr>
            <w:r>
              <w:t xml:space="preserve">4,609.0</w:t>
            </w:r>
          </w:p>
        </w:tc>
        <w:tc>
          <w:tcPr/>
          <w:p>
            <w:pPr>
              <w:pStyle w:val="Compact"/>
              <w:jc w:val="left"/>
            </w:pPr>
            <w:r>
              <w:t xml:space="preserve">46,378.0</w:t>
            </w:r>
          </w:p>
        </w:tc>
        <w:tc>
          <w:tcPr/>
          <w:p>
            <w:pPr>
              <w:pStyle w:val="Compact"/>
              <w:jc w:val="left"/>
            </w:pPr>
            <w:r>
              <w:t xml:space="preserve">42.7</w:t>
            </w:r>
          </w:p>
        </w:tc>
        <w:tc>
          <w:tcPr/>
          <w:p>
            <w:pPr>
              <w:pStyle w:val="Compact"/>
              <w:jc w:val="left"/>
            </w:pPr>
            <w:r>
              <w:t xml:space="preserve">429.4</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EAST MARGINAL WAY S AND S HANFORD ST</w:t>
            </w:r>
          </w:p>
        </w:tc>
        <w:tc>
          <w:tcPr/>
          <w:p>
            <w:pPr>
              <w:pStyle w:val="Compact"/>
              <w:jc w:val="right"/>
            </w:pPr>
            <w:r>
              <w:t xml:space="preserve">108</w:t>
            </w:r>
          </w:p>
        </w:tc>
        <w:tc>
          <w:tcPr/>
          <w:p>
            <w:pPr>
              <w:pStyle w:val="Compact"/>
              <w:jc w:val="left"/>
            </w:pPr>
            <w:r>
              <w:t xml:space="preserve">5,813.0</w:t>
            </w:r>
          </w:p>
        </w:tc>
        <w:tc>
          <w:tcPr/>
          <w:p>
            <w:pPr>
              <w:pStyle w:val="Compact"/>
              <w:jc w:val="left"/>
            </w:pPr>
            <w:r>
              <w:t xml:space="preserve">958.0</w:t>
            </w:r>
          </w:p>
        </w:tc>
        <w:tc>
          <w:tcPr/>
          <w:p>
            <w:pPr>
              <w:pStyle w:val="Compact"/>
              <w:jc w:val="left"/>
            </w:pPr>
            <w:r>
              <w:t xml:space="preserve">53.8</w:t>
            </w:r>
          </w:p>
        </w:tc>
        <w:tc>
          <w:tcPr/>
          <w:p>
            <w:pPr>
              <w:pStyle w:val="Compact"/>
              <w:jc w:val="left"/>
            </w:pPr>
            <w:r>
              <w:t xml:space="preserve">8.9</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EASTLAKE AVE E AND FUHRMAN AVE E</w:t>
            </w:r>
          </w:p>
        </w:tc>
        <w:tc>
          <w:tcPr/>
          <w:p>
            <w:pPr>
              <w:pStyle w:val="Compact"/>
              <w:jc w:val="right"/>
            </w:pPr>
            <w:r>
              <w:t xml:space="preserve">108</w:t>
            </w:r>
          </w:p>
        </w:tc>
        <w:tc>
          <w:tcPr/>
          <w:p>
            <w:pPr>
              <w:pStyle w:val="Compact"/>
              <w:jc w:val="left"/>
            </w:pPr>
            <w:r>
              <w:t xml:space="preserve">9,226.0</w:t>
            </w:r>
          </w:p>
        </w:tc>
        <w:tc>
          <w:tcPr/>
          <w:p>
            <w:pPr>
              <w:pStyle w:val="Compact"/>
              <w:jc w:val="left"/>
            </w:pPr>
            <w:r>
              <w:t xml:space="preserve">13,178.0</w:t>
            </w:r>
          </w:p>
        </w:tc>
        <w:tc>
          <w:tcPr/>
          <w:p>
            <w:pPr>
              <w:pStyle w:val="Compact"/>
              <w:jc w:val="left"/>
            </w:pPr>
            <w:r>
              <w:t xml:space="preserve">85.4</w:t>
            </w:r>
          </w:p>
        </w:tc>
        <w:tc>
          <w:tcPr/>
          <w:p>
            <w:pPr>
              <w:pStyle w:val="Compact"/>
              <w:jc w:val="left"/>
            </w:pPr>
            <w:r>
              <w:t xml:space="preserve">122.0</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FAIRVIEW AVE N AND MERCER ST</w:t>
            </w:r>
          </w:p>
        </w:tc>
        <w:tc>
          <w:tcPr/>
          <w:p>
            <w:pPr>
              <w:pStyle w:val="Compact"/>
              <w:jc w:val="right"/>
            </w:pPr>
            <w:r>
              <w:t xml:space="preserve">72</w:t>
            </w:r>
          </w:p>
        </w:tc>
        <w:tc>
          <w:tcPr/>
          <w:p>
            <w:pPr>
              <w:pStyle w:val="Compact"/>
              <w:jc w:val="left"/>
            </w:pPr>
            <w:r>
              <w:t xml:space="preserve">344.0</w:t>
            </w:r>
          </w:p>
        </w:tc>
        <w:tc>
          <w:tcPr/>
          <w:p>
            <w:pPr>
              <w:pStyle w:val="Compact"/>
              <w:jc w:val="left"/>
            </w:pPr>
            <w:r>
              <w:t xml:space="preserve">9,102.0</w:t>
            </w:r>
          </w:p>
        </w:tc>
        <w:tc>
          <w:tcPr/>
          <w:p>
            <w:pPr>
              <w:pStyle w:val="Compact"/>
              <w:jc w:val="left"/>
            </w:pPr>
            <w:r>
              <w:t xml:space="preserve">4.8</w:t>
            </w:r>
          </w:p>
        </w:tc>
        <w:tc>
          <w:tcPr/>
          <w:p>
            <w:pPr>
              <w:pStyle w:val="Compact"/>
              <w:jc w:val="left"/>
            </w:pPr>
            <w:r>
              <w:t xml:space="preserve">126.4</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FAIRVIEW AVE N AND VALLEY ST</w:t>
            </w:r>
          </w:p>
        </w:tc>
        <w:tc>
          <w:tcPr/>
          <w:p>
            <w:pPr>
              <w:pStyle w:val="Compact"/>
              <w:jc w:val="right"/>
            </w:pPr>
            <w:r>
              <w:t xml:space="preserve">108</w:t>
            </w:r>
          </w:p>
        </w:tc>
        <w:tc>
          <w:tcPr/>
          <w:p>
            <w:pPr>
              <w:pStyle w:val="Compact"/>
              <w:jc w:val="left"/>
            </w:pPr>
            <w:r>
              <w:t xml:space="preserve">2,086.0</w:t>
            </w:r>
          </w:p>
        </w:tc>
        <w:tc>
          <w:tcPr/>
          <w:p>
            <w:pPr>
              <w:pStyle w:val="Compact"/>
              <w:jc w:val="left"/>
            </w:pPr>
            <w:r>
              <w:t xml:space="preserve">12,224.0</w:t>
            </w:r>
          </w:p>
        </w:tc>
        <w:tc>
          <w:tcPr/>
          <w:p>
            <w:pPr>
              <w:pStyle w:val="Compact"/>
              <w:jc w:val="left"/>
            </w:pPr>
            <w:r>
              <w:t xml:space="preserve">19.3</w:t>
            </w:r>
          </w:p>
        </w:tc>
        <w:tc>
          <w:tcPr/>
          <w:p>
            <w:pPr>
              <w:pStyle w:val="Compact"/>
              <w:jc w:val="left"/>
            </w:pPr>
            <w:r>
              <w:t xml:space="preserve">113.2</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FAUNTLEROY WAY SW AND SW CLOVERDALE ST</w:t>
            </w:r>
          </w:p>
        </w:tc>
        <w:tc>
          <w:tcPr/>
          <w:p>
            <w:pPr>
              <w:pStyle w:val="Compact"/>
              <w:jc w:val="right"/>
            </w:pPr>
            <w:r>
              <w:t xml:space="preserve">106</w:t>
            </w:r>
          </w:p>
        </w:tc>
        <w:tc>
          <w:tcPr/>
          <w:p>
            <w:pPr>
              <w:pStyle w:val="Compact"/>
              <w:jc w:val="left"/>
            </w:pPr>
            <w:r>
              <w:t xml:space="preserve">984.0</w:t>
            </w:r>
          </w:p>
        </w:tc>
        <w:tc>
          <w:tcPr/>
          <w:p>
            <w:pPr>
              <w:pStyle w:val="Compact"/>
              <w:jc w:val="left"/>
            </w:pPr>
            <w:r>
              <w:t xml:space="preserve">5,070.0</w:t>
            </w:r>
          </w:p>
        </w:tc>
        <w:tc>
          <w:tcPr/>
          <w:p>
            <w:pPr>
              <w:pStyle w:val="Compact"/>
              <w:jc w:val="left"/>
            </w:pPr>
            <w:r>
              <w:t xml:space="preserve">9.3</w:t>
            </w:r>
          </w:p>
        </w:tc>
        <w:tc>
          <w:tcPr/>
          <w:p>
            <w:pPr>
              <w:pStyle w:val="Compact"/>
              <w:jc w:val="left"/>
            </w:pPr>
            <w:r>
              <w:t xml:space="preserve">47.8</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FREMONT AVE N AND N 34TH ST</w:t>
            </w:r>
          </w:p>
        </w:tc>
        <w:tc>
          <w:tcPr/>
          <w:p>
            <w:pPr>
              <w:pStyle w:val="Compact"/>
              <w:jc w:val="right"/>
            </w:pPr>
            <w:r>
              <w:t xml:space="preserve">108</w:t>
            </w:r>
          </w:p>
        </w:tc>
        <w:tc>
          <w:tcPr/>
          <w:p>
            <w:pPr>
              <w:pStyle w:val="Compact"/>
              <w:jc w:val="left"/>
            </w:pPr>
            <w:r>
              <w:t xml:space="preserve">15,517.0</w:t>
            </w:r>
          </w:p>
        </w:tc>
        <w:tc>
          <w:tcPr/>
          <w:p>
            <w:pPr>
              <w:pStyle w:val="Compact"/>
              <w:jc w:val="left"/>
            </w:pPr>
            <w:r>
              <w:t xml:space="preserve">47,402.0</w:t>
            </w:r>
          </w:p>
        </w:tc>
        <w:tc>
          <w:tcPr/>
          <w:p>
            <w:pPr>
              <w:pStyle w:val="Compact"/>
              <w:jc w:val="left"/>
            </w:pPr>
            <w:r>
              <w:t xml:space="preserve">143.7</w:t>
            </w:r>
          </w:p>
        </w:tc>
        <w:tc>
          <w:tcPr/>
          <w:p>
            <w:pPr>
              <w:pStyle w:val="Compact"/>
              <w:jc w:val="left"/>
            </w:pPr>
            <w:r>
              <w:t xml:space="preserve">438.9</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GREENWOOD AVE N AND N 85TH ST</w:t>
            </w:r>
          </w:p>
        </w:tc>
        <w:tc>
          <w:tcPr/>
          <w:p>
            <w:pPr>
              <w:pStyle w:val="Compact"/>
              <w:jc w:val="right"/>
            </w:pPr>
            <w:r>
              <w:t xml:space="preserve">108</w:t>
            </w:r>
          </w:p>
        </w:tc>
        <w:tc>
          <w:tcPr/>
          <w:p>
            <w:pPr>
              <w:pStyle w:val="Compact"/>
              <w:jc w:val="left"/>
            </w:pPr>
            <w:r>
              <w:t xml:space="preserve">1,026.0</w:t>
            </w:r>
          </w:p>
        </w:tc>
        <w:tc>
          <w:tcPr/>
          <w:p>
            <w:pPr>
              <w:pStyle w:val="Compact"/>
              <w:jc w:val="left"/>
            </w:pPr>
            <w:r>
              <w:t xml:space="preserve">25,046.0</w:t>
            </w:r>
          </w:p>
        </w:tc>
        <w:tc>
          <w:tcPr/>
          <w:p>
            <w:pPr>
              <w:pStyle w:val="Compact"/>
              <w:jc w:val="left"/>
            </w:pPr>
            <w:r>
              <w:t xml:space="preserve">9.5</w:t>
            </w:r>
          </w:p>
        </w:tc>
        <w:tc>
          <w:tcPr/>
          <w:p>
            <w:pPr>
              <w:pStyle w:val="Compact"/>
              <w:jc w:val="left"/>
            </w:pPr>
            <w:r>
              <w:t xml:space="preserve">231.9</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LAKE CITY WAY NE AND NE 125TH ST</w:t>
            </w:r>
          </w:p>
        </w:tc>
        <w:tc>
          <w:tcPr/>
          <w:p>
            <w:pPr>
              <w:pStyle w:val="Compact"/>
              <w:jc w:val="right"/>
            </w:pPr>
            <w:r>
              <w:t xml:space="preserve">108</w:t>
            </w:r>
          </w:p>
        </w:tc>
        <w:tc>
          <w:tcPr/>
          <w:p>
            <w:pPr>
              <w:pStyle w:val="Compact"/>
              <w:jc w:val="left"/>
            </w:pPr>
            <w:r>
              <w:t xml:space="preserve">379.0</w:t>
            </w:r>
          </w:p>
        </w:tc>
        <w:tc>
          <w:tcPr/>
          <w:p>
            <w:pPr>
              <w:pStyle w:val="Compact"/>
              <w:jc w:val="left"/>
            </w:pPr>
            <w:r>
              <w:t xml:space="preserve">21,253.0</w:t>
            </w:r>
          </w:p>
        </w:tc>
        <w:tc>
          <w:tcPr/>
          <w:p>
            <w:pPr>
              <w:pStyle w:val="Compact"/>
              <w:jc w:val="left"/>
            </w:pPr>
            <w:r>
              <w:t xml:space="preserve">3.5</w:t>
            </w:r>
          </w:p>
        </w:tc>
        <w:tc>
          <w:tcPr/>
          <w:p>
            <w:pPr>
              <w:pStyle w:val="Compact"/>
              <w:jc w:val="left"/>
            </w:pPr>
            <w:r>
              <w:t xml:space="preserve">196.8</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LINDEN AVE N AND N 130TH ST</w:t>
            </w:r>
          </w:p>
        </w:tc>
        <w:tc>
          <w:tcPr/>
          <w:p>
            <w:pPr>
              <w:pStyle w:val="Compact"/>
              <w:jc w:val="right"/>
            </w:pPr>
            <w:r>
              <w:t xml:space="preserve">110</w:t>
            </w:r>
          </w:p>
        </w:tc>
        <w:tc>
          <w:tcPr/>
          <w:p>
            <w:pPr>
              <w:pStyle w:val="Compact"/>
              <w:jc w:val="left"/>
            </w:pPr>
            <w:r>
              <w:t xml:space="preserve">2,881.0</w:t>
            </w:r>
          </w:p>
        </w:tc>
        <w:tc>
          <w:tcPr/>
          <w:p>
            <w:pPr>
              <w:pStyle w:val="Compact"/>
              <w:jc w:val="left"/>
            </w:pPr>
            <w:r>
              <w:t xml:space="preserve">6,885.0</w:t>
            </w:r>
          </w:p>
        </w:tc>
        <w:tc>
          <w:tcPr/>
          <w:p>
            <w:pPr>
              <w:pStyle w:val="Compact"/>
              <w:jc w:val="left"/>
            </w:pPr>
            <w:r>
              <w:t xml:space="preserve">26.2</w:t>
            </w:r>
          </w:p>
        </w:tc>
        <w:tc>
          <w:tcPr/>
          <w:p>
            <w:pPr>
              <w:pStyle w:val="Compact"/>
              <w:jc w:val="left"/>
            </w:pPr>
            <w:r>
              <w:t xml:space="preserve">62.6</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M L KING JR WAY S AND RAINIER AVE S</w:t>
            </w:r>
          </w:p>
        </w:tc>
        <w:tc>
          <w:tcPr/>
          <w:p>
            <w:pPr>
              <w:pStyle w:val="Compact"/>
              <w:jc w:val="right"/>
            </w:pPr>
            <w:r>
              <w:t xml:space="preserve">108</w:t>
            </w:r>
          </w:p>
        </w:tc>
        <w:tc>
          <w:tcPr/>
          <w:p>
            <w:pPr>
              <w:pStyle w:val="Compact"/>
              <w:jc w:val="left"/>
            </w:pPr>
            <w:r>
              <w:t xml:space="preserve">197.0</w:t>
            </w:r>
          </w:p>
        </w:tc>
        <w:tc>
          <w:tcPr/>
          <w:p>
            <w:pPr>
              <w:pStyle w:val="Compact"/>
              <w:jc w:val="left"/>
            </w:pPr>
            <w:r>
              <w:t xml:space="preserve">8,066.0</w:t>
            </w:r>
          </w:p>
        </w:tc>
        <w:tc>
          <w:tcPr/>
          <w:p>
            <w:pPr>
              <w:pStyle w:val="Compact"/>
              <w:jc w:val="left"/>
            </w:pPr>
            <w:r>
              <w:t xml:space="preserve">1.8</w:t>
            </w:r>
          </w:p>
        </w:tc>
        <w:tc>
          <w:tcPr/>
          <w:p>
            <w:pPr>
              <w:pStyle w:val="Compact"/>
              <w:jc w:val="left"/>
            </w:pPr>
            <w:r>
              <w:t xml:space="preserve">74.7</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M L KING JR WR WAY S AND S ALASKA ST</w:t>
            </w:r>
          </w:p>
        </w:tc>
        <w:tc>
          <w:tcPr/>
          <w:p>
            <w:pPr>
              <w:pStyle w:val="Compact"/>
              <w:jc w:val="right"/>
            </w:pPr>
            <w:r>
              <w:t xml:space="preserve">108</w:t>
            </w:r>
          </w:p>
        </w:tc>
        <w:tc>
          <w:tcPr/>
          <w:p>
            <w:pPr>
              <w:pStyle w:val="Compact"/>
              <w:jc w:val="left"/>
            </w:pPr>
            <w:r>
              <w:t xml:space="preserve">399.0</w:t>
            </w:r>
          </w:p>
        </w:tc>
        <w:tc>
          <w:tcPr/>
          <w:p>
            <w:pPr>
              <w:pStyle w:val="Compact"/>
              <w:jc w:val="left"/>
            </w:pPr>
            <w:r>
              <w:t xml:space="preserve">13,837.0</w:t>
            </w:r>
          </w:p>
        </w:tc>
        <w:tc>
          <w:tcPr/>
          <w:p>
            <w:pPr>
              <w:pStyle w:val="Compact"/>
              <w:jc w:val="left"/>
            </w:pPr>
            <w:r>
              <w:t xml:space="preserve">3.7</w:t>
            </w:r>
          </w:p>
        </w:tc>
        <w:tc>
          <w:tcPr/>
          <w:p>
            <w:pPr>
              <w:pStyle w:val="Compact"/>
              <w:jc w:val="left"/>
            </w:pPr>
            <w:r>
              <w:t xml:space="preserve">128.1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M L KING JR WR WAY S AND S OTHELLO ST</w:t>
            </w:r>
          </w:p>
        </w:tc>
        <w:tc>
          <w:tcPr/>
          <w:p>
            <w:pPr>
              <w:pStyle w:val="Compact"/>
              <w:jc w:val="right"/>
            </w:pPr>
            <w:r>
              <w:t xml:space="preserve">108</w:t>
            </w:r>
          </w:p>
        </w:tc>
        <w:tc>
          <w:tcPr/>
          <w:p>
            <w:pPr>
              <w:pStyle w:val="Compact"/>
              <w:jc w:val="left"/>
            </w:pPr>
            <w:r>
              <w:t xml:space="preserve">289.0</w:t>
            </w:r>
          </w:p>
        </w:tc>
        <w:tc>
          <w:tcPr/>
          <w:p>
            <w:pPr>
              <w:pStyle w:val="Compact"/>
              <w:jc w:val="left"/>
            </w:pPr>
            <w:r>
              <w:t xml:space="preserve">29,229.0</w:t>
            </w:r>
          </w:p>
        </w:tc>
        <w:tc>
          <w:tcPr/>
          <w:p>
            <w:pPr>
              <w:pStyle w:val="Compact"/>
              <w:jc w:val="left"/>
            </w:pPr>
            <w:r>
              <w:t xml:space="preserve">2.7</w:t>
            </w:r>
          </w:p>
        </w:tc>
        <w:tc>
          <w:tcPr/>
          <w:p>
            <w:pPr>
              <w:pStyle w:val="Compact"/>
              <w:jc w:val="left"/>
            </w:pPr>
            <w:r>
              <w:t xml:space="preserve">270.6</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MONTLAKE BLVD NE AND NE PACIFIC ST</w:t>
            </w:r>
          </w:p>
        </w:tc>
        <w:tc>
          <w:tcPr/>
          <w:p>
            <w:pPr>
              <w:pStyle w:val="Compact"/>
              <w:jc w:val="right"/>
            </w:pPr>
            <w:r>
              <w:t xml:space="preserve">108</w:t>
            </w:r>
          </w:p>
        </w:tc>
        <w:tc>
          <w:tcPr/>
          <w:p>
            <w:pPr>
              <w:pStyle w:val="Compact"/>
              <w:jc w:val="left"/>
            </w:pPr>
            <w:r>
              <w:t xml:space="preserve">467.0</w:t>
            </w:r>
          </w:p>
        </w:tc>
        <w:tc>
          <w:tcPr/>
          <w:p>
            <w:pPr>
              <w:pStyle w:val="Compact"/>
              <w:jc w:val="left"/>
            </w:pPr>
            <w:r>
              <w:t xml:space="preserve">74,707.0</w:t>
            </w:r>
          </w:p>
        </w:tc>
        <w:tc>
          <w:tcPr/>
          <w:p>
            <w:pPr>
              <w:pStyle w:val="Compact"/>
              <w:jc w:val="left"/>
            </w:pPr>
            <w:r>
              <w:t xml:space="preserve">4.3</w:t>
            </w:r>
          </w:p>
        </w:tc>
        <w:tc>
          <w:tcPr/>
          <w:p>
            <w:pPr>
              <w:pStyle w:val="Compact"/>
              <w:jc w:val="left"/>
            </w:pPr>
            <w:r>
              <w:t xml:space="preserve">691.7</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RAINIER AVE S AND S HENDERSON ST</w:t>
            </w:r>
          </w:p>
        </w:tc>
        <w:tc>
          <w:tcPr/>
          <w:p>
            <w:pPr>
              <w:pStyle w:val="Compact"/>
              <w:jc w:val="right"/>
            </w:pPr>
            <w:r>
              <w:t xml:space="preserve">108</w:t>
            </w:r>
          </w:p>
        </w:tc>
        <w:tc>
          <w:tcPr/>
          <w:p>
            <w:pPr>
              <w:pStyle w:val="Compact"/>
              <w:jc w:val="left"/>
            </w:pPr>
            <w:r>
              <w:t xml:space="preserve">352.0</w:t>
            </w:r>
          </w:p>
        </w:tc>
        <w:tc>
          <w:tcPr/>
          <w:p>
            <w:pPr>
              <w:pStyle w:val="Compact"/>
              <w:jc w:val="left"/>
            </w:pPr>
            <w:r>
              <w:t xml:space="preserve">11,694.0</w:t>
            </w:r>
          </w:p>
        </w:tc>
        <w:tc>
          <w:tcPr/>
          <w:p>
            <w:pPr>
              <w:pStyle w:val="Compact"/>
              <w:jc w:val="left"/>
            </w:pPr>
            <w:r>
              <w:t xml:space="preserve">3.3</w:t>
            </w:r>
          </w:p>
        </w:tc>
        <w:tc>
          <w:tcPr/>
          <w:p>
            <w:pPr>
              <w:pStyle w:val="Compact"/>
              <w:jc w:val="left"/>
            </w:pPr>
            <w:r>
              <w:t xml:space="preserve">108.3</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SAND POINT WAY NE AND NE 65TH ST</w:t>
            </w:r>
          </w:p>
        </w:tc>
        <w:tc>
          <w:tcPr/>
          <w:p>
            <w:pPr>
              <w:pStyle w:val="Compact"/>
              <w:jc w:val="right"/>
            </w:pPr>
            <w:r>
              <w:t xml:space="preserve">108</w:t>
            </w:r>
          </w:p>
        </w:tc>
        <w:tc>
          <w:tcPr/>
          <w:p>
            <w:pPr>
              <w:pStyle w:val="Compact"/>
              <w:jc w:val="left"/>
            </w:pPr>
            <w:r>
              <w:t xml:space="preserve">903.0</w:t>
            </w:r>
          </w:p>
        </w:tc>
        <w:tc>
          <w:tcPr/>
          <w:p>
            <w:pPr>
              <w:pStyle w:val="Compact"/>
              <w:jc w:val="left"/>
            </w:pPr>
            <w:r>
              <w:t xml:space="preserve">6,909.0</w:t>
            </w:r>
          </w:p>
        </w:tc>
        <w:tc>
          <w:tcPr/>
          <w:p>
            <w:pPr>
              <w:pStyle w:val="Compact"/>
              <w:jc w:val="left"/>
            </w:pPr>
            <w:r>
              <w:t xml:space="preserve">8.4</w:t>
            </w:r>
          </w:p>
        </w:tc>
        <w:tc>
          <w:tcPr/>
          <w:p>
            <w:pPr>
              <w:pStyle w:val="Compact"/>
              <w:jc w:val="left"/>
            </w:pPr>
            <w:r>
              <w:t xml:space="preserve">64.0</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STONE WAY N AND N 45TH ST</w:t>
            </w:r>
          </w:p>
        </w:tc>
        <w:tc>
          <w:tcPr/>
          <w:p>
            <w:pPr>
              <w:pStyle w:val="Compact"/>
              <w:jc w:val="right"/>
            </w:pPr>
            <w:r>
              <w:t xml:space="preserve">108</w:t>
            </w:r>
          </w:p>
        </w:tc>
        <w:tc>
          <w:tcPr/>
          <w:p>
            <w:pPr>
              <w:pStyle w:val="Compact"/>
              <w:jc w:val="left"/>
            </w:pPr>
            <w:r>
              <w:t xml:space="preserve">3,945.0</w:t>
            </w:r>
          </w:p>
        </w:tc>
        <w:tc>
          <w:tcPr/>
          <w:p>
            <w:pPr>
              <w:pStyle w:val="Compact"/>
              <w:jc w:val="left"/>
            </w:pPr>
            <w:r>
              <w:t xml:space="preserve">22,790.0</w:t>
            </w:r>
          </w:p>
        </w:tc>
        <w:tc>
          <w:tcPr/>
          <w:p>
            <w:pPr>
              <w:pStyle w:val="Compact"/>
              <w:jc w:val="left"/>
            </w:pPr>
            <w:r>
              <w:t xml:space="preserve">36.5</w:t>
            </w:r>
          </w:p>
        </w:tc>
        <w:tc>
          <w:tcPr/>
          <w:p>
            <w:pPr>
              <w:pStyle w:val="Compact"/>
              <w:jc w:val="left"/>
            </w:pPr>
            <w:r>
              <w:t xml:space="preserve">211.0</w:t>
            </w:r>
          </w:p>
        </w:tc>
        <w:tc>
          <w:tcPr/>
          <w:p>
            <w:pPr>
              <w:pStyle w:val="Compact"/>
              <w:jc w:val="right"/>
            </w:pPr>
            <w:r>
              <w:t xml:space="preserve">2018</w:t>
            </w:r>
          </w:p>
        </w:tc>
        <w:tc>
          <w:tcPr/>
          <w:p>
            <w:pPr>
              <w:pStyle w:val="Compact"/>
              <w:jc w:val="right"/>
            </w:pPr>
            <w:r>
              <w:t xml:space="preserve">2022</w:t>
            </w:r>
          </w:p>
        </w:tc>
      </w:tr>
    </w:tbl>
    <w:bookmarkEnd w:id="29"/>
    <w:bookmarkEnd w:id="30"/>
    <w:bookmarkEnd w:id="31"/>
    <w:bookmarkEnd w:id="32"/>
    <w:bookmarkStart w:id="33" w:name="hin-intro"/>
    <w:p>
      <w:pPr>
        <w:pStyle w:val="Heading1"/>
      </w:pPr>
      <w:r>
        <w:t xml:space="preserve">4. HIN Intro</w:t>
      </w:r>
    </w:p>
    <w:p>
      <w:pPr>
        <w:pStyle w:val="FirstParagraph"/>
      </w:pPr>
      <w:r>
        <w:t xml:space="preserve">There are many established ways to examine crashes to better understand traffic safety patterns. Hotspot analyses have long been used to address high crash locations by retrospectively identifying the greatest concentrations of reported crashes over a determined period of time. Hotspot analysis is a valuable method to visualize locations with historic crash issues, but it is less effective at identifying locations with latent crash risk factors. In this way, it can be described as reactive. Additionally, hotspots may be less effective for analyzing bicyclist safety if crash frequencies are low due to geographic sparsity, which can exacerbate issues related to regression to the mean. Conversely, a systemic analysis is effective for identifying roadways with risk factors for crashes, independent from their crash history. For example, a wide arterial with a 45-mph posted speed limit, high traffic volumes, no bike facility, and few trip-attracting land uses may not have any reported bike crashes. However, the roadway and operational characteristics of that arterial are associated with higher bicycle crash risk. The absence of crashes is therefore not a reflection of low crash risk, but a reflection of lack of exposure that hotspot analyses cannot adequately convey. Systemic analysis is largely proactive; it allows planners and engineers to find locations that may warrant safety improvements before crashes have occurred there.</w:t>
      </w:r>
    </w:p>
    <w:p>
      <w:pPr>
        <w:pStyle w:val="BodyText"/>
      </w:pPr>
      <w:r>
        <w:t xml:space="preserve">High injury networks strike a balance between entirely retrospective and entirely proactive methods. Using spatial patterns of crash history, a High Injury Network identifies areas on the road network where crashes have been concentrated in sequence. A stretch of arterial roadway with crashes occurring at every other intersection might not show up on a traditional hotspot analysis because no one location has multiple crashes happening in the same place. However, the pattern of crashes all along the corridor suggests a larger safety issue. Further, the entire corridor likely shares similar characteristics that could be addressed systemically – even the intersections along the corridor that have not yet had crashes.</w:t>
      </w:r>
    </w:p>
    <w:p>
      <w:pPr>
        <w:pStyle w:val="BodyText"/>
      </w:pPr>
      <w:r>
        <w:t xml:space="preserve">This section describes the development of a statewide High Injury Network and the results of the related High Injury Network analysis. The High Injury Network was built from a standard sliding windows analysis, which measures severity-weighted crash density by mode along segments on the network.</w:t>
      </w:r>
    </w:p>
    <w:bookmarkEnd w:id="33"/>
    <w:bookmarkStart w:id="47" w:name="intro-and-purpose"/>
    <w:p>
      <w:pPr>
        <w:pStyle w:val="Heading1"/>
      </w:pPr>
      <w:r>
        <w:t xml:space="preserve">5. Intro and Purpose</w:t>
      </w:r>
    </w:p>
    <w:p>
      <w:pPr>
        <w:pStyle w:val="FirstParagraph"/>
      </w:pPr>
      <w:r>
        <w:t xml:space="preserve">The Bipartisan Infrastructure Law (BIL), passed in 2021, created a new requirement for state departments of transportation to conduct a Vulnerable Road User Safety Assessment (VRUSA) every five years. Anchored in the Safe System Approach (SSA), this assessment must use a data-driven process to identify high-risk areas and incorporate equity and demographics into the analysis. Official guidance around the VRUSA recommends the use of a High Injury Network, predictive analysis, and/or systemic analysis to identify high-risk areas</w:t>
      </w:r>
      <w:r>
        <w:rPr>
          <w:rStyle w:val="FootnoteReference"/>
        </w:rPr>
        <w:footnoteReference w:id="34"/>
      </w:r>
      <w:r>
        <w:t xml:space="preserve">.</w:t>
      </w:r>
    </w:p>
    <w:p>
      <w:pPr>
        <w:pStyle w:val="BodyText"/>
      </w:pPr>
      <w:r>
        <w:t xml:space="preserve">To improve the safety of vulnerable road users in the state of Minnesota and partially satisfy the new VRUSA requirements, the Minnesota Department of Transportation’s (MnDOT) Office of Traffic Engineering (OTE) commissioned a Vulnerable Road User Safety Assessment in 2022, including the development of a High Injury Network for the state and a study of bicycling crashes from 2016-2019 in urban and rural areas within the state. The initial VRUSA built upon a recently-completed study of pedestrian safety in the state. The resulting VRUSA report captured trends and risk factors related to crashes involving bicyclists, pedestrians, and other vulnerable road users using personal conveyances across the state to direct infrastructure improvements and safety countermeasures, especially those that reduce crashes that result in cyclists’ serious injury or death. This report builds on the prior VRUSA and safety work and updates the vulnerable road user safety analysis through:</w:t>
      </w:r>
    </w:p>
    <w:p>
      <w:pPr>
        <w:numPr>
          <w:ilvl w:val="0"/>
          <w:numId w:val="1001"/>
        </w:numPr>
        <w:pStyle w:val="Compact"/>
      </w:pPr>
      <w:r>
        <w:t xml:space="preserve">a descriptive safety analysis of more recent crash data</w:t>
      </w:r>
    </w:p>
    <w:p>
      <w:pPr>
        <w:numPr>
          <w:ilvl w:val="0"/>
          <w:numId w:val="1001"/>
        </w:numPr>
        <w:pStyle w:val="Compact"/>
      </w:pPr>
      <w:r>
        <w:t xml:space="preserve">a Statewide High Injury Network, which was built on xxxxxx bicyclist, pedestrian, and other vulnerable road user crashes from 2018-2022</w:t>
      </w:r>
    </w:p>
    <w:p>
      <w:pPr>
        <w:numPr>
          <w:ilvl w:val="0"/>
          <w:numId w:val="1001"/>
        </w:numPr>
        <w:pStyle w:val="Compact"/>
      </w:pPr>
      <w:r>
        <w:t xml:space="preserve">integration of this updated VRUSA into the 2025-2029 SHSP</w:t>
      </w:r>
    </w:p>
    <w:p>
      <w:pPr>
        <w:pStyle w:val="FirstParagraph"/>
      </w:pPr>
      <w:r>
        <w:t xml:space="preserve">This report focuses on vulnerable road user crashes, paralleling the 2021 Minnesota Statewide Pedestrian Safety Analysis</w:t>
      </w:r>
      <w:r>
        <w:rPr>
          <w:rStyle w:val="FootnoteReference"/>
        </w:rPr>
        <w:footnoteReference w:id="36"/>
      </w:r>
      <w:r>
        <w:t xml:space="preserve"> </w:t>
      </w:r>
      <w:r>
        <w:t xml:space="preserve">and the 2022 Minnesota Vulnerable Road User Safety Assessment</w:t>
      </w:r>
      <w:r>
        <w:rPr>
          <w:rStyle w:val="FootnoteReference"/>
        </w:rPr>
        <w:footnoteReference w:id="38"/>
      </w:r>
      <w:r>
        <w:t xml:space="preserve">. While bicyclists and pedestrians are different roadway users, use different infrastructure in many places, and have both overlapping and distinct safety concerns, both are vulnerable roadway users who are disproportionately killed and seriously injured in the transportation system. Often, bicycle and pedestrian countermeasures are planned and implemented in tandem, and an understanding of bicycle and pedestrian crash trends needs to inform these processes. Collectively, the 2021 Minnesota Statewide Pedestrian Safety Analysis, the 2022 VRUSA, and the current VRUSA update (including the development of a High Injury Network for vulnerable road users) constitute a robust, data-driven process for identifying higher-risk areas in the transportation system.</w:t>
      </w:r>
    </w:p>
    <w:p>
      <w:pPr>
        <w:pStyle w:val="BodyText"/>
      </w:pPr>
      <w:r>
        <w:t xml:space="preserve">This report follows the methodology of the initial Minnesota Vulnerable Road User Safety Assessment. For the descriptive and systemic analyses, VRU crashes from 2018-2022 are conflated with roadway and environmental characteristics to create a dataset for analysis,including variables about injury severity, lighting, roadway functional classification, development intensity, Suitability of Pedestrian and Cyclist Environment (SPACE) scores and related factors, and bicycle infrastructure. Given data limitations, some of the detailed analysis focuses only on MnDOT’s trunk highway network.</w:t>
      </w:r>
    </w:p>
    <w:p>
      <w:pPr>
        <w:pStyle w:val="BodyText"/>
      </w:pPr>
      <w:r>
        <w:t xml:space="preserve">This report also presents a statewide High Injury Network, which uses a standard sliding window analysis to measure severity-weighted crash density by mode. The HIN section of the analysis includes all vulnerable road users: bicyclists, pedestrians, and other personal conveyances.</w:t>
      </w:r>
    </w:p>
    <w:p>
      <w:pPr>
        <w:pStyle w:val="BodyText"/>
      </w:pPr>
      <w:r>
        <w:t xml:space="preserve">The rest of the report is structured as follows: First, an overview of the crash data is presented, followed by descriptive and systemic analyses. The descriptive analyses present trends among crash and temporal variables. The systemic analysis presents the High Injury Network.</w:t>
      </w:r>
    </w:p>
    <w:bookmarkStart w:id="41" w:name="data-overview"/>
    <w:p>
      <w:pPr>
        <w:pStyle w:val="Heading2"/>
      </w:pPr>
      <w:r>
        <w:t xml:space="preserve">5.1 Data Overview</w:t>
      </w:r>
    </w:p>
    <w:bookmarkStart w:id="40" w:name="crash-data"/>
    <w:p>
      <w:pPr>
        <w:pStyle w:val="Heading3"/>
      </w:pPr>
      <w:r>
        <w:t xml:space="preserve">5.1.1 Crash Data</w:t>
      </w:r>
    </w:p>
    <w:p>
      <w:pPr>
        <w:pStyle w:val="FirstParagraph"/>
      </w:pPr>
      <w:r>
        <w:t xml:space="preserve">Crash, party, and vehicle data that were provided to the consultant team include reported crashes from 2018 through 2022 for crashes for all modes (pedestrians, bicyclists, other - personal conveyances, and motorists).</w:t>
      </w:r>
    </w:p>
    <w:p>
      <w:pPr>
        <w:pStyle w:val="BodyText"/>
      </w:pPr>
      <w:r>
        <w:t xml:space="preserve">All crash data were processed by Safe Streets Research &amp; Consulting (</w:t>
      </w:r>
      <w:r>
        <w:t xml:space="preserve">“</w:t>
      </w:r>
      <w:r>
        <w:t xml:space="preserve">Safe Streets</w:t>
      </w:r>
      <w:r>
        <w:t xml:space="preserve">”</w:t>
      </w:r>
      <w:r>
        <w:t xml:space="preserve">) and loaded into a Postgres database for additional analysis using Python, SQL, and R programming languages. The crash, party, and vehicle tables have a relational structure, which is common for storing crash data. For every reported crash, there is one crash record. The party and vehicle tables contain information for all the primary</w:t>
      </w:r>
      <w:r>
        <w:t xml:space="preserve"> </w:t>
      </w:r>
      <w:r>
        <w:t xml:space="preserve">“</w:t>
      </w:r>
      <w:r>
        <w:t xml:space="preserve">actors</w:t>
      </w:r>
      <w:r>
        <w:t xml:space="preserve">”</w:t>
      </w:r>
      <w:r>
        <w:t xml:space="preserve"> </w:t>
      </w:r>
      <w:r>
        <w:t xml:space="preserve">and their respective</w:t>
      </w:r>
      <w:r>
        <w:t xml:space="preserve"> </w:t>
      </w:r>
      <w:r>
        <w:t xml:space="preserve">“</w:t>
      </w:r>
      <w:r>
        <w:t xml:space="preserve">vehicles</w:t>
      </w:r>
      <w:r>
        <w:t xml:space="preserve">”</w:t>
      </w:r>
      <w:r>
        <w:t xml:space="preserve"> </w:t>
      </w:r>
      <w:r>
        <w:t xml:space="preserve">involved in the crash and have a many-to-one relationship – i.e., all relevant party records are matched via a case identification number to the one crash record. The party and vehicle tables contain information for each primary person and their</w:t>
      </w:r>
      <w:r>
        <w:t xml:space="preserve"> </w:t>
      </w:r>
      <w:r>
        <w:t xml:space="preserve">“</w:t>
      </w:r>
      <w:r>
        <w:t xml:space="preserve">vehicle</w:t>
      </w:r>
      <w:r>
        <w:t xml:space="preserve">”</w:t>
      </w:r>
      <w:r>
        <w:t xml:space="preserve"> </w:t>
      </w:r>
      <w:r>
        <w:t xml:space="preserve">such as age, sex, pre-crash action, injury severity, and vehicle characteristics. This structure is shown in xxxxx.</w:t>
      </w:r>
      <w:r>
        <w:t xml:space="preserve"> </w:t>
      </w:r>
      <w:r>
        <w:t xml:space="preserve"> </w:t>
      </w:r>
    </w:p>
    <w:p>
      <w:pPr>
        <w:pStyle w:val="BodyText"/>
      </w:pPr>
      <w:r>
        <w:t xml:space="preserve">Safe Streets processed and restructured the crash data used in this analysis. New variables were calculated and assigned, and the quality of the data was assessed through a robust quality control process. All reported crashes were processed (not just VRU crashes), but only crashes that involved at least one VRU and at least one motorist are included in this analysis.</w:t>
      </w:r>
      <w:r>
        <w:t xml:space="preserve"> </w:t>
      </w:r>
      <w:r>
        <w:t xml:space="preserve"> </w:t>
      </w:r>
    </w:p>
    <w:p>
      <w:pPr>
        <w:pStyle w:val="BodyText"/>
      </w:pPr>
      <w:r>
        <w:t xml:space="preserve">Crashes involving a person using a scooter (e.g., shared e-scooter or ADA assistive device) are defined in the State of Minnesota as pedestrian crashes. However, they are coded in MnDOT’s crash database as the unit type</w:t>
      </w:r>
      <w:r>
        <w:t xml:space="preserve"> </w:t>
      </w:r>
      <w:r>
        <w:t xml:space="preserve">“</w:t>
      </w:r>
      <w:r>
        <w:t xml:space="preserve">Other – Personal Conveyance</w:t>
      </w:r>
      <w:r>
        <w:t xml:space="preserve">”</w:t>
      </w:r>
      <w:r>
        <w:t xml:space="preserve"> </w:t>
      </w:r>
      <w:r>
        <w:t xml:space="preserve">rather than as</w:t>
      </w:r>
      <w:r>
        <w:t xml:space="preserve"> </w:t>
      </w:r>
      <w:r>
        <w:t xml:space="preserve">“</w:t>
      </w:r>
      <w:r>
        <w:t xml:space="preserve">Pedestrian</w:t>
      </w:r>
      <w:r>
        <w:t xml:space="preserve">”</w:t>
      </w:r>
      <w:r>
        <w:t xml:space="preserve">. The</w:t>
      </w:r>
      <w:r>
        <w:t xml:space="preserve"> </w:t>
      </w:r>
      <w:r>
        <w:t xml:space="preserve">“</w:t>
      </w:r>
      <w:r>
        <w:t xml:space="preserve">Other – Personal Conveyance</w:t>
      </w:r>
      <w:r>
        <w:t xml:space="preserve">”</w:t>
      </w:r>
      <w:r>
        <w:t xml:space="preserve"> </w:t>
      </w:r>
      <w:r>
        <w:t xml:space="preserve">category also includes many modes that are not pedestrians, such as farm equipment (tractor, combine), all-terrain vehicles, snowmobiles, horse and buggy, and the like. There is no single coded field in the crash database that differentiates between pedestrians using personal conveyance devices and these other modes. A targeted effort was conducted to classify these crashes based on a keyword scan of officer narratives. While we could reliably differentiate these crashes from farm equipment based on this procedure, we could not consistently differentiate between mobility scooters and other devices used by people with mobility impairments and other types of scooters or pedestrian devices. As stated in the 2019 Pedestrian Safety Analysis, a long-term solution to facilitate routine analysis of these modes in Minnesota would be to update the crash form with a field to indicate the type of scooter or device involvement (e.g., e-scooter, kick-scooter, ADA assistive device, moped scooter) and retrain officers to utilize the new field to record accurate and detailed information for more streamlined analysis.</w:t>
      </w:r>
    </w:p>
    <w:p>
      <w:pPr>
        <w:pStyle w:val="BodyText"/>
      </w:pPr>
      <w:r>
        <w:t xml:space="preserve">Crashes that met one or more of the following criteria were removed from the study dataset during the data consolidation process (see cccccc for the number of crashes that met each criterion; crashes can meet more than one criterion):</w:t>
      </w:r>
    </w:p>
    <w:p>
      <w:pPr>
        <w:numPr>
          <w:ilvl w:val="0"/>
          <w:numId w:val="1002"/>
        </w:numPr>
        <w:pStyle w:val="Compact"/>
      </w:pPr>
      <w:r>
        <w:t xml:space="preserve">Motorist-only (non-VRU) – The research team received a complete crash database for the years of interest (2018-2022). Because the scope of this project is only to analyze vulnerable road users, crashes that do not include a bicyclist, pedestrian, or someone potentially using a personal conveyance device are excluded from the analysis.</w:t>
      </w:r>
    </w:p>
    <w:p>
      <w:pPr>
        <w:numPr>
          <w:ilvl w:val="0"/>
          <w:numId w:val="1002"/>
        </w:numPr>
        <w:pStyle w:val="Compact"/>
      </w:pPr>
      <w:r>
        <w:t xml:space="preserve">Missing coordinates - Crash location GPS coordinates were not available.</w:t>
      </w:r>
    </w:p>
    <w:p>
      <w:pPr>
        <w:numPr>
          <w:ilvl w:val="0"/>
          <w:numId w:val="1002"/>
        </w:numPr>
        <w:pStyle w:val="Compact"/>
      </w:pPr>
      <w:r>
        <w:t xml:space="preserve">Farm Equipment – The</w:t>
      </w:r>
      <w:r>
        <w:t xml:space="preserve"> </w:t>
      </w:r>
      <w:r>
        <w:t xml:space="preserve">“</w:t>
      </w:r>
      <w:r>
        <w:t xml:space="preserve">unit type</w:t>
      </w:r>
      <w:r>
        <w:t xml:space="preserve">”</w:t>
      </w:r>
      <w:r>
        <w:t xml:space="preserve"> </w:t>
      </w:r>
      <w:r>
        <w:t xml:space="preserve">is coded as</w:t>
      </w:r>
      <w:r>
        <w:t xml:space="preserve"> </w:t>
      </w:r>
      <w:r>
        <w:t xml:space="preserve">“</w:t>
      </w:r>
      <w:r>
        <w:t xml:space="preserve">Other – Personal Conveyance</w:t>
      </w:r>
      <w:r>
        <w:t xml:space="preserve">”</w:t>
      </w:r>
      <w:r>
        <w:t xml:space="preserve"> </w:t>
      </w:r>
      <w:r>
        <w:t xml:space="preserve">and the officer narrative includes the words</w:t>
      </w:r>
      <w:r>
        <w:t xml:space="preserve"> </w:t>
      </w:r>
      <w:r>
        <w:t xml:space="preserve">“</w:t>
      </w:r>
      <w:r>
        <w:t xml:space="preserve">tractor</w:t>
      </w:r>
      <w:r>
        <w:t xml:space="preserve">”</w:t>
      </w:r>
      <w:r>
        <w:t xml:space="preserve">,</w:t>
      </w:r>
      <w:r>
        <w:t xml:space="preserve"> </w:t>
      </w:r>
      <w:r>
        <w:t xml:space="preserve">“</w:t>
      </w:r>
      <w:r>
        <w:t xml:space="preserve">horse</w:t>
      </w:r>
      <w:r>
        <w:t xml:space="preserve">”</w:t>
      </w:r>
      <w:r>
        <w:t xml:space="preserve">, or</w:t>
      </w:r>
      <w:r>
        <w:t xml:space="preserve"> </w:t>
      </w:r>
      <w:r>
        <w:t xml:space="preserve">“</w:t>
      </w:r>
      <w:r>
        <w:t xml:space="preserve">trailer.</w:t>
      </w:r>
      <w:r>
        <w:t xml:space="preserve">”</w:t>
      </w:r>
    </w:p>
    <w:p>
      <w:pPr>
        <w:numPr>
          <w:ilvl w:val="0"/>
          <w:numId w:val="1002"/>
        </w:numPr>
        <w:pStyle w:val="Compact"/>
      </w:pPr>
      <w:r>
        <w:t xml:space="preserve">Too far away from the street or along a private street - The geospatial location of the crash is greater than 300 feet from any street or the street was a private roadway.</w:t>
      </w:r>
    </w:p>
    <w:p>
      <w:pPr>
        <w:numPr>
          <w:ilvl w:val="0"/>
          <w:numId w:val="1002"/>
        </w:numPr>
        <w:pStyle w:val="Compact"/>
      </w:pPr>
      <w:r>
        <w:t xml:space="preserve">The crash occurred in a parking lot – The location type recorded in the crash data is a parking lot.</w:t>
      </w:r>
    </w:p>
    <w:p>
      <w:pPr>
        <w:numPr>
          <w:ilvl w:val="0"/>
          <w:numId w:val="1002"/>
        </w:numPr>
        <w:pStyle w:val="Compact"/>
      </w:pPr>
      <w:r>
        <w:t xml:space="preserve">Crashes that involved only a bicyclist and no other road users are not included in the crash data.</w:t>
      </w:r>
    </w:p>
    <w:bookmarkEnd w:id="40"/>
    <w:bookmarkEnd w:id="41"/>
    <w:bookmarkStart w:id="44" w:name="injury-severity-assignment"/>
    <w:p>
      <w:pPr>
        <w:pStyle w:val="Heading2"/>
      </w:pPr>
      <w:r>
        <w:t xml:space="preserve">5.2 Injury Severity Assignment</w:t>
      </w:r>
    </w:p>
    <w:p>
      <w:pPr>
        <w:pStyle w:val="FirstParagraph"/>
      </w:pPr>
      <w:r>
        <w:t xml:space="preserve">The officer-reported injury severity levels used in this analysis are specific to the most severely injured (MSI) road user involved in the crash. This injury severity is different than the reported MSI assigned to each crash record. In most cases, VRUs are the most severely injured victim involved in the crash. Using the victim-level severity helps improve accuracy of summarizing injury severities. It should be noted that research from the San Francisco Department of Public Health has documented reporting errors related to mis-coded injury severities, particularly for suspected serious injuries</w:t>
      </w:r>
      <w:r>
        <w:rPr>
          <w:rStyle w:val="FootnoteReference"/>
        </w:rPr>
        <w:footnoteReference w:id="42"/>
      </w:r>
      <w:r>
        <w:t xml:space="preserve">, suggesting a need for some fluidity when discussing minor and serious injuries. This analysis does not have access to hospital records to verify injury severities stored in the crash data, so the results in this document reflect the best available data at the time. For reference, the injury severities recorded in the crash data and summarized in this analysis are defined as followed:</w:t>
      </w:r>
    </w:p>
    <w:p>
      <w:pPr>
        <w:numPr>
          <w:ilvl w:val="0"/>
          <w:numId w:val="1003"/>
        </w:numPr>
        <w:pStyle w:val="Compact"/>
      </w:pPr>
      <w:r>
        <w:t xml:space="preserve">K - Fatal: A fatal injury is any injury that results in death within 30 days after the motor vehicle crash in which the injury occurred. If the person did not die at the scene but died within 30 days of the motor vehicle crash in which the injury occurred, the injury classification should be changed from the injury previously assigned to</w:t>
      </w:r>
      <w:r>
        <w:t xml:space="preserve"> </w:t>
      </w:r>
      <w:r>
        <w:t xml:space="preserve">“</w:t>
      </w:r>
      <w:r>
        <w:t xml:space="preserve">Fatal Injury.</w:t>
      </w:r>
      <w:r>
        <w:t xml:space="preserve">”</w:t>
      </w:r>
    </w:p>
    <w:p>
      <w:pPr>
        <w:numPr>
          <w:ilvl w:val="0"/>
          <w:numId w:val="1003"/>
        </w:numPr>
        <w:pStyle w:val="Compact"/>
      </w:pPr>
      <w:r>
        <w:t xml:space="preserve">A – Suspected Serious Injury: An incapacitating injury is any injury, other than a fatal injury, which prevents the injured person from walking, driving, or normally continuing the activities the person was capable of performing before the injury occurred. Also called</w:t>
      </w:r>
      <w:r>
        <w:t xml:space="preserve"> </w:t>
      </w:r>
      <w:r>
        <w:t xml:space="preserve">“</w:t>
      </w:r>
      <w:r>
        <w:t xml:space="preserve">Serious Injury</w:t>
      </w:r>
      <w:r>
        <w:t xml:space="preserve">”</w:t>
      </w:r>
      <w:r>
        <w:t xml:space="preserve"> </w:t>
      </w:r>
      <w:r>
        <w:t xml:space="preserve">or</w:t>
      </w:r>
      <w:r>
        <w:t xml:space="preserve"> </w:t>
      </w:r>
      <w:r>
        <w:t xml:space="preserve">“</w:t>
      </w:r>
      <w:r>
        <w:t xml:space="preserve">Injury A</w:t>
      </w:r>
      <w:r>
        <w:t xml:space="preserve">”</w:t>
      </w:r>
      <w:r>
        <w:t xml:space="preserve">. This category includes:</w:t>
      </w:r>
    </w:p>
    <w:p>
      <w:pPr>
        <w:numPr>
          <w:ilvl w:val="1"/>
          <w:numId w:val="1004"/>
        </w:numPr>
        <w:pStyle w:val="Compact"/>
      </w:pPr>
      <w:r>
        <w:t xml:space="preserve">severe lacerations</w:t>
      </w:r>
    </w:p>
    <w:p>
      <w:pPr>
        <w:numPr>
          <w:ilvl w:val="1"/>
          <w:numId w:val="1004"/>
        </w:numPr>
        <w:pStyle w:val="Compact"/>
      </w:pPr>
      <w:r>
        <w:t xml:space="preserve">broken or distorted limbs</w:t>
      </w:r>
    </w:p>
    <w:p>
      <w:pPr>
        <w:numPr>
          <w:ilvl w:val="1"/>
          <w:numId w:val="1004"/>
        </w:numPr>
        <w:pStyle w:val="Compact"/>
      </w:pPr>
      <w:r>
        <w:t xml:space="preserve">skull or chest injuries</w:t>
      </w:r>
    </w:p>
    <w:p>
      <w:pPr>
        <w:numPr>
          <w:ilvl w:val="1"/>
          <w:numId w:val="1004"/>
        </w:numPr>
        <w:pStyle w:val="Compact"/>
      </w:pPr>
      <w:r>
        <w:t xml:space="preserve">abdominal injuries</w:t>
      </w:r>
    </w:p>
    <w:p>
      <w:pPr>
        <w:numPr>
          <w:ilvl w:val="1"/>
          <w:numId w:val="1004"/>
        </w:numPr>
        <w:pStyle w:val="Compact"/>
      </w:pPr>
      <w:r>
        <w:t xml:space="preserve">unconsciousness at or when taken from the scene of the crash, or unable to leave the crash scene without assistance</w:t>
      </w:r>
      <w:r>
        <w:t xml:space="preserve"> </w:t>
      </w:r>
    </w:p>
    <w:p>
      <w:pPr>
        <w:numPr>
          <w:ilvl w:val="0"/>
          <w:numId w:val="1003"/>
        </w:numPr>
        <w:pStyle w:val="Compact"/>
      </w:pPr>
      <w:r>
        <w:t xml:space="preserve">B – Suspected Minor Injury: A minor injury is any injury that is evident at the scene of the crash, other than fatal or serious injuries. Also called</w:t>
      </w:r>
      <w:r>
        <w:t xml:space="preserve"> </w:t>
      </w:r>
      <w:r>
        <w:t xml:space="preserve">“</w:t>
      </w:r>
      <w:r>
        <w:t xml:space="preserve">Minor Injury</w:t>
      </w:r>
      <w:r>
        <w:t xml:space="preserve">”</w:t>
      </w:r>
      <w:r>
        <w:t xml:space="preserve"> </w:t>
      </w:r>
      <w:r>
        <w:t xml:space="preserve">or</w:t>
      </w:r>
      <w:r>
        <w:t xml:space="preserve"> </w:t>
      </w:r>
      <w:r>
        <w:t xml:space="preserve">“</w:t>
      </w:r>
      <w:r>
        <w:t xml:space="preserve">Injury B</w:t>
      </w:r>
      <w:r>
        <w:t xml:space="preserve">”</w:t>
      </w:r>
      <w:r>
        <w:t xml:space="preserve">. Examples include:</w:t>
      </w:r>
    </w:p>
    <w:p>
      <w:pPr>
        <w:numPr>
          <w:ilvl w:val="1"/>
          <w:numId w:val="1005"/>
        </w:numPr>
        <w:pStyle w:val="Compact"/>
      </w:pPr>
      <w:r>
        <w:t xml:space="preserve">lump on the head</w:t>
      </w:r>
    </w:p>
    <w:p>
      <w:pPr>
        <w:numPr>
          <w:ilvl w:val="1"/>
          <w:numId w:val="1005"/>
        </w:numPr>
        <w:pStyle w:val="Compact"/>
      </w:pPr>
      <w:r>
        <w:t xml:space="preserve">abrasions</w:t>
      </w:r>
    </w:p>
    <w:p>
      <w:pPr>
        <w:numPr>
          <w:ilvl w:val="1"/>
          <w:numId w:val="1005"/>
        </w:numPr>
        <w:pStyle w:val="Compact"/>
      </w:pPr>
      <w:r>
        <w:t xml:space="preserve">bruises</w:t>
      </w:r>
    </w:p>
    <w:p>
      <w:pPr>
        <w:numPr>
          <w:ilvl w:val="1"/>
          <w:numId w:val="1005"/>
        </w:numPr>
        <w:pStyle w:val="Compact"/>
      </w:pPr>
      <w:r>
        <w:t xml:space="preserve">minor lacerations (cuts on the skin surface with minimal bleeding and no exposure of deeper tissue/muscle)</w:t>
      </w:r>
    </w:p>
    <w:p>
      <w:pPr>
        <w:numPr>
          <w:ilvl w:val="0"/>
          <w:numId w:val="1003"/>
        </w:numPr>
        <w:pStyle w:val="Compact"/>
      </w:pPr>
      <w:r>
        <w:t xml:space="preserve">C – Possible Injury: A possible injury is any injury reported or claimed which is not a fatal, suspected serious, or suspected minor injury. Possible injuries are those that are reported by the person or are indicated by their behavior, but no wounds or injuries are readily evident. Examples include:</w:t>
      </w:r>
    </w:p>
    <w:p>
      <w:pPr>
        <w:numPr>
          <w:ilvl w:val="1"/>
          <w:numId w:val="1006"/>
        </w:numPr>
        <w:pStyle w:val="Compact"/>
      </w:pPr>
      <w:r>
        <w:t xml:space="preserve">momentary loss of consciousness</w:t>
      </w:r>
    </w:p>
    <w:p>
      <w:pPr>
        <w:numPr>
          <w:ilvl w:val="1"/>
          <w:numId w:val="1006"/>
        </w:numPr>
        <w:pStyle w:val="Compact"/>
      </w:pPr>
      <w:r>
        <w:t xml:space="preserve">claim of injury</w:t>
      </w:r>
    </w:p>
    <w:p>
      <w:pPr>
        <w:numPr>
          <w:ilvl w:val="1"/>
          <w:numId w:val="1006"/>
        </w:numPr>
        <w:pStyle w:val="Compact"/>
      </w:pPr>
      <w:r>
        <w:t xml:space="preserve">limping</w:t>
      </w:r>
    </w:p>
    <w:p>
      <w:pPr>
        <w:numPr>
          <w:ilvl w:val="1"/>
          <w:numId w:val="1006"/>
        </w:numPr>
        <w:pStyle w:val="Compact"/>
      </w:pPr>
      <w:r>
        <w:t xml:space="preserve">complaint of pain or nausea</w:t>
      </w:r>
    </w:p>
    <w:p>
      <w:pPr>
        <w:numPr>
          <w:ilvl w:val="0"/>
          <w:numId w:val="1003"/>
        </w:numPr>
        <w:pStyle w:val="Compact"/>
      </w:pPr>
      <w:r>
        <w:t xml:space="preserve">O – Property Damage Only: Crash where only property is damaged. No injuries resulted from the crash.</w:t>
      </w:r>
    </w:p>
    <w:bookmarkEnd w:id="44"/>
    <w:bookmarkStart w:id="46" w:name="roadway-and-contextual-data"/>
    <w:p>
      <w:pPr>
        <w:pStyle w:val="Heading2"/>
      </w:pPr>
      <w:r>
        <w:t xml:space="preserve">5.3 Roadway and Contextual Data</w:t>
      </w:r>
    </w:p>
    <w:p>
      <w:pPr>
        <w:pStyle w:val="FirstParagraph"/>
      </w:pPr>
      <w:r>
        <w:t xml:space="preserve">The crash dataset includes many useful variables for analyzing VRU safety; however, detailed information about roadway conditions and nearby land uses is also necessary to provide a more complete understanding of the context in which crashes occurred and support future countermeasure selection. A robust data collection and consolidation process was conducted as part of the 2021 MnDOT Statewide Pedestrian Safety Analysis. Data from that effort was provided to the study team for use in this VRU assessment. Data collected during the Statewide Pedestrian Safety Analysis was re-processed using the same methods documented in the data collection section of the Pedestrian Safety Analysis. Please refer to the Statewide Pedestrian Crash Analysis</w:t>
      </w:r>
      <w:r>
        <w:rPr>
          <w:rStyle w:val="FootnoteReference"/>
        </w:rPr>
        <w:footnoteReference w:id="45"/>
      </w:r>
      <w:r>
        <w:t xml:space="preserve"> </w:t>
      </w:r>
      <w:r>
        <w:t xml:space="preserve">for a detailed summary regarding data usage and limitations.</w:t>
      </w:r>
    </w:p>
    <w:bookmarkEnd w:id="46"/>
    <w:bookmarkEnd w:id="47"/>
    <w:bookmarkStart w:id="49" w:name="acronyms"/>
    <w:p>
      <w:pPr>
        <w:pStyle w:val="Heading1"/>
      </w:pPr>
      <w:r>
        <w:t xml:space="preserve">Appendix A — Acronyms</w:t>
      </w:r>
    </w:p>
    <w:bookmarkStart w:id="48" w:name="tbl-acronyms"/>
    <w:p>
      <w:pPr>
        <w:pStyle w:val="TableCaption"/>
      </w:pPr>
      <w:r>
        <w:t xml:space="preserve">Table A.1: Acronyms</w:t>
      </w:r>
    </w:p>
    <w:tbl>
      <w:tblPr>
        <w:tblStyle w:val="Table"/>
        <w:tblW w:type="auto" w:w="0"/>
        <w:tblLook w:firstRow="1" w:lastRow="0" w:firstColumn="0" w:lastColumn="0" w:noHBand="0" w:noVBand="0" w:val="0020"/>
        <w:tblCaption w:val="Table A.1: Acronyms"/>
      </w:tblPr>
      <w:tblGrid>
        <w:gridCol w:w="3960"/>
        <w:gridCol w:w="3960"/>
      </w:tblGrid>
      <w:tr>
        <w:trPr>
          <w:tblHeader w:val="true"/>
        </w:trPr>
        <w:tc>
          <w:tcPr/>
          <w:p>
            <w:pPr>
              <w:pStyle w:val="Compact"/>
              <w:jc w:val="left"/>
            </w:pPr>
            <w:r>
              <w:t xml:space="preserve">Acronym</w:t>
            </w:r>
          </w:p>
        </w:tc>
        <w:tc>
          <w:tcPr/>
          <w:p>
            <w:pPr>
              <w:pStyle w:val="Compact"/>
              <w:jc w:val="left"/>
            </w:pPr>
            <w:r>
              <w:t xml:space="preserve">Definition</w:t>
            </w:r>
          </w:p>
        </w:tc>
      </w:tr>
      <w:tr>
        <w:tc>
          <w:tcPr/>
          <w:p>
            <w:pPr>
              <w:pStyle w:val="Compact"/>
              <w:jc w:val="left"/>
            </w:pPr>
            <w:r>
              <w:t xml:space="preserve">AADT</w:t>
            </w:r>
          </w:p>
        </w:tc>
        <w:tc>
          <w:tcPr/>
          <w:p>
            <w:pPr>
              <w:pStyle w:val="Compact"/>
              <w:jc w:val="left"/>
            </w:pPr>
            <w:r>
              <w:t xml:space="preserve">Annual Average Daily Traffic</w:t>
            </w:r>
          </w:p>
        </w:tc>
      </w:tr>
      <w:tr>
        <w:tc>
          <w:tcPr/>
          <w:p>
            <w:pPr>
              <w:pStyle w:val="Compact"/>
              <w:jc w:val="left"/>
            </w:pPr>
            <w:r>
              <w:t xml:space="preserve">ADA</w:t>
            </w:r>
          </w:p>
        </w:tc>
        <w:tc>
          <w:tcPr/>
          <w:p>
            <w:pPr>
              <w:pStyle w:val="Compact"/>
              <w:jc w:val="left"/>
            </w:pPr>
            <w:r>
              <w:t xml:space="preserve">Americans with Disabilities Act</w:t>
            </w:r>
          </w:p>
        </w:tc>
      </w:tr>
      <w:tr>
        <w:tc>
          <w:tcPr/>
          <w:p>
            <w:pPr>
              <w:pStyle w:val="Compact"/>
              <w:jc w:val="left"/>
            </w:pPr>
            <w:r>
              <w:t xml:space="preserve">FHWA</w:t>
            </w:r>
          </w:p>
        </w:tc>
        <w:tc>
          <w:tcPr/>
          <w:p>
            <w:pPr>
              <w:pStyle w:val="Compact"/>
              <w:jc w:val="left"/>
            </w:pPr>
            <w:r>
              <w:t xml:space="preserve">Federal Highway Administration</w:t>
            </w:r>
          </w:p>
        </w:tc>
      </w:tr>
      <w:tr>
        <w:tc>
          <w:tcPr/>
          <w:p>
            <w:pPr>
              <w:pStyle w:val="Compact"/>
              <w:jc w:val="left"/>
            </w:pPr>
            <w:r>
              <w:t xml:space="preserve">GIS</w:t>
            </w:r>
          </w:p>
        </w:tc>
        <w:tc>
          <w:tcPr/>
          <w:p>
            <w:pPr>
              <w:pStyle w:val="Compact"/>
              <w:jc w:val="left"/>
            </w:pPr>
            <w:r>
              <w:t xml:space="preserve">Geographic Information System</w:t>
            </w:r>
          </w:p>
        </w:tc>
      </w:tr>
      <w:tr>
        <w:tc>
          <w:tcPr/>
          <w:p>
            <w:pPr>
              <w:pStyle w:val="Compact"/>
              <w:jc w:val="left"/>
            </w:pPr>
            <w:r>
              <w:t xml:space="preserve">HIN</w:t>
            </w:r>
          </w:p>
        </w:tc>
        <w:tc>
          <w:tcPr/>
          <w:p>
            <w:pPr>
              <w:pStyle w:val="Compact"/>
              <w:jc w:val="left"/>
            </w:pPr>
            <w:r>
              <w:t xml:space="preserve">High Injury Network</w:t>
            </w:r>
          </w:p>
        </w:tc>
      </w:tr>
      <w:tr>
        <w:tc>
          <w:tcPr/>
          <w:p>
            <w:pPr>
              <w:pStyle w:val="Compact"/>
              <w:jc w:val="left"/>
            </w:pPr>
            <w:r>
              <w:t xml:space="preserve">KA</w:t>
            </w:r>
          </w:p>
        </w:tc>
        <w:tc>
          <w:tcPr/>
          <w:p>
            <w:pPr>
              <w:pStyle w:val="Compact"/>
              <w:jc w:val="left"/>
            </w:pPr>
            <w:r>
              <w:t xml:space="preserve">Killed of severely injured</w:t>
            </w:r>
          </w:p>
        </w:tc>
      </w:tr>
      <w:tr>
        <w:tc>
          <w:tcPr/>
          <w:p>
            <w:pPr>
              <w:pStyle w:val="Compact"/>
              <w:jc w:val="left"/>
            </w:pPr>
            <w:r>
              <w:t xml:space="preserve">MSI</w:t>
            </w:r>
          </w:p>
        </w:tc>
        <w:tc>
          <w:tcPr/>
          <w:p>
            <w:pPr>
              <w:pStyle w:val="Compact"/>
              <w:jc w:val="left"/>
            </w:pPr>
            <w:r>
              <w:t xml:space="preserve">Most severely injured</w:t>
            </w:r>
          </w:p>
        </w:tc>
      </w:tr>
      <w:tr>
        <w:tc>
          <w:tcPr/>
          <w:p>
            <w:pPr>
              <w:pStyle w:val="Compact"/>
              <w:jc w:val="left"/>
            </w:pPr>
            <w:r>
              <w:t xml:space="preserve">MC</w:t>
            </w:r>
          </w:p>
        </w:tc>
        <w:tc>
          <w:tcPr/>
          <w:p>
            <w:pPr>
              <w:pStyle w:val="Compact"/>
              <w:jc w:val="left"/>
            </w:pPr>
            <w:r>
              <w:t xml:space="preserve">Motorcycle</w:t>
            </w:r>
          </w:p>
        </w:tc>
      </w:tr>
      <w:tr>
        <w:tc>
          <w:tcPr/>
          <w:p>
            <w:pPr>
              <w:pStyle w:val="Compact"/>
              <w:jc w:val="left"/>
            </w:pPr>
            <w:r>
              <w:t xml:space="preserve">MV</w:t>
            </w:r>
          </w:p>
        </w:tc>
        <w:tc>
          <w:tcPr/>
          <w:p>
            <w:pPr>
              <w:pStyle w:val="Compact"/>
              <w:jc w:val="left"/>
            </w:pPr>
            <w:r>
              <w:t xml:space="preserve">Motor Vehicle</w:t>
            </w:r>
          </w:p>
        </w:tc>
      </w:tr>
      <w:tr>
        <w:tc>
          <w:tcPr/>
          <w:p>
            <w:pPr>
              <w:pStyle w:val="Compact"/>
              <w:jc w:val="left"/>
            </w:pPr>
            <w:r>
              <w:t xml:space="preserve">PED</w:t>
            </w:r>
          </w:p>
        </w:tc>
        <w:tc>
          <w:tcPr/>
          <w:p>
            <w:pPr>
              <w:pStyle w:val="Compact"/>
              <w:jc w:val="left"/>
            </w:pPr>
            <w:r>
              <w:t xml:space="preserve">Pedestrian</w:t>
            </w:r>
          </w:p>
        </w:tc>
      </w:tr>
      <w:tr>
        <w:tc>
          <w:tcPr/>
          <w:p>
            <w:pPr>
              <w:pStyle w:val="Compact"/>
              <w:jc w:val="left"/>
            </w:pPr>
            <w:r>
              <w:t xml:space="preserve">PHB</w:t>
            </w:r>
          </w:p>
        </w:tc>
        <w:tc>
          <w:tcPr/>
          <w:p>
            <w:pPr>
              <w:pStyle w:val="Compact"/>
              <w:jc w:val="left"/>
            </w:pPr>
            <w:r>
              <w:t xml:space="preserve">Pedestrian Hybrid Beacon</w:t>
            </w:r>
          </w:p>
        </w:tc>
      </w:tr>
      <w:tr>
        <w:tc>
          <w:tcPr/>
          <w:p>
            <w:pPr>
              <w:pStyle w:val="Compact"/>
              <w:jc w:val="left"/>
            </w:pPr>
            <w:r>
              <w:t xml:space="preserve">RRFB</w:t>
            </w:r>
          </w:p>
        </w:tc>
        <w:tc>
          <w:tcPr/>
          <w:p>
            <w:pPr>
              <w:pStyle w:val="Compact"/>
              <w:jc w:val="left"/>
            </w:pPr>
            <w:r>
              <w:t xml:space="preserve">Rectangular Rapid Flashing Beacon</w:t>
            </w:r>
          </w:p>
        </w:tc>
      </w:tr>
      <w:tr>
        <w:tc>
          <w:tcPr/>
          <w:p>
            <w:pPr>
              <w:pStyle w:val="Compact"/>
              <w:jc w:val="left"/>
            </w:pPr>
            <w:r>
              <w:t xml:space="preserve">SSA</w:t>
            </w:r>
          </w:p>
        </w:tc>
        <w:tc>
          <w:tcPr/>
          <w:p>
            <w:pPr>
              <w:pStyle w:val="Compact"/>
              <w:jc w:val="left"/>
            </w:pPr>
            <w:r>
              <w:t xml:space="preserve">Safe System Approach</w:t>
            </w:r>
          </w:p>
        </w:tc>
      </w:tr>
      <w:tr>
        <w:tc>
          <w:tcPr/>
          <w:p>
            <w:pPr>
              <w:pStyle w:val="Compact"/>
              <w:jc w:val="left"/>
            </w:pPr>
            <w:r>
              <w:t xml:space="preserve">VPD</w:t>
            </w:r>
          </w:p>
        </w:tc>
        <w:tc>
          <w:tcPr/>
          <w:p>
            <w:pPr>
              <w:pStyle w:val="Compact"/>
              <w:jc w:val="left"/>
            </w:pPr>
            <w:r>
              <w:t xml:space="preserve">Vehicles per day</w:t>
            </w:r>
          </w:p>
        </w:tc>
      </w:tr>
      <w:tr>
        <w:tc>
          <w:tcPr/>
          <w:p>
            <w:pPr>
              <w:pStyle w:val="Compact"/>
              <w:jc w:val="left"/>
            </w:pPr>
            <w:r>
              <w:t xml:space="preserve">VRU</w:t>
            </w:r>
          </w:p>
        </w:tc>
        <w:tc>
          <w:tcPr/>
          <w:p>
            <w:pPr>
              <w:pStyle w:val="Compact"/>
              <w:jc w:val="left"/>
            </w:pPr>
            <w:r>
              <w:t xml:space="preserve">Vulnerable road user</w:t>
            </w:r>
          </w:p>
        </w:tc>
      </w:tr>
      <w:tr>
        <w:tc>
          <w:tcPr/>
          <w:p>
            <w:pPr>
              <w:pStyle w:val="Compact"/>
              <w:jc w:val="left"/>
            </w:pPr>
            <w:r>
              <w:t xml:space="preserve">VRUSA</w:t>
            </w:r>
          </w:p>
        </w:tc>
        <w:tc>
          <w:tcPr/>
          <w:p>
            <w:pPr>
              <w:pStyle w:val="Compact"/>
              <w:jc w:val="left"/>
            </w:pPr>
            <w:r>
              <w:t xml:space="preserve">Vulnerable Road User Safety Assessment</w:t>
            </w:r>
          </w:p>
        </w:tc>
      </w:tr>
      <w:tr>
        <w:tc>
          <w:tcPr/>
          <w:p>
            <w:pPr>
              <w:pStyle w:val="Compact"/>
              <w:jc w:val="left"/>
            </w:pPr>
            <w:r>
              <w:t xml:space="preserve">K [**K**ABCO]</w:t>
            </w:r>
          </w:p>
        </w:tc>
        <w:tc>
          <w:tcPr/>
          <w:p>
            <w:pPr>
              <w:pStyle w:val="Compact"/>
              <w:jc w:val="left"/>
            </w:pPr>
            <w:r>
              <w:t xml:space="preserve">Fatal Injury Severity</w:t>
            </w:r>
          </w:p>
        </w:tc>
      </w:tr>
      <w:tr>
        <w:tc>
          <w:tcPr/>
          <w:p>
            <w:pPr>
              <w:pStyle w:val="Compact"/>
              <w:jc w:val="left"/>
            </w:pPr>
            <w:r>
              <w:t xml:space="preserve">A [K**A**BCO]</w:t>
            </w:r>
          </w:p>
        </w:tc>
        <w:tc>
          <w:tcPr/>
          <w:p>
            <w:pPr>
              <w:pStyle w:val="Compact"/>
              <w:jc w:val="left"/>
            </w:pPr>
            <w:r>
              <w:t xml:space="preserve">Suspected Serious Injury</w:t>
            </w:r>
          </w:p>
        </w:tc>
      </w:tr>
      <w:tr>
        <w:tc>
          <w:tcPr/>
          <w:p>
            <w:pPr>
              <w:pStyle w:val="Compact"/>
              <w:jc w:val="left"/>
            </w:pPr>
            <w:r>
              <w:t xml:space="preserve">C [KA**B**CO]</w:t>
            </w:r>
          </w:p>
        </w:tc>
        <w:tc>
          <w:tcPr/>
          <w:p>
            <w:pPr>
              <w:pStyle w:val="Compact"/>
              <w:jc w:val="left"/>
            </w:pPr>
            <w:r>
              <w:t xml:space="preserve">Minor Injury</w:t>
            </w:r>
          </w:p>
        </w:tc>
      </w:tr>
      <w:tr>
        <w:tc>
          <w:tcPr/>
          <w:p>
            <w:pPr>
              <w:pStyle w:val="Compact"/>
              <w:jc w:val="left"/>
            </w:pPr>
            <w:r>
              <w:t xml:space="preserve">C [KAB**C**O]</w:t>
            </w:r>
          </w:p>
        </w:tc>
        <w:tc>
          <w:tcPr/>
          <w:p>
            <w:pPr>
              <w:pStyle w:val="Compact"/>
              <w:jc w:val="left"/>
            </w:pPr>
            <w:r>
              <w:t xml:space="preserve">Possible Injury</w:t>
            </w:r>
          </w:p>
        </w:tc>
      </w:tr>
      <w:tr>
        <w:tc>
          <w:tcPr/>
          <w:p>
            <w:pPr>
              <w:pStyle w:val="Compact"/>
              <w:jc w:val="left"/>
            </w:pPr>
            <w:r>
              <w:t xml:space="preserve">O [KABC**O**] or PDO</w:t>
            </w:r>
          </w:p>
        </w:tc>
        <w:tc>
          <w:tcPr/>
          <w:p>
            <w:pPr>
              <w:pStyle w:val="Compact"/>
              <w:jc w:val="left"/>
            </w:pPr>
            <w:r>
              <w:t xml:space="preserve">Property Damage Only</w:t>
            </w:r>
          </w:p>
        </w:tc>
      </w:tr>
      <w:tr>
        <w:tc>
          <w:tcPr/>
          <w:p>
            <w:pPr>
              <w:pStyle w:val="Compact"/>
              <w:jc w:val="left"/>
            </w:pPr>
            <w:r>
              <w:t xml:space="preserve">KA or KSI</w:t>
            </w:r>
          </w:p>
        </w:tc>
        <w:tc>
          <w:tcPr/>
          <w:p>
            <w:pPr>
              <w:pStyle w:val="Compact"/>
              <w:jc w:val="left"/>
            </w:pPr>
            <w:r>
              <w:t xml:space="preserve">Killed or Seriously Injured</w:t>
            </w:r>
          </w:p>
        </w:tc>
      </w:tr>
    </w:tbl>
    <w:bookmarkEnd w:id="48"/>
    <w:bookmarkEnd w:id="49"/>
    <w:sectPr w:rsidR="00873728" w:rsidRPr="00873728" w:rsidSect="0035442F">
      <w:pgSz w:h="15840" w:w="12240"/>
      <w:pgMar w:bottom="1440" w:footer="720" w:gutter="0" w:header="720" w:left="1440" w:right="1440" w:top="144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w:panose1 w:val="00000000000000000000"/>
    <w:charset w:val="4D"/>
    <w:family w:val="auto"/>
    <w:pitch w:val="variable"/>
    <w:sig w:usb0="A00002FF" w:usb1="7800205A" w:usb2="14600000" w:usb3="00000000" w:csb0="00000193" w:csb1="00000000"/>
  </w:font>
  <w:font w:name="Times New Roman (Body CS)">
    <w:altName w:val="Times New Roman"/>
    <w:panose1 w:val="020B0604020202020204"/>
    <w:charset w:val="00"/>
    <w:family w:val="roman"/>
    <w:notTrueType/>
    <w:pitch w:val="default"/>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4">
    <w:p>
      <w:pPr>
        <w:pStyle w:val="FootnoteText"/>
      </w:pPr>
      <w:r>
        <w:rPr>
          <w:rStyle w:val="FootnoteReference"/>
        </w:rPr>
        <w:footnoteRef/>
      </w:r>
      <w:r>
        <w:t xml:space="preserve"> </w:t>
      </w:r>
      <w:hyperlink r:id="rId35">
        <w:r>
          <w:rPr>
            <w:rStyle w:val="Hyperlink"/>
          </w:rPr>
          <w:t xml:space="preserve">https://highways.dot.gov/sites/fhwa.dot.gov/files/2022- 10/VRU%20Safety%20Assessment%20Guidance%20FINAL_508.pdf</w:t>
        </w:r>
      </w:hyperlink>
    </w:p>
  </w:footnote>
  <w:footnote w:id="36">
    <w:p>
      <w:pPr>
        <w:pStyle w:val="FootnoteText"/>
      </w:pPr>
      <w:r>
        <w:rPr>
          <w:rStyle w:val="FootnoteReference"/>
        </w:rPr>
        <w:footnoteRef/>
      </w:r>
      <w:r>
        <w:t xml:space="preserve"> </w:t>
      </w:r>
      <w:hyperlink r:id="rId37">
        <w:r>
          <w:rPr>
            <w:rStyle w:val="Hyperlink"/>
          </w:rPr>
          <w:t xml:space="preserve">https://edocs-public.dot.state.mn.us/edocs_public/DMResultSet/download?docId=26158751</w:t>
        </w:r>
      </w:hyperlink>
    </w:p>
  </w:footnote>
  <w:footnote w:id="38">
    <w:p>
      <w:pPr>
        <w:pStyle w:val="FootnoteText"/>
      </w:pPr>
      <w:r>
        <w:rPr>
          <w:rStyle w:val="FootnoteReference"/>
        </w:rPr>
        <w:footnoteRef/>
      </w:r>
      <w:r>
        <w:t xml:space="preserve"> </w:t>
      </w:r>
      <w:hyperlink r:id="rId39">
        <w:r>
          <w:rPr>
            <w:rStyle w:val="Hyperlink"/>
          </w:rPr>
          <w:t xml:space="preserve">https://www.dot.state.mn.us/trafficeng/safety/vrusa.html</w:t>
        </w:r>
      </w:hyperlink>
    </w:p>
  </w:footnote>
  <w:footnote w:id="42">
    <w:p>
      <w:pPr>
        <w:pStyle w:val="FootnoteText"/>
      </w:pPr>
      <w:r>
        <w:rPr>
          <w:rStyle w:val="FootnoteReference"/>
        </w:rPr>
        <w:footnoteRef/>
      </w:r>
      <w:r>
        <w:t xml:space="preserve"> </w:t>
      </w:r>
      <w:hyperlink r:id="rId43">
        <w:r>
          <w:rPr>
            <w:rStyle w:val="Hyperlink"/>
          </w:rPr>
          <w:t xml:space="preserve">https://www.visionzerosf.org/wp-content/uploads/2021/11/Severe-Injury-Trends 2011-2020 final report.pdf</w:t>
        </w:r>
      </w:hyperlink>
    </w:p>
  </w:footnote>
  <w:footnote w:id="45">
    <w:p>
      <w:pPr>
        <w:pStyle w:val="FootnoteText"/>
      </w:pPr>
      <w:r>
        <w:rPr>
          <w:rStyle w:val="FootnoteReference"/>
        </w:rPr>
        <w:footnoteRef/>
      </w:r>
      <w:r>
        <w:t xml:space="preserve"> </w:t>
      </w:r>
      <w:hyperlink r:id="rId37">
        <w:r>
          <w:rPr>
            <w:rStyle w:val="Hyperlink"/>
          </w:rPr>
          <w:t xml:space="preserve">https://edocs-public.dot.state.mn.us/edocs_public/DMResultSet/download?docId=26158751</w:t>
        </w:r>
      </w:hyperlink>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A9A0EE7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54E7BBA"/>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0B01F76"/>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5C1C1B52"/>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A9B0656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C2802A4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FA7C19F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30E0618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86445176"/>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42EA22C"/>
    <w:lvl w:ilvl="0">
      <w:start w:val="1"/>
      <w:numFmt w:val="bullet"/>
      <w:lvlText w:val=""/>
      <w:lvlJc w:val="left"/>
      <w:pPr>
        <w:tabs>
          <w:tab w:pos="360" w:val="num"/>
        </w:tabs>
        <w:ind w:hanging="360" w:left="360"/>
      </w:pPr>
      <w:rPr>
        <w:rFonts w:ascii="Symbol" w:hAnsi="Symbol"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606885712" w:numId="1">
    <w:abstractNumId w:val="0"/>
  </w:num>
  <w:num w16cid:durableId="591740060" w:numId="2">
    <w:abstractNumId w:val="1"/>
  </w:num>
  <w:num w16cid:durableId="1748333763" w:numId="3">
    <w:abstractNumId w:val="2"/>
  </w:num>
  <w:num w16cid:durableId="1923098057" w:numId="4">
    <w:abstractNumId w:val="3"/>
  </w:num>
  <w:num w16cid:durableId="1571887013" w:numId="5">
    <w:abstractNumId w:val="8"/>
  </w:num>
  <w:num w16cid:durableId="1451512914" w:numId="6">
    <w:abstractNumId w:val="4"/>
  </w:num>
  <w:num w16cid:durableId="1962956561" w:numId="7">
    <w:abstractNumId w:val="5"/>
  </w:num>
  <w:num w16cid:durableId="491794334" w:numId="8">
    <w:abstractNumId w:val="6"/>
  </w:num>
  <w:num w16cid:durableId="746028987" w:numId="9">
    <w:abstractNumId w:val="7"/>
  </w:num>
  <w:num w16cid:durableId="1959024300" w:numId="10">
    <w:abstractNumId w:val="9"/>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94"/>
  <w:proofState w:grammar="clean"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default="1" w:styleId="Normal" w:type="paragraph">
    <w:name w:val="Normal"/>
    <w:qFormat/>
    <w:rsid w:val="00216116"/>
    <w:pPr>
      <w:spacing w:after="160"/>
    </w:pPr>
  </w:style>
  <w:style w:styleId="Heading1" w:type="paragraph">
    <w:name w:val="heading 1"/>
    <w:basedOn w:val="Normal"/>
    <w:next w:val="Normal"/>
    <w:link w:val="Heading1Char"/>
    <w:uiPriority w:val="9"/>
    <w:qFormat/>
    <w:rsid w:val="00216116"/>
    <w:pPr>
      <w:keepNext/>
      <w:keepLines/>
      <w:spacing w:after="0" w:before="480"/>
      <w:outlineLvl w:val="0"/>
    </w:pPr>
    <w:rPr>
      <w:rFonts w:asciiTheme="majorHAnsi" w:cstheme="majorBidi" w:eastAsiaTheme="majorEastAsia" w:hAnsiTheme="majorHAnsi"/>
      <w:b/>
      <w:bCs/>
      <w:color w:val="002060"/>
      <w:sz w:val="32"/>
      <w:szCs w:val="32"/>
    </w:rPr>
  </w:style>
  <w:style w:styleId="Heading2" w:type="paragraph">
    <w:name w:val="heading 2"/>
    <w:basedOn w:val="Normal"/>
    <w:next w:val="Normal"/>
    <w:link w:val="Heading2Char"/>
    <w:uiPriority w:val="9"/>
    <w:unhideWhenUsed/>
    <w:qFormat/>
    <w:rsid w:val="00216116"/>
    <w:pPr>
      <w:keepNext/>
      <w:keepLines/>
      <w:spacing w:after="0" w:before="240"/>
      <w:outlineLvl w:val="1"/>
    </w:pPr>
    <w:rPr>
      <w:rFonts w:asciiTheme="majorHAnsi" w:cstheme="majorBidi" w:eastAsiaTheme="majorEastAsia" w:hAnsiTheme="majorHAnsi"/>
      <w:b/>
      <w:bCs/>
      <w:color w:val="002060"/>
      <w:sz w:val="26"/>
      <w:szCs w:val="26"/>
    </w:rPr>
  </w:style>
  <w:style w:styleId="Heading3" w:type="paragraph">
    <w:name w:val="heading 3"/>
    <w:basedOn w:val="Normal"/>
    <w:next w:val="Normal"/>
    <w:link w:val="Heading3Char"/>
    <w:uiPriority w:val="9"/>
    <w:unhideWhenUsed/>
    <w:qFormat/>
    <w:rsid w:val="00216116"/>
    <w:pPr>
      <w:keepNext/>
      <w:keepLines/>
      <w:spacing w:after="0" w:before="160"/>
      <w:outlineLvl w:val="2"/>
    </w:pPr>
    <w:rPr>
      <w:rFonts w:asciiTheme="majorHAnsi" w:cstheme="majorBidi" w:eastAsiaTheme="majorEastAsia" w:hAnsiTheme="majorHAnsi"/>
      <w:color w:themeColor="text1" w:themeTint="A6" w:val="595959"/>
    </w:rPr>
  </w:style>
  <w:style w:styleId="Heading4" w:type="paragraph">
    <w:name w:val="heading 4"/>
    <w:basedOn w:val="Normal"/>
    <w:next w:val="Normal"/>
    <w:link w:val="Heading4Char"/>
    <w:uiPriority w:val="9"/>
    <w:unhideWhenUsed/>
    <w:qFormat/>
    <w:rsid w:val="00216116"/>
    <w:pPr>
      <w:keepNext/>
      <w:keepLines/>
      <w:spacing w:after="0" w:before="160"/>
      <w:outlineLvl w:val="3"/>
    </w:pPr>
    <w:rPr>
      <w:rFonts w:asciiTheme="majorHAnsi" w:cstheme="majorBidi" w:eastAsiaTheme="majorEastAsia" w:hAnsiTheme="majorHAnsi"/>
      <w:i/>
      <w:iCs/>
      <w:color w:themeColor="text1" w:themeTint="A6" w:val="595959"/>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Hyperlink" w:type="character">
    <w:name w:val="Hyperlink"/>
    <w:basedOn w:val="DefaultParagraphFont"/>
    <w:uiPriority w:val="99"/>
    <w:unhideWhenUsed/>
    <w:rsid w:val="0035442F"/>
    <w:rPr>
      <w:color w:themeColor="hyperlink" w:val="0563C1"/>
      <w:u w:val="single"/>
    </w:rPr>
  </w:style>
  <w:style w:styleId="UnresolvedMention" w:type="character">
    <w:name w:val="Unresolved Mention"/>
    <w:basedOn w:val="DefaultParagraphFont"/>
    <w:uiPriority w:val="99"/>
    <w:rsid w:val="0035442F"/>
    <w:rPr>
      <w:color w:val="605E5C"/>
      <w:shd w:color="auto" w:fill="E1DFDD" w:val="clear"/>
    </w:rPr>
  </w:style>
  <w:style w:styleId="Title" w:type="paragraph">
    <w:name w:val="Title"/>
    <w:basedOn w:val="Normal"/>
    <w:next w:val="Normal"/>
    <w:link w:val="TitleChar"/>
    <w:uiPriority w:val="10"/>
    <w:qFormat/>
    <w:rsid w:val="00873728"/>
    <w:pPr>
      <w:spacing w:after="360" w:before="240"/>
      <w:contextualSpacing/>
    </w:pPr>
    <w:rPr>
      <w:rFonts w:ascii="Palatino" w:cstheme="majorBidi" w:eastAsiaTheme="majorEastAsia" w:hAnsi="Palatino"/>
      <w:b/>
      <w:bCs/>
      <w:noProof/>
      <w:color w:val="002060"/>
      <w:spacing w:val="-10"/>
      <w:kern w:val="28"/>
      <w:sz w:val="56"/>
      <w:szCs w:val="56"/>
    </w:rPr>
  </w:style>
  <w:style w:customStyle="1" w:styleId="TitleChar" w:type="character">
    <w:name w:val="Title Char"/>
    <w:basedOn w:val="DefaultParagraphFont"/>
    <w:link w:val="Title"/>
    <w:uiPriority w:val="10"/>
    <w:rsid w:val="00873728"/>
    <w:rPr>
      <w:rFonts w:ascii="Palatino" w:cstheme="majorBidi" w:eastAsiaTheme="majorEastAsia" w:hAnsi="Palatino"/>
      <w:b/>
      <w:bCs/>
      <w:noProof/>
      <w:color w:val="002060"/>
      <w:spacing w:val="-10"/>
      <w:kern w:val="28"/>
      <w:sz w:val="56"/>
      <w:szCs w:val="56"/>
    </w:rPr>
  </w:style>
  <w:style w:styleId="Subtitle" w:type="paragraph">
    <w:name w:val="Subtitle"/>
    <w:basedOn w:val="Normal"/>
    <w:next w:val="Normal"/>
    <w:link w:val="SubtitleChar"/>
    <w:uiPriority w:val="11"/>
    <w:qFormat/>
    <w:rsid w:val="00216116"/>
    <w:pPr>
      <w:numPr>
        <w:ilvl w:val="1"/>
      </w:numPr>
    </w:pPr>
    <w:rPr>
      <w:rFonts w:eastAsiaTheme="minorEastAsia"/>
      <w:color w:themeColor="text1" w:themeTint="A5" w:val="5A5A5A"/>
      <w:spacing w:val="15"/>
      <w:sz w:val="22"/>
      <w:szCs w:val="22"/>
    </w:rPr>
  </w:style>
  <w:style w:customStyle="1" w:styleId="SubtitleChar" w:type="character">
    <w:name w:val="Subtitle Char"/>
    <w:basedOn w:val="DefaultParagraphFont"/>
    <w:link w:val="Subtitle"/>
    <w:uiPriority w:val="11"/>
    <w:rsid w:val="00216116"/>
    <w:rPr>
      <w:rFonts w:eastAsiaTheme="minorEastAsia"/>
      <w:color w:themeColor="text1" w:themeTint="A5" w:val="5A5A5A"/>
      <w:spacing w:val="15"/>
      <w:sz w:val="22"/>
      <w:szCs w:val="22"/>
    </w:rPr>
  </w:style>
  <w:style w:styleId="CommentReference" w:type="character">
    <w:name w:val="annotation reference"/>
    <w:basedOn w:val="DefaultParagraphFont"/>
    <w:uiPriority w:val="99"/>
    <w:semiHidden/>
    <w:unhideWhenUsed/>
    <w:rsid w:val="00216116"/>
    <w:rPr>
      <w:sz w:val="16"/>
      <w:szCs w:val="16"/>
    </w:rPr>
  </w:style>
  <w:style w:styleId="CommentText" w:type="paragraph">
    <w:name w:val="annotation text"/>
    <w:basedOn w:val="Normal"/>
    <w:link w:val="CommentTextChar"/>
    <w:uiPriority w:val="99"/>
    <w:semiHidden/>
    <w:unhideWhenUsed/>
    <w:rsid w:val="00216116"/>
    <w:rPr>
      <w:sz w:val="20"/>
      <w:szCs w:val="20"/>
    </w:rPr>
  </w:style>
  <w:style w:customStyle="1" w:styleId="CommentTextChar" w:type="character">
    <w:name w:val="Comment Text Char"/>
    <w:basedOn w:val="DefaultParagraphFont"/>
    <w:link w:val="CommentText"/>
    <w:uiPriority w:val="99"/>
    <w:semiHidden/>
    <w:rsid w:val="00216116"/>
    <w:rPr>
      <w:sz w:val="20"/>
      <w:szCs w:val="20"/>
    </w:rPr>
  </w:style>
  <w:style w:styleId="CommentSubject" w:type="paragraph">
    <w:name w:val="annotation subject"/>
    <w:basedOn w:val="CommentText"/>
    <w:next w:val="CommentText"/>
    <w:link w:val="CommentSubjectChar"/>
    <w:uiPriority w:val="99"/>
    <w:semiHidden/>
    <w:unhideWhenUsed/>
    <w:rsid w:val="00216116"/>
    <w:rPr>
      <w:b/>
      <w:bCs/>
    </w:rPr>
  </w:style>
  <w:style w:customStyle="1" w:styleId="CommentSubjectChar" w:type="character">
    <w:name w:val="Comment Subject Char"/>
    <w:basedOn w:val="CommentTextChar"/>
    <w:link w:val="CommentSubject"/>
    <w:uiPriority w:val="99"/>
    <w:semiHidden/>
    <w:rsid w:val="00216116"/>
    <w:rPr>
      <w:b/>
      <w:bCs/>
      <w:sz w:val="20"/>
      <w:szCs w:val="20"/>
    </w:rPr>
  </w:style>
  <w:style w:styleId="IntenseReference" w:type="character">
    <w:name w:val="Intense Reference"/>
    <w:basedOn w:val="DefaultParagraphFont"/>
    <w:uiPriority w:val="32"/>
    <w:qFormat/>
    <w:rsid w:val="00216116"/>
    <w:rPr>
      <w:b/>
      <w:bCs/>
      <w:smallCaps/>
      <w:color w:themeColor="accent1" w:val="4472C4"/>
      <w:spacing w:val="5"/>
    </w:rPr>
  </w:style>
  <w:style w:customStyle="1" w:styleId="MemoHeaders" w:type="paragraph">
    <w:name w:val="Memo Headers"/>
    <w:basedOn w:val="Normal"/>
    <w:qFormat/>
    <w:rsid w:val="00216116"/>
    <w:pPr>
      <w:spacing w:after="240" w:before="240"/>
      <w:contextualSpacing/>
    </w:pPr>
    <w:rPr>
      <w:b/>
      <w:bCs/>
      <w:color w:val="002060"/>
    </w:rPr>
  </w:style>
  <w:style w:customStyle="1" w:styleId="Heading1Char" w:type="character">
    <w:name w:val="Heading 1 Char"/>
    <w:basedOn w:val="DefaultParagraphFont"/>
    <w:link w:val="Heading1"/>
    <w:uiPriority w:val="9"/>
    <w:rsid w:val="00216116"/>
    <w:rPr>
      <w:rFonts w:asciiTheme="majorHAnsi" w:cstheme="majorBidi" w:eastAsiaTheme="majorEastAsia" w:hAnsiTheme="majorHAnsi"/>
      <w:b/>
      <w:bCs/>
      <w:color w:val="002060"/>
      <w:sz w:val="32"/>
      <w:szCs w:val="32"/>
    </w:rPr>
  </w:style>
  <w:style w:customStyle="1" w:styleId="Heading2Char" w:type="character">
    <w:name w:val="Heading 2 Char"/>
    <w:basedOn w:val="DefaultParagraphFont"/>
    <w:link w:val="Heading2"/>
    <w:uiPriority w:val="9"/>
    <w:rsid w:val="00216116"/>
    <w:rPr>
      <w:rFonts w:asciiTheme="majorHAnsi" w:cstheme="majorBidi" w:eastAsiaTheme="majorEastAsia" w:hAnsiTheme="majorHAnsi"/>
      <w:b/>
      <w:bCs/>
      <w:color w:val="002060"/>
      <w:sz w:val="26"/>
      <w:szCs w:val="26"/>
    </w:rPr>
  </w:style>
  <w:style w:customStyle="1" w:styleId="Heading3Char" w:type="character">
    <w:name w:val="Heading 3 Char"/>
    <w:basedOn w:val="DefaultParagraphFont"/>
    <w:link w:val="Heading3"/>
    <w:uiPriority w:val="9"/>
    <w:rsid w:val="00216116"/>
    <w:rPr>
      <w:rFonts w:asciiTheme="majorHAnsi" w:cstheme="majorBidi" w:eastAsiaTheme="majorEastAsia" w:hAnsiTheme="majorHAnsi"/>
      <w:color w:themeColor="text1" w:themeTint="A6" w:val="595959"/>
    </w:rPr>
  </w:style>
  <w:style w:customStyle="1" w:styleId="Heading4Char" w:type="character">
    <w:name w:val="Heading 4 Char"/>
    <w:basedOn w:val="DefaultParagraphFont"/>
    <w:link w:val="Heading4"/>
    <w:uiPriority w:val="9"/>
    <w:rsid w:val="00216116"/>
    <w:rPr>
      <w:rFonts w:asciiTheme="majorHAnsi" w:cstheme="majorBidi" w:eastAsiaTheme="majorEastAsia" w:hAnsiTheme="majorHAnsi"/>
      <w:i/>
      <w:iCs/>
      <w:color w:themeColor="text1" w:themeTint="A6" w:val="595959"/>
    </w:rPr>
  </w:style>
  <w:style w:styleId="SubtleEmphasis" w:type="character">
    <w:name w:val="Subtle Emphasis"/>
    <w:basedOn w:val="DefaultParagraphFont"/>
    <w:uiPriority w:val="19"/>
    <w:qFormat/>
    <w:rsid w:val="00216116"/>
    <w:rPr>
      <w:i/>
      <w:iCs/>
      <w:color w:themeColor="text1" w:themeTint="A6" w:val="595959"/>
    </w:rPr>
  </w:style>
  <w:style w:styleId="Emphasis" w:type="character">
    <w:name w:val="Emphasis"/>
    <w:basedOn w:val="DefaultParagraphFont"/>
    <w:uiPriority w:val="20"/>
    <w:qFormat/>
    <w:rsid w:val="00216116"/>
    <w:rPr>
      <w:b/>
      <w:bCs/>
      <w:i/>
      <w:iCs/>
      <w:color w:val="002060"/>
    </w:rPr>
  </w:style>
  <w:style w:styleId="IntenseEmphasis" w:type="character">
    <w:name w:val="Intense Emphasis"/>
    <w:uiPriority w:val="21"/>
    <w:qFormat/>
    <w:rsid w:val="00563945"/>
    <w:rPr>
      <w:b/>
      <w:bCs/>
      <w:color w:val="B626B5"/>
    </w:rPr>
  </w:style>
  <w:style w:styleId="TableGrid" w:type="table">
    <w:name w:val="Table Grid"/>
    <w:aliases w:val="ssrc_basic"/>
    <w:basedOn w:val="TableNormal"/>
    <w:uiPriority w:val="39"/>
    <w:rsid w:val="00650EDC"/>
    <w:rPr>
      <w:color w:themeColor="text1" w:themeTint="A6" w:val="595959"/>
      <w:sz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blStylePr w:type="firstRow">
      <w:rPr>
        <w:rFonts w:asciiTheme="minorHAnsi" w:hAnsiTheme="minorHAnsi"/>
        <w:b/>
        <w:color w:themeColor="background1" w:val="FFFFFF"/>
      </w:rPr>
      <w:tblPr/>
      <w:tcPr>
        <w:shd w:color="auto" w:fill="1F3864" w:themeFill="accent1" w:themeFillShade="80" w:val="clear"/>
      </w:tcPr>
    </w:tblStylePr>
  </w:style>
  <w:style w:styleId="Caption" w:type="paragraph">
    <w:name w:val="caption"/>
    <w:basedOn w:val="Normal"/>
    <w:next w:val="Normal"/>
    <w:uiPriority w:val="35"/>
    <w:unhideWhenUsed/>
    <w:qFormat/>
    <w:rsid w:val="00873728"/>
    <w:pPr>
      <w:spacing w:after="200"/>
    </w:pPr>
    <w:rPr>
      <w:i/>
      <w:iCs/>
      <w:color w:themeColor="text2" w:val="44546A"/>
      <w:sz w:val="18"/>
      <w:szCs w:val="18"/>
    </w:rPr>
  </w:style>
  <w:style w:customStyle="1" w:styleId="TableCaption" w:type="paragraph">
    <w:name w:val="Table Caption"/>
    <w:basedOn w:val="Caption"/>
    <w:qFormat/>
    <w:rsid w:val="00873728"/>
    <w:pPr>
      <w:keepNext/>
      <w:spacing w:after="40" w:before="200"/>
    </w:pPr>
    <w:rPr>
      <w:b/>
      <w:bCs/>
      <w:i w:val="0"/>
      <w:iCs w:val="0"/>
      <w:color w:themeColor="text1" w:themeTint="A6" w:val="595959"/>
      <w:sz w:val="20"/>
      <w:szCs w:val="20"/>
    </w:rPr>
  </w:style>
  <w:style w:customStyle="1" w:styleId="Figurecaption" w:type="paragraph">
    <w:name w:val="Figure caption"/>
    <w:basedOn w:val="Caption"/>
    <w:qFormat/>
    <w:rsid w:val="00873728"/>
    <w:rPr>
      <w:b/>
      <w:bCs/>
      <w:i w:val="0"/>
      <w:iCs w:val="0"/>
      <w:color w:themeColor="text1" w:themeTint="A6" w:val="595959"/>
      <w:sz w:val="20"/>
      <w:szCs w:val="20"/>
    </w:rPr>
  </w:style>
  <w:style w:styleId="NoSpacing" w:type="paragraph">
    <w:name w:val="No Spacing"/>
    <w:uiPriority w:val="1"/>
    <w:qFormat/>
    <w:rsid w:val="00873728"/>
  </w:style>
  <w:style w:styleId="GridTable7Colorful" w:type="table">
    <w:name w:val="Grid Table 7 Colorful"/>
    <w:basedOn w:val="TableNormal"/>
    <w:uiPriority w:val="52"/>
    <w:rsid w:val="00873728"/>
    <w:rPr>
      <w:color w:themeColor="text1" w:val="000000"/>
    </w:rPr>
    <w:tblPr>
      <w:tblStyleRowBandSize w:val="1"/>
      <w:tblStyleColBandSize w:val="1"/>
      <w:tblBorders>
        <w:top w:color="666666" w:space="0" w:sz="4" w:themeColor="text1" w:themeTint="99" w:val="single"/>
        <w:left w:color="666666" w:space="0" w:sz="4" w:themeColor="text1" w:themeTint="99" w:val="single"/>
        <w:bottom w:color="666666" w:space="0" w:sz="4" w:themeColor="text1" w:themeTint="99" w:val="single"/>
        <w:right w:color="666666" w:space="0" w:sz="4" w:themeColor="text1" w:themeTint="99" w:val="single"/>
        <w:insideH w:color="666666" w:space="0" w:sz="4" w:themeColor="text1" w:themeTint="99" w:val="single"/>
        <w:insideV w:color="666666" w:space="0" w:sz="4" w:themeColor="text1"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iCs/>
      </w:rPr>
      <w:tblPr/>
      <w:tcPr>
        <w:tcBorders>
          <w:top w:val="nil"/>
          <w:left w:val="nil"/>
          <w:bottom w:val="nil"/>
          <w:insideH w:val="nil"/>
          <w:insideV w:val="nil"/>
        </w:tcBorders>
        <w:shd w:color="auto" w:fill="FFFFFF" w:themeFill="background1" w:val="clear"/>
      </w:tcPr>
    </w:tblStylePr>
    <w:tblStylePr w:type="lastCol">
      <w:rPr>
        <w:i/>
        <w:iCs/>
      </w:rPr>
      <w:tblPr/>
      <w:tcPr>
        <w:tcBorders>
          <w:top w:val="nil"/>
          <w:bottom w:val="nil"/>
          <w:right w:val="nil"/>
          <w:insideH w:val="nil"/>
          <w:insideV w:val="nil"/>
        </w:tcBorders>
        <w:shd w:color="auto" w:fill="FFFFFF" w:themeFill="background1" w:val="clear"/>
      </w:tcPr>
    </w:tblStylePr>
    <w:tblStylePr w:type="band1Vert">
      <w:tblPr/>
      <w:tcPr>
        <w:shd w:color="auto" w:fill="CCCCCC" w:themeFill="text1" w:themeFillTint="33" w:val="clear"/>
      </w:tcPr>
    </w:tblStylePr>
    <w:tblStylePr w:type="band1Horz">
      <w:tblPr/>
      <w:tcPr>
        <w:shd w:color="auto" w:fill="CCCCCC" w:themeFill="text1" w:themeFillTint="33" w:val="clear"/>
      </w:tcPr>
    </w:tblStylePr>
    <w:tblStylePr w:type="neCell">
      <w:tblPr/>
      <w:tcPr>
        <w:tcBorders>
          <w:bottom w:color="666666" w:space="0" w:sz="4" w:themeColor="text1" w:themeTint="99" w:val="single"/>
        </w:tcBorders>
      </w:tcPr>
    </w:tblStylePr>
    <w:tblStylePr w:type="nwCell">
      <w:tblPr/>
      <w:tcPr>
        <w:tcBorders>
          <w:bottom w:color="666666" w:space="0" w:sz="4" w:themeColor="text1" w:themeTint="99" w:val="single"/>
        </w:tcBorders>
      </w:tcPr>
    </w:tblStylePr>
    <w:tblStylePr w:type="seCell">
      <w:tblPr/>
      <w:tcPr>
        <w:tcBorders>
          <w:top w:color="666666" w:space="0" w:sz="4" w:themeColor="text1" w:themeTint="99" w:val="single"/>
        </w:tcBorders>
      </w:tcPr>
    </w:tblStylePr>
    <w:tblStylePr w:type="swCell">
      <w:tblPr/>
      <w:tcPr>
        <w:tcBorders>
          <w:top w:color="666666" w:space="0" w:sz="4" w:themeColor="text1" w:themeTint="99" w:val="single"/>
        </w:tcBorders>
      </w:tcPr>
    </w:tblStylePr>
  </w:style>
  <w:style w:styleId="GridTable7Colorful-Accent3" w:type="table">
    <w:name w:val="Grid Table 7 Colorful Accent 3"/>
    <w:basedOn w:val="TableNormal"/>
    <w:uiPriority w:val="52"/>
    <w:rsid w:val="00873728"/>
    <w:rPr>
      <w:color w:themeColor="accent3" w:themeShade="BF" w:val="7B7B7B"/>
    </w:rPr>
    <w:tblPr>
      <w:tblStyleRowBandSize w:val="1"/>
      <w:tblStyleColBandSize w:val="1"/>
      <w:tblBorders>
        <w:top w:color="C9C9C9" w:space="0" w:sz="4" w:themeColor="accent3" w:themeTint="99" w:val="single"/>
        <w:left w:color="C9C9C9" w:space="0" w:sz="4" w:themeColor="accent3" w:themeTint="99" w:val="single"/>
        <w:bottom w:color="C9C9C9" w:space="0" w:sz="4" w:themeColor="accent3" w:themeTint="99" w:val="single"/>
        <w:right w:color="C9C9C9" w:space="0" w:sz="4" w:themeColor="accent3" w:themeTint="99" w:val="single"/>
        <w:insideH w:color="C9C9C9" w:space="0" w:sz="4" w:themeColor="accent3" w:themeTint="99" w:val="single"/>
        <w:insideV w:color="C9C9C9" w:space="0" w:sz="4" w:themeColor="accent3"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iCs/>
      </w:rPr>
      <w:tblPr/>
      <w:tcPr>
        <w:tcBorders>
          <w:top w:val="nil"/>
          <w:left w:val="nil"/>
          <w:bottom w:val="nil"/>
          <w:insideH w:val="nil"/>
          <w:insideV w:val="nil"/>
        </w:tcBorders>
        <w:shd w:color="auto" w:fill="FFFFFF" w:themeFill="background1" w:val="clear"/>
      </w:tcPr>
    </w:tblStylePr>
    <w:tblStylePr w:type="lastCol">
      <w:rPr>
        <w:i/>
        <w:iCs/>
      </w:rPr>
      <w:tblPr/>
      <w:tcPr>
        <w:tcBorders>
          <w:top w:val="nil"/>
          <w:bottom w:val="nil"/>
          <w:right w:val="nil"/>
          <w:insideH w:val="nil"/>
          <w:insideV w:val="nil"/>
        </w:tcBorders>
        <w:shd w:color="auto" w:fill="FFFFFF" w:themeFill="background1" w:val="clear"/>
      </w:tcPr>
    </w:tblStylePr>
    <w:tblStylePr w:type="band1Vert">
      <w:tblPr/>
      <w:tcPr>
        <w:shd w:color="auto" w:fill="EDEDED" w:themeFill="accent3" w:themeFillTint="33" w:val="clear"/>
      </w:tcPr>
    </w:tblStylePr>
    <w:tblStylePr w:type="band1Horz">
      <w:tblPr/>
      <w:tcPr>
        <w:shd w:color="auto" w:fill="EDEDED" w:themeFill="accent3" w:themeFillTint="33" w:val="clear"/>
      </w:tcPr>
    </w:tblStylePr>
    <w:tblStylePr w:type="neCell">
      <w:tblPr/>
      <w:tcPr>
        <w:tcBorders>
          <w:bottom w:color="C9C9C9" w:space="0" w:sz="4" w:themeColor="accent3" w:themeTint="99" w:val="single"/>
        </w:tcBorders>
      </w:tcPr>
    </w:tblStylePr>
    <w:tblStylePr w:type="nwCell">
      <w:tblPr/>
      <w:tcPr>
        <w:tcBorders>
          <w:bottom w:color="C9C9C9" w:space="0" w:sz="4" w:themeColor="accent3" w:themeTint="99" w:val="single"/>
        </w:tcBorders>
      </w:tcPr>
    </w:tblStylePr>
    <w:tblStylePr w:type="seCell">
      <w:tblPr/>
      <w:tcPr>
        <w:tcBorders>
          <w:top w:color="C9C9C9" w:space="0" w:sz="4" w:themeColor="accent3" w:themeTint="99" w:val="single"/>
        </w:tcBorders>
      </w:tcPr>
    </w:tblStylePr>
    <w:tblStylePr w:type="swCell">
      <w:tblPr/>
      <w:tcPr>
        <w:tcBorders>
          <w:top w:color="C9C9C9" w:space="0" w:sz="4" w:themeColor="accent3" w:themeTint="99" w:val="single"/>
        </w:tcBorders>
      </w:tcPr>
    </w:tblStylePr>
  </w:style>
  <w:style w:styleId="GridTable6Colorful-Accent3" w:type="table">
    <w:name w:val="Grid Table 6 Colorful Accent 3"/>
    <w:basedOn w:val="TableNormal"/>
    <w:uiPriority w:val="51"/>
    <w:rsid w:val="00873728"/>
    <w:rPr>
      <w:color w:themeColor="accent3" w:themeShade="BF" w:val="7B7B7B"/>
    </w:rPr>
    <w:tblPr>
      <w:tblStyleRowBandSize w:val="1"/>
      <w:tblStyleColBandSize w:val="1"/>
      <w:tblBorders>
        <w:top w:color="C9C9C9" w:space="0" w:sz="4" w:themeColor="accent3" w:themeTint="99" w:val="single"/>
        <w:left w:color="C9C9C9" w:space="0" w:sz="4" w:themeColor="accent3" w:themeTint="99" w:val="single"/>
        <w:bottom w:color="C9C9C9" w:space="0" w:sz="4" w:themeColor="accent3" w:themeTint="99" w:val="single"/>
        <w:right w:color="C9C9C9" w:space="0" w:sz="4" w:themeColor="accent3" w:themeTint="99" w:val="single"/>
        <w:insideH w:color="C9C9C9" w:space="0" w:sz="4" w:themeColor="accent3" w:themeTint="99" w:val="single"/>
        <w:insideV w:color="C9C9C9" w:space="0" w:sz="4" w:themeColor="accent3" w:themeTint="99" w:val="single"/>
      </w:tblBorders>
    </w:tblPr>
    <w:tblStylePr w:type="firstRow">
      <w:rPr>
        <w:b/>
        <w:bCs/>
      </w:rPr>
      <w:tblPr/>
      <w:tcPr>
        <w:tcBorders>
          <w:bottom w:color="C9C9C9" w:space="0" w:sz="12" w:themeColor="accent3" w:themeTint="99" w:val="single"/>
        </w:tcBorders>
      </w:tcPr>
    </w:tblStylePr>
    <w:tblStylePr w:type="lastRow">
      <w:rPr>
        <w:b/>
        <w:bCs/>
      </w:rPr>
      <w:tblPr/>
      <w:tcPr>
        <w:tcBorders>
          <w:top w:color="C9C9C9" w:space="0" w:sz="4" w:themeColor="accent3" w:themeTint="99" w:val="double"/>
        </w:tcBorders>
      </w:tcPr>
    </w:tblStylePr>
    <w:tblStylePr w:type="firstCol">
      <w:rPr>
        <w:b/>
        <w:bCs/>
      </w:rPr>
    </w:tblStylePr>
    <w:tblStylePr w:type="lastCol">
      <w:rPr>
        <w:b/>
        <w:bCs/>
      </w:rPr>
    </w:tblStylePr>
    <w:tblStylePr w:type="band1Vert">
      <w:tblPr/>
      <w:tcPr>
        <w:shd w:color="auto" w:fill="EDEDED" w:themeFill="accent3" w:themeFillTint="33" w:val="clear"/>
      </w:tcPr>
    </w:tblStylePr>
    <w:tblStylePr w:type="band1Horz">
      <w:tblPr/>
      <w:tcPr>
        <w:shd w:color="auto" w:fill="EDEDED" w:themeFill="accent3" w:themeFillTint="33" w:val="clear"/>
      </w:tcPr>
    </w:tblStylePr>
  </w:style>
  <w:style w:styleId="PlainTable3" w:type="table">
    <w:name w:val="Plain Table 3"/>
    <w:basedOn w:val="TableNormal"/>
    <w:uiPriority w:val="43"/>
    <w:rsid w:val="00873728"/>
    <w:tblPr>
      <w:tblStyleRowBandSize w:val="1"/>
      <w:tblStyleColBandSize w:val="1"/>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Tableheaderstyle" w:type="paragraph">
    <w:name w:val="Table header style"/>
    <w:basedOn w:val="NoSpacing"/>
    <w:qFormat/>
    <w:rsid w:val="00104481"/>
    <w:pPr>
      <w:spacing w:after="20" w:before="20"/>
    </w:pPr>
    <w:rPr>
      <w:rFonts w:cs="Times New Roman (Body CS)"/>
      <w:b/>
      <w:caps/>
      <w:color w:themeColor="background1" w:val="FFFFFF"/>
      <w:sz w:val="22"/>
      <w:szCs w:val="22"/>
    </w:rPr>
  </w:style>
  <w:style w:customStyle="1" w:styleId="Tablebodycellstyle" w:type="paragraph">
    <w:name w:val="Table body cell style"/>
    <w:basedOn w:val="NoSpacing"/>
    <w:qFormat/>
    <w:rsid w:val="00873728"/>
    <w:rPr>
      <w:color w:themeColor="text1" w:themeTint="A6" w:val="595959"/>
      <w:sz w:val="22"/>
      <w:szCs w:val="22"/>
    </w:rPr>
  </w:style>
  <w:style w:customStyle="1" w:styleId="Tablebodycellemphasis" w:type="paragraph">
    <w:name w:val="Table body cell emphasis"/>
    <w:basedOn w:val="Tablebodycellstyle"/>
    <w:qFormat/>
    <w:rsid w:val="00563945"/>
    <w:rPr>
      <w:color w:val="B626B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hyperlink" Id="rId37" Target="https://edocs-public.dot.state.mn.us/edocs_public/DMResultSet/download?docId=26158751" TargetMode="External" /><Relationship Type="http://schemas.openxmlformats.org/officeDocument/2006/relationships/hyperlink" Id="rId35" Target="https://highways.dot.gov/sites/fhwa.dot.gov/files/2022-%2010/VRU%20Safety%20Assessment%20Guidance%20FINAL_508.pdf" TargetMode="External" /><Relationship Type="http://schemas.openxmlformats.org/officeDocument/2006/relationships/hyperlink" Id="rId39" Target="https://www.dot.state.mn.us/trafficeng/safety/vrusa.html" TargetMode="External" /><Relationship Type="http://schemas.openxmlformats.org/officeDocument/2006/relationships/hyperlink" Id="rId43" Target="https://www.visionzerosf.org/wp-content/uploads/2021/11/Severe-Injury-Trends%202011-2020%20final%20report.pdf" TargetMode="External" /></Relationships>
</file>

<file path=word/_rels/footnotes.xml.rels><?xml version="1.0" encoding="UTF-8"?><Relationships xmlns="http://schemas.openxmlformats.org/package/2006/relationships"><Relationship Type="http://schemas.openxmlformats.org/officeDocument/2006/relationships/hyperlink" Id="rId37" Target="https://edocs-public.dot.state.mn.us/edocs_public/DMResultSet/download?docId=26158751" TargetMode="External" /><Relationship Type="http://schemas.openxmlformats.org/officeDocument/2006/relationships/hyperlink" Id="rId35" Target="https://highways.dot.gov/sites/fhwa.dot.gov/files/2022-%2010/VRU%20Safety%20Assessment%20Guidance%20FINAL_508.pdf" TargetMode="External" /><Relationship Type="http://schemas.openxmlformats.org/officeDocument/2006/relationships/hyperlink" Id="rId39" Target="https://www.dot.state.mn.us/trafficeng/safety/vrusa.html" TargetMode="External" /><Relationship Type="http://schemas.openxmlformats.org/officeDocument/2006/relationships/hyperlink" Id="rId43" Target="https://www.visionzerosf.org/wp-content/uploads/2021/11/Severe-Injury-Trends%202011-2020%20final%20report.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1</Pages>
  <Words>86</Words>
  <Characters>495</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Title</dc:title>
  <dc:creator>Brian</dc:creator>
  <cp:keywords/>
  <dcterms:created xsi:type="dcterms:W3CDTF">2024-06-11T08:59:50Z</dcterms:created>
  <dcterms:modified xsi:type="dcterms:W3CDTF">2024-06-11T08:59:50Z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low-html">
    <vt:lpwstr>True</vt:lpwstr>
  </property>
  <property fmtid="{D5CDD505-2E9C-101B-9397-08002B2CF9AE}" pid="3" name="authors">
    <vt:lpwstr/>
  </property>
  <property fmtid="{D5CDD505-2E9C-101B-9397-08002B2CF9AE}" pid="4" name="biblio-config">
    <vt:lpwstr>True</vt:lpwstr>
  </property>
  <property fmtid="{D5CDD505-2E9C-101B-9397-08002B2CF9AE}" pid="5" name="book">
    <vt:lpwstr/>
  </property>
  <property fmtid="{D5CDD505-2E9C-101B-9397-08002B2CF9AE}" pid="6" name="by-author">
    <vt:lpwstr/>
  </property>
  <property fmtid="{D5CDD505-2E9C-101B-9397-08002B2CF9AE}" pid="7" name="comments">
    <vt:lpwstr/>
  </property>
  <property fmtid="{D5CDD505-2E9C-101B-9397-08002B2CF9AE}" pid="8" name="crossref">
    <vt:lpwstr/>
  </property>
  <property fmtid="{D5CDD505-2E9C-101B-9397-08002B2CF9AE}" pid="9" name="date">
    <vt:lpwstr>6/11/24</vt:lpwstr>
  </property>
  <property fmtid="{D5CDD505-2E9C-101B-9397-08002B2CF9AE}" pid="10" name="header-includes">
    <vt:lpwstr/>
  </property>
  <property fmtid="{D5CDD505-2E9C-101B-9397-08002B2CF9AE}" pid="11" name="html">
    <vt:lpwstr/>
  </property>
  <property fmtid="{D5CDD505-2E9C-101B-9397-08002B2CF9AE}" pid="12" name="include-after">
    <vt:lpwstr/>
  </property>
  <property fmtid="{D5CDD505-2E9C-101B-9397-08002B2CF9AE}" pid="13" name="include-before">
    <vt:lpwstr/>
  </property>
  <property fmtid="{D5CDD505-2E9C-101B-9397-08002B2CF9AE}" pid="14" name="knitr">
    <vt:lpwstr/>
  </property>
  <property fmtid="{D5CDD505-2E9C-101B-9397-08002B2CF9AE}" pid="15" name="labels">
    <vt:lpwstr/>
  </property>
  <property fmtid="{D5CDD505-2E9C-101B-9397-08002B2CF9AE}" pid="16" name="quarto-required">
    <vt:lpwstr>1.2.475</vt:lpwstr>
  </property>
  <property fmtid="{D5CDD505-2E9C-101B-9397-08002B2CF9AE}" pid="17" name="toc-title">
    <vt:lpwstr>Table of contents</vt:lpwstr>
  </property>
  <property fmtid="{D5CDD505-2E9C-101B-9397-08002B2CF9AE}" pid="18" name="website">
    <vt:lpwstr/>
  </property>
</Properties>
</file>