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4" w:name="preface"/>
    <w:p>
      <w:pPr>
        <w:pStyle w:val="Heading1"/>
      </w:pPr>
      <w:r>
        <w:t xml:space="preserve">Preface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RStudio.app/Contents/Resources/app/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a test document.</w:t>
            </w:r>
          </w:p>
        </w:tc>
      </w:tr>
    </w:tbl>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Test table in MD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 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3"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3"/>
    <w:bookmarkEnd w:id="24"/>
    <w:bookmarkStart w:id="35" w:name="mapping-counts"/>
    <w:p>
      <w:pPr>
        <w:pStyle w:val="Heading1"/>
      </w:pPr>
      <w:r>
        <w:t xml:space="preserve">1. Mapping + Counts</w:t>
      </w:r>
    </w:p>
    <w:bookmarkStart w:id="25"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5"/>
    <w:bookmarkStart w:id="34"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6" w:name="fig-count_locs"/>
          <w:p>
            <w:pPr>
              <w:jc w:val="center"/>
            </w:pPr>
            <w:pPr>
              <w:jc w:val="start"/>
              <w:spacing w:before="200"/>
              <w:pStyle w:val="ImageCaption"/>
            </w:pPr>
            <w:r>
              <w:t xml:space="preserve">Figure 1.1: Permanant and Short Duration Count Locations</w:t>
            </w:r>
          </w:p>
          <w:bookmarkEnd w:id="26"/>
        </w:tc>
      </w:tr>
    </w:tbl>
    <w:bookmarkStart w:id="28" w:name="permanent-counters"/>
    <w:p>
      <w:pPr>
        <w:pStyle w:val="Heading3"/>
      </w:pPr>
      <w:r>
        <w:t xml:space="preserve">1.2.1 Permanent Counters</w:t>
      </w:r>
    </w:p>
    <w:bookmarkStart w:id="27"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7"/>
    <w:bookmarkEnd w:id="28"/>
    <w:bookmarkStart w:id="30" w:name="consectuive-zeros"/>
    <w:p>
      <w:pPr>
        <w:pStyle w:val="Heading3"/>
      </w:pPr>
      <w:r>
        <w:t xml:space="preserve">1.2.2 Consectuive Zeros</w:t>
      </w:r>
    </w:p>
    <w:bookmarkStart w:id="29"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9"/>
    <w:bookmarkEnd w:id="30"/>
    <w:bookmarkStart w:id="33" w:name="short-duration-counts"/>
    <w:p>
      <w:pPr>
        <w:pStyle w:val="Heading3"/>
      </w:pPr>
      <w:r>
        <w:t xml:space="preserve">1.2.3 Short Duration Counts</w:t>
      </w:r>
    </w:p>
    <w:bookmarkStart w:id="31"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31"/>
    <w:p>
      <w:pPr>
        <w:pStyle w:val="BodyText"/>
      </w:pPr>
      <w:r>
        <w:t xml:space="preserve"> </w:t>
      </w:r>
    </w:p>
    <w:bookmarkStart w:id="32"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32"/>
    <w:bookmarkEnd w:id="33"/>
    <w:bookmarkEnd w:id="34"/>
    <w:bookmarkEnd w:id="35"/>
    <w:bookmarkStart w:id="36"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6"/>
    <w:bookmarkStart w:id="50"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7"/>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9"/>
      </w:r>
      <w:r>
        <w:t xml:space="preserve"> </w:t>
      </w:r>
      <w:r>
        <w:t xml:space="preserve">and the 2022 Minnesota Vulnerable Road User Safety Assessment</w:t>
      </w:r>
      <w:r>
        <w:rPr>
          <w:rStyle w:val="FootnoteReference"/>
        </w:rPr>
        <w:footnoteReference w:id="41"/>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4" w:name="data-overview"/>
    <w:p>
      <w:pPr>
        <w:pStyle w:val="Heading2"/>
      </w:pPr>
      <w:r>
        <w:t xml:space="preserve">3.1 Data Overview</w:t>
      </w:r>
    </w:p>
    <w:bookmarkStart w:id="43" w:name="crash-data"/>
    <w:p>
      <w:pPr>
        <w:pStyle w:val="Heading3"/>
      </w:pPr>
      <w:r>
        <w:t xml:space="preserve">3.1.1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3"/>
    <w:bookmarkEnd w:id="44"/>
    <w:bookmarkStart w:id="47"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5"/>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7"/>
    <w:bookmarkStart w:id="49"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8"/>
      </w:r>
      <w:r>
        <w:t xml:space="preserve"> </w:t>
      </w:r>
      <w:r>
        <w:t xml:space="preserve">for a detailed summary regarding data usage and limitations.</w:t>
      </w:r>
    </w:p>
    <w:bookmarkEnd w:id="49"/>
    <w:bookmarkEnd w:id="50"/>
    <w:bookmarkStart w:id="52" w:name="acronyms"/>
    <w:p>
      <w:pPr>
        <w:pStyle w:val="Heading1"/>
      </w:pPr>
      <w:r>
        <w:t xml:space="preserve">Appendix A — Acronyms</w:t>
      </w:r>
    </w:p>
    <w:bookmarkStart w:id="51"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51"/>
    <w:bookmarkEnd w:id="52"/>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hyperlink r:id="rId38">
        <w:r>
          <w:rPr>
            <w:rStyle w:val="Hyperlink"/>
          </w:rPr>
          <w:t xml:space="preserve">https://highways.dot.gov/sites/fhwa.dot.gov/files/2022- 10/VRU%20Safety%20Assessment%20Guidance%20FINAL_508.pdf</w:t>
        </w:r>
      </w:hyperlink>
    </w:p>
  </w:footnote>
  <w:footnote w:id="39">
    <w:p>
      <w:pPr>
        <w:pStyle w:val="FootnoteText"/>
      </w:pPr>
      <w:r>
        <w:rPr>
          <w:rStyle w:val="FootnoteReference"/>
        </w:rPr>
        <w:footnoteRef/>
      </w:r>
      <w:r>
        <w:t xml:space="preserve"> </w:t>
      </w:r>
      <w:hyperlink r:id="rId40">
        <w:r>
          <w:rPr>
            <w:rStyle w:val="Hyperlink"/>
          </w:rPr>
          <w:t xml:space="preserve">https://edocs-public.dot.state.mn.us/edocs_public/DMResultSet/download?docId=26158751</w:t>
        </w:r>
      </w:hyperlink>
    </w:p>
  </w:footnote>
  <w:footnote w:id="41">
    <w:p>
      <w:pPr>
        <w:pStyle w:val="FootnoteText"/>
      </w:pPr>
      <w:r>
        <w:rPr>
          <w:rStyle w:val="FootnoteReference"/>
        </w:rPr>
        <w:footnoteRef/>
      </w:r>
      <w:r>
        <w:t xml:space="preserve"> </w:t>
      </w:r>
      <w:hyperlink r:id="rId42">
        <w:r>
          <w:rPr>
            <w:rStyle w:val="Hyperlink"/>
          </w:rPr>
          <w:t xml:space="preserve">https://www.dot.state.mn.us/trafficeng/safety/vrusa.html</w:t>
        </w:r>
      </w:hyperlink>
    </w:p>
  </w:footnote>
  <w:footnote w:id="45">
    <w:p>
      <w:pPr>
        <w:pStyle w:val="FootnoteText"/>
      </w:pPr>
      <w:r>
        <w:rPr>
          <w:rStyle w:val="FootnoteReference"/>
        </w:rPr>
        <w:footnoteRef/>
      </w:r>
      <w:r>
        <w:t xml:space="preserve"> </w:t>
      </w:r>
      <w:hyperlink r:id="rId46">
        <w:r>
          <w:rPr>
            <w:rStyle w:val="Hyperlink"/>
          </w:rPr>
          <w:t xml:space="preserve">https://www.visionzerosf.org/wp-content/uploads/2021/11/Severe-Injury-Trends 2011-2020 final report.pdf</w:t>
        </w:r>
      </w:hyperlink>
    </w:p>
  </w:footnote>
  <w:footnote w:id="48">
    <w:p>
      <w:pPr>
        <w:pStyle w:val="FootnoteText"/>
      </w:pPr>
      <w:r>
        <w:rPr>
          <w:rStyle w:val="FootnoteReference"/>
        </w:rPr>
        <w:footnoteRef/>
      </w:r>
      <w:r>
        <w:t xml:space="preserve"> </w:t>
      </w:r>
      <w:hyperlink r:id="rId40">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0" Target="https://edocs-public.dot.state.mn.us/edocs_public/DMResultSet/download?docId=26158751" TargetMode="External" /><Relationship Type="http://schemas.openxmlformats.org/officeDocument/2006/relationships/hyperlink" Id="rId38" Target="https://highways.dot.gov/sites/fhwa.dot.gov/files/2022-%2010/VRU%20Safety%20Assessment%20Guidance%20FINAL_508.pdf" TargetMode="External" /><Relationship Type="http://schemas.openxmlformats.org/officeDocument/2006/relationships/hyperlink" Id="rId42" Target="https://www.dot.state.mn.us/trafficeng/safety/vrusa.html" TargetMode="External" /><Relationship Type="http://schemas.openxmlformats.org/officeDocument/2006/relationships/hyperlink" Id="rId46"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40" Target="https://edocs-public.dot.state.mn.us/edocs_public/DMResultSet/download?docId=26158751" TargetMode="External" /><Relationship Type="http://schemas.openxmlformats.org/officeDocument/2006/relationships/hyperlink" Id="rId38" Target="https://highways.dot.gov/sites/fhwa.dot.gov/files/2022-%2010/VRU%20Safety%20Assessment%20Guidance%20FINAL_508.pdf" TargetMode="External" /><Relationship Type="http://schemas.openxmlformats.org/officeDocument/2006/relationships/hyperlink" Id="rId42" Target="https://www.dot.state.mn.us/trafficeng/safety/vrusa.html" TargetMode="External" /><Relationship Type="http://schemas.openxmlformats.org/officeDocument/2006/relationships/hyperlink" Id="rId46"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2024-06-11T17:44:27Z</dcterms:created>
  <dcterms:modified xsi:type="dcterms:W3CDTF">2024-06-11T17:44:27Z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