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LRF</w:t>
      </w:r>
    </w:p>
    <w:p w:rsidR="00000000" w:rsidDel="00000000" w:rsidP="00000000" w:rsidRDefault="00000000" w:rsidRPr="00000000" w14:paraId="00000002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http://www.planalto.gov.br/ccivil_03/leis/lcp/lcp101.htm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lei de diretrizes orçamentárias atenderá: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equilíbrio entre receitas e despesas;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critérios e forma de limitação de empenho, a ser efetivada nas hipóteses previstas na alínea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do inciso II deste artigo, no art. 9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e no inciso II do § 1</w:t>
      </w:r>
      <w:r w:rsidDel="00000000" w:rsidR="00000000" w:rsidRPr="00000000">
        <w:rPr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do art. 31;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normas relativas ao controle de custos e à avaliação dos resultados dos programas financiados com recursos dos orçamentos;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demais condições e exigências para transferências de recursos a entidades públicas e privadas;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Integrará o projeto de lei de diretrizes orçamentárias Anexo de Metas Fiscais: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avaliação do cumprimento das metas relativas ao ano anterior;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demonstrativo das metas anuais, instruído com memória e metodologia de cálculo que justifiquem os resultados pretendidos, comparando-as com as fixadas nos três exercícios anteriores, e evidenciando a consistência delas com as premissas e os objetivos da política econômica nacional;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evolução do patrimônio líquido, também nos últimos três exercícios, destacando a origem e a aplicação dos recursos obtidos com a alienação de ativos;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avaliação da situação financeira e atuarial: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dos regimes geral de previdência social e próprio dos servidores públicos e do Fundo de Amparo ao Trabalhador;</w:t>
      </w:r>
    </w:p>
    <w:p w:rsidR="00000000" w:rsidDel="00000000" w:rsidP="00000000" w:rsidRDefault="00000000" w:rsidRPr="00000000" w14:paraId="0000000F">
      <w:pPr>
        <w:spacing w:after="220" w:before="220" w:lineRule="auto"/>
        <w:ind w:firstLine="580"/>
        <w:jc w:val="both"/>
        <w:rPr/>
      </w:pPr>
      <w:r w:rsidDel="00000000" w:rsidR="00000000" w:rsidRPr="00000000">
        <w:rPr>
          <w:rtl w:val="0"/>
        </w:rPr>
        <w:t xml:space="preserve">  b) dos demais fundos públicos e programas estatais de natureza atuarial;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2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demonstrativo da estimativa e compensação da renúncia de receita e da margem de expansão das despesas obrigatórias de caráter continuado.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lei de diretrizes orçamentárias conterá Anexo de Riscos Fiscais: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2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serão avaliados os passivos contingentes e outros riscos capazes de afetar as contas públicas, informando as providências a serem tomadas, caso se concretizem.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2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Conter anexo específico, os objetivos das políticas monetária, creditícia e cambial, bem como os parâmetros e as projeções para seus principais agregados e variáveis, e ainda as metas de inflação, para o exercício subseqüente.</w:t>
      </w:r>
    </w:p>
    <w:p w:rsidR="00000000" w:rsidDel="00000000" w:rsidP="00000000" w:rsidRDefault="00000000" w:rsidRPr="00000000" w14:paraId="00000014">
      <w:pPr>
        <w:spacing w:after="220" w:before="22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Lei orçamentária anual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demonstrativo da compatibilidade da programação dos orçamentos com os objetivos e metas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demonstrativo regionalizado do efeito, sobre as receitas e despesas, decorrente de isenções, anistias, remissões, subsídios e benefícios de natureza </w:t>
        <w:tab/>
        <w:t xml:space="preserve">financeira, tributária e creditícia.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conterá reserva de contingência, cuja forma de utilização e montante, definido com base na receita corrente líquida, serão estabelecidos na lei de diretrizes orçamentárias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Todas as despesas relativas à dívida pública, mobiliária ou contratual, e as receitas que as atenderão, constarão da lei orçamentária 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refinanciamento da dívida pública constará separadamente na lei orçamentária e nas de crédito 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atualização monetária do principal da dívida mobiliária refinanciada não poderá superar a variação do índice de preços previsto na lei de diretrizes orçamentárias, ou em legislação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 Previsão e da Arrecadação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2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previsões de receita observarão as normas técnicas e legais, considerarão os efeitos das alterações na legislação, da variação do índice de preços, do crescimento econômico ou de qualquer outro fator relevante e serão acompanhadas de demonstrativo de sua evolução nos últimos três anos, da projeção para os dois seguintes àquele a que se referirem, e da metodologia de cálculo e premissas utilizadas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 Geração da Despesa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estimativa do impacto orçamentário-financeiro no exercício em que deva entrar em vigor e nos dois subseqüentes;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declaração do ordenador da despesa de que o aumento tem adequação orçamentária e financeira com a lei orçamentária anual e compatibilidade com o plano plurianual e com a lei de diretrizes orçamentárias.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despesa objeto de dotação específica e suficiente, ou que esteja abrangida por crédito genérico, de forma que somadas todas as despesas da mesma espécie, realizadas e a realizar, previstas no programa de trabalho, não sejam ultrapassados os limites estabelecidos para o exercício;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compatível com o plano plurianual e a lei de diretrizes orçamentárias, a despesa que se conforme com as diretrizes, objetivos, prioridades e metas previstos nesses instrumentos e não infrinja qualquer de suas disposições.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20" w:before="22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2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Não foi considerado nesse documento: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2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IV DA DESPESA PÚBLICA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II Das Despesas com Pessoal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Subseção II Do Controle da Despesa Total com Pessoal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Seção III Das Despesas com a Seguridade Social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CAPÍTULO V DAS TRANSFERÊNCIAS VOLUNTÁRIAS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VI DA DESTINAÇÃO DE RECURSOS PÚBLICOS PARA O SETOR PRIVADO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CAPÍTULO VII DA DÍVIDA E DO ENDIVIDAMENTO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CAPÍTULO VIII DA GESTÃO PATRIMONIAL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CAPÍTULO IX DA TRANSPARÊNCIA, CONTROLE E FISCALIZAÇÃO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lanalto.gov.br/ccivil_03/leis/lcp/lcp1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HYB4DtDJwgWSxxrVWxeMZaWslQ==">AMUW2mVlINbZGeP8fj9r8Ig7BKC1FN1KMQj/s2YGdTgIkONqtyV1KvPAuxQYWteXf8w3jDtxfgU0VkNL9A/16GTfCSnzj4sQCHzrmvLOW5MTphq2CCZtnZg=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