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AE88"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As Predicted:</w:t>
      </w:r>
      <w:r>
        <w:rPr>
          <w:rFonts w:ascii="Arial" w:eastAsia="Times New Roman" w:hAnsi="Arial" w:cs="Arial"/>
          <w:b/>
          <w:color w:val="000000"/>
          <w:lang w:val="en-US"/>
        </w:rPr>
        <w:t xml:space="preserve"> </w:t>
      </w:r>
      <w:r w:rsidRPr="00841CD6">
        <w:rPr>
          <w:rFonts w:ascii="Arial" w:eastAsia="Times New Roman" w:hAnsi="Arial" w:cs="Arial"/>
          <w:b/>
          <w:color w:val="000000"/>
          <w:lang w:val="en-US"/>
        </w:rPr>
        <w:t xml:space="preserve">"Highway to the mindful zone: Meditation and the attentional blink" </w:t>
      </w:r>
      <w:r w:rsidRPr="00841CD6">
        <w:rPr>
          <w:rFonts w:ascii="Arial" w:eastAsia="Times New Roman" w:hAnsi="Arial" w:cs="Arial"/>
          <w:color w:val="000000"/>
          <w:lang w:val="en-US"/>
        </w:rPr>
        <w:t>(#12472)</w:t>
      </w:r>
    </w:p>
    <w:p w14:paraId="638B86D3" w14:textId="77777777" w:rsidR="00841CD6" w:rsidRDefault="00841CD6" w:rsidP="00841CD6">
      <w:pPr>
        <w:spacing w:after="240"/>
        <w:jc w:val="right"/>
        <w:rPr>
          <w:rFonts w:ascii="Arial" w:eastAsia="Times New Roman" w:hAnsi="Arial" w:cs="Arial"/>
          <w:color w:val="000000"/>
          <w:lang w:val="en-US"/>
        </w:rPr>
      </w:pPr>
      <w:r>
        <w:rPr>
          <w:rFonts w:ascii="Arial" w:eastAsia="Times New Roman" w:hAnsi="Arial" w:cs="Arial"/>
          <w:color w:val="000000"/>
          <w:lang w:val="en-US"/>
        </w:rPr>
        <w:t xml:space="preserve">Created: 07/06/2018 05:54 PM (PT) </w:t>
      </w:r>
    </w:p>
    <w:p w14:paraId="7AC02A62"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Author(s)</w:t>
      </w:r>
    </w:p>
    <w:p w14:paraId="3926FAB9"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John Eusebio (University of Toronto) - john.eusebio@mail.utoronto.ca</w:t>
      </w:r>
    </w:p>
    <w:p w14:paraId="276D4E45" w14:textId="77777777" w:rsidR="00841CD6" w:rsidRDefault="00841CD6" w:rsidP="00841CD6">
      <w:pPr>
        <w:spacing w:after="240"/>
        <w:ind w:left="720"/>
        <w:rPr>
          <w:rFonts w:ascii="Arial" w:eastAsia="Times New Roman" w:hAnsi="Arial" w:cs="Arial"/>
          <w:color w:val="000000"/>
          <w:lang w:val="en-US"/>
        </w:rPr>
      </w:pPr>
      <w:proofErr w:type="spellStart"/>
      <w:r>
        <w:rPr>
          <w:rFonts w:ascii="Arial" w:eastAsia="Times New Roman" w:hAnsi="Arial" w:cs="Arial"/>
          <w:color w:val="000000"/>
          <w:lang w:val="en-US"/>
        </w:rPr>
        <w:t>Micheal</w:t>
      </w:r>
      <w:proofErr w:type="spellEnd"/>
      <w:r>
        <w:rPr>
          <w:rFonts w:ascii="Arial" w:eastAsia="Times New Roman" w:hAnsi="Arial" w:cs="Arial"/>
          <w:color w:val="000000"/>
          <w:lang w:val="en-US"/>
        </w:rPr>
        <w:t xml:space="preserve"> Inzlicht (University of Toronto) - inzlicht@gmail.com</w:t>
      </w:r>
      <w:r>
        <w:rPr>
          <w:rFonts w:ascii="Arial" w:eastAsia="Times New Roman" w:hAnsi="Arial" w:cs="Arial"/>
          <w:color w:val="000000"/>
          <w:lang w:val="en-US"/>
        </w:rPr>
        <w:br/>
      </w:r>
    </w:p>
    <w:p w14:paraId="27607659"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1) Have any data been collected for this study already?</w:t>
      </w:r>
    </w:p>
    <w:p w14:paraId="3AA90089"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No, no data have been collected for this study yet.</w:t>
      </w:r>
    </w:p>
    <w:p w14:paraId="0086573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2) What's the main question being </w:t>
      </w:r>
      <w:proofErr w:type="gramStart"/>
      <w:r w:rsidRPr="00841CD6">
        <w:rPr>
          <w:rFonts w:ascii="Arial" w:eastAsia="Times New Roman" w:hAnsi="Arial" w:cs="Arial"/>
          <w:b/>
          <w:color w:val="000000"/>
          <w:lang w:val="en-US"/>
        </w:rPr>
        <w:t>asked</w:t>
      </w:r>
      <w:proofErr w:type="gramEnd"/>
      <w:r w:rsidRPr="00841CD6">
        <w:rPr>
          <w:rFonts w:ascii="Arial" w:eastAsia="Times New Roman" w:hAnsi="Arial" w:cs="Arial"/>
          <w:b/>
          <w:color w:val="000000"/>
          <w:lang w:val="en-US"/>
        </w:rPr>
        <w:t xml:space="preserve"> or hypothesis being tested in this study?</w:t>
      </w:r>
    </w:p>
    <w:p w14:paraId="3CCBE152" w14:textId="4DCEF2A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primary task used in this study will be the rapid serial visual presentation (RSVP) task. A mindfulness meditation intervention will result in fewer attention blinks (AB) (i.e., a reduction in T2 errors following T1 stimuli) and a smaller T1-ellicited P3b EEG component compared to participants who simply completed a somatic relaxation session. T2 accuracy improvements will likely be largely accounted for by improved accuracy on the long inter-stimulus-interval condition, as it would show a shrinking of the attention blink duration. These changes will be judged by comparing post-intervention with pr</w:t>
      </w:r>
      <w:r w:rsidR="00FB008E">
        <w:rPr>
          <w:rFonts w:ascii="Arial" w:eastAsia="Times New Roman" w:hAnsi="Arial" w:cs="Arial"/>
          <w:color w:val="000000"/>
          <w:lang w:val="en-US"/>
        </w:rPr>
        <w:t>e</w:t>
      </w:r>
      <w:r>
        <w:rPr>
          <w:rFonts w:ascii="Arial" w:eastAsia="Times New Roman" w:hAnsi="Arial" w:cs="Arial"/>
          <w:color w:val="000000"/>
          <w:lang w:val="en-US"/>
        </w:rPr>
        <w:t>-intervention measures.</w:t>
      </w:r>
    </w:p>
    <w:p w14:paraId="748FDD8E" w14:textId="7BD69ABC"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Resting state EEG will also be recorded while participants complete their respective interventions (mindfulness meditation or somatic relaxation). We will use a </w:t>
      </w:r>
      <w:r w:rsidR="0036404A">
        <w:rPr>
          <w:rFonts w:ascii="Arial" w:eastAsia="Times New Roman" w:hAnsi="Arial" w:cs="Arial"/>
          <w:color w:val="000000"/>
          <w:lang w:val="en-US"/>
        </w:rPr>
        <w:t xml:space="preserve">Fast </w:t>
      </w:r>
      <w:r>
        <w:rPr>
          <w:rFonts w:ascii="Arial" w:eastAsia="Times New Roman" w:hAnsi="Arial" w:cs="Arial"/>
          <w:color w:val="000000"/>
          <w:lang w:val="en-US"/>
        </w:rPr>
        <w:t xml:space="preserve">Fourier </w:t>
      </w:r>
      <w:r w:rsidR="0036404A">
        <w:rPr>
          <w:rFonts w:ascii="Arial" w:eastAsia="Times New Roman" w:hAnsi="Arial" w:cs="Arial"/>
          <w:color w:val="000000"/>
          <w:lang w:val="en-US"/>
        </w:rPr>
        <w:t>T</w:t>
      </w:r>
      <w:r>
        <w:rPr>
          <w:rFonts w:ascii="Arial" w:eastAsia="Times New Roman" w:hAnsi="Arial" w:cs="Arial"/>
          <w:color w:val="000000"/>
          <w:lang w:val="en-US"/>
        </w:rPr>
        <w:t>ransformation to transform the recorded resting state EEG time series into spectral power bands. Because alpha and theta spectral powers have been associated with proficiency in Mindfulness Meditation, we believe it will be a good way to relate the intensity of mindfulness experienced during the intervention to any improvements/changes in their performance. We predict that attentional blink performance changes (i.e., T2 error rate and T1-elicited P3b amplitudes) will be negatively correlated with both alpha and theta powers in the mindfulness meditation condition. These correlations are expected to be weaker or absent in the somatic relaxation condition.</w:t>
      </w:r>
      <w:r w:rsidR="00FB008E">
        <w:rPr>
          <w:rFonts w:ascii="Arial" w:eastAsia="Times New Roman" w:hAnsi="Arial" w:cs="Arial"/>
          <w:color w:val="000000"/>
          <w:lang w:val="en-US"/>
        </w:rPr>
        <w:t xml:space="preserve"> Additionally, alpha and theta powers during rest are expected to increase following mindfulness meditation, but not somatic relaxation.</w:t>
      </w:r>
    </w:p>
    <w:p w14:paraId="4E3382ED" w14:textId="27D65A5A"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will also be asked to perform a finger-tapping task. Like the RSVP task, they will perform it twice, with the two runs separated by either a mindfulness meditation or somatic relaxation intervention. They will be asked to tap their fingers once every 600 ms for 4 minutes (they'll be given a metronome for the first 10 s to help them get the rhythm). We predict that response time standard deviations (RTSDs) will be more reduced at time 2 in participants assigned to the mindfulness condition than participants assigned to the somatic relaxation condition. </w:t>
      </w:r>
      <w:r w:rsidR="00FB008E">
        <w:rPr>
          <w:rFonts w:ascii="Arial" w:eastAsia="Times New Roman" w:hAnsi="Arial" w:cs="Arial"/>
          <w:color w:val="000000"/>
          <w:lang w:val="en-US"/>
        </w:rPr>
        <w:t>In addition to</w:t>
      </w:r>
      <w:r>
        <w:rPr>
          <w:rFonts w:ascii="Arial" w:eastAsia="Times New Roman" w:hAnsi="Arial" w:cs="Arial"/>
          <w:color w:val="000000"/>
          <w:lang w:val="en-US"/>
        </w:rPr>
        <w:t xml:space="preserve"> RTSDs, we </w:t>
      </w:r>
      <w:r w:rsidR="00FB008E">
        <w:rPr>
          <w:rFonts w:ascii="Arial" w:eastAsia="Times New Roman" w:hAnsi="Arial" w:cs="Arial"/>
          <w:color w:val="000000"/>
          <w:lang w:val="en-US"/>
        </w:rPr>
        <w:t xml:space="preserve">will also </w:t>
      </w:r>
      <w:r>
        <w:rPr>
          <w:rFonts w:ascii="Arial" w:eastAsia="Times New Roman" w:hAnsi="Arial" w:cs="Arial"/>
          <w:color w:val="000000"/>
          <w:lang w:val="en-US"/>
        </w:rPr>
        <w:t>use the strength of the spectral power at 1.67 Hz (corresponding to the frequency they will be asked to keep). This reduction suggests an increased reliance on a more diffuse form of attention that appears to be mediated by the default mode network.</w:t>
      </w:r>
    </w:p>
    <w:p w14:paraId="29329F22" w14:textId="7BFFF523"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We will also have participants complete the Toronto Mindfulness Inventory</w:t>
      </w:r>
      <w:r w:rsidR="00FB008E">
        <w:rPr>
          <w:rFonts w:ascii="Arial" w:eastAsia="Times New Roman" w:hAnsi="Arial" w:cs="Arial"/>
          <w:color w:val="000000"/>
          <w:lang w:val="en-US"/>
        </w:rPr>
        <w:t xml:space="preserve"> (TMI)</w:t>
      </w:r>
      <w:r>
        <w:rPr>
          <w:rFonts w:ascii="Arial" w:eastAsia="Times New Roman" w:hAnsi="Arial" w:cs="Arial"/>
          <w:color w:val="000000"/>
          <w:lang w:val="en-US"/>
        </w:rPr>
        <w:t xml:space="preserve"> and the Philadelphia Mindfulness Scale</w:t>
      </w:r>
      <w:r w:rsidR="00FB008E">
        <w:rPr>
          <w:rFonts w:ascii="Arial" w:eastAsia="Times New Roman" w:hAnsi="Arial" w:cs="Arial"/>
          <w:color w:val="000000"/>
          <w:lang w:val="en-US"/>
        </w:rPr>
        <w:t xml:space="preserve"> (PMS)</w:t>
      </w:r>
      <w:r>
        <w:rPr>
          <w:rFonts w:ascii="Arial" w:eastAsia="Times New Roman" w:hAnsi="Arial" w:cs="Arial"/>
          <w:color w:val="000000"/>
          <w:lang w:val="en-US"/>
        </w:rPr>
        <w:t xml:space="preserve"> both before and after completing these tasks. We predict that the mindfulness group will show more improvements in self-reported mindfulness</w:t>
      </w:r>
      <w:r w:rsidR="00FB008E">
        <w:rPr>
          <w:rFonts w:ascii="Arial" w:eastAsia="Times New Roman" w:hAnsi="Arial" w:cs="Arial"/>
          <w:color w:val="000000"/>
          <w:lang w:val="en-US"/>
        </w:rPr>
        <w:t xml:space="preserve"> on the TMI, as it measures state mindfulness</w:t>
      </w:r>
      <w:r>
        <w:rPr>
          <w:rFonts w:ascii="Arial" w:eastAsia="Times New Roman" w:hAnsi="Arial" w:cs="Arial"/>
          <w:color w:val="000000"/>
          <w:lang w:val="en-US"/>
        </w:rPr>
        <w:t>, and that these improvements will be correlated with AB improvements.</w:t>
      </w:r>
      <w:r w:rsidR="00FB008E">
        <w:rPr>
          <w:rFonts w:ascii="Arial" w:eastAsia="Times New Roman" w:hAnsi="Arial" w:cs="Arial"/>
          <w:color w:val="000000"/>
          <w:lang w:val="en-US"/>
        </w:rPr>
        <w:t xml:space="preserve"> PMS scores are not predicted to meaningfully change following the intervention, as PMS is designed to assess trait mindfulness and is unlikely to change following such a short intervention.</w:t>
      </w:r>
    </w:p>
    <w:p w14:paraId="160F9772"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lastRenderedPageBreak/>
        <w:t>3) Describe the key dependent variable(s) specifying how they will be measured.</w:t>
      </w:r>
    </w:p>
    <w:p w14:paraId="6F31BDD0" w14:textId="6554ED42"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dependent variables are T2 accuracy, T1-elicited P3b amplitude, resting state alpha and theta EEG spectral power, response time standard deviations (RTSDs) and finger-tapping frequency power during a finger tapping task, scores on the Toronto Mindfulness Inventory, and scores in the Philadelphia Mindfulness Scale.</w:t>
      </w:r>
    </w:p>
    <w:p w14:paraId="624BC6C0"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4) How many and which conditions will participants be assigned to?</w:t>
      </w:r>
    </w:p>
    <w:p w14:paraId="1014AD10"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Between-groups conditions (2): Mindfulness Meditation and Somatic Relaxation</w:t>
      </w:r>
    </w:p>
    <w:p w14:paraId="043FF537"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Within-groups conditions (4): </w:t>
      </w:r>
    </w:p>
    <w:p w14:paraId="24AEED83"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short and long inter-stimulus-intervals (this condition is only relevant to the RSVP task).</w:t>
      </w:r>
    </w:p>
    <w:p w14:paraId="65DA8CB6"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pre- and post-intervention</w:t>
      </w:r>
    </w:p>
    <w:p w14:paraId="0C54FEF5"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5) Specify exactly which analyses you will conduct to examine the main question/hypothesis.</w:t>
      </w:r>
    </w:p>
    <w:p w14:paraId="33C5B281"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analyses will be carried out as specified in the Hypotheses section. However, it should be noted that this study will attempt to use as many non-parametric analyses as possible. Therefore, all between-groups and between-condition comparisons will be conducted with permuted differences tests. Similarly, the significance of correlations will also be conducted using permutation tests. Finally, bootstrapped confidence intervals using resampling with replacement will be used to compute 95% confidence intervals for all summary statistics and comparisons.</w:t>
      </w:r>
    </w:p>
    <w:p w14:paraId="425DCCDD"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6) Describe exactly how outliers will be defined and handled, and your precise rule(s) for excluding observations.</w:t>
      </w:r>
    </w:p>
    <w:p w14:paraId="2389177F"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 make either no T2 errors or no T2 errors on the pre-intervention RSVP will be excluded from the analysis. </w:t>
      </w:r>
    </w:p>
    <w:p w14:paraId="5D573B7A" w14:textId="34525510"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whose error-rates, finger-tapping rhythm, or pre-intervention mindfulness scores significantly deviated from the group. </w:t>
      </w:r>
      <w:r w:rsidR="00632EC4">
        <w:rPr>
          <w:rFonts w:ascii="Arial" w:eastAsia="Times New Roman" w:hAnsi="Arial" w:cs="Arial"/>
          <w:color w:val="000000"/>
          <w:lang w:val="en-US"/>
        </w:rPr>
        <w:t>O</w:t>
      </w:r>
      <w:r>
        <w:rPr>
          <w:rFonts w:ascii="Arial" w:eastAsia="Times New Roman" w:hAnsi="Arial" w:cs="Arial"/>
          <w:color w:val="000000"/>
          <w:lang w:val="en-US"/>
        </w:rPr>
        <w:t>utlier</w:t>
      </w:r>
      <w:r w:rsidR="00632EC4">
        <w:rPr>
          <w:rFonts w:ascii="Arial" w:eastAsia="Times New Roman" w:hAnsi="Arial" w:cs="Arial"/>
          <w:color w:val="000000"/>
          <w:lang w:val="en-US"/>
        </w:rPr>
        <w:t xml:space="preserve">s who deviate more than three median absolute deviations (MAD) from the median </w:t>
      </w:r>
      <w:r w:rsidR="009C19B5">
        <w:rPr>
          <w:rFonts w:ascii="Arial" w:eastAsia="Times New Roman" w:hAnsi="Arial" w:cs="Arial"/>
          <w:color w:val="000000"/>
          <w:lang w:val="en-US"/>
        </w:rPr>
        <w:t xml:space="preserve">in terms of </w:t>
      </w:r>
      <w:r w:rsidR="00DB6956">
        <w:rPr>
          <w:rFonts w:ascii="Arial" w:eastAsia="Times New Roman" w:hAnsi="Arial" w:cs="Arial"/>
          <w:color w:val="000000"/>
          <w:lang w:val="en-US"/>
        </w:rPr>
        <w:t xml:space="preserve">T2 </w:t>
      </w:r>
      <w:r w:rsidR="009C19B5">
        <w:rPr>
          <w:rFonts w:ascii="Arial" w:eastAsia="Times New Roman" w:hAnsi="Arial" w:cs="Arial"/>
          <w:color w:val="000000"/>
          <w:lang w:val="en-US"/>
        </w:rPr>
        <w:t xml:space="preserve">accuracy </w:t>
      </w:r>
      <w:r w:rsidR="00632EC4">
        <w:rPr>
          <w:rFonts w:ascii="Arial" w:eastAsia="Times New Roman" w:hAnsi="Arial" w:cs="Arial"/>
          <w:color w:val="000000"/>
          <w:lang w:val="en-US"/>
        </w:rPr>
        <w:t>will be removed prior to analysis.</w:t>
      </w:r>
      <w:r w:rsidR="00632EC4" w:rsidDel="00632EC4">
        <w:rPr>
          <w:rFonts w:ascii="Arial" w:eastAsia="Times New Roman" w:hAnsi="Arial" w:cs="Arial"/>
          <w:color w:val="000000"/>
          <w:lang w:val="en-US"/>
        </w:rPr>
        <w:t xml:space="preserve"> </w:t>
      </w:r>
    </w:p>
    <w:p w14:paraId="7691971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7) How many observations will be collected or what will determine sample size?</w:t>
      </w:r>
    </w:p>
    <w:p w14:paraId="4A5DB959" w14:textId="77777777" w:rsidR="00841CD6" w:rsidRPr="00EF0B4F" w:rsidRDefault="00841CD6" w:rsidP="00841CD6">
      <w:pPr>
        <w:rPr>
          <w:rFonts w:ascii="Arial" w:eastAsia="Times New Roman" w:hAnsi="Arial" w:cs="Arial"/>
          <w:b/>
          <w:color w:val="000000"/>
          <w:lang w:val="en-US"/>
        </w:rPr>
      </w:pPr>
      <w:bookmarkStart w:id="0" w:name="_GoBack"/>
      <w:r w:rsidRPr="00EF0B4F">
        <w:rPr>
          <w:rFonts w:ascii="Arial" w:eastAsia="Times New Roman" w:hAnsi="Arial" w:cs="Arial"/>
          <w:b/>
          <w:color w:val="000000"/>
          <w:lang w:val="en-US"/>
        </w:rPr>
        <w:t xml:space="preserve">No need to justify </w:t>
      </w:r>
      <w:proofErr w:type="gramStart"/>
      <w:r w:rsidRPr="00EF0B4F">
        <w:rPr>
          <w:rFonts w:ascii="Arial" w:eastAsia="Times New Roman" w:hAnsi="Arial" w:cs="Arial"/>
          <w:b/>
          <w:color w:val="000000"/>
          <w:lang w:val="en-US"/>
        </w:rPr>
        <w:t>decision, but</w:t>
      </w:r>
      <w:proofErr w:type="gramEnd"/>
      <w:r w:rsidRPr="00EF0B4F">
        <w:rPr>
          <w:rFonts w:ascii="Arial" w:eastAsia="Times New Roman" w:hAnsi="Arial" w:cs="Arial"/>
          <w:b/>
          <w:color w:val="000000"/>
          <w:lang w:val="en-US"/>
        </w:rPr>
        <w:t xml:space="preserve"> be precise about exactly how the number will be determined.</w:t>
      </w:r>
    </w:p>
    <w:bookmarkEnd w:id="0"/>
    <w:p w14:paraId="089C7882" w14:textId="521D2B3B"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 = </w:t>
      </w:r>
      <w:r w:rsidR="00FB008E">
        <w:rPr>
          <w:rFonts w:ascii="Arial" w:eastAsia="Times New Roman" w:hAnsi="Arial" w:cs="Arial"/>
          <w:color w:val="000000"/>
          <w:lang w:val="en-US"/>
        </w:rPr>
        <w:t>80 (40 participants per condition)</w:t>
      </w:r>
      <w:r>
        <w:rPr>
          <w:rFonts w:ascii="Arial" w:eastAsia="Times New Roman" w:hAnsi="Arial" w:cs="Arial"/>
          <w:color w:val="000000"/>
          <w:lang w:val="en-US"/>
        </w:rPr>
        <w:t xml:space="preserve">. This was determined using the PANGEA </w:t>
      </w:r>
      <w:proofErr w:type="spellStart"/>
      <w:r>
        <w:rPr>
          <w:rFonts w:ascii="Arial" w:eastAsia="Times New Roman" w:hAnsi="Arial" w:cs="Arial"/>
          <w:color w:val="000000"/>
          <w:lang w:val="en-US"/>
        </w:rPr>
        <w:t>webapp</w:t>
      </w:r>
      <w:proofErr w:type="spellEnd"/>
      <w:r>
        <w:rPr>
          <w:rFonts w:ascii="Arial" w:eastAsia="Times New Roman" w:hAnsi="Arial" w:cs="Arial"/>
          <w:color w:val="000000"/>
          <w:lang w:val="en-US"/>
        </w:rPr>
        <w:t>:</w:t>
      </w:r>
    </w:p>
    <w:p w14:paraId="75C7B94A" w14:textId="0E044F82" w:rsidR="00841CD6" w:rsidRDefault="00EF0B4F" w:rsidP="00841CD6">
      <w:pPr>
        <w:spacing w:after="240"/>
        <w:rPr>
          <w:rFonts w:ascii="Arial" w:eastAsia="Times New Roman" w:hAnsi="Arial" w:cs="Arial"/>
          <w:color w:val="000000"/>
          <w:lang w:val="en-US"/>
        </w:rPr>
      </w:pPr>
      <w:hyperlink r:id="rId4" w:history="1">
        <w:r w:rsidR="00380FF4" w:rsidRPr="000C4BDB">
          <w:rPr>
            <w:rStyle w:val="Hyperlink"/>
            <w:rFonts w:ascii="Arial" w:eastAsia="Times New Roman" w:hAnsi="Arial" w:cs="Arial"/>
            <w:lang w:val="en-US"/>
          </w:rPr>
          <w:t>https://jakewestfall.shinyapps.io/pangea/</w:t>
        </w:r>
      </w:hyperlink>
    </w:p>
    <w:p w14:paraId="2C86A9F7" w14:textId="2F71E25E" w:rsidR="00380FF4" w:rsidRDefault="003E11D4" w:rsidP="00841CD6">
      <w:pPr>
        <w:spacing w:after="240"/>
        <w:rPr>
          <w:rFonts w:ascii="Arial" w:eastAsia="Times New Roman" w:hAnsi="Arial" w:cs="Arial"/>
          <w:color w:val="000000"/>
          <w:lang w:val="en-US"/>
        </w:rPr>
      </w:pPr>
      <w:r>
        <w:rPr>
          <w:rFonts w:ascii="Arial" w:eastAsia="Times New Roman" w:hAnsi="Arial" w:cs="Arial"/>
          <w:color w:val="000000"/>
          <w:lang w:val="en-US"/>
        </w:rPr>
        <w:t>Participants must have no history of mental or neurological illness</w:t>
      </w:r>
      <w:r w:rsidR="000020ED">
        <w:rPr>
          <w:rFonts w:ascii="Arial" w:eastAsia="Times New Roman" w:hAnsi="Arial" w:cs="Arial"/>
          <w:color w:val="000000"/>
          <w:lang w:val="en-US"/>
        </w:rPr>
        <w:t>, with no prior meditation experience (&lt;</w:t>
      </w:r>
      <w:r w:rsidR="003F5D59">
        <w:rPr>
          <w:rFonts w:ascii="Arial" w:eastAsia="Times New Roman" w:hAnsi="Arial" w:cs="Arial"/>
          <w:color w:val="000000"/>
          <w:lang w:val="en-US"/>
        </w:rPr>
        <w:t xml:space="preserve">10 hours in the past year, with no regular frequency). </w:t>
      </w:r>
      <w:r w:rsidR="00D27046">
        <w:rPr>
          <w:rFonts w:ascii="Arial" w:eastAsia="Times New Roman" w:hAnsi="Arial" w:cs="Arial"/>
          <w:color w:val="000000"/>
          <w:lang w:val="en-US"/>
        </w:rPr>
        <w:t xml:space="preserve">Participants will also be excluded from the analysis if </w:t>
      </w:r>
      <w:r w:rsidR="006A6C0A">
        <w:rPr>
          <w:rFonts w:ascii="Arial" w:eastAsia="Times New Roman" w:hAnsi="Arial" w:cs="Arial"/>
          <w:color w:val="000000"/>
          <w:lang w:val="en-US"/>
        </w:rPr>
        <w:t>their EEG data contains too many artifacts to be considered useful.</w:t>
      </w:r>
    </w:p>
    <w:p w14:paraId="0A1C3037"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8) Anything else you would like to pre-register? </w:t>
      </w:r>
    </w:p>
    <w:p w14:paraId="767269D8"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(e.g., secondary analyses, variables collected for exploratory purposes, unusual analyses planned?)</w:t>
      </w:r>
    </w:p>
    <w:p w14:paraId="1E5388B2" w14:textId="77777777" w:rsidR="008066BE" w:rsidRDefault="008066BE"/>
    <w:sectPr w:rsidR="00806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D6"/>
    <w:rsid w:val="000020ED"/>
    <w:rsid w:val="000D1329"/>
    <w:rsid w:val="0036404A"/>
    <w:rsid w:val="00380FF4"/>
    <w:rsid w:val="003E11D4"/>
    <w:rsid w:val="003F5D59"/>
    <w:rsid w:val="00632EC4"/>
    <w:rsid w:val="006A6C0A"/>
    <w:rsid w:val="00705C45"/>
    <w:rsid w:val="00772B85"/>
    <w:rsid w:val="008066BE"/>
    <w:rsid w:val="00841CD6"/>
    <w:rsid w:val="009830D9"/>
    <w:rsid w:val="009C19B5"/>
    <w:rsid w:val="00AD4F51"/>
    <w:rsid w:val="00B62988"/>
    <w:rsid w:val="00C94C5B"/>
    <w:rsid w:val="00CF23AE"/>
    <w:rsid w:val="00D27046"/>
    <w:rsid w:val="00DB6956"/>
    <w:rsid w:val="00E34501"/>
    <w:rsid w:val="00EF0B4F"/>
    <w:rsid w:val="00FB00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793"/>
  <w15:chartTrackingRefBased/>
  <w15:docId w15:val="{B0F716C5-898A-4B15-83E5-883D0577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CD6"/>
    <w:pPr>
      <w:spacing w:after="0" w:line="240"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23AE"/>
    <w:rPr>
      <w:sz w:val="16"/>
      <w:szCs w:val="16"/>
    </w:rPr>
  </w:style>
  <w:style w:type="paragraph" w:styleId="CommentText">
    <w:name w:val="annotation text"/>
    <w:basedOn w:val="Normal"/>
    <w:link w:val="CommentTextChar"/>
    <w:uiPriority w:val="99"/>
    <w:semiHidden/>
    <w:unhideWhenUsed/>
    <w:rsid w:val="00CF23AE"/>
    <w:rPr>
      <w:sz w:val="20"/>
      <w:szCs w:val="20"/>
    </w:rPr>
  </w:style>
  <w:style w:type="character" w:customStyle="1" w:styleId="CommentTextChar">
    <w:name w:val="Comment Text Char"/>
    <w:basedOn w:val="DefaultParagraphFont"/>
    <w:link w:val="CommentText"/>
    <w:uiPriority w:val="99"/>
    <w:semiHidden/>
    <w:rsid w:val="00CF23AE"/>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CF23AE"/>
    <w:rPr>
      <w:b/>
      <w:bCs/>
    </w:rPr>
  </w:style>
  <w:style w:type="character" w:customStyle="1" w:styleId="CommentSubjectChar">
    <w:name w:val="Comment Subject Char"/>
    <w:basedOn w:val="CommentTextChar"/>
    <w:link w:val="CommentSubject"/>
    <w:uiPriority w:val="99"/>
    <w:semiHidden/>
    <w:rsid w:val="00CF23AE"/>
    <w:rPr>
      <w:rFonts w:eastAsiaTheme="minorEastAsia"/>
      <w:b/>
      <w:bCs/>
      <w:sz w:val="20"/>
      <w:szCs w:val="20"/>
      <w:lang w:eastAsia="en-CA"/>
    </w:rPr>
  </w:style>
  <w:style w:type="paragraph" w:styleId="BalloonText">
    <w:name w:val="Balloon Text"/>
    <w:basedOn w:val="Normal"/>
    <w:link w:val="BalloonTextChar"/>
    <w:uiPriority w:val="99"/>
    <w:semiHidden/>
    <w:unhideWhenUsed/>
    <w:rsid w:val="00CF23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3AE"/>
    <w:rPr>
      <w:rFonts w:ascii="Segoe UI" w:eastAsiaTheme="minorEastAsia" w:hAnsi="Segoe UI" w:cs="Segoe UI"/>
      <w:sz w:val="18"/>
      <w:szCs w:val="18"/>
      <w:lang w:eastAsia="en-CA"/>
    </w:rPr>
  </w:style>
  <w:style w:type="character" w:styleId="Hyperlink">
    <w:name w:val="Hyperlink"/>
    <w:basedOn w:val="DefaultParagraphFont"/>
    <w:uiPriority w:val="99"/>
    <w:unhideWhenUsed/>
    <w:rsid w:val="00380FF4"/>
    <w:rPr>
      <w:color w:val="0563C1" w:themeColor="hyperlink"/>
      <w:u w:val="single"/>
    </w:rPr>
  </w:style>
  <w:style w:type="character" w:styleId="UnresolvedMention">
    <w:name w:val="Unresolved Mention"/>
    <w:basedOn w:val="DefaultParagraphFont"/>
    <w:uiPriority w:val="99"/>
    <w:semiHidden/>
    <w:unhideWhenUsed/>
    <w:rsid w:val="0038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kewestfall.shinyapps.io/pang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7</cp:revision>
  <dcterms:created xsi:type="dcterms:W3CDTF">2018-07-16T05:09:00Z</dcterms:created>
  <dcterms:modified xsi:type="dcterms:W3CDTF">2018-10-22T16:26:00Z</dcterms:modified>
</cp:coreProperties>
</file>