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Developer Fundamentals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Don’t read the dictionary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Not necessary to memorize everything because can not memorize full documentation.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Always use documentation and googel.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Continuously using the programming language to become Master.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Focus things which matters.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Commenting your code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In python we can comment line using #.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Always add valuable comments.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Code should be self explanatory not your comments.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Something very important and complex.</w:t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Understanding Data Structures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When to use List or when to use dictionary.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Every Data Structure has different pros and cons.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What is a good code?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Clean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Readability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Predictability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DRY – Don’t repeat yourself.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Test your assumptions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/>
        <w:t>How things are working you can define it.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/>
        <w:t>Check everything other ways.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3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4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5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LibreOffice/7.0.4.2$Linux_X86_64 LibreOffice_project/00$Build-2</Application>
  <AppVersion>15.0000</AppVersion>
  <Pages>1</Pages>
  <Words>130</Words>
  <Characters>653</Characters>
  <CharactersWithSpaces>741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2021-02-19T21:41:47Z</dcterms:created>
  <dc:creator/>
  <dc:description/>
  <dc:language>en-US</dc:language>
  <cp:lastModifiedBy/>
  <dcterms:modified xsi:type="dcterms:W3CDTF">2021-03-05T01:06:35Z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