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sz w:val="56"/>
          <w:szCs w:val="56"/>
        </w:rPr>
      </w:pPr>
      <w:r w:rsidDel="00000000" w:rsidR="00000000" w:rsidRPr="00000000">
        <w:rPr>
          <w:rtl w:val="0"/>
        </w:rPr>
      </w:r>
    </w:p>
    <w:p w:rsidR="00000000" w:rsidDel="00000000" w:rsidP="00000000" w:rsidRDefault="00000000" w:rsidRPr="00000000" w14:paraId="00000002">
      <w:pPr>
        <w:spacing w:line="240" w:lineRule="auto"/>
        <w:jc w:val="center"/>
        <w:rPr>
          <w:sz w:val="56"/>
          <w:szCs w:val="56"/>
        </w:rPr>
      </w:pPr>
      <w:r w:rsidDel="00000000" w:rsidR="00000000" w:rsidRPr="00000000">
        <w:rPr>
          <w:sz w:val="56"/>
          <w:szCs w:val="56"/>
        </w:rPr>
        <w:drawing>
          <wp:inline distB="114300" distT="114300" distL="114300" distR="114300">
            <wp:extent cx="3705225" cy="37052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705225"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sz w:val="96"/>
          <w:szCs w:val="96"/>
        </w:rPr>
      </w:pPr>
      <w:r w:rsidDel="00000000" w:rsidR="00000000" w:rsidRPr="00000000">
        <w:rPr>
          <w:rtl w:val="0"/>
        </w:rPr>
      </w:r>
    </w:p>
    <w:p w:rsidR="00000000" w:rsidDel="00000000" w:rsidP="00000000" w:rsidRDefault="00000000" w:rsidRPr="00000000" w14:paraId="00000004">
      <w:pPr>
        <w:pBdr>
          <w:bottom w:color="cc0000" w:space="3" w:sz="24" w:val="single"/>
        </w:pBdr>
        <w:spacing w:line="240" w:lineRule="auto"/>
        <w:jc w:val="center"/>
        <w:rPr>
          <w:rFonts w:ascii="Montserrat" w:cs="Montserrat" w:eastAsia="Montserrat" w:hAnsi="Montserrat"/>
          <w:b w:val="1"/>
          <w:bCs w:val="1"/>
          <w:sz w:val="96"/>
          <w:szCs w:val="96"/>
        </w:rPr>
      </w:pPr>
      <w:r w:rsidDel="00000000" w:rsidR="00000000" w:rsidRPr="00000000">
        <w:rPr>
          <w:rFonts w:ascii="Montserrat" w:cs="Montserrat" w:eastAsia="Montserrat" w:hAnsi="Montserrat"/>
          <w:b w:val="1"/>
          <w:bCs w:val="1"/>
          <w:sz w:val="96"/>
          <w:szCs w:val="96"/>
          <w:rtl w:val="0"/>
        </w:rPr>
        <w:t xml:space="preserve">CONTRACTOR OF THE YEAR ASSESSMENT GUIDE</w:t>
      </w:r>
    </w:p>
    <w:p w:rsidR="00000000" w:rsidDel="00000000" w:rsidP="00000000" w:rsidRDefault="00000000" w:rsidRPr="00000000" w14:paraId="00000005">
      <w:pPr>
        <w:spacing w:line="240" w:lineRule="auto"/>
        <w:jc w:val="center"/>
        <w:rPr>
          <w:rFonts w:ascii="Montserrat" w:cs="Montserrat" w:eastAsia="Montserrat" w:hAnsi="Montserrat"/>
          <w:b w:val="1"/>
          <w:bCs w:val="1"/>
          <w:color w:val="666666"/>
          <w:sz w:val="28"/>
          <w:szCs w:val="28"/>
        </w:rPr>
        <w:sectPr>
          <w:headerReference r:id="rId7" w:type="default"/>
          <w:footerReference r:id="rId8" w:type="default"/>
          <w:footerReference r:id="rId9" w:type="first"/>
          <w:pgSz w:h="15840" w:w="12240" w:orient="portrait"/>
          <w:pgMar w:bottom="0" w:top="0" w:left="0" w:right="0" w:header="720" w:footer="720"/>
          <w:pgNumType w:start="1"/>
          <w:titlePg w:val="1"/>
        </w:sectPr>
      </w:pPr>
      <w:r w:rsidDel="00000000" w:rsidR="00000000" w:rsidRPr="00000000">
        <w:rPr>
          <w:rFonts w:ascii="Montserrat" w:cs="Montserrat" w:eastAsia="Montserrat" w:hAnsi="Montserrat"/>
          <w:b w:val="1"/>
          <w:bCs w:val="1"/>
          <w:color w:val="666666"/>
          <w:sz w:val="28"/>
          <w:szCs w:val="28"/>
          <w:rtl w:val="0"/>
        </w:rPr>
        <w:t xml:space="preserve">2026 Assessors &amp; Judges Framework</w:t>
      </w:r>
    </w:p>
    <w:p w:rsidR="00000000" w:rsidDel="00000000" w:rsidP="00000000" w:rsidRDefault="00000000" w:rsidRPr="00000000" w14:paraId="00000006">
      <w:pPr>
        <w:pStyle w:val="Heading1"/>
        <w:rPr/>
      </w:pPr>
      <w:bookmarkStart w:colFirst="0" w:colLast="0" w:name="_86l42cyc973l" w:id="0"/>
      <w:bookmarkEnd w:id="0"/>
      <w:r w:rsidDel="00000000" w:rsidR="00000000" w:rsidRPr="00000000">
        <w:rPr>
          <w:rtl w:val="0"/>
        </w:rPr>
        <w:t xml:space="preserve">Table of Contents</w:t>
      </w:r>
    </w:p>
    <w:tbl>
      <w:tblPr>
        <w:tblStyle w:val="Table1"/>
        <w:tblW w:w="9360.0" w:type="dxa"/>
        <w:jc w:val="left"/>
        <w:tblBorders>
          <w:top w:color="cc0000" w:space="0" w:sz="8" w:val="single"/>
          <w:left w:color="cc0000" w:space="0" w:sz="8" w:val="single"/>
          <w:bottom w:color="cc0000" w:space="0" w:sz="8" w:val="single"/>
          <w:right w:color="cc0000" w:space="0" w:sz="8" w:val="single"/>
          <w:insideH w:color="cc0000" w:space="0" w:sz="8" w:val="single"/>
          <w:insideV w:color="cc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dt>
            <w:sdtPr>
              <w:id w:val="642845270"/>
              <w:docPartObj>
                <w:docPartGallery w:val="Table of Contents"/>
                <w:docPartUnique w:val="1"/>
              </w:docPartObj>
            </w:sdtPr>
            <w:sdtContent>
              <w:p w:rsidR="00000000" w:rsidDel="00000000" w:rsidP="00000000" w:rsidRDefault="00000000" w:rsidRPr="00000000" w14:paraId="00000008">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8txnbillc5yh">
                  <w:r w:rsidDel="00000000" w:rsidR="00000000" w:rsidRPr="00000000">
                    <w:rPr>
                      <w:b w:val="1"/>
                      <w:bCs w:val="1"/>
                      <w:color w:val="000000"/>
                      <w:u w:val="none"/>
                      <w:rtl w:val="0"/>
                    </w:rPr>
                    <w:t xml:space="preserve">Introduction</w:t>
                    <w:tab/>
                  </w:r>
                </w:hyperlink>
                <w:r w:rsidDel="00000000" w:rsidR="00000000" w:rsidRPr="00000000">
                  <w:fldChar w:fldCharType="begin"/>
                  <w:instrText xml:space="preserve"> PAGEREF _8txnbillc5yh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rPr>
                    <w:b w:val="1"/>
                    <w:bCs w:val="1"/>
                    <w:color w:val="000000"/>
                    <w:u w:val="none"/>
                  </w:rPr>
                </w:pPr>
                <w:hyperlink w:anchor="_ix86vz7ebaup">
                  <w:r w:rsidDel="00000000" w:rsidR="00000000" w:rsidRPr="00000000">
                    <w:rPr>
                      <w:b w:val="1"/>
                      <w:bCs w:val="1"/>
                      <w:color w:val="000000"/>
                      <w:u w:val="none"/>
                      <w:rtl w:val="0"/>
                    </w:rPr>
                    <w:t xml:space="preserve">Assessors Framework</w:t>
                    <w:tab/>
                  </w:r>
                </w:hyperlink>
                <w:r w:rsidDel="00000000" w:rsidR="00000000" w:rsidRPr="00000000">
                  <w:fldChar w:fldCharType="begin"/>
                  <w:instrText xml:space="preserve"> PAGEREF _ix86vz7ebaup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360" w:firstLine="0"/>
                  <w:rPr>
                    <w:color w:val="000000"/>
                    <w:u w:val="none"/>
                  </w:rPr>
                </w:pPr>
                <w:hyperlink w:anchor="_5vrd24hd4pdv">
                  <w:r w:rsidDel="00000000" w:rsidR="00000000" w:rsidRPr="00000000">
                    <w:rPr>
                      <w:color w:val="000000"/>
                      <w:u w:val="none"/>
                      <w:rtl w:val="0"/>
                    </w:rPr>
                    <w:t xml:space="preserve">Performance Descriptors</w:t>
                    <w:tab/>
                  </w:r>
                </w:hyperlink>
                <w:r w:rsidDel="00000000" w:rsidR="00000000" w:rsidRPr="00000000">
                  <w:fldChar w:fldCharType="begin"/>
                  <w:instrText xml:space="preserve"> PAGEREF _5vrd24hd4pdv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360" w:firstLine="0"/>
                  <w:rPr>
                    <w:color w:val="000000"/>
                    <w:u w:val="none"/>
                  </w:rPr>
                </w:pPr>
                <w:hyperlink w:anchor="_hf1f87exkllk">
                  <w:r w:rsidDel="00000000" w:rsidR="00000000" w:rsidRPr="00000000">
                    <w:rPr>
                      <w:color w:val="000000"/>
                      <w:u w:val="none"/>
                      <w:rtl w:val="0"/>
                    </w:rPr>
                    <w:t xml:space="preserve">Assessors Evaluation Criteria</w:t>
                    <w:tab/>
                  </w:r>
                </w:hyperlink>
                <w:r w:rsidDel="00000000" w:rsidR="00000000" w:rsidRPr="00000000">
                  <w:fldChar w:fldCharType="begin"/>
                  <w:instrText xml:space="preserve"> PAGEREF _hf1f87exkllk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720" w:firstLine="0"/>
                  <w:rPr>
                    <w:color w:val="000000"/>
                    <w:u w:val="none"/>
                  </w:rPr>
                </w:pPr>
                <w:hyperlink w:anchor="_4nbml6cf6llb">
                  <w:r w:rsidDel="00000000" w:rsidR="00000000" w:rsidRPr="00000000">
                    <w:rPr>
                      <w:color w:val="000000"/>
                      <w:u w:val="none"/>
                      <w:rtl w:val="0"/>
                    </w:rPr>
                    <w:t xml:space="preserve">Evaluation Categories</w:t>
                    <w:tab/>
                  </w:r>
                </w:hyperlink>
                <w:r w:rsidDel="00000000" w:rsidR="00000000" w:rsidRPr="00000000">
                  <w:fldChar w:fldCharType="begin"/>
                  <w:instrText xml:space="preserve"> PAGEREF _4nbml6cf6llb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720" w:firstLine="0"/>
                  <w:rPr>
                    <w:color w:val="000000"/>
                    <w:u w:val="none"/>
                  </w:rPr>
                </w:pPr>
                <w:hyperlink w:anchor="_p3tb637soaqj">
                  <w:r w:rsidDel="00000000" w:rsidR="00000000" w:rsidRPr="00000000">
                    <w:rPr>
                      <w:color w:val="000000"/>
                      <w:u w:val="none"/>
                      <w:rtl w:val="0"/>
                    </w:rPr>
                    <w:t xml:space="preserve">The Innovation &amp; Industry Advancement Filter</w:t>
                    <w:tab/>
                  </w:r>
                </w:hyperlink>
                <w:r w:rsidDel="00000000" w:rsidR="00000000" w:rsidRPr="00000000">
                  <w:fldChar w:fldCharType="begin"/>
                  <w:instrText xml:space="preserve"> PAGEREF _p3tb637soaqj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rPr>
                    <w:b w:val="1"/>
                    <w:bCs w:val="1"/>
                    <w:color w:val="000000"/>
                    <w:u w:val="none"/>
                  </w:rPr>
                </w:pPr>
                <w:hyperlink w:anchor="_76hl8wq0ro0t">
                  <w:r w:rsidDel="00000000" w:rsidR="00000000" w:rsidRPr="00000000">
                    <w:rPr>
                      <w:b w:val="1"/>
                      <w:bCs w:val="1"/>
                      <w:color w:val="000000"/>
                      <w:u w:val="none"/>
                      <w:rtl w:val="0"/>
                    </w:rPr>
                    <w:t xml:space="preserve">Judging Panel Evaluation</w:t>
                    <w:tab/>
                  </w:r>
                </w:hyperlink>
                <w:r w:rsidDel="00000000" w:rsidR="00000000" w:rsidRPr="00000000">
                  <w:fldChar w:fldCharType="begin"/>
                  <w:instrText xml:space="preserve"> PAGEREF _76hl8wq0ro0t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color w:val="000000"/>
                    <w:u w:val="none"/>
                  </w:rPr>
                </w:pPr>
                <w:hyperlink w:anchor="_a4bmkiwdqoml">
                  <w:r w:rsidDel="00000000" w:rsidR="00000000" w:rsidRPr="00000000">
                    <w:rPr>
                      <w:color w:val="000000"/>
                      <w:u w:val="none"/>
                      <w:rtl w:val="0"/>
                    </w:rPr>
                    <w:t xml:space="preserve">The Final "Case Study" Test</w:t>
                    <w:tab/>
                  </w:r>
                </w:hyperlink>
                <w:r w:rsidDel="00000000" w:rsidR="00000000" w:rsidRPr="00000000">
                  <w:fldChar w:fldCharType="begin"/>
                  <w:instrText xml:space="preserve"> PAGEREF _a4bmkiwdqoml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bookmarkStart w:colFirst="0" w:colLast="0" w:name="_8txnbillc5yh" w:id="1"/>
      <w:bookmarkEnd w:id="1"/>
      <w:r w:rsidDel="00000000" w:rsidR="00000000" w:rsidRPr="00000000">
        <w:rPr>
          <w:rtl w:val="0"/>
        </w:rPr>
        <w:t xml:space="preserve">Introduction </w:t>
      </w:r>
    </w:p>
    <w:p w:rsidR="00000000" w:rsidDel="00000000" w:rsidP="00000000" w:rsidRDefault="00000000" w:rsidRPr="00000000" w14:paraId="00000014">
      <w:pPr>
        <w:rPr/>
      </w:pPr>
      <w:r w:rsidDel="00000000" w:rsidR="00000000" w:rsidRPr="00000000">
        <w:rPr>
          <w:rtl w:val="0"/>
        </w:rPr>
        <w:t xml:space="preserve">This is the official Evaluation Framework for the 2026 PBF Contractor of the Year Award. This document serves as the formal guide for assessing excellence, ensuring a rigorous, transparent, and consistent review process for all nominees.</w:t>
      </w:r>
    </w:p>
    <w:p w:rsidR="00000000" w:rsidDel="00000000" w:rsidP="00000000" w:rsidRDefault="00000000" w:rsidRPr="00000000" w14:paraId="00000015">
      <w:pPr>
        <w:rPr/>
      </w:pPr>
      <w:r w:rsidDel="00000000" w:rsidR="00000000" w:rsidRPr="00000000">
        <w:rPr>
          <w:rtl w:val="0"/>
        </w:rPr>
        <w:t xml:space="preserve">The 2026 award cycle focuses on identifying project contractors who move "Beyond Competence" toward true "Excellence". We are looking for contractors who do not merely fulfill their contractual obligations but actively transform the industry through novel approaches, pioneering techniques, and measurable impacts on the broader community.</w:t>
      </w:r>
    </w:p>
    <w:p w:rsidR="00000000" w:rsidDel="00000000" w:rsidP="00000000" w:rsidRDefault="00000000" w:rsidRPr="00000000" w14:paraId="00000016">
      <w:pPr>
        <w:pStyle w:val="Heading1"/>
        <w:keepNext w:val="0"/>
        <w:keepLines w:val="0"/>
        <w:rPr/>
      </w:pPr>
      <w:bookmarkStart w:colFirst="0" w:colLast="0" w:name="_ix86vz7ebaup" w:id="2"/>
      <w:bookmarkEnd w:id="2"/>
      <w:r w:rsidDel="00000000" w:rsidR="00000000" w:rsidRPr="00000000">
        <w:rPr>
          <w:rtl w:val="0"/>
        </w:rPr>
        <w:t xml:space="preserve">Assessors Framework</w:t>
      </w:r>
    </w:p>
    <w:p w:rsidR="00000000" w:rsidDel="00000000" w:rsidP="00000000" w:rsidRDefault="00000000" w:rsidRPr="00000000" w14:paraId="00000017">
      <w:pPr>
        <w:spacing w:after="240" w:before="240" w:lineRule="auto"/>
        <w:rPr/>
      </w:pPr>
      <w:r w:rsidDel="00000000" w:rsidR="00000000" w:rsidRPr="00000000">
        <w:rPr>
          <w:rtl w:val="0"/>
        </w:rPr>
        <w:t xml:space="preserve">Assessors </w:t>
      </w:r>
      <w:r w:rsidDel="00000000" w:rsidR="00000000" w:rsidRPr="00000000">
        <w:rPr>
          <w:rtl w:val="0"/>
        </w:rPr>
        <w:t xml:space="preserve">should utilize the following sections to guide their reviews:</w:t>
      </w:r>
    </w:p>
    <w:p w:rsidR="00000000" w:rsidDel="00000000" w:rsidP="00000000" w:rsidRDefault="00000000" w:rsidRPr="00000000" w14:paraId="00000018">
      <w:pPr>
        <w:numPr>
          <w:ilvl w:val="0"/>
          <w:numId w:val="1"/>
        </w:numPr>
        <w:spacing w:after="240" w:before="240" w:lineRule="auto"/>
        <w:ind w:left="720" w:hanging="360"/>
      </w:pPr>
      <w:r w:rsidDel="00000000" w:rsidR="00000000" w:rsidRPr="00000000">
        <w:rPr>
          <w:b w:val="1"/>
          <w:bCs w:val="1"/>
          <w:rtl w:val="0"/>
        </w:rPr>
        <w:t xml:space="preserve">First Step: Scoring Scale:</w:t>
      </w:r>
      <w:r w:rsidDel="00000000" w:rsidR="00000000" w:rsidRPr="00000000">
        <w:rPr>
          <w:rtl w:val="0"/>
        </w:rPr>
        <w:t xml:space="preserve"> Nominations are rated on a 0–10 scale across nine distinct criteria. Each score requires a justification field to be updated to ensure transparency of why the score was given by the assessor.</w:t>
      </w:r>
    </w:p>
    <w:p w:rsidR="00000000" w:rsidDel="00000000" w:rsidP="00000000" w:rsidRDefault="00000000" w:rsidRPr="00000000" w14:paraId="00000019">
      <w:pPr>
        <w:numPr>
          <w:ilvl w:val="0"/>
          <w:numId w:val="1"/>
        </w:numPr>
        <w:spacing w:after="240" w:before="240" w:lineRule="auto"/>
        <w:ind w:left="720" w:hanging="360"/>
      </w:pPr>
      <w:r w:rsidDel="00000000" w:rsidR="00000000" w:rsidRPr="00000000">
        <w:rPr>
          <w:b w:val="1"/>
          <w:bCs w:val="1"/>
          <w:rtl w:val="0"/>
        </w:rPr>
        <w:t xml:space="preserve">Second Step: Exemplary Anchors:</w:t>
      </w:r>
      <w:r w:rsidDel="00000000" w:rsidR="00000000" w:rsidRPr="00000000">
        <w:rPr>
          <w:rtl w:val="0"/>
        </w:rPr>
        <w:t xml:space="preserve"> Use the provided performance descriptors to distinguish between standard delivery and award-worthy innovation (Criterion 9).</w:t>
      </w:r>
    </w:p>
    <w:p w:rsidR="00000000" w:rsidDel="00000000" w:rsidP="00000000" w:rsidRDefault="00000000" w:rsidRPr="00000000" w14:paraId="0000001A">
      <w:pPr>
        <w:spacing w:after="240" w:before="240" w:lineRule="auto"/>
        <w:rPr/>
      </w:pPr>
      <w:r w:rsidDel="00000000" w:rsidR="00000000" w:rsidRPr="00000000">
        <w:rPr>
          <w:rtl w:val="0"/>
        </w:rPr>
        <w:t xml:space="preserve">By adhering to this framework, we ensure that the 2026 winner represents the gold standard of project contractors—demonstrating a legacy of success that is worthy of being shared as a definitive industry case study..</w:t>
      </w:r>
    </w:p>
    <w:p w:rsidR="00000000" w:rsidDel="00000000" w:rsidP="00000000" w:rsidRDefault="00000000" w:rsidRPr="00000000" w14:paraId="0000001B">
      <w:pPr>
        <w:pStyle w:val="Heading2"/>
        <w:keepNext w:val="0"/>
        <w:keepLines w:val="0"/>
        <w:rPr/>
      </w:pPr>
      <w:bookmarkStart w:colFirst="0" w:colLast="0" w:name="_5vrd24hd4pdv" w:id="3"/>
      <w:bookmarkEnd w:id="3"/>
      <w:r w:rsidDel="00000000" w:rsidR="00000000" w:rsidRPr="00000000">
        <w:rPr>
          <w:rtl w:val="0"/>
        </w:rPr>
        <w:t xml:space="preserve">Performance Descriptors </w:t>
      </w:r>
    </w:p>
    <w:p w:rsidR="00000000" w:rsidDel="00000000" w:rsidP="00000000" w:rsidRDefault="00000000" w:rsidRPr="00000000" w14:paraId="0000001C">
      <w:pPr>
        <w:numPr>
          <w:ilvl w:val="0"/>
          <w:numId w:val="4"/>
        </w:numPr>
        <w:spacing w:after="240" w:before="240" w:lineRule="auto"/>
        <w:ind w:left="720" w:hanging="360"/>
      </w:pPr>
      <w:r w:rsidDel="00000000" w:rsidR="00000000" w:rsidRPr="00000000">
        <w:rPr>
          <w:b w:val="1"/>
          <w:bCs w:val="1"/>
          <w:rtl w:val="0"/>
        </w:rPr>
        <w:t xml:space="preserve">0-1:</w:t>
      </w:r>
      <w:r w:rsidDel="00000000" w:rsidR="00000000" w:rsidRPr="00000000">
        <w:rPr>
          <w:rtl w:val="0"/>
        </w:rPr>
        <w:t xml:space="preserve"> Not demonstrated or missing evidence.</w:t>
      </w:r>
    </w:p>
    <w:p w:rsidR="00000000" w:rsidDel="00000000" w:rsidP="00000000" w:rsidRDefault="00000000" w:rsidRPr="00000000" w14:paraId="0000001D">
      <w:pPr>
        <w:numPr>
          <w:ilvl w:val="0"/>
          <w:numId w:val="4"/>
        </w:numPr>
        <w:spacing w:after="240" w:before="240" w:lineRule="auto"/>
        <w:ind w:left="720" w:hanging="360"/>
      </w:pPr>
      <w:r w:rsidDel="00000000" w:rsidR="00000000" w:rsidRPr="00000000">
        <w:rPr>
          <w:b w:val="1"/>
          <w:bCs w:val="1"/>
          <w:rtl w:val="0"/>
        </w:rPr>
        <w:t xml:space="preserve">2-3: (Poor):</w:t>
      </w:r>
      <w:r w:rsidDel="00000000" w:rsidR="00000000" w:rsidRPr="00000000">
        <w:rPr>
          <w:rtl w:val="0"/>
        </w:rPr>
        <w:t xml:space="preserve"> Standard approach with no innovation.</w:t>
      </w:r>
    </w:p>
    <w:p w:rsidR="00000000" w:rsidDel="00000000" w:rsidP="00000000" w:rsidRDefault="00000000" w:rsidRPr="00000000" w14:paraId="0000001E">
      <w:pPr>
        <w:numPr>
          <w:ilvl w:val="0"/>
          <w:numId w:val="4"/>
        </w:numPr>
        <w:spacing w:after="240" w:before="240" w:lineRule="auto"/>
        <w:ind w:left="720" w:hanging="360"/>
      </w:pPr>
      <w:r w:rsidDel="00000000" w:rsidR="00000000" w:rsidRPr="00000000">
        <w:rPr>
          <w:b w:val="1"/>
          <w:bCs w:val="1"/>
          <w:rtl w:val="0"/>
        </w:rPr>
        <w:t xml:space="preserve">4-5: (Fair):</w:t>
      </w:r>
      <w:r w:rsidDel="00000000" w:rsidR="00000000" w:rsidRPr="00000000">
        <w:rPr>
          <w:rtl w:val="0"/>
        </w:rPr>
        <w:t xml:space="preserve"> Some novel elements with limited knowledge sharing.</w:t>
      </w:r>
    </w:p>
    <w:p w:rsidR="00000000" w:rsidDel="00000000" w:rsidP="00000000" w:rsidRDefault="00000000" w:rsidRPr="00000000" w14:paraId="0000001F">
      <w:pPr>
        <w:numPr>
          <w:ilvl w:val="0"/>
          <w:numId w:val="4"/>
        </w:numPr>
        <w:spacing w:after="240" w:before="240" w:lineRule="auto"/>
        <w:ind w:left="720" w:hanging="360"/>
      </w:pPr>
      <w:r w:rsidDel="00000000" w:rsidR="00000000" w:rsidRPr="00000000">
        <w:rPr>
          <w:b w:val="1"/>
          <w:bCs w:val="1"/>
          <w:rtl w:val="0"/>
        </w:rPr>
        <w:t xml:space="preserve">6-7: (Good):</w:t>
      </w:r>
      <w:r w:rsidDel="00000000" w:rsidR="00000000" w:rsidRPr="00000000">
        <w:rPr>
          <w:rtl w:val="0"/>
        </w:rPr>
        <w:t xml:space="preserve"> Solid innovation and basic knowledge sharing.</w:t>
      </w:r>
    </w:p>
    <w:p w:rsidR="00000000" w:rsidDel="00000000" w:rsidP="00000000" w:rsidRDefault="00000000" w:rsidRPr="00000000" w14:paraId="00000020">
      <w:pPr>
        <w:numPr>
          <w:ilvl w:val="0"/>
          <w:numId w:val="4"/>
        </w:numPr>
        <w:spacing w:after="240" w:before="240" w:lineRule="auto"/>
        <w:ind w:left="720" w:hanging="360"/>
      </w:pPr>
      <w:r w:rsidDel="00000000" w:rsidR="00000000" w:rsidRPr="00000000">
        <w:rPr>
          <w:b w:val="1"/>
          <w:bCs w:val="1"/>
          <w:rtl w:val="0"/>
        </w:rPr>
        <w:t xml:space="preserve">8-9: (Very Good):</w:t>
      </w:r>
      <w:r w:rsidDel="00000000" w:rsidR="00000000" w:rsidRPr="00000000">
        <w:rPr>
          <w:rtl w:val="0"/>
        </w:rPr>
        <w:t xml:space="preserve"> Significant innovation with active knowledge sharing and replicable practices.</w:t>
      </w:r>
    </w:p>
    <w:p w:rsidR="00000000" w:rsidDel="00000000" w:rsidP="00000000" w:rsidRDefault="00000000" w:rsidRPr="00000000" w14:paraId="00000021">
      <w:pPr>
        <w:numPr>
          <w:ilvl w:val="0"/>
          <w:numId w:val="4"/>
        </w:numPr>
        <w:spacing w:after="240" w:before="240" w:lineRule="auto"/>
        <w:ind w:left="720" w:hanging="360"/>
      </w:pPr>
      <w:r w:rsidDel="00000000" w:rsidR="00000000" w:rsidRPr="00000000">
        <w:rPr>
          <w:b w:val="1"/>
          <w:bCs w:val="1"/>
          <w:rtl w:val="0"/>
        </w:rPr>
        <w:t xml:space="preserve">10 (Excellent):</w:t>
      </w:r>
      <w:r w:rsidDel="00000000" w:rsidR="00000000" w:rsidRPr="00000000">
        <w:rPr>
          <w:rtl w:val="0"/>
        </w:rPr>
        <w:t xml:space="preserve"> Groundbreaking approach that advances the profession and is worthy of a case study.</w:t>
      </w:r>
      <w:r w:rsidDel="00000000" w:rsidR="00000000" w:rsidRPr="00000000">
        <w:rPr>
          <w:rtl w:val="0"/>
        </w:rPr>
      </w:r>
    </w:p>
    <w:p w:rsidR="00000000" w:rsidDel="00000000" w:rsidP="00000000" w:rsidRDefault="00000000" w:rsidRPr="00000000" w14:paraId="00000022">
      <w:pPr>
        <w:pStyle w:val="Heading2"/>
        <w:keepNext w:val="0"/>
        <w:keepLines w:val="0"/>
        <w:spacing w:before="280" w:lineRule="auto"/>
        <w:rPr/>
      </w:pPr>
      <w:bookmarkStart w:colFirst="0" w:colLast="0" w:name="_hf1f87exkllk" w:id="4"/>
      <w:bookmarkEnd w:id="4"/>
      <w:r w:rsidDel="00000000" w:rsidR="00000000" w:rsidRPr="00000000">
        <w:rPr>
          <w:rtl w:val="0"/>
        </w:rPr>
        <w:t xml:space="preserve">Assessors </w:t>
      </w:r>
      <w:r w:rsidDel="00000000" w:rsidR="00000000" w:rsidRPr="00000000">
        <w:rPr>
          <w:rtl w:val="0"/>
        </w:rPr>
        <w:t xml:space="preserve">Evaluation Criteria</w:t>
      </w:r>
    </w:p>
    <w:p w:rsidR="00000000" w:rsidDel="00000000" w:rsidP="00000000" w:rsidRDefault="00000000" w:rsidRPr="00000000" w14:paraId="00000023">
      <w:pPr>
        <w:pStyle w:val="Heading3"/>
        <w:spacing w:after="240" w:before="240" w:lineRule="auto"/>
        <w:rPr/>
      </w:pPr>
      <w:bookmarkStart w:colFirst="0" w:colLast="0" w:name="_4nbml6cf6llb" w:id="5"/>
      <w:bookmarkEnd w:id="5"/>
      <w:r w:rsidDel="00000000" w:rsidR="00000000" w:rsidRPr="00000000">
        <w:rPr>
          <w:rtl w:val="0"/>
        </w:rPr>
        <w:t xml:space="preserve">Evaluation Categories </w:t>
      </w:r>
    </w:p>
    <w:p w:rsidR="00000000" w:rsidDel="00000000" w:rsidP="00000000" w:rsidRDefault="00000000" w:rsidRPr="00000000" w14:paraId="00000024">
      <w:pPr>
        <w:spacing w:after="240" w:before="240" w:lineRule="auto"/>
        <w:rPr/>
      </w:pPr>
      <w:r w:rsidDel="00000000" w:rsidR="00000000" w:rsidRPr="00000000">
        <w:rPr>
          <w:rtl w:val="0"/>
        </w:rPr>
        <w:t xml:space="preserve">Projects are assessed across nine distinct categories aligned with cross-corporate performance management:</w:t>
      </w:r>
    </w:p>
    <w:p w:rsidR="00000000" w:rsidDel="00000000" w:rsidP="00000000" w:rsidRDefault="00000000" w:rsidRPr="00000000" w14:paraId="00000025">
      <w:pPr>
        <w:numPr>
          <w:ilvl w:val="0"/>
          <w:numId w:val="5"/>
        </w:numPr>
        <w:spacing w:after="240" w:before="240" w:lineRule="auto"/>
        <w:ind w:left="720" w:hanging="360"/>
      </w:pPr>
      <w:r w:rsidDel="00000000" w:rsidR="00000000" w:rsidRPr="00000000">
        <w:rPr>
          <w:b w:val="1"/>
          <w:bCs w:val="1"/>
          <w:rtl w:val="0"/>
        </w:rPr>
        <w:t xml:space="preserve">Project Success:</w:t>
      </w:r>
      <w:r w:rsidDel="00000000" w:rsidR="00000000" w:rsidRPr="00000000">
        <w:rPr>
          <w:rtl w:val="0"/>
        </w:rPr>
        <w:t xml:space="preserve"> Delivery performance regarding scope, time, cost, and quality, including measurable transformation and ROI.</w:t>
      </w:r>
    </w:p>
    <w:p w:rsidR="00000000" w:rsidDel="00000000" w:rsidP="00000000" w:rsidRDefault="00000000" w:rsidRPr="00000000" w14:paraId="00000026">
      <w:pPr>
        <w:numPr>
          <w:ilvl w:val="0"/>
          <w:numId w:val="5"/>
        </w:numPr>
        <w:spacing w:after="240" w:before="240" w:lineRule="auto"/>
        <w:ind w:left="720" w:hanging="360"/>
      </w:pPr>
      <w:r w:rsidDel="00000000" w:rsidR="00000000" w:rsidRPr="00000000">
        <w:rPr>
          <w:b w:val="1"/>
          <w:bCs w:val="1"/>
          <w:rtl w:val="0"/>
        </w:rPr>
        <w:t xml:space="preserve">Agility &amp; Adaptability:</w:t>
      </w:r>
      <w:r w:rsidDel="00000000" w:rsidR="00000000" w:rsidRPr="00000000">
        <w:rPr>
          <w:rtl w:val="0"/>
        </w:rPr>
        <w:t xml:space="preserve"> Responsiveness to change and effectiveness of change management processes.</w:t>
      </w:r>
    </w:p>
    <w:p w:rsidR="00000000" w:rsidDel="00000000" w:rsidP="00000000" w:rsidRDefault="00000000" w:rsidRPr="00000000" w14:paraId="00000027">
      <w:pPr>
        <w:numPr>
          <w:ilvl w:val="0"/>
          <w:numId w:val="5"/>
        </w:numPr>
        <w:spacing w:after="240" w:before="240" w:lineRule="auto"/>
        <w:ind w:left="720" w:hanging="360"/>
      </w:pPr>
      <w:r w:rsidDel="00000000" w:rsidR="00000000" w:rsidRPr="00000000">
        <w:rPr>
          <w:b w:val="1"/>
          <w:bCs w:val="1"/>
          <w:rtl w:val="0"/>
        </w:rPr>
        <w:t xml:space="preserve">Commercial Model:</w:t>
      </w:r>
      <w:r w:rsidDel="00000000" w:rsidR="00000000" w:rsidRPr="00000000">
        <w:rPr>
          <w:rtl w:val="0"/>
        </w:rPr>
        <w:t xml:space="preserve"> Evaluation of price realism, milestone cash flow, and the impact on the liquidity and solvency of both parties.</w:t>
      </w:r>
    </w:p>
    <w:p w:rsidR="00000000" w:rsidDel="00000000" w:rsidP="00000000" w:rsidRDefault="00000000" w:rsidRPr="00000000" w14:paraId="00000028">
      <w:pPr>
        <w:numPr>
          <w:ilvl w:val="0"/>
          <w:numId w:val="5"/>
        </w:numPr>
        <w:spacing w:after="240" w:before="240" w:lineRule="auto"/>
        <w:ind w:left="720" w:hanging="360"/>
      </w:pPr>
      <w:r w:rsidDel="00000000" w:rsidR="00000000" w:rsidRPr="00000000">
        <w:rPr>
          <w:b w:val="1"/>
          <w:bCs w:val="1"/>
          <w:rtl w:val="0"/>
        </w:rPr>
        <w:t xml:space="preserve">Legal Soundness:</w:t>
      </w:r>
      <w:r w:rsidDel="00000000" w:rsidR="00000000" w:rsidRPr="00000000">
        <w:rPr>
          <w:rtl w:val="0"/>
        </w:rPr>
        <w:t xml:space="preserve"> Suitability of the contracting approach, including jurisdiction, liability limits, and completeness.</w:t>
      </w:r>
    </w:p>
    <w:p w:rsidR="00000000" w:rsidDel="00000000" w:rsidP="00000000" w:rsidRDefault="00000000" w:rsidRPr="00000000" w14:paraId="00000029">
      <w:pPr>
        <w:numPr>
          <w:ilvl w:val="0"/>
          <w:numId w:val="5"/>
        </w:numPr>
        <w:spacing w:after="240" w:before="240" w:lineRule="auto"/>
        <w:ind w:left="720" w:hanging="360"/>
      </w:pPr>
      <w:r w:rsidDel="00000000" w:rsidR="00000000" w:rsidRPr="00000000">
        <w:rPr>
          <w:b w:val="1"/>
          <w:bCs w:val="1"/>
          <w:rtl w:val="0"/>
        </w:rPr>
        <w:t xml:space="preserve">Interface and Governance:</w:t>
      </w:r>
      <w:r w:rsidDel="00000000" w:rsidR="00000000" w:rsidRPr="00000000">
        <w:rPr>
          <w:rtl w:val="0"/>
        </w:rPr>
        <w:t xml:space="preserve"> Clarity of obligations at the customer-contractor boundary and the effectiveness of escalation paths.</w:t>
      </w:r>
    </w:p>
    <w:p w:rsidR="00000000" w:rsidDel="00000000" w:rsidP="00000000" w:rsidRDefault="00000000" w:rsidRPr="00000000" w14:paraId="0000002A">
      <w:pPr>
        <w:numPr>
          <w:ilvl w:val="0"/>
          <w:numId w:val="5"/>
        </w:numPr>
        <w:spacing w:after="240" w:before="240" w:lineRule="auto"/>
        <w:ind w:left="720" w:hanging="360"/>
      </w:pPr>
      <w:r w:rsidDel="00000000" w:rsidR="00000000" w:rsidRPr="00000000">
        <w:rPr>
          <w:b w:val="1"/>
          <w:bCs w:val="1"/>
          <w:rtl w:val="0"/>
        </w:rPr>
        <w:t xml:space="preserve">Risk Management:</w:t>
      </w:r>
      <w:r w:rsidDel="00000000" w:rsidR="00000000" w:rsidRPr="00000000">
        <w:rPr>
          <w:rtl w:val="0"/>
        </w:rPr>
        <w:t xml:space="preserve"> Identification and mitigation of cross-party risks such as bankruptcy, cybersecurity, and regulatory compliance.</w:t>
      </w:r>
    </w:p>
    <w:p w:rsidR="00000000" w:rsidDel="00000000" w:rsidP="00000000" w:rsidRDefault="00000000" w:rsidRPr="00000000" w14:paraId="0000002B">
      <w:pPr>
        <w:numPr>
          <w:ilvl w:val="0"/>
          <w:numId w:val="5"/>
        </w:numPr>
        <w:spacing w:after="240" w:before="240" w:lineRule="auto"/>
        <w:ind w:left="720" w:hanging="360"/>
      </w:pPr>
      <w:r w:rsidDel="00000000" w:rsidR="00000000" w:rsidRPr="00000000">
        <w:rPr>
          <w:b w:val="1"/>
          <w:bCs w:val="1"/>
          <w:rtl w:val="0"/>
        </w:rPr>
        <w:t xml:space="preserve">People Development:</w:t>
      </w:r>
      <w:r w:rsidDel="00000000" w:rsidR="00000000" w:rsidRPr="00000000">
        <w:rPr>
          <w:rtl w:val="0"/>
        </w:rPr>
        <w:t xml:space="preserve"> The level of investment in staff development as a percentage of net income or profit.(Categories: 0%, 0-5%, or 5%+).</w:t>
      </w:r>
    </w:p>
    <w:p w:rsidR="00000000" w:rsidDel="00000000" w:rsidP="00000000" w:rsidRDefault="00000000" w:rsidRPr="00000000" w14:paraId="0000002C">
      <w:pPr>
        <w:numPr>
          <w:ilvl w:val="0"/>
          <w:numId w:val="5"/>
        </w:numPr>
        <w:spacing w:after="240" w:before="240" w:lineRule="auto"/>
        <w:ind w:left="720" w:hanging="360"/>
      </w:pPr>
      <w:r w:rsidDel="00000000" w:rsidR="00000000" w:rsidRPr="00000000">
        <w:rPr>
          <w:b w:val="1"/>
          <w:bCs w:val="1"/>
          <w:rtl w:val="0"/>
        </w:rPr>
        <w:t xml:space="preserve">Team and Business Acumen:</w:t>
      </w:r>
      <w:r w:rsidDel="00000000" w:rsidR="00000000" w:rsidRPr="00000000">
        <w:rPr>
          <w:rtl w:val="0"/>
        </w:rPr>
        <w:t xml:space="preserve"> Leadership effectiveness and adherence to a cross-corporate code of conduct.</w:t>
      </w:r>
    </w:p>
    <w:p w:rsidR="00000000" w:rsidDel="00000000" w:rsidP="00000000" w:rsidRDefault="00000000" w:rsidRPr="00000000" w14:paraId="0000002D">
      <w:pPr>
        <w:numPr>
          <w:ilvl w:val="0"/>
          <w:numId w:val="5"/>
        </w:numPr>
        <w:spacing w:after="240" w:before="240" w:lineRule="auto"/>
        <w:ind w:left="720" w:hanging="360"/>
      </w:pPr>
      <w:r w:rsidDel="00000000" w:rsidR="00000000" w:rsidRPr="00000000">
        <w:rPr>
          <w:b w:val="1"/>
          <w:bCs w:val="1"/>
          <w:rtl w:val="0"/>
        </w:rPr>
        <w:t xml:space="preserve">Innovation &amp; Industry Advancement:</w:t>
      </w:r>
      <w:r w:rsidDel="00000000" w:rsidR="00000000" w:rsidRPr="00000000">
        <w:rPr>
          <w:rtl w:val="0"/>
        </w:rPr>
        <w:t xml:space="preserve"> The degree to which the project introduces novel approaches or advances the profession. </w:t>
      </w:r>
      <w:r w:rsidDel="00000000" w:rsidR="00000000" w:rsidRPr="00000000">
        <w:rPr>
          <w:color w:val="292a2e"/>
          <w:sz w:val="24"/>
          <w:szCs w:val="24"/>
          <w:highlight w:val="white"/>
          <w:rtl w:val="0"/>
        </w:rPr>
        <w:t xml:space="preserve">This criterion evaluates what makes the project exemplary and distinguishes winners from competent performers.</w:t>
      </w:r>
    </w:p>
    <w:p w:rsidR="00000000" w:rsidDel="00000000" w:rsidP="00000000" w:rsidRDefault="00000000" w:rsidRPr="00000000" w14:paraId="0000002E">
      <w:pPr>
        <w:spacing w:after="240" w:before="240" w:lineRule="auto"/>
        <w:rPr>
          <w:color w:val="292a2e"/>
          <w:sz w:val="24"/>
          <w:szCs w:val="24"/>
          <w:highlight w:val="white"/>
        </w:rPr>
      </w:pPr>
      <w:r w:rsidDel="00000000" w:rsidR="00000000" w:rsidRPr="00000000">
        <w:rPr>
          <w:rtl w:val="0"/>
        </w:rPr>
        <w:t xml:space="preserve">Since we have 9 dimensions and the highest score possible is 10. 90 is the highest score a submission could get.</w:t>
      </w:r>
      <w:r w:rsidDel="00000000" w:rsidR="00000000" w:rsidRPr="00000000">
        <w:rPr>
          <w:color w:val="292a2e"/>
          <w:sz w:val="24"/>
          <w:szCs w:val="24"/>
          <w:highlight w:val="white"/>
          <w:rtl w:val="0"/>
        </w:rPr>
        <w:t xml:space="preserve"> </w:t>
      </w:r>
      <w:r w:rsidDel="00000000" w:rsidR="00000000" w:rsidRPr="00000000">
        <w:rPr>
          <w:rtl w:val="0"/>
        </w:rPr>
      </w:r>
    </w:p>
    <w:p w:rsidR="00000000" w:rsidDel="00000000" w:rsidP="00000000" w:rsidRDefault="00000000" w:rsidRPr="00000000" w14:paraId="0000002F">
      <w:pPr>
        <w:pStyle w:val="Heading3"/>
        <w:rPr/>
      </w:pPr>
      <w:bookmarkStart w:colFirst="0" w:colLast="0" w:name="_p3tb637soaqj" w:id="6"/>
      <w:bookmarkEnd w:id="6"/>
      <w:r w:rsidDel="00000000" w:rsidR="00000000" w:rsidRPr="00000000">
        <w:rPr>
          <w:rtl w:val="0"/>
        </w:rPr>
        <w:t xml:space="preserve">The Innovation &amp; Industry Advancement Filter</w:t>
      </w:r>
    </w:p>
    <w:p w:rsidR="00000000" w:rsidDel="00000000" w:rsidP="00000000" w:rsidRDefault="00000000" w:rsidRPr="00000000" w14:paraId="00000030">
      <w:pPr>
        <w:spacing w:after="240" w:before="240" w:lineRule="auto"/>
        <w:rPr/>
      </w:pPr>
      <w:r w:rsidDel="00000000" w:rsidR="00000000" w:rsidRPr="00000000">
        <w:rPr>
          <w:rtl w:val="0"/>
        </w:rPr>
        <w:t xml:space="preserve">While a contractor might score well on standard metrics like delivery or legal soundness, </w:t>
      </w:r>
      <w:r w:rsidDel="00000000" w:rsidR="00000000" w:rsidRPr="00000000">
        <w:rPr>
          <w:b w:val="1"/>
          <w:bCs w:val="1"/>
          <w:rtl w:val="0"/>
        </w:rPr>
        <w:t xml:space="preserve">Criterion 9</w:t>
      </w:r>
      <w:r w:rsidDel="00000000" w:rsidR="00000000" w:rsidRPr="00000000">
        <w:rPr>
          <w:rtl w:val="0"/>
        </w:rPr>
        <w:t xml:space="preserve"> is specifically designed to evaluate what makes the project exemplary.</w:t>
      </w:r>
    </w:p>
    <w:p w:rsidR="00000000" w:rsidDel="00000000" w:rsidP="00000000" w:rsidRDefault="00000000" w:rsidRPr="00000000" w14:paraId="00000031">
      <w:pPr>
        <w:numPr>
          <w:ilvl w:val="0"/>
          <w:numId w:val="2"/>
        </w:numPr>
        <w:spacing w:after="240" w:before="240" w:lineRule="auto"/>
        <w:ind w:left="720" w:hanging="360"/>
        <w:rPr>
          <w:sz w:val="22"/>
          <w:szCs w:val="22"/>
          <w:u w:val="none"/>
        </w:rPr>
      </w:pPr>
      <w:r w:rsidDel="00000000" w:rsidR="00000000" w:rsidRPr="00000000">
        <w:rPr>
          <w:sz w:val="22"/>
          <w:szCs w:val="22"/>
          <w:rtl w:val="0"/>
        </w:rPr>
        <w:t xml:space="preserve">Winners are expected to typically score between </w:t>
      </w:r>
      <w:r w:rsidDel="00000000" w:rsidR="00000000" w:rsidRPr="00000000">
        <w:rPr>
          <w:sz w:val="22"/>
          <w:szCs w:val="22"/>
          <w:rtl w:val="0"/>
        </w:rPr>
        <w:t xml:space="preserve">8 and 9</w:t>
      </w:r>
      <w:r w:rsidDel="00000000" w:rsidR="00000000" w:rsidRPr="00000000">
        <w:rPr>
          <w:sz w:val="22"/>
          <w:szCs w:val="22"/>
          <w:rtl w:val="0"/>
        </w:rPr>
        <w:t xml:space="preserve"> on this specific criterion.</w:t>
      </w:r>
      <w:r w:rsidDel="00000000" w:rsidR="00000000" w:rsidRPr="00000000">
        <w:rPr>
          <w:rtl w:val="0"/>
        </w:rPr>
      </w:r>
    </w:p>
    <w:p w:rsidR="00000000" w:rsidDel="00000000" w:rsidP="00000000" w:rsidRDefault="00000000" w:rsidRPr="00000000" w14:paraId="00000032">
      <w:pPr>
        <w:numPr>
          <w:ilvl w:val="0"/>
          <w:numId w:val="2"/>
        </w:numPr>
        <w:spacing w:after="240" w:before="240" w:lineRule="auto"/>
        <w:ind w:left="720" w:hanging="360"/>
      </w:pPr>
      <w:r w:rsidDel="00000000" w:rsidR="00000000" w:rsidRPr="00000000">
        <w:rPr>
          <w:b w:val="1"/>
          <w:bCs w:val="1"/>
          <w:rtl w:val="0"/>
        </w:rPr>
        <w:t xml:space="preserve">Threshold for Excellence:</w:t>
      </w:r>
      <w:r w:rsidDel="00000000" w:rsidR="00000000" w:rsidRPr="00000000">
        <w:rPr>
          <w:rtl w:val="0"/>
        </w:rPr>
        <w:t xml:space="preserve"> A score of </w:t>
      </w:r>
      <w:r w:rsidDel="00000000" w:rsidR="00000000" w:rsidRPr="00000000">
        <w:rPr>
          <w:b w:val="1"/>
          <w:bCs w:val="1"/>
          <w:rtl w:val="0"/>
        </w:rPr>
        <w:t xml:space="preserve">10</w:t>
      </w:r>
      <w:r w:rsidDel="00000000" w:rsidR="00000000" w:rsidRPr="00000000">
        <w:rPr>
          <w:rtl w:val="0"/>
        </w:rPr>
        <w:t xml:space="preserve"> is only awarded if the project is "groundbreaking," or "advances the profession,"</w:t>
      </w:r>
    </w:p>
    <w:p w:rsidR="00000000" w:rsidDel="00000000" w:rsidP="00000000" w:rsidRDefault="00000000" w:rsidRPr="00000000" w14:paraId="00000033">
      <w:pPr>
        <w:pStyle w:val="Heading1"/>
        <w:spacing w:after="240" w:before="240" w:lineRule="auto"/>
        <w:rPr/>
      </w:pPr>
      <w:bookmarkStart w:colFirst="0" w:colLast="0" w:name="_76hl8wq0ro0t" w:id="7"/>
      <w:bookmarkEnd w:id="7"/>
      <w:r w:rsidDel="00000000" w:rsidR="00000000" w:rsidRPr="00000000">
        <w:rPr>
          <w:rtl w:val="0"/>
        </w:rPr>
        <w:t xml:space="preserve">Judging Panel Evaluation</w:t>
      </w:r>
    </w:p>
    <w:p w:rsidR="00000000" w:rsidDel="00000000" w:rsidP="00000000" w:rsidRDefault="00000000" w:rsidRPr="00000000" w14:paraId="00000034">
      <w:pPr>
        <w:rPr/>
      </w:pPr>
      <w:r w:rsidDel="00000000" w:rsidR="00000000" w:rsidRPr="00000000">
        <w:rPr>
          <w:rtl w:val="0"/>
        </w:rPr>
        <w:t xml:space="preserve">Once the numerical scores are established by the assessors and the customers, the judging panel applies a qualitative lens to see if the nomination moves past standard expectations in five key areas:</w:t>
      </w:r>
    </w:p>
    <w:p w:rsidR="00000000" w:rsidDel="00000000" w:rsidP="00000000" w:rsidRDefault="00000000" w:rsidRPr="00000000" w14:paraId="00000035">
      <w:pPr>
        <w:numPr>
          <w:ilvl w:val="0"/>
          <w:numId w:val="3"/>
        </w:numPr>
        <w:ind w:left="720" w:hanging="360"/>
        <w:rPr>
          <w:u w:val="none"/>
        </w:rPr>
      </w:pPr>
      <w:r w:rsidDel="00000000" w:rsidR="00000000" w:rsidRPr="00000000">
        <w:rPr>
          <w:b w:val="1"/>
          <w:bCs w:val="1"/>
          <w:rtl w:val="0"/>
        </w:rPr>
        <w:t xml:space="preserve">From Competence to Excellence:</w:t>
      </w:r>
      <w:r w:rsidDel="00000000" w:rsidR="00000000" w:rsidRPr="00000000">
        <w:rPr>
          <w:rtl w:val="0"/>
        </w:rPr>
        <w:t xml:space="preserve"> The project contractor did not just do the job well; they did something uniquely valuable.</w:t>
      </w:r>
    </w:p>
    <w:p w:rsidR="00000000" w:rsidDel="00000000" w:rsidP="00000000" w:rsidRDefault="00000000" w:rsidRPr="00000000" w14:paraId="00000036">
      <w:pPr>
        <w:numPr>
          <w:ilvl w:val="0"/>
          <w:numId w:val="3"/>
        </w:numPr>
        <w:ind w:left="720" w:hanging="360"/>
        <w:rPr>
          <w:u w:val="none"/>
        </w:rPr>
      </w:pPr>
      <w:r w:rsidDel="00000000" w:rsidR="00000000" w:rsidRPr="00000000">
        <w:rPr>
          <w:b w:val="1"/>
          <w:bCs w:val="1"/>
          <w:rtl w:val="0"/>
        </w:rPr>
        <w:t xml:space="preserve">From Compliance to Impact:</w:t>
      </w:r>
      <w:r w:rsidDel="00000000" w:rsidR="00000000" w:rsidRPr="00000000">
        <w:rPr>
          <w:rtl w:val="0"/>
        </w:rPr>
        <w:t xml:space="preserve"> Instead of merely following good processes, the project contractor created measurable, lasting change.</w:t>
      </w:r>
    </w:p>
    <w:p w:rsidR="00000000" w:rsidDel="00000000" w:rsidP="00000000" w:rsidRDefault="00000000" w:rsidRPr="00000000" w14:paraId="00000037">
      <w:pPr>
        <w:numPr>
          <w:ilvl w:val="0"/>
          <w:numId w:val="3"/>
        </w:numPr>
        <w:ind w:left="720" w:hanging="360"/>
        <w:rPr>
          <w:u w:val="none"/>
        </w:rPr>
      </w:pPr>
      <w:r w:rsidDel="00000000" w:rsidR="00000000" w:rsidRPr="00000000">
        <w:rPr>
          <w:b w:val="1"/>
          <w:bCs w:val="1"/>
          <w:rtl w:val="0"/>
        </w:rPr>
        <w:t xml:space="preserve">From Project Success to Industry Contribution:</w:t>
      </w:r>
      <w:r w:rsidDel="00000000" w:rsidR="00000000" w:rsidRPr="00000000">
        <w:rPr>
          <w:rtl w:val="0"/>
        </w:rPr>
        <w:t xml:space="preserve"> Success is measured not just by client satisfaction, but by how the project advanced the profession and shared knowledge.</w:t>
      </w:r>
    </w:p>
    <w:p w:rsidR="00000000" w:rsidDel="00000000" w:rsidP="00000000" w:rsidRDefault="00000000" w:rsidRPr="00000000" w14:paraId="00000038">
      <w:pPr>
        <w:numPr>
          <w:ilvl w:val="0"/>
          <w:numId w:val="3"/>
        </w:numPr>
        <w:ind w:left="720" w:hanging="360"/>
        <w:rPr>
          <w:u w:val="none"/>
        </w:rPr>
      </w:pPr>
      <w:r w:rsidDel="00000000" w:rsidR="00000000" w:rsidRPr="00000000">
        <w:rPr>
          <w:b w:val="1"/>
          <w:bCs w:val="1"/>
          <w:rtl w:val="0"/>
        </w:rPr>
        <w:t xml:space="preserve">From Standard Practice to Innovation:</w:t>
      </w:r>
      <w:r w:rsidDel="00000000" w:rsidR="00000000" w:rsidRPr="00000000">
        <w:rPr>
          <w:rtl w:val="0"/>
        </w:rPr>
        <w:t xml:space="preserve"> The contractor did not just follow existing best practices; they created new ones.</w:t>
      </w:r>
    </w:p>
    <w:p w:rsidR="00000000" w:rsidDel="00000000" w:rsidP="00000000" w:rsidRDefault="00000000" w:rsidRPr="00000000" w14:paraId="00000039">
      <w:pPr>
        <w:numPr>
          <w:ilvl w:val="0"/>
          <w:numId w:val="3"/>
        </w:numPr>
        <w:ind w:left="720" w:hanging="360"/>
        <w:rPr>
          <w:u w:val="none"/>
        </w:rPr>
      </w:pPr>
      <w:r w:rsidDel="00000000" w:rsidR="00000000" w:rsidRPr="00000000">
        <w:rPr>
          <w:b w:val="1"/>
          <w:bCs w:val="1"/>
          <w:rtl w:val="0"/>
        </w:rPr>
        <w:t xml:space="preserve">From Completion to Legacy:</w:t>
      </w:r>
      <w:r w:rsidDel="00000000" w:rsidR="00000000" w:rsidRPr="00000000">
        <w:rPr>
          <w:rtl w:val="0"/>
        </w:rPr>
        <w:t xml:space="preserve"> Beyond finishing the project, the winner leaves a lasting impact and transforms organizational relationships.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905"/>
        <w:tblGridChange w:id="0">
          <w:tblGrid>
            <w:gridCol w:w="4455"/>
            <w:gridCol w:w="490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cc0000" w:val="clear"/>
            <w:tcMar>
              <w:top w:w="40.0" w:type="dxa"/>
              <w:left w:w="40.0" w:type="dxa"/>
              <w:bottom w:w="40.0" w:type="dxa"/>
              <w:right w:w="40.0" w:type="dxa"/>
            </w:tcMar>
            <w:vAlign w:val="center"/>
          </w:tcPr>
          <w:p w:rsidR="00000000" w:rsidDel="00000000" w:rsidP="00000000" w:rsidRDefault="00000000" w:rsidRPr="00000000" w14:paraId="0000003A">
            <w:pPr>
              <w:widowControl w:val="0"/>
              <w:jc w:val="center"/>
              <w:rPr>
                <w:color w:val="ffffff"/>
                <w:sz w:val="20"/>
                <w:szCs w:val="20"/>
              </w:rPr>
            </w:pPr>
            <w:r w:rsidDel="00000000" w:rsidR="00000000" w:rsidRPr="00000000">
              <w:rPr>
                <w:b w:val="1"/>
                <w:bCs w:val="1"/>
                <w:color w:val="ffffff"/>
                <w:sz w:val="20"/>
                <w:szCs w:val="20"/>
                <w:rtl w:val="0"/>
              </w:rPr>
              <w:t xml:space="preserve">Standard Performance (Competence)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c0000" w:val="clear"/>
            <w:tcMar>
              <w:top w:w="40.0" w:type="dxa"/>
              <w:left w:w="40.0" w:type="dxa"/>
              <w:bottom w:w="40.0" w:type="dxa"/>
              <w:right w:w="40.0" w:type="dxa"/>
            </w:tcMar>
            <w:vAlign w:val="center"/>
          </w:tcPr>
          <w:p w:rsidR="00000000" w:rsidDel="00000000" w:rsidP="00000000" w:rsidRDefault="00000000" w:rsidRPr="00000000" w14:paraId="0000003B">
            <w:pPr>
              <w:widowControl w:val="0"/>
              <w:jc w:val="center"/>
              <w:rPr>
                <w:color w:val="ffffff"/>
                <w:sz w:val="20"/>
                <w:szCs w:val="20"/>
              </w:rPr>
            </w:pPr>
            <w:r w:rsidDel="00000000" w:rsidR="00000000" w:rsidRPr="00000000">
              <w:rPr>
                <w:b w:val="1"/>
                <w:bCs w:val="1"/>
                <w:color w:val="ffffff"/>
                <w:sz w:val="20"/>
                <w:szCs w:val="20"/>
                <w:rtl w:val="0"/>
              </w:rPr>
              <w:t xml:space="preserve">Exemplary Performance (Winner)</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3C">
            <w:pPr>
              <w:widowControl w:val="0"/>
              <w:jc w:val="center"/>
              <w:rPr>
                <w:sz w:val="20"/>
                <w:szCs w:val="20"/>
              </w:rPr>
            </w:pPr>
            <w:r w:rsidDel="00000000" w:rsidR="00000000" w:rsidRPr="00000000">
              <w:rPr>
                <w:b w:val="1"/>
                <w:bCs w:val="1"/>
                <w:sz w:val="20"/>
                <w:szCs w:val="20"/>
                <w:rtl w:val="0"/>
              </w:rPr>
              <w:t xml:space="preserve">Competence:</w:t>
            </w:r>
            <w:r w:rsidDel="00000000" w:rsidR="00000000" w:rsidRPr="00000000">
              <w:rPr>
                <w:sz w:val="20"/>
                <w:szCs w:val="20"/>
                <w:rtl w:val="0"/>
              </w:rPr>
              <w:t xml:space="preserve"> did the job very well.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3D">
            <w:pPr>
              <w:widowControl w:val="0"/>
              <w:jc w:val="center"/>
              <w:rPr>
                <w:sz w:val="20"/>
                <w:szCs w:val="20"/>
              </w:rPr>
            </w:pPr>
            <w:r w:rsidDel="00000000" w:rsidR="00000000" w:rsidRPr="00000000">
              <w:rPr>
                <w:b w:val="1"/>
                <w:bCs w:val="1"/>
                <w:sz w:val="20"/>
                <w:szCs w:val="20"/>
                <w:rtl w:val="0"/>
              </w:rPr>
              <w:t xml:space="preserve">Excellence:</w:t>
            </w:r>
            <w:r w:rsidDel="00000000" w:rsidR="00000000" w:rsidRPr="00000000">
              <w:rPr>
                <w:sz w:val="20"/>
                <w:szCs w:val="20"/>
                <w:rtl w:val="0"/>
              </w:rPr>
              <w:t xml:space="preserve"> Did something uniquely valuable.</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3E">
            <w:pPr>
              <w:widowControl w:val="0"/>
              <w:jc w:val="center"/>
              <w:rPr>
                <w:sz w:val="20"/>
                <w:szCs w:val="20"/>
              </w:rPr>
            </w:pPr>
            <w:r w:rsidDel="00000000" w:rsidR="00000000" w:rsidRPr="00000000">
              <w:rPr>
                <w:b w:val="1"/>
                <w:bCs w:val="1"/>
                <w:sz w:val="20"/>
                <w:szCs w:val="20"/>
                <w:rtl w:val="0"/>
              </w:rPr>
              <w:t xml:space="preserve">Compliance:</w:t>
            </w:r>
            <w:r w:rsidDel="00000000" w:rsidR="00000000" w:rsidRPr="00000000">
              <w:rPr>
                <w:sz w:val="20"/>
                <w:szCs w:val="20"/>
                <w:rtl w:val="0"/>
              </w:rPr>
              <w:t xml:space="preserve"> Had good processes.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3F">
            <w:pPr>
              <w:widowControl w:val="0"/>
              <w:jc w:val="center"/>
              <w:rPr>
                <w:sz w:val="20"/>
                <w:szCs w:val="20"/>
              </w:rPr>
            </w:pPr>
            <w:r w:rsidDel="00000000" w:rsidR="00000000" w:rsidRPr="00000000">
              <w:rPr>
                <w:b w:val="1"/>
                <w:bCs w:val="1"/>
                <w:sz w:val="20"/>
                <w:szCs w:val="20"/>
                <w:rtl w:val="0"/>
              </w:rPr>
              <w:t xml:space="preserve">Impact:</w:t>
            </w:r>
            <w:r w:rsidDel="00000000" w:rsidR="00000000" w:rsidRPr="00000000">
              <w:rPr>
                <w:sz w:val="20"/>
                <w:szCs w:val="20"/>
                <w:rtl w:val="0"/>
              </w:rPr>
              <w:t xml:space="preserve"> Created measurable, lasting change.</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40">
            <w:pPr>
              <w:widowControl w:val="0"/>
              <w:jc w:val="center"/>
              <w:rPr>
                <w:sz w:val="20"/>
                <w:szCs w:val="20"/>
              </w:rPr>
            </w:pPr>
            <w:r w:rsidDel="00000000" w:rsidR="00000000" w:rsidRPr="00000000">
              <w:rPr>
                <w:b w:val="1"/>
                <w:bCs w:val="1"/>
                <w:sz w:val="20"/>
                <w:szCs w:val="20"/>
                <w:rtl w:val="0"/>
              </w:rPr>
              <w:t xml:space="preserve">Success:</w:t>
            </w:r>
            <w:r w:rsidDel="00000000" w:rsidR="00000000" w:rsidRPr="00000000">
              <w:rPr>
                <w:sz w:val="20"/>
                <w:szCs w:val="20"/>
                <w:rtl w:val="0"/>
              </w:rPr>
              <w:t xml:space="preserve"> The contractor customer was happy.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41">
            <w:pPr>
              <w:widowControl w:val="0"/>
              <w:jc w:val="center"/>
              <w:rPr>
                <w:sz w:val="20"/>
                <w:szCs w:val="20"/>
              </w:rPr>
            </w:pPr>
            <w:r w:rsidDel="00000000" w:rsidR="00000000" w:rsidRPr="00000000">
              <w:rPr>
                <w:b w:val="1"/>
                <w:bCs w:val="1"/>
                <w:sz w:val="20"/>
                <w:szCs w:val="20"/>
                <w:rtl w:val="0"/>
              </w:rPr>
              <w:t xml:space="preserve">Industry Contribution:</w:t>
            </w:r>
            <w:r w:rsidDel="00000000" w:rsidR="00000000" w:rsidRPr="00000000">
              <w:rPr>
                <w:sz w:val="20"/>
                <w:szCs w:val="20"/>
                <w:rtl w:val="0"/>
              </w:rPr>
              <w:t xml:space="preserve"> Shared knowledge and advanced the profession.</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42">
            <w:pPr>
              <w:widowControl w:val="0"/>
              <w:jc w:val="center"/>
              <w:rPr>
                <w:sz w:val="20"/>
                <w:szCs w:val="20"/>
              </w:rPr>
            </w:pPr>
            <w:r w:rsidDel="00000000" w:rsidR="00000000" w:rsidRPr="00000000">
              <w:rPr>
                <w:b w:val="1"/>
                <w:bCs w:val="1"/>
                <w:sz w:val="20"/>
                <w:szCs w:val="20"/>
                <w:rtl w:val="0"/>
              </w:rPr>
              <w:t xml:space="preserve">Standards: </w:t>
            </w:r>
            <w:r w:rsidDel="00000000" w:rsidR="00000000" w:rsidRPr="00000000">
              <w:rPr>
                <w:sz w:val="20"/>
                <w:szCs w:val="20"/>
                <w:rtl w:val="0"/>
              </w:rPr>
              <w:t xml:space="preserve">Followed best practices.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43">
            <w:pPr>
              <w:widowControl w:val="0"/>
              <w:jc w:val="center"/>
              <w:rPr>
                <w:sz w:val="20"/>
                <w:szCs w:val="20"/>
              </w:rPr>
            </w:pPr>
            <w:r w:rsidDel="00000000" w:rsidR="00000000" w:rsidRPr="00000000">
              <w:rPr>
                <w:b w:val="1"/>
                <w:bCs w:val="1"/>
                <w:sz w:val="20"/>
                <w:szCs w:val="20"/>
                <w:rtl w:val="0"/>
              </w:rPr>
              <w:t xml:space="preserve">Innovation: </w:t>
            </w:r>
            <w:r w:rsidDel="00000000" w:rsidR="00000000" w:rsidRPr="00000000">
              <w:rPr>
                <w:sz w:val="20"/>
                <w:szCs w:val="20"/>
                <w:rtl w:val="0"/>
              </w:rPr>
              <w:t xml:space="preserve">Created new best practices.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44">
            <w:pPr>
              <w:widowControl w:val="0"/>
              <w:jc w:val="center"/>
              <w:rPr>
                <w:sz w:val="20"/>
                <w:szCs w:val="20"/>
              </w:rPr>
            </w:pPr>
            <w:r w:rsidDel="00000000" w:rsidR="00000000" w:rsidRPr="00000000">
              <w:rPr>
                <w:b w:val="1"/>
                <w:bCs w:val="1"/>
                <w:sz w:val="20"/>
                <w:szCs w:val="20"/>
                <w:rtl w:val="0"/>
              </w:rPr>
              <w:t xml:space="preserve">Project Completion:</w:t>
            </w:r>
            <w:r w:rsidDel="00000000" w:rsidR="00000000" w:rsidRPr="00000000">
              <w:rPr>
                <w:sz w:val="20"/>
                <w:szCs w:val="20"/>
                <w:rtl w:val="0"/>
              </w:rPr>
              <w:t xml:space="preserve"> Finished the project.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45">
            <w:pPr>
              <w:widowControl w:val="0"/>
              <w:jc w:val="center"/>
              <w:rPr>
                <w:sz w:val="20"/>
                <w:szCs w:val="20"/>
              </w:rPr>
            </w:pPr>
            <w:r w:rsidDel="00000000" w:rsidR="00000000" w:rsidRPr="00000000">
              <w:rPr>
                <w:b w:val="1"/>
                <w:bCs w:val="1"/>
                <w:sz w:val="20"/>
                <w:szCs w:val="20"/>
                <w:rtl w:val="0"/>
              </w:rPr>
              <w:t xml:space="preserve">Legacy:</w:t>
            </w:r>
            <w:r w:rsidDel="00000000" w:rsidR="00000000" w:rsidRPr="00000000">
              <w:rPr>
                <w:sz w:val="20"/>
                <w:szCs w:val="20"/>
                <w:rtl w:val="0"/>
              </w:rPr>
              <w:t xml:space="preserve"> Transformed relationships and left a lasting impact.</w:t>
            </w:r>
          </w:p>
        </w:tc>
      </w:tr>
    </w:tbl>
    <w:p w:rsidR="00000000" w:rsidDel="00000000" w:rsidP="00000000" w:rsidRDefault="00000000" w:rsidRPr="00000000" w14:paraId="00000046">
      <w:pPr>
        <w:spacing w:after="240" w:before="240" w:lineRule="auto"/>
        <w:rPr/>
      </w:pPr>
      <w:r w:rsidDel="00000000" w:rsidR="00000000" w:rsidRPr="00000000">
        <w:rPr>
          <w:i w:val="1"/>
          <w:iCs w:val="1"/>
          <w:rtl w:val="0"/>
        </w:rPr>
        <w:t xml:space="preserve">Table 1:Exemplary Anchors</w:t>
      </w:r>
      <w:r w:rsidDel="00000000" w:rsidR="00000000" w:rsidRPr="00000000">
        <w:rPr>
          <w:rtl w:val="0"/>
        </w:rPr>
      </w:r>
    </w:p>
    <w:p w:rsidR="00000000" w:rsidDel="00000000" w:rsidP="00000000" w:rsidRDefault="00000000" w:rsidRPr="00000000" w14:paraId="00000047">
      <w:pPr>
        <w:pStyle w:val="Heading2"/>
        <w:rPr/>
      </w:pPr>
      <w:bookmarkStart w:colFirst="0" w:colLast="0" w:name="_a4bmkiwdqoml" w:id="8"/>
      <w:bookmarkEnd w:id="8"/>
      <w:r w:rsidDel="00000000" w:rsidR="00000000" w:rsidRPr="00000000">
        <w:rPr>
          <w:rtl w:val="0"/>
        </w:rPr>
        <w:t xml:space="preserve">The Final "Case Study" Test</w:t>
      </w:r>
    </w:p>
    <w:p w:rsidR="00000000" w:rsidDel="00000000" w:rsidP="00000000" w:rsidRDefault="00000000" w:rsidRPr="00000000" w14:paraId="00000048">
      <w:pPr>
        <w:rPr/>
      </w:pPr>
      <w:r w:rsidDel="00000000" w:rsidR="00000000" w:rsidRPr="00000000">
        <w:rPr>
          <w:rtl w:val="0"/>
        </w:rPr>
        <w:t xml:space="preserve">The exemplary evaluation concludes with a final practical question for the judging panel: </w:t>
      </w:r>
      <w:r w:rsidDel="00000000" w:rsidR="00000000" w:rsidRPr="00000000">
        <w:rPr>
          <w:b w:val="1"/>
          <w:bCs w:val="1"/>
          <w:rtl w:val="0"/>
        </w:rPr>
        <w:t xml:space="preserve">"Would we want to publish this as a case study?"</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If the project is competent but does not offer lessons that others in the industry can learn from, it is unlikely to win, regardless of how high the base delivery scores are.</w:t>
      </w:r>
    </w:p>
    <w:p w:rsidR="00000000" w:rsidDel="00000000" w:rsidP="00000000" w:rsidRDefault="00000000" w:rsidRPr="00000000" w14:paraId="0000004A">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r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5362575</wp:posOffset>
          </wp:positionH>
          <wp:positionV relativeFrom="paragraph">
            <wp:posOffset>495300</wp:posOffset>
          </wp:positionV>
          <wp:extent cx="647700" cy="71437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7353" l="10228" r="-10228" t="-17647"/>
                  <a:stretch>
                    <a:fillRect/>
                  </a:stretch>
                </pic:blipFill>
                <pic:spPr>
                  <a:xfrm>
                    <a:off x="0" y="0"/>
                    <a:ext cx="647700" cy="714375"/>
                  </a:xfrm>
                  <a:prstGeom prst="rect"/>
                  <a:ln/>
                </pic:spPr>
              </pic:pic>
            </a:graphicData>
          </a:graphic>
        </wp:anchor>
      </w:drawing>
    </w:r>
  </w:p>
  <w:p w:rsidR="00000000" w:rsidDel="00000000" w:rsidP="00000000" w:rsidRDefault="00000000" w:rsidRPr="00000000" w14:paraId="0000004E">
    <w:pPr>
      <w:pBdr>
        <w:top w:color="666666" w:space="6" w:sz="4" w:val="single"/>
      </w:pBdr>
      <w:rPr>
        <w:color w:val="999999"/>
        <w:sz w:val="18"/>
        <w:szCs w:val="18"/>
      </w:rPr>
    </w:pPr>
    <w:r w:rsidDel="00000000" w:rsidR="00000000" w:rsidRPr="00000000">
      <w:rPr>
        <w:color w:val="999999"/>
        <w:sz w:val="18"/>
        <w:szCs w:val="18"/>
        <w:rtl w:val="0"/>
      </w:rPr>
      <w:t xml:space="preserve">Contractor of the Year Award</w:t>
      <w:tab/>
      <w:tab/>
      <w:tab/>
      <w:tab/>
      <w:tab/>
      <w:tab/>
      <w:tab/>
      <w:tab/>
    </w:r>
    <w:r w:rsidDel="00000000" w:rsidR="00000000" w:rsidRPr="00000000">
      <w:rPr>
        <w:color w:val="999999"/>
        <w:sz w:val="18"/>
        <w:szCs w:val="18"/>
      </w:rPr>
      <w:fldChar w:fldCharType="begin"/>
      <w:instrText xml:space="preserve">PAGE</w:instrText>
      <w:fldChar w:fldCharType="separate"/>
      <w:fldChar w:fldCharType="end"/>
    </w:r>
    <w:r w:rsidDel="00000000" w:rsidR="00000000" w:rsidRPr="00000000">
      <w:rPr>
        <w:color w:val="999999"/>
        <w:sz w:val="18"/>
        <w:szCs w:val="18"/>
        <w:rtl w:val="0"/>
      </w:rPr>
      <w:tab/>
      <w:tab/>
      <w:tab/>
      <w:tab/>
      <w:tab/>
      <w:tab/>
      <w:tab/>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pBdr>
        <w:bottom w:color="666666" w:space="1" w:sz="8" w:val="single"/>
      </w:pBdr>
      <w:ind w:left="0" w:firstLine="0"/>
      <w:rPr/>
    </w:pPr>
    <w:r w:rsidDel="00000000" w:rsidR="00000000" w:rsidRPr="00000000">
      <w:rPr>
        <w:color w:val="999999"/>
        <w:sz w:val="18"/>
        <w:szCs w:val="18"/>
        <w:rtl w:val="0"/>
      </w:rPr>
      <w:t xml:space="preserve">Assessment Guide (Assessors &amp; Judges)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before="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cc0000" w:space="2" w:sz="8" w:val="single"/>
      </w:pBdr>
      <w:spacing w:after="120" w:before="280" w:lineRule="auto"/>
    </w:pPr>
    <w:rPr>
      <w:rFonts w:ascii="Montserrat" w:cs="Montserrat" w:eastAsia="Montserrat" w:hAnsi="Montserrat"/>
      <w:b w:val="1"/>
      <w:bCs w:val="1"/>
      <w:color w:val="cc0000"/>
      <w:sz w:val="32"/>
      <w:szCs w:val="32"/>
    </w:rPr>
  </w:style>
  <w:style w:type="paragraph" w:styleId="Heading2">
    <w:name w:val="heading 2"/>
    <w:basedOn w:val="Normal"/>
    <w:next w:val="Normal"/>
    <w:pPr>
      <w:keepNext w:val="1"/>
      <w:keepLines w:val="1"/>
      <w:pBdr>
        <w:left w:color="cc0000" w:space="2" w:sz="24" w:val="single"/>
      </w:pBdr>
      <w:spacing w:after="120" w:before="280" w:lineRule="auto"/>
    </w:pPr>
    <w:rPr>
      <w:rFonts w:ascii="Montserrat" w:cs="Montserrat" w:eastAsia="Montserrat" w:hAnsi="Montserrat"/>
      <w:b w:val="1"/>
      <w:bCs w:val="1"/>
      <w:color w:val="666666"/>
      <w:sz w:val="26"/>
      <w:szCs w:val="26"/>
    </w:rPr>
  </w:style>
  <w:style w:type="paragraph" w:styleId="Heading3">
    <w:name w:val="heading 3"/>
    <w:basedOn w:val="Normal"/>
    <w:next w:val="Normal"/>
    <w:pPr>
      <w:keepNext w:val="1"/>
      <w:keepLines w:val="1"/>
      <w:spacing w:after="80" w:before="320" w:lineRule="auto"/>
    </w:pPr>
    <w:rPr>
      <w:rFonts w:ascii="Montserrat" w:cs="Montserrat" w:eastAsia="Montserrat" w:hAnsi="Montserrat"/>
      <w:b w:val="1"/>
      <w:bCs w:val="1"/>
      <w:i w:val="1"/>
      <w:i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