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200" w:before="0"/>
        <w:jc w:val="left"/>
      </w:pPr>
      <w:r>
        <w:rPr>
          <w:b/>
          <w:bCs/>
          <w:color w:val="1A365D"/>
          <w:sz w:val="52"/>
          <w:szCs w:val="52"/>
        </w:rPr>
        <w:t xml:space="preserve">KTU Data Engineer Assessment</w:t>
      </w:r>
    </w:p>
    <w:p>
      <w:pPr>
        <w:spacing w:after="600" w:before="0"/>
        <w:jc w:val="left"/>
      </w:pPr>
      <w:r>
        <w:rPr>
          <w:color w:val="2C5282"/>
          <w:sz w:val="36"/>
          <w:szCs w:val="36"/>
        </w:rPr>
        <w:t xml:space="preserve">Multi-Source Training Data Pipeline</w:t>
      </w:r>
    </w:p>
    <w:p>
      <w:pPr>
        <w:spacing w:after="1200" w:before="0"/>
        <w:jc w:val="left"/>
      </w:pPr>
      <w:r>
        <w:rPr>
          <w:color w:val="4A5568"/>
          <w:sz w:val="28"/>
          <w:szCs w:val="28"/>
        </w:rPr>
        <w:t xml:space="preserve">Technical Design Document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rPr>
          <w:tblHeader/>
        </w:trPr>
        <w:tc>
          <w:tcPr>
            <w:shd w:fill="1A365D" w:val="clear"/>
            <w:tcMar>
              <w:top w:type="dxa" w:w="80"/>
              <w:left w:type="dxa" w:w="120"/>
              <w:bottom w:type="dxa" w:w="80"/>
              <w:right w:type="dxa" w:w="120"/>
            </w:tcMar>
          </w:tcPr>
          <w:p>
            <w:pPr>
              <w:spacing w:after="40" w:before="40"/>
              <w:jc w:val="left"/>
            </w:pPr>
            <w:r>
              <w:rPr>
                <w:b/>
                <w:bCs/>
                <w:color w:val="FFFFFF"/>
                <w:sz w:val="18"/>
                <w:szCs w:val="18"/>
              </w:rPr>
              <w:t xml:space="preserve">Attribute</w:t>
            </w:r>
          </w:p>
        </w:tc>
        <w:tc>
          <w:tcPr>
            <w:shd w:fill="1A365D" w:val="clear"/>
            <w:tcMar>
              <w:top w:type="dxa" w:w="80"/>
              <w:left w:type="dxa" w:w="120"/>
              <w:bottom w:type="dxa" w:w="80"/>
              <w:right w:type="dxa" w:w="120"/>
            </w:tcMar>
          </w:tcPr>
          <w:p>
            <w:pPr>
              <w:spacing w:after="40" w:before="40"/>
              <w:jc w:val="left"/>
            </w:pPr>
            <w:r>
              <w:rPr>
                <w:b/>
                <w:bCs/>
                <w:color w:val="FFFFFF"/>
                <w:sz w:val="18"/>
                <w:szCs w:val="18"/>
              </w:rPr>
              <w:t xml:space="preserve">Value</w:t>
            </w:r>
          </w:p>
        </w:tc>
      </w:tr>
      <w:tr>
        <w:tc>
          <w:tcPr>
            <w:shd w:fill="EBF4FF" w:val="clear"/>
            <w:tcMar>
              <w:top w:type="dxa" w:w="60"/>
              <w:left w:type="dxa" w:w="120"/>
              <w:bottom w:type="dxa" w:w="60"/>
              <w:right w:type="dxa" w:w="120"/>
            </w:tcMar>
          </w:tcPr>
          <w:p>
            <w:pPr>
              <w:spacing w:after="40" w:before="40"/>
            </w:pPr>
            <w:r>
              <w:rPr>
                <w:sz w:val="18"/>
                <w:szCs w:val="18"/>
              </w:rPr>
              <w:t xml:space="preserve">Platform</w:t>
            </w:r>
          </w:p>
        </w:tc>
        <w:tc>
          <w:tcPr>
            <w:shd w:fill="EBF4FF" w:val="clear"/>
            <w:tcMar>
              <w:top w:type="dxa" w:w="60"/>
              <w:left w:type="dxa" w:w="120"/>
              <w:bottom w:type="dxa" w:w="60"/>
              <w:right w:type="dxa" w:w="120"/>
            </w:tcMar>
          </w:tcPr>
          <w:p>
            <w:pPr>
              <w:spacing w:after="40" w:before="40"/>
            </w:pPr>
            <w:r>
              <w:rPr>
                <w:sz w:val="18"/>
                <w:szCs w:val="18"/>
              </w:rPr>
              <w:t xml:space="preserve">Azure Databricks (Unity Catalog, Serverless Compute)</w:t>
            </w:r>
          </w:p>
        </w:tc>
      </w:tr>
      <w:tr>
        <w:tc>
          <w:tcPr>
            <w:tcMar>
              <w:top w:type="dxa" w:w="60"/>
              <w:left w:type="dxa" w:w="120"/>
              <w:bottom w:type="dxa" w:w="60"/>
              <w:right w:type="dxa" w:w="120"/>
            </w:tcMar>
          </w:tcPr>
          <w:p>
            <w:pPr>
              <w:spacing w:after="40" w:before="40"/>
            </w:pPr>
            <w:r>
              <w:rPr>
                <w:sz w:val="18"/>
                <w:szCs w:val="18"/>
              </w:rPr>
              <w:t xml:space="preserve">Architecture</w:t>
            </w:r>
          </w:p>
        </w:tc>
        <w:tc>
          <w:tcPr>
            <w:tcMar>
              <w:top w:type="dxa" w:w="60"/>
              <w:left w:type="dxa" w:w="120"/>
              <w:bottom w:type="dxa" w:w="60"/>
              <w:right w:type="dxa" w:w="120"/>
            </w:tcMar>
          </w:tcPr>
          <w:p>
            <w:pPr>
              <w:spacing w:after="40" w:before="40"/>
            </w:pPr>
            <w:r>
              <w:rPr>
                <w:sz w:val="18"/>
                <w:szCs w:val="18"/>
              </w:rPr>
              <w:t xml:space="preserve">Medallion (Volume → Bronze → Silver → Gold)</w:t>
            </w:r>
          </w:p>
        </w:tc>
      </w:tr>
      <w:tr>
        <w:tc>
          <w:tcPr>
            <w:shd w:fill="EBF4FF" w:val="clear"/>
            <w:tcMar>
              <w:top w:type="dxa" w:w="60"/>
              <w:left w:type="dxa" w:w="120"/>
              <w:bottom w:type="dxa" w:w="60"/>
              <w:right w:type="dxa" w:w="120"/>
            </w:tcMar>
          </w:tcPr>
          <w:p>
            <w:pPr>
              <w:spacing w:after="40" w:before="40"/>
            </w:pPr>
            <w:r>
              <w:rPr>
                <w:sz w:val="18"/>
                <w:szCs w:val="18"/>
              </w:rPr>
              <w:t xml:space="preserve">Reporting Period</w:t>
            </w:r>
          </w:p>
        </w:tc>
        <w:tc>
          <w:tcPr>
            <w:shd w:fill="EBF4FF" w:val="clear"/>
            <w:tcMar>
              <w:top w:type="dxa" w:w="60"/>
              <w:left w:type="dxa" w:w="120"/>
              <w:bottom w:type="dxa" w:w="60"/>
              <w:right w:type="dxa" w:w="120"/>
            </w:tcMar>
          </w:tcPr>
          <w:p>
            <w:pPr>
              <w:spacing w:after="40" w:before="40"/>
            </w:pPr>
            <w:r>
              <w:rPr>
                <w:sz w:val="18"/>
                <w:szCs w:val="18"/>
              </w:rPr>
              <w:t xml:space="preserve">Q4 2025 (2025-10-01 to 2025-12-31)</w:t>
            </w:r>
          </w:p>
        </w:tc>
      </w:tr>
      <w:tr>
        <w:tc>
          <w:tcPr>
            <w:tcMar>
              <w:top w:type="dxa" w:w="60"/>
              <w:left w:type="dxa" w:w="120"/>
              <w:bottom w:type="dxa" w:w="60"/>
              <w:right w:type="dxa" w:w="120"/>
            </w:tcMar>
          </w:tcPr>
          <w:p>
            <w:pPr>
              <w:spacing w:after="40" w:before="40"/>
            </w:pPr>
            <w:r>
              <w:rPr>
                <w:sz w:val="18"/>
                <w:szCs w:val="18"/>
              </w:rPr>
              <w:t xml:space="preserve">Total Enrolments</w:t>
            </w:r>
          </w:p>
        </w:tc>
        <w:tc>
          <w:tcPr>
            <w:tcMar>
              <w:top w:type="dxa" w:w="60"/>
              <w:left w:type="dxa" w:w="120"/>
              <w:bottom w:type="dxa" w:w="60"/>
              <w:right w:type="dxa" w:w="120"/>
            </w:tcMar>
          </w:tcPr>
          <w:p>
            <w:pPr>
              <w:spacing w:after="40" w:before="40"/>
            </w:pPr>
            <w:r>
              <w:rPr>
                <w:sz w:val="18"/>
                <w:szCs w:val="18"/>
              </w:rPr>
              <w:t xml:space="preserve">4,832</w:t>
            </w:r>
          </w:p>
        </w:tc>
      </w:tr>
      <w:tr>
        <w:tc>
          <w:tcPr>
            <w:shd w:fill="EBF4FF" w:val="clear"/>
            <w:tcMar>
              <w:top w:type="dxa" w:w="60"/>
              <w:left w:type="dxa" w:w="120"/>
              <w:bottom w:type="dxa" w:w="60"/>
              <w:right w:type="dxa" w:w="120"/>
            </w:tcMar>
          </w:tcPr>
          <w:p>
            <w:pPr>
              <w:spacing w:after="40" w:before="40"/>
            </w:pPr>
            <w:r>
              <w:rPr>
                <w:sz w:val="18"/>
                <w:szCs w:val="18"/>
              </w:rPr>
              <w:t xml:space="preserve">Total Completions</w:t>
            </w:r>
          </w:p>
        </w:tc>
        <w:tc>
          <w:tcPr>
            <w:shd w:fill="EBF4FF" w:val="clear"/>
            <w:tcMar>
              <w:top w:type="dxa" w:w="60"/>
              <w:left w:type="dxa" w:w="120"/>
              <w:bottom w:type="dxa" w:w="60"/>
              <w:right w:type="dxa" w:w="120"/>
            </w:tcMar>
          </w:tcPr>
          <w:p>
            <w:pPr>
              <w:spacing w:after="40" w:before="40"/>
            </w:pPr>
            <w:r>
              <w:rPr>
                <w:sz w:val="18"/>
                <w:szCs w:val="18"/>
              </w:rPr>
              <w:t xml:space="preserve">3,850</w:t>
            </w:r>
          </w:p>
        </w:tc>
      </w:tr>
      <w:tr>
        <w:tc>
          <w:tcPr>
            <w:tcMar>
              <w:top w:type="dxa" w:w="60"/>
              <w:left w:type="dxa" w:w="120"/>
              <w:bottom w:type="dxa" w:w="60"/>
              <w:right w:type="dxa" w:w="120"/>
            </w:tcMar>
          </w:tcPr>
          <w:p>
            <w:pPr>
              <w:spacing w:after="40" w:before="40"/>
            </w:pPr>
            <w:r>
              <w:rPr>
                <w:sz w:val="18"/>
                <w:szCs w:val="18"/>
              </w:rPr>
              <w:t xml:space="preserve">Unique Participants</w:t>
            </w:r>
          </w:p>
        </w:tc>
        <w:tc>
          <w:tcPr>
            <w:tcMar>
              <w:top w:type="dxa" w:w="60"/>
              <w:left w:type="dxa" w:w="120"/>
              <w:bottom w:type="dxa" w:w="60"/>
              <w:right w:type="dxa" w:w="120"/>
            </w:tcMar>
          </w:tcPr>
          <w:p>
            <w:pPr>
              <w:spacing w:after="40" w:before="40"/>
            </w:pPr>
            <w:r>
              <w:rPr>
                <w:sz w:val="18"/>
                <w:szCs w:val="18"/>
              </w:rPr>
              <w:t xml:space="preserve">3,259</w:t>
            </w:r>
          </w:p>
        </w:tc>
      </w:tr>
      <w:tr>
        <w:tc>
          <w:tcPr>
            <w:shd w:fill="EBF4FF" w:val="clear"/>
            <w:tcMar>
              <w:top w:type="dxa" w:w="60"/>
              <w:left w:type="dxa" w:w="120"/>
              <w:bottom w:type="dxa" w:w="60"/>
              <w:right w:type="dxa" w:w="120"/>
            </w:tcMar>
          </w:tcPr>
          <w:p>
            <w:pPr>
              <w:spacing w:after="40" w:before="40"/>
            </w:pPr>
            <w:r>
              <w:rPr>
                <w:sz w:val="18"/>
                <w:szCs w:val="18"/>
              </w:rPr>
              <w:t xml:space="preserve">Validation Checks</w:t>
            </w:r>
          </w:p>
        </w:tc>
        <w:tc>
          <w:tcPr>
            <w:shd w:fill="EBF4FF" w:val="clear"/>
            <w:tcMar>
              <w:top w:type="dxa" w:w="60"/>
              <w:left w:type="dxa" w:w="120"/>
              <w:bottom w:type="dxa" w:w="60"/>
              <w:right w:type="dxa" w:w="120"/>
            </w:tcMar>
          </w:tcPr>
          <w:p>
            <w:pPr>
              <w:spacing w:after="40" w:before="40"/>
            </w:pPr>
            <w:r>
              <w:rPr>
                <w:sz w:val="18"/>
                <w:szCs w:val="18"/>
              </w:rPr>
              <w:t xml:space="preserve">17 / 17 PASS</w:t>
            </w:r>
          </w:p>
        </w:tc>
      </w:tr>
      <w:tr>
        <w:tc>
          <w:tcPr>
            <w:tcMar>
              <w:top w:type="dxa" w:w="60"/>
              <w:left w:type="dxa" w:w="120"/>
              <w:bottom w:type="dxa" w:w="60"/>
              <w:right w:type="dxa" w:w="120"/>
            </w:tcMar>
          </w:tcPr>
          <w:p>
            <w:pPr>
              <w:spacing w:after="40" w:before="40"/>
            </w:pPr>
            <w:r>
              <w:rPr>
                <w:sz w:val="18"/>
                <w:szCs w:val="18"/>
              </w:rPr>
              <w:t xml:space="preserve">Reconciliation Checks</w:t>
            </w:r>
          </w:p>
        </w:tc>
        <w:tc>
          <w:tcPr>
            <w:tcMar>
              <w:top w:type="dxa" w:w="60"/>
              <w:left w:type="dxa" w:w="120"/>
              <w:bottom w:type="dxa" w:w="60"/>
              <w:right w:type="dxa" w:w="120"/>
            </w:tcMar>
          </w:tcPr>
          <w:p>
            <w:pPr>
              <w:spacing w:after="40" w:before="40"/>
            </w:pPr>
            <w:r>
              <w:rPr>
                <w:sz w:val="18"/>
                <w:szCs w:val="18"/>
              </w:rPr>
              <w:t xml:space="preserve">5 / 5 PASS</w:t>
            </w:r>
          </w:p>
        </w:tc>
      </w:tr>
    </w:tbl>
    <w:p>
      <w:r>
        <w:br w:type="page"/>
      </w:r>
    </w:p>
    <w:p>
      <w:pPr>
        <w:pStyle w:val="Heading1"/>
        <w:spacing w:after="200" w:before="480"/>
      </w:pPr>
      <w:r>
        <w:t xml:space="preserve">1. Executive Summary</w:t>
      </w:r>
    </w:p>
    <w:p>
      <w:pPr>
        <w:spacing w:after="120" w:before="80"/>
      </w:pPr>
      <w:r>
        <w:t xml:space="preserve">The Knowledge Translation Unit (KTU) runs training programmes across multiple districts in the Western Cape. Training attendance is captured through three operationally separate mechanisms: a manually operated capturing tool (Excel workbook with multiple capturer sheets), community health worker (CHW) completion registers (three separate workbooks), and a system-generated online school export (CSV). Each mechanism produces structurally incompatible data with different column names, date formats, identifier types, and data quality characteristics.</w:t>
      </w:r>
    </w:p>
    <w:p>
      <w:pPr>
        <w:spacing w:after="120" w:before="80"/>
      </w:pPr>
      <w:r>
        <w:t xml:space="preserve">This pipeline ingests all six source files through a Medallion architecture on Azure Databricks, conforms them to a single participant event fact table, applies a documented three-tier participant matching rule and a source-specific reportable rule, and produces two reconciled reporting outputs for Q4 2025.</w:t>
      </w:r>
    </w:p>
    <w:p>
      <w:pPr>
        <w:spacing w:after="120" w:before="80"/>
      </w:pPr>
      <w:r>
        <w:t xml:space="preserve">Key outcomes:</w:t>
      </w:r>
    </w:p>
    <w:p>
      <w:pPr>
        <w:pStyle w:val="ListParagraph"/>
        <w:numPr>
          <w:ilvl w:val="0"/>
          <w:numId w:val="1"/>
        </w:numPr>
        <w:spacing w:after="60" w:before="60"/>
      </w:pPr>
      <w:r>
        <w:t xml:space="preserve">4,832 enrolments recorded in Q4 2025 across all three source systems</w:t>
      </w:r>
    </w:p>
    <w:p>
      <w:pPr>
        <w:pStyle w:val="ListParagraph"/>
        <w:numPr>
          <w:ilvl w:val="0"/>
          <w:numId w:val="1"/>
        </w:numPr>
        <w:spacing w:after="60" w:before="60"/>
      </w:pPr>
      <w:r>
        <w:t xml:space="preserve">3,850 completions (79.7% completion rate)</w:t>
      </w:r>
    </w:p>
    <w:p>
      <w:pPr>
        <w:pStyle w:val="ListParagraph"/>
        <w:numPr>
          <w:ilvl w:val="0"/>
          <w:numId w:val="1"/>
        </w:numPr>
        <w:spacing w:after="60" w:before="60"/>
      </w:pPr>
      <w:r>
        <w:t xml:space="preserve">3,259 unique participants (1 participant may have attended multiple courses)</w:t>
      </w:r>
    </w:p>
    <w:p>
      <w:pPr>
        <w:pStyle w:val="ListParagraph"/>
        <w:numPr>
          <w:ilvl w:val="0"/>
          <w:numId w:val="1"/>
        </w:numPr>
        <w:spacing w:after="60" w:before="60"/>
      </w:pPr>
      <w:r>
        <w:t xml:space="preserve">All 17 validation checks pass; all 5 reconciliation checks pass</w:t>
      </w:r>
    </w:p>
    <w:p>
      <w:pPr>
        <w:pStyle w:val="ListParagraph"/>
        <w:numPr>
          <w:ilvl w:val="0"/>
          <w:numId w:val="1"/>
        </w:numPr>
        <w:spacing w:after="60" w:before="60"/>
      </w:pPr>
      <w:r>
        <w:t xml:space="preserve">54 professional category variants and 117 district variants standardised through controlled mapping tables</w:t>
      </w:r>
    </w:p>
    <w:p>
      <w:pPr>
        <w:pStyle w:val="ListParagraph"/>
        <w:numPr>
          <w:ilvl w:val="0"/>
          <w:numId w:val="1"/>
        </w:numPr>
        <w:spacing w:after="60" w:before="60"/>
      </w:pPr>
      <w:r>
        <w:t xml:space="preserve">507 unmapped facility values, 607 unmapped course values, and 6 unmapped profession values surfaced in exception tables rather than dropped</w:t>
      </w:r>
    </w:p>
    <w:p>
      <w:r>
        <w:br w:type="page"/>
      </w:r>
    </w:p>
    <w:p>
      <w:pPr>
        <w:pStyle w:val="Heading1"/>
        <w:spacing w:after="200" w:before="480"/>
      </w:pPr>
      <w:r>
        <w:t xml:space="preserve">2. Project Scope</w:t>
      </w:r>
    </w:p>
    <w:p>
      <w:pPr>
        <w:pStyle w:val="Heading2"/>
        <w:spacing w:after="160" w:before="320"/>
      </w:pPr>
      <w:r>
        <w:t xml:space="preserve">2.1 Assessment Requirements</w:t>
      </w:r>
    </w:p>
    <w:p>
      <w:pPr>
        <w:spacing w:after="120" w:before="80"/>
      </w:pPr>
      <w:r>
        <w:t xml:space="preserve">The assessment required a repeatable reporting pipeline that could be re-run on a regular cycle and produce independently verifiable numbers. Specific requirements:</w:t>
      </w:r>
    </w:p>
    <w:p>
      <w:pPr>
        <w:pStyle w:val="ListParagraph"/>
        <w:numPr>
          <w:ilvl w:val="0"/>
          <w:numId w:val="1"/>
        </w:numPr>
        <w:spacing w:after="60" w:before="60"/>
      </w:pPr>
      <w:r>
        <w:t xml:space="preserve">Ingestion: load all datasets into a raw layer, landed exactly as received, with fail-loud validation on missing or empty files and idempotent re-runs</w:t>
      </w:r>
    </w:p>
    <w:p>
      <w:pPr>
        <w:pStyle w:val="ListParagraph"/>
        <w:numPr>
          <w:ilvl w:val="0"/>
          <w:numId w:val="1"/>
        </w:numPr>
        <w:spacing w:after="60" w:before="60"/>
      </w:pPr>
      <w:r>
        <w:t xml:space="preserve">Transformation: clean and standardise facility, course, and profession fields using the provided lookups; surface unmapped values rather than dropping them</w:t>
      </w:r>
    </w:p>
    <w:p>
      <w:pPr>
        <w:pStyle w:val="ListParagraph"/>
        <w:numPr>
          <w:ilvl w:val="0"/>
          <w:numId w:val="1"/>
        </w:numPr>
        <w:spacing w:after="60" w:before="60"/>
      </w:pPr>
      <w:r>
        <w:t xml:space="preserve">Deduplication: estimate unique participants using available identifiers; define and apply a reportable rule; document assumptions and limitations</w:t>
      </w:r>
    </w:p>
    <w:p>
      <w:pPr>
        <w:pStyle w:val="ListParagraph"/>
        <w:numPr>
          <w:ilvl w:val="0"/>
          <w:numId w:val="1"/>
        </w:numPr>
        <w:spacing w:after="60" w:before="60"/>
      </w:pPr>
      <w:r>
        <w:t xml:space="preserve">Reporting: produce two reconciling outputs with explicit distinction between row counts and distinct counts; include reconciliation checks</w:t>
      </w:r>
    </w:p>
    <w:p>
      <w:pPr>
        <w:pStyle w:val="Heading2"/>
        <w:spacing w:after="160" w:before="320"/>
      </w:pPr>
      <w:r>
        <w:t xml:space="preserve">2.2 What Was Implemented</w:t>
      </w:r>
    </w:p>
    <w:p>
      <w:pPr>
        <w:pStyle w:val="ListParagraph"/>
        <w:numPr>
          <w:ilvl w:val="0"/>
          <w:numId w:val="1"/>
        </w:numPr>
        <w:spacing w:after="60" w:before="60"/>
      </w:pPr>
      <w:r>
        <w:t xml:space="preserve">Seven Databricks notebooks orchestrated as a Databricks Job</w:t>
      </w:r>
    </w:p>
    <w:p>
      <w:pPr>
        <w:pStyle w:val="ListParagraph"/>
        <w:numPr>
          <w:ilvl w:val="0"/>
          <w:numId w:val="1"/>
        </w:numPr>
        <w:spacing w:after="60" w:before="60"/>
      </w:pPr>
      <w:r>
        <w:t xml:space="preserve">Medallion architecture: Volume → Bronze → Silver → Gold, plus a cross-cutting audit layer</w:t>
      </w:r>
    </w:p>
    <w:p>
      <w:pPr>
        <w:pStyle w:val="ListParagraph"/>
        <w:numPr>
          <w:ilvl w:val="0"/>
          <w:numId w:val="1"/>
        </w:numPr>
        <w:spacing w:after="60" w:before="60"/>
      </w:pPr>
      <w:r>
        <w:t xml:space="preserve">Configuration-driven ingestion via a metadata table (audit.ingestion_config)</w:t>
      </w:r>
    </w:p>
    <w:p>
      <w:pPr>
        <w:pStyle w:val="ListParagraph"/>
        <w:numPr>
          <w:ilvl w:val="0"/>
          <w:numId w:val="1"/>
        </w:numPr>
        <w:spacing w:after="60" w:before="60"/>
      </w:pPr>
      <w:r>
        <w:t xml:space="preserve">Content fingerprinting for idempotency (xxhash64 via Spark binaryFile reader)</w:t>
      </w:r>
    </w:p>
    <w:p>
      <w:pPr>
        <w:pStyle w:val="ListParagraph"/>
        <w:numPr>
          <w:ilvl w:val="0"/>
          <w:numId w:val="1"/>
        </w:numPr>
        <w:spacing w:after="60" w:before="60"/>
      </w:pPr>
      <w:r>
        <w:t xml:space="preserve">Three-tier deterministic participant matching with per-row audit of which tier was used</w:t>
      </w:r>
    </w:p>
    <w:p>
      <w:pPr>
        <w:pStyle w:val="ListParagraph"/>
        <w:numPr>
          <w:ilvl w:val="0"/>
          <w:numId w:val="1"/>
        </w:numPr>
        <w:spacing w:after="60" w:before="60"/>
      </w:pPr>
      <w:r>
        <w:t xml:space="preserve">Controlled mapping tables for professional category (54 variants), district (117 variants), employer group, facility, and profession</w:t>
      </w:r>
    </w:p>
    <w:p>
      <w:pPr>
        <w:pStyle w:val="ListParagraph"/>
        <w:numPr>
          <w:ilvl w:val="0"/>
          <w:numId w:val="1"/>
        </w:numPr>
        <w:spacing w:after="60" w:before="60"/>
      </w:pPr>
      <w:r>
        <w:t xml:space="preserve">17 consolidated validation checks in gold.validation_results</w:t>
      </w:r>
    </w:p>
    <w:p>
      <w:pPr>
        <w:pStyle w:val="ListParagraph"/>
        <w:numPr>
          <w:ilvl w:val="0"/>
          <w:numId w:val="1"/>
        </w:numPr>
        <w:spacing w:after="60" w:before="60"/>
      </w:pPr>
      <w:r>
        <w:t xml:space="preserve">5 reconciliation checks in gold.reconciliation_results</w:t>
      </w:r>
    </w:p>
    <w:p>
      <w:pPr>
        <w:pStyle w:val="Heading2"/>
        <w:spacing w:after="160" w:before="320"/>
      </w:pPr>
      <w:r>
        <w:t xml:space="preserve">2.3 What Was Not Implemented (Future Work)</w:t>
      </w:r>
    </w:p>
    <w:p>
      <w:pPr>
        <w:pStyle w:val="ListParagraph"/>
        <w:numPr>
          <w:ilvl w:val="0"/>
          <w:numId w:val="1"/>
        </w:numPr>
        <w:spacing w:after="60" w:before="60"/>
      </w:pPr>
      <w:r>
        <w:t xml:space="preserve">Temporal mapping versioning with valid_from / valid_to columns on audit.map_* tables</w:t>
      </w:r>
    </w:p>
    <w:p>
      <w:pPr>
        <w:pStyle w:val="ListParagraph"/>
        <w:numPr>
          <w:ilvl w:val="0"/>
          <w:numId w:val="1"/>
        </w:numPr>
        <w:spacing w:after="60" w:before="60"/>
      </w:pPr>
      <w:r>
        <w:t xml:space="preserve">Per-module CHW unpivot for module-level completion reporting</w:t>
      </w:r>
    </w:p>
    <w:p>
      <w:pPr>
        <w:pStyle w:val="ListParagraph"/>
        <w:numPr>
          <w:ilvl w:val="0"/>
          <w:numId w:val="1"/>
        </w:numPr>
        <w:spacing w:after="60" w:before="60"/>
      </w:pPr>
      <w:r>
        <w:t xml:space="preserve">Automated Delta Live Tables expectations and lineage</w:t>
      </w:r>
    </w:p>
    <w:p>
      <w:pPr>
        <w:pStyle w:val="ListParagraph"/>
        <w:numPr>
          <w:ilvl w:val="0"/>
          <w:numId w:val="1"/>
        </w:numPr>
        <w:spacing w:after="60" w:before="60"/>
      </w:pPr>
      <w:r>
        <w:t xml:space="preserve">Nightly schedule with alerting on validation failure</w:t>
      </w:r>
    </w:p>
    <w:p>
      <w:pPr>
        <w:pStyle w:val="ListParagraph"/>
        <w:numPr>
          <w:ilvl w:val="0"/>
          <w:numId w:val="1"/>
        </w:numPr>
        <w:spacing w:after="60" w:before="60"/>
      </w:pPr>
      <w:r>
        <w:t xml:space="preserve">Extended online export completion rule using Earliest Approval Date</w:t>
      </w:r>
    </w:p>
    <w:p>
      <w:r>
        <w:br w:type="page"/>
      </w:r>
    </w:p>
    <w:p>
      <w:pPr>
        <w:pStyle w:val="Heading1"/>
        <w:spacing w:after="200" w:before="480"/>
      </w:pPr>
      <w:r>
        <w:t xml:space="preserve">3. Source Data Assessment</w:t>
      </w:r>
    </w:p>
    <w:p>
      <w:pPr>
        <w:pStyle w:val="Heading2"/>
        <w:spacing w:after="160" w:before="320"/>
      </w:pPr>
      <w:r>
        <w:t xml:space="preserve">3.1 Source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gridCol w:w="100"/>
      </w:tblGrid>
      <w:tr>
        <w:trPr>
          <w:tblHeader/>
        </w:trPr>
        <w:tc>
          <w:tcPr>
            <w:shd w:fill="1A365D" w:val="clear"/>
            <w:tcMar>
              <w:top w:type="dxa" w:w="80"/>
              <w:left w:type="dxa" w:w="120"/>
              <w:bottom w:type="dxa" w:w="80"/>
              <w:right w:type="dxa" w:w="120"/>
            </w:tcMar>
          </w:tcPr>
          <w:p>
            <w:pPr>
              <w:spacing w:after="40" w:before="40"/>
              <w:jc w:val="left"/>
            </w:pPr>
            <w:r>
              <w:rPr>
                <w:b/>
                <w:bCs/>
                <w:color w:val="FFFFFF"/>
                <w:sz w:val="18"/>
                <w:szCs w:val="18"/>
              </w:rPr>
              <w:t xml:space="preserve">Source</w:t>
            </w:r>
          </w:p>
        </w:tc>
        <w:tc>
          <w:tcPr>
            <w:shd w:fill="1A365D" w:val="clear"/>
            <w:tcMar>
              <w:top w:type="dxa" w:w="80"/>
              <w:left w:type="dxa" w:w="120"/>
              <w:bottom w:type="dxa" w:w="80"/>
              <w:right w:type="dxa" w:w="120"/>
            </w:tcMar>
          </w:tcPr>
          <w:p>
            <w:pPr>
              <w:spacing w:after="40" w:before="40"/>
              <w:jc w:val="left"/>
            </w:pPr>
            <w:r>
              <w:rPr>
                <w:b/>
                <w:bCs/>
                <w:color w:val="FFFFFF"/>
                <w:sz w:val="18"/>
                <w:szCs w:val="18"/>
              </w:rPr>
              <w:t xml:space="preserve">Format</w:t>
            </w:r>
          </w:p>
        </w:tc>
        <w:tc>
          <w:tcPr>
            <w:shd w:fill="1A365D" w:val="clear"/>
            <w:tcMar>
              <w:top w:type="dxa" w:w="80"/>
              <w:left w:type="dxa" w:w="120"/>
              <w:bottom w:type="dxa" w:w="80"/>
              <w:right w:type="dxa" w:w="120"/>
            </w:tcMar>
          </w:tcPr>
          <w:p>
            <w:pPr>
              <w:spacing w:after="40" w:before="40"/>
              <w:jc w:val="left"/>
            </w:pPr>
            <w:r>
              <w:rPr>
                <w:b/>
                <w:bCs/>
                <w:color w:val="FFFFFF"/>
                <w:sz w:val="18"/>
                <w:szCs w:val="18"/>
              </w:rPr>
              <w:t xml:space="preserve">Rows</w:t>
            </w:r>
          </w:p>
        </w:tc>
        <w:tc>
          <w:tcPr>
            <w:shd w:fill="1A365D" w:val="clear"/>
            <w:tcMar>
              <w:top w:type="dxa" w:w="80"/>
              <w:left w:type="dxa" w:w="120"/>
              <w:bottom w:type="dxa" w:w="80"/>
              <w:right w:type="dxa" w:w="120"/>
            </w:tcMar>
          </w:tcPr>
          <w:p>
            <w:pPr>
              <w:spacing w:after="40" w:before="40"/>
              <w:jc w:val="left"/>
            </w:pPr>
            <w:r>
              <w:rPr>
                <w:b/>
                <w:bCs/>
                <w:color w:val="FFFFFF"/>
                <w:sz w:val="18"/>
                <w:szCs w:val="18"/>
              </w:rPr>
              <w:t xml:space="preserve">Key Characteristics</w:t>
            </w:r>
          </w:p>
        </w:tc>
      </w:tr>
      <w:tr>
        <w:tc>
          <w:tcPr>
            <w:shd w:fill="EBF4FF" w:val="clear"/>
            <w:tcMar>
              <w:top w:type="dxa" w:w="60"/>
              <w:left w:type="dxa" w:w="120"/>
              <w:bottom w:type="dxa" w:w="60"/>
              <w:right w:type="dxa" w:w="120"/>
            </w:tcMar>
          </w:tcPr>
          <w:p>
            <w:pPr>
              <w:spacing w:after="40" w:before="40"/>
            </w:pPr>
            <w:r>
              <w:rPr>
                <w:sz w:val="18"/>
                <w:szCs w:val="18"/>
              </w:rPr>
              <w:t xml:space="preserve">Capturing Tool (3 sheets)</w:t>
            </w:r>
          </w:p>
        </w:tc>
        <w:tc>
          <w:tcPr>
            <w:shd w:fill="EBF4FF" w:val="clear"/>
            <w:tcMar>
              <w:top w:type="dxa" w:w="60"/>
              <w:left w:type="dxa" w:w="120"/>
              <w:bottom w:type="dxa" w:w="60"/>
              <w:right w:type="dxa" w:w="120"/>
            </w:tcMar>
          </w:tcPr>
          <w:p>
            <w:pPr>
              <w:spacing w:after="40" w:before="40"/>
            </w:pPr>
            <w:r>
              <w:rPr>
                <w:sz w:val="18"/>
                <w:szCs w:val="18"/>
              </w:rPr>
              <w:t xml:space="preserve">xlsx</w:t>
            </w:r>
          </w:p>
        </w:tc>
        <w:tc>
          <w:tcPr>
            <w:shd w:fill="EBF4FF" w:val="clear"/>
            <w:tcMar>
              <w:top w:type="dxa" w:w="60"/>
              <w:left w:type="dxa" w:w="120"/>
              <w:bottom w:type="dxa" w:w="60"/>
              <w:right w:type="dxa" w:w="120"/>
            </w:tcMar>
          </w:tcPr>
          <w:p>
            <w:pPr>
              <w:spacing w:after="40" w:before="40"/>
            </w:pPr>
            <w:r>
              <w:rPr>
                <w:sz w:val="18"/>
                <w:szCs w:val="18"/>
              </w:rPr>
              <w:t xml:space="preserve">11,607</w:t>
            </w:r>
          </w:p>
        </w:tc>
        <w:tc>
          <w:tcPr>
            <w:shd w:fill="EBF4FF" w:val="clear"/>
            <w:tcMar>
              <w:top w:type="dxa" w:w="60"/>
              <w:left w:type="dxa" w:w="120"/>
              <w:bottom w:type="dxa" w:w="60"/>
              <w:right w:type="dxa" w:w="120"/>
            </w:tcMar>
          </w:tcPr>
          <w:p>
            <w:pPr>
              <w:spacing w:after="40" w:before="40"/>
            </w:pPr>
            <w:r>
              <w:rPr>
                <w:sz w:val="18"/>
                <w:szCs w:val="18"/>
              </w:rPr>
              <w:t xml:space="preserve">Manual; 37 cols; Capturer1/2/3 sheets unioned; profession and district typos</w:t>
            </w:r>
          </w:p>
        </w:tc>
      </w:tr>
      <w:tr>
        <w:tc>
          <w:tcPr>
            <w:tcMar>
              <w:top w:type="dxa" w:w="60"/>
              <w:left w:type="dxa" w:w="120"/>
              <w:bottom w:type="dxa" w:w="60"/>
              <w:right w:type="dxa" w:w="120"/>
            </w:tcMar>
          </w:tcPr>
          <w:p>
            <w:pPr>
              <w:spacing w:after="40" w:before="40"/>
            </w:pPr>
            <w:r>
              <w:rPr>
                <w:sz w:val="18"/>
                <w:szCs w:val="18"/>
              </w:rPr>
              <w:t xml:space="preserve">CHW West Coast</w:t>
            </w:r>
          </w:p>
        </w:tc>
        <w:tc>
          <w:tcPr>
            <w:tcMar>
              <w:top w:type="dxa" w:w="60"/>
              <w:left w:type="dxa" w:w="120"/>
              <w:bottom w:type="dxa" w:w="60"/>
              <w:right w:type="dxa" w:w="120"/>
            </w:tcMar>
          </w:tcPr>
          <w:p>
            <w:pPr>
              <w:spacing w:after="40" w:before="40"/>
            </w:pPr>
            <w:r>
              <w:rPr>
                <w:sz w:val="18"/>
                <w:szCs w:val="18"/>
              </w:rPr>
              <w:t xml:space="preserve">xlsx</w:t>
            </w:r>
          </w:p>
        </w:tc>
        <w:tc>
          <w:tcPr>
            <w:tcMar>
              <w:top w:type="dxa" w:w="60"/>
              <w:left w:type="dxa" w:w="120"/>
              <w:bottom w:type="dxa" w:w="60"/>
              <w:right w:type="dxa" w:w="120"/>
            </w:tcMar>
          </w:tcPr>
          <w:p>
            <w:pPr>
              <w:spacing w:after="40" w:before="40"/>
            </w:pPr>
            <w:r>
              <w:rPr>
                <w:sz w:val="18"/>
                <w:szCs w:val="18"/>
              </w:rPr>
              <w:t xml:space="preserve">~120</w:t>
            </w:r>
          </w:p>
        </w:tc>
        <w:tc>
          <w:tcPr>
            <w:tcMar>
              <w:top w:type="dxa" w:w="60"/>
              <w:left w:type="dxa" w:w="120"/>
              <w:bottom w:type="dxa" w:w="60"/>
              <w:right w:type="dxa" w:w="120"/>
            </w:tcMar>
          </w:tcPr>
          <w:p>
            <w:pPr>
              <w:spacing w:after="40" w:before="40"/>
            </w:pPr>
            <w:r>
              <w:rPr>
                <w:sz w:val="18"/>
                <w:szCs w:val="18"/>
              </w:rPr>
              <w:t xml:space="preserve">Header row 1; 49 cols; no event date; 15 module columns</w:t>
            </w:r>
          </w:p>
        </w:tc>
      </w:tr>
      <w:tr>
        <w:tc>
          <w:tcPr>
            <w:shd w:fill="EBF4FF" w:val="clear"/>
            <w:tcMar>
              <w:top w:type="dxa" w:w="60"/>
              <w:left w:type="dxa" w:w="120"/>
              <w:bottom w:type="dxa" w:w="60"/>
              <w:right w:type="dxa" w:w="120"/>
            </w:tcMar>
          </w:tcPr>
          <w:p>
            <w:pPr>
              <w:spacing w:after="40" w:before="40"/>
            </w:pPr>
            <w:r>
              <w:rPr>
                <w:sz w:val="18"/>
                <w:szCs w:val="18"/>
              </w:rPr>
              <w:t xml:space="preserve">CHW KESS</w:t>
            </w:r>
          </w:p>
        </w:tc>
        <w:tc>
          <w:tcPr>
            <w:shd w:fill="EBF4FF" w:val="clear"/>
            <w:tcMar>
              <w:top w:type="dxa" w:w="60"/>
              <w:left w:type="dxa" w:w="120"/>
              <w:bottom w:type="dxa" w:w="60"/>
              <w:right w:type="dxa" w:w="120"/>
            </w:tcMar>
          </w:tcPr>
          <w:p>
            <w:pPr>
              <w:spacing w:after="40" w:before="40"/>
            </w:pPr>
            <w:r>
              <w:rPr>
                <w:sz w:val="18"/>
                <w:szCs w:val="18"/>
              </w:rPr>
              <w:t xml:space="preserve">xlsx</w:t>
            </w:r>
          </w:p>
        </w:tc>
        <w:tc>
          <w:tcPr>
            <w:shd w:fill="EBF4FF" w:val="clear"/>
            <w:tcMar>
              <w:top w:type="dxa" w:w="60"/>
              <w:left w:type="dxa" w:w="120"/>
              <w:bottom w:type="dxa" w:w="60"/>
              <w:right w:type="dxa" w:w="120"/>
            </w:tcMar>
          </w:tcPr>
          <w:p>
            <w:pPr>
              <w:spacing w:after="40" w:before="40"/>
            </w:pPr>
            <w:r>
              <w:rPr>
                <w:sz w:val="18"/>
                <w:szCs w:val="18"/>
              </w:rPr>
              <w:t xml:space="preserve">~120</w:t>
            </w:r>
          </w:p>
        </w:tc>
        <w:tc>
          <w:tcPr>
            <w:shd w:fill="EBF4FF" w:val="clear"/>
            <w:tcMar>
              <w:top w:type="dxa" w:w="60"/>
              <w:left w:type="dxa" w:w="120"/>
              <w:bottom w:type="dxa" w:w="60"/>
              <w:right w:type="dxa" w:w="120"/>
            </w:tcMar>
          </w:tcPr>
          <w:p>
            <w:pPr>
              <w:spacing w:after="40" w:before="40"/>
            </w:pPr>
            <w:r>
              <w:rPr>
                <w:sz w:val="18"/>
                <w:szCs w:val="18"/>
              </w:rPr>
              <w:t xml:space="preserve">Identical schema to West Coast</w:t>
            </w:r>
          </w:p>
        </w:tc>
      </w:tr>
      <w:tr>
        <w:tc>
          <w:tcPr>
            <w:tcMar>
              <w:top w:type="dxa" w:w="60"/>
              <w:left w:type="dxa" w:w="120"/>
              <w:bottom w:type="dxa" w:w="60"/>
              <w:right w:type="dxa" w:w="120"/>
            </w:tcMar>
          </w:tcPr>
          <w:p>
            <w:pPr>
              <w:spacing w:after="40" w:before="40"/>
            </w:pPr>
            <w:r>
              <w:rPr>
                <w:sz w:val="18"/>
                <w:szCs w:val="18"/>
              </w:rPr>
              <w:t xml:space="preserve">CHW Witzenberg</w:t>
            </w:r>
          </w:p>
        </w:tc>
        <w:tc>
          <w:tcPr>
            <w:tcMar>
              <w:top w:type="dxa" w:w="60"/>
              <w:left w:type="dxa" w:w="120"/>
              <w:bottom w:type="dxa" w:w="60"/>
              <w:right w:type="dxa" w:w="120"/>
            </w:tcMar>
          </w:tcPr>
          <w:p>
            <w:pPr>
              <w:spacing w:after="40" w:before="40"/>
            </w:pPr>
            <w:r>
              <w:rPr>
                <w:sz w:val="18"/>
                <w:szCs w:val="18"/>
              </w:rPr>
              <w:t xml:space="preserve">xlsx</w:t>
            </w:r>
          </w:p>
        </w:tc>
        <w:tc>
          <w:tcPr>
            <w:tcMar>
              <w:top w:type="dxa" w:w="60"/>
              <w:left w:type="dxa" w:w="120"/>
              <w:bottom w:type="dxa" w:w="60"/>
              <w:right w:type="dxa" w:w="120"/>
            </w:tcMar>
          </w:tcPr>
          <w:p>
            <w:pPr>
              <w:spacing w:after="40" w:before="40"/>
            </w:pPr>
            <w:r>
              <w:rPr>
                <w:sz w:val="18"/>
                <w:szCs w:val="18"/>
              </w:rPr>
              <w:t xml:space="preserve">~120</w:t>
            </w:r>
          </w:p>
        </w:tc>
        <w:tc>
          <w:tcPr>
            <w:tcMar>
              <w:top w:type="dxa" w:w="60"/>
              <w:left w:type="dxa" w:w="120"/>
              <w:bottom w:type="dxa" w:w="60"/>
              <w:right w:type="dxa" w:w="120"/>
            </w:tcMar>
          </w:tcPr>
          <w:p>
            <w:pPr>
              <w:spacing w:after="40" w:before="40"/>
            </w:pPr>
            <w:r>
              <w:rPr>
                <w:sz w:val="18"/>
                <w:szCs w:val="18"/>
              </w:rPr>
              <w:t xml:space="preserve">Identical schema to West Coast</w:t>
            </w:r>
          </w:p>
        </w:tc>
      </w:tr>
      <w:tr>
        <w:tc>
          <w:tcPr>
            <w:shd w:fill="EBF4FF" w:val="clear"/>
            <w:tcMar>
              <w:top w:type="dxa" w:w="60"/>
              <w:left w:type="dxa" w:w="120"/>
              <w:bottom w:type="dxa" w:w="60"/>
              <w:right w:type="dxa" w:w="120"/>
            </w:tcMar>
          </w:tcPr>
          <w:p>
            <w:pPr>
              <w:spacing w:after="40" w:before="40"/>
            </w:pPr>
            <w:r>
              <w:rPr>
                <w:sz w:val="18"/>
                <w:szCs w:val="18"/>
              </w:rPr>
              <w:t xml:space="preserve">Online Export</w:t>
            </w:r>
          </w:p>
        </w:tc>
        <w:tc>
          <w:tcPr>
            <w:shd w:fill="EBF4FF" w:val="clear"/>
            <w:tcMar>
              <w:top w:type="dxa" w:w="60"/>
              <w:left w:type="dxa" w:w="120"/>
              <w:bottom w:type="dxa" w:w="60"/>
              <w:right w:type="dxa" w:w="120"/>
            </w:tcMar>
          </w:tcPr>
          <w:p>
            <w:pPr>
              <w:spacing w:after="40" w:before="40"/>
            </w:pPr>
            <w:r>
              <w:rPr>
                <w:sz w:val="18"/>
                <w:szCs w:val="18"/>
              </w:rPr>
              <w:t xml:space="preserve">csv</w:t>
            </w:r>
          </w:p>
        </w:tc>
        <w:tc>
          <w:tcPr>
            <w:shd w:fill="EBF4FF" w:val="clear"/>
            <w:tcMar>
              <w:top w:type="dxa" w:w="60"/>
              <w:left w:type="dxa" w:w="120"/>
              <w:bottom w:type="dxa" w:w="60"/>
              <w:right w:type="dxa" w:w="120"/>
            </w:tcMar>
          </w:tcPr>
          <w:p>
            <w:pPr>
              <w:spacing w:after="40" w:before="40"/>
            </w:pPr>
            <w:r>
              <w:rPr>
                <w:sz w:val="18"/>
                <w:szCs w:val="18"/>
              </w:rPr>
              <w:t xml:space="preserve">25,824</w:t>
            </w:r>
          </w:p>
        </w:tc>
        <w:tc>
          <w:tcPr>
            <w:shd w:fill="EBF4FF" w:val="clear"/>
            <w:tcMar>
              <w:top w:type="dxa" w:w="60"/>
              <w:left w:type="dxa" w:w="120"/>
              <w:bottom w:type="dxa" w:w="60"/>
              <w:right w:type="dxa" w:w="120"/>
            </w:tcMar>
          </w:tcPr>
          <w:p>
            <w:pPr>
              <w:spacing w:after="40" w:before="40"/>
            </w:pPr>
            <w:r>
              <w:rPr>
                <w:sz w:val="18"/>
                <w:szCs w:val="18"/>
              </w:rPr>
              <w:t xml:space="preserve">System-generated; UTF-8; 27 cols; different column naming</w:t>
            </w:r>
          </w:p>
        </w:tc>
      </w:tr>
      <w:tr>
        <w:tc>
          <w:tcPr>
            <w:tcMar>
              <w:top w:type="dxa" w:w="60"/>
              <w:left w:type="dxa" w:w="120"/>
              <w:bottom w:type="dxa" w:w="60"/>
              <w:right w:type="dxa" w:w="120"/>
            </w:tcMar>
          </w:tcPr>
          <w:p>
            <w:pPr>
              <w:spacing w:after="40" w:before="40"/>
            </w:pPr>
            <w:r>
              <w:rPr>
                <w:sz w:val="18"/>
                <w:szCs w:val="18"/>
              </w:rPr>
              <w:t xml:space="preserve">Course Lookup</w:t>
            </w:r>
          </w:p>
        </w:tc>
        <w:tc>
          <w:tcPr>
            <w:tcMar>
              <w:top w:type="dxa" w:w="60"/>
              <w:left w:type="dxa" w:w="120"/>
              <w:bottom w:type="dxa" w:w="60"/>
              <w:right w:type="dxa" w:w="120"/>
            </w:tcMar>
          </w:tcPr>
          <w:p>
            <w:pPr>
              <w:spacing w:after="40" w:before="40"/>
            </w:pPr>
            <w:r>
              <w:rPr>
                <w:sz w:val="18"/>
                <w:szCs w:val="18"/>
              </w:rPr>
              <w:t xml:space="preserve">xlsx</w:t>
            </w:r>
          </w:p>
        </w:tc>
        <w:tc>
          <w:tcPr>
            <w:tcMar>
              <w:top w:type="dxa" w:w="60"/>
              <w:left w:type="dxa" w:w="120"/>
              <w:bottom w:type="dxa" w:w="60"/>
              <w:right w:type="dxa" w:w="120"/>
            </w:tcMar>
          </w:tcPr>
          <w:p>
            <w:pPr>
              <w:spacing w:after="40" w:before="40"/>
            </w:pPr>
            <w:r>
              <w:rPr>
                <w:sz w:val="18"/>
                <w:szCs w:val="18"/>
              </w:rPr>
              <w:t xml:space="preserve">340</w:t>
            </w:r>
          </w:p>
        </w:tc>
        <w:tc>
          <w:tcPr>
            <w:tcMar>
              <w:top w:type="dxa" w:w="60"/>
              <w:left w:type="dxa" w:w="120"/>
              <w:bottom w:type="dxa" w:w="60"/>
              <w:right w:type="dxa" w:w="120"/>
            </w:tcMar>
          </w:tcPr>
          <w:p>
            <w:pPr>
              <w:spacing w:after="40" w:before="40"/>
            </w:pPr>
            <w:r>
              <w:rPr>
                <w:sz w:val="18"/>
                <w:szCs w:val="18"/>
              </w:rPr>
              <w:t xml:space="preserve">Reference data: codes, names, groups</w:t>
            </w:r>
          </w:p>
        </w:tc>
      </w:tr>
      <w:tr>
        <w:tc>
          <w:tcPr>
            <w:shd w:fill="EBF4FF" w:val="clear"/>
            <w:tcMar>
              <w:top w:type="dxa" w:w="60"/>
              <w:left w:type="dxa" w:w="120"/>
              <w:bottom w:type="dxa" w:w="60"/>
              <w:right w:type="dxa" w:w="120"/>
            </w:tcMar>
          </w:tcPr>
          <w:p>
            <w:pPr>
              <w:spacing w:after="40" w:before="40"/>
            </w:pPr>
            <w:r>
              <w:rPr>
                <w:sz w:val="18"/>
                <w:szCs w:val="18"/>
              </w:rPr>
              <w:t xml:space="preserve">Facility Lookup</w:t>
            </w:r>
          </w:p>
        </w:tc>
        <w:tc>
          <w:tcPr>
            <w:shd w:fill="EBF4FF" w:val="clear"/>
            <w:tcMar>
              <w:top w:type="dxa" w:w="60"/>
              <w:left w:type="dxa" w:w="120"/>
              <w:bottom w:type="dxa" w:w="60"/>
              <w:right w:type="dxa" w:w="120"/>
            </w:tcMar>
          </w:tcPr>
          <w:p>
            <w:pPr>
              <w:spacing w:after="40" w:before="40"/>
            </w:pPr>
            <w:r>
              <w:rPr>
                <w:sz w:val="18"/>
                <w:szCs w:val="18"/>
              </w:rPr>
              <w:t xml:space="preserve">xlsx</w:t>
            </w:r>
          </w:p>
        </w:tc>
        <w:tc>
          <w:tcPr>
            <w:shd w:fill="EBF4FF" w:val="clear"/>
            <w:tcMar>
              <w:top w:type="dxa" w:w="60"/>
              <w:left w:type="dxa" w:w="120"/>
              <w:bottom w:type="dxa" w:w="60"/>
              <w:right w:type="dxa" w:w="120"/>
            </w:tcMar>
          </w:tcPr>
          <w:p>
            <w:pPr>
              <w:spacing w:after="40" w:before="40"/>
            </w:pPr>
            <w:r>
              <w:rPr>
                <w:sz w:val="18"/>
                <w:szCs w:val="18"/>
              </w:rPr>
              <w:t xml:space="preserve">809</w:t>
            </w:r>
          </w:p>
        </w:tc>
        <w:tc>
          <w:tcPr>
            <w:shd w:fill="EBF4FF" w:val="clear"/>
            <w:tcMar>
              <w:top w:type="dxa" w:w="60"/>
              <w:left w:type="dxa" w:w="120"/>
              <w:bottom w:type="dxa" w:w="60"/>
              <w:right w:type="dxa" w:w="120"/>
            </w:tcMar>
          </w:tcPr>
          <w:p>
            <w:pPr>
              <w:spacing w:after="40" w:before="40"/>
            </w:pPr>
            <w:r>
              <w:rPr>
                <w:sz w:val="18"/>
                <w:szCs w:val="18"/>
              </w:rPr>
              <w:t xml:space="preserve">Authoritative; 19 cols including district and sub-district</w:t>
            </w:r>
          </w:p>
        </w:tc>
      </w:tr>
    </w:tbl>
    <w:p>
      <w:pPr>
        <w:spacing w:before="200"/>
      </w:pPr>
    </w:p>
    <w:p>
      <w:pPr>
        <w:pStyle w:val="Heading2"/>
        <w:spacing w:after="160" w:before="320"/>
      </w:pPr>
      <w:r>
        <w:t xml:space="preserve">3.2 Data Quality Findings from Profiling</w:t>
      </w:r>
    </w:p>
    <w:p>
      <w:pPr>
        <w:spacing w:after="120" w:before="80"/>
      </w:pPr>
      <w:r>
        <w:t xml:space="preserve">Source profiling was conducted locally using Jupyter before any Databricks code was written. This established schemas, the CHW header offset, the typo patterns, and the competing facility lookup structures before decisions were committed to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rPr>
          <w:tblHeader/>
        </w:trPr>
        <w:tc>
          <w:tcPr>
            <w:shd w:fill="1A365D" w:val="clear"/>
            <w:tcMar>
              <w:top w:type="dxa" w:w="80"/>
              <w:left w:type="dxa" w:w="120"/>
              <w:bottom w:type="dxa" w:w="80"/>
              <w:right w:type="dxa" w:w="120"/>
            </w:tcMar>
          </w:tcPr>
          <w:p>
            <w:pPr>
              <w:spacing w:after="40" w:before="40"/>
              <w:jc w:val="left"/>
            </w:pPr>
            <w:r>
              <w:rPr>
                <w:b/>
                <w:bCs/>
                <w:color w:val="FFFFFF"/>
                <w:sz w:val="18"/>
                <w:szCs w:val="18"/>
              </w:rPr>
              <w:t xml:space="preserve">Issue</w:t>
            </w:r>
          </w:p>
        </w:tc>
        <w:tc>
          <w:tcPr>
            <w:shd w:fill="1A365D" w:val="clear"/>
            <w:tcMar>
              <w:top w:type="dxa" w:w="80"/>
              <w:left w:type="dxa" w:w="120"/>
              <w:bottom w:type="dxa" w:w="80"/>
              <w:right w:type="dxa" w:w="120"/>
            </w:tcMar>
          </w:tcPr>
          <w:p>
            <w:pPr>
              <w:spacing w:after="40" w:before="40"/>
              <w:jc w:val="left"/>
            </w:pPr>
            <w:r>
              <w:rPr>
                <w:b/>
                <w:bCs/>
                <w:color w:val="FFFFFF"/>
                <w:sz w:val="18"/>
                <w:szCs w:val="18"/>
              </w:rPr>
              <w:t xml:space="preserve">Scope</w:t>
            </w:r>
          </w:p>
        </w:tc>
        <w:tc>
          <w:tcPr>
            <w:shd w:fill="1A365D" w:val="clear"/>
            <w:tcMar>
              <w:top w:type="dxa" w:w="80"/>
              <w:left w:type="dxa" w:w="120"/>
              <w:bottom w:type="dxa" w:w="80"/>
              <w:right w:type="dxa" w:w="120"/>
            </w:tcMar>
          </w:tcPr>
          <w:p>
            <w:pPr>
              <w:spacing w:after="40" w:before="40"/>
              <w:jc w:val="left"/>
            </w:pPr>
            <w:r>
              <w:rPr>
                <w:b/>
                <w:bCs/>
                <w:color w:val="FFFFFF"/>
                <w:sz w:val="18"/>
                <w:szCs w:val="18"/>
              </w:rPr>
              <w:t xml:space="preserve">Handling</w:t>
            </w:r>
          </w:p>
        </w:tc>
      </w:tr>
      <w:tr>
        <w:tc>
          <w:tcPr>
            <w:shd w:fill="EBF4FF" w:val="clear"/>
            <w:tcMar>
              <w:top w:type="dxa" w:w="60"/>
              <w:left w:type="dxa" w:w="120"/>
              <w:bottom w:type="dxa" w:w="60"/>
              <w:right w:type="dxa" w:w="120"/>
            </w:tcMar>
          </w:tcPr>
          <w:p>
            <w:pPr>
              <w:spacing w:after="40" w:before="40"/>
            </w:pPr>
            <w:r>
              <w:rPr>
                <w:sz w:val="18"/>
                <w:szCs w:val="18"/>
              </w:rPr>
              <w:t xml:space="preserve">Professional Category variants</w:t>
            </w:r>
          </w:p>
        </w:tc>
        <w:tc>
          <w:tcPr>
            <w:shd w:fill="EBF4FF" w:val="clear"/>
            <w:tcMar>
              <w:top w:type="dxa" w:w="60"/>
              <w:left w:type="dxa" w:w="120"/>
              <w:bottom w:type="dxa" w:w="60"/>
              <w:right w:type="dxa" w:w="120"/>
            </w:tcMar>
          </w:tcPr>
          <w:p>
            <w:pPr>
              <w:spacing w:after="40" w:before="40"/>
            </w:pPr>
            <w:r>
              <w:rPr>
                <w:sz w:val="18"/>
                <w:szCs w:val="18"/>
              </w:rPr>
              <w:t xml:space="preserve">54 variants in Capturing Tool</w:t>
            </w:r>
          </w:p>
        </w:tc>
        <w:tc>
          <w:tcPr>
            <w:shd w:fill="EBF4FF" w:val="clear"/>
            <w:tcMar>
              <w:top w:type="dxa" w:w="60"/>
              <w:left w:type="dxa" w:w="120"/>
              <w:bottom w:type="dxa" w:w="60"/>
              <w:right w:type="dxa" w:w="120"/>
            </w:tcMar>
          </w:tcPr>
          <w:p>
            <w:pPr>
              <w:spacing w:after="40" w:before="40"/>
            </w:pPr>
            <w:r>
              <w:rPr>
                <w:sz w:val="18"/>
                <w:szCs w:val="18"/>
              </w:rPr>
              <w:t xml:space="preserve">Reduced to 4 canonical values via audit.map_professional_category</w:t>
            </w:r>
          </w:p>
        </w:tc>
      </w:tr>
      <w:tr>
        <w:tc>
          <w:tcPr>
            <w:tcMar>
              <w:top w:type="dxa" w:w="60"/>
              <w:left w:type="dxa" w:w="120"/>
              <w:bottom w:type="dxa" w:w="60"/>
              <w:right w:type="dxa" w:w="120"/>
            </w:tcMar>
          </w:tcPr>
          <w:p>
            <w:pPr>
              <w:spacing w:after="40" w:before="40"/>
            </w:pPr>
            <w:r>
              <w:rPr>
                <w:sz w:val="18"/>
                <w:szCs w:val="18"/>
              </w:rPr>
              <w:t xml:space="preserve">District variants</w:t>
            </w:r>
          </w:p>
        </w:tc>
        <w:tc>
          <w:tcPr>
            <w:tcMar>
              <w:top w:type="dxa" w:w="60"/>
              <w:left w:type="dxa" w:w="120"/>
              <w:bottom w:type="dxa" w:w="60"/>
              <w:right w:type="dxa" w:w="120"/>
            </w:tcMar>
          </w:tcPr>
          <w:p>
            <w:pPr>
              <w:spacing w:after="40" w:before="40"/>
            </w:pPr>
            <w:r>
              <w:rPr>
                <w:sz w:val="18"/>
                <w:szCs w:val="18"/>
              </w:rPr>
              <w:t xml:space="preserve">117 variants in Capturing Tool</w:t>
            </w:r>
          </w:p>
        </w:tc>
        <w:tc>
          <w:tcPr>
            <w:tcMar>
              <w:top w:type="dxa" w:w="60"/>
              <w:left w:type="dxa" w:w="120"/>
              <w:bottom w:type="dxa" w:w="60"/>
              <w:right w:type="dxa" w:w="120"/>
            </w:tcMar>
          </w:tcPr>
          <w:p>
            <w:pPr>
              <w:spacing w:after="40" w:before="40"/>
            </w:pPr>
            <w:r>
              <w:rPr>
                <w:sz w:val="18"/>
                <w:szCs w:val="18"/>
              </w:rPr>
              <w:t xml:space="preserve">Reduced to 7 canonical districts via audit.map_district</w:t>
            </w:r>
          </w:p>
        </w:tc>
      </w:tr>
      <w:tr>
        <w:tc>
          <w:tcPr>
            <w:shd w:fill="EBF4FF" w:val="clear"/>
            <w:tcMar>
              <w:top w:type="dxa" w:w="60"/>
              <w:left w:type="dxa" w:w="120"/>
              <w:bottom w:type="dxa" w:w="60"/>
              <w:right w:type="dxa" w:w="120"/>
            </w:tcMar>
          </w:tcPr>
          <w:p>
            <w:pPr>
              <w:spacing w:after="40" w:before="40"/>
            </w:pPr>
            <w:r>
              <w:rPr>
                <w:sz w:val="18"/>
                <w:szCs w:val="18"/>
              </w:rPr>
              <w:t xml:space="preserve">CHW header offset</w:t>
            </w:r>
          </w:p>
        </w:tc>
        <w:tc>
          <w:tcPr>
            <w:shd w:fill="EBF4FF" w:val="clear"/>
            <w:tcMar>
              <w:top w:type="dxa" w:w="60"/>
              <w:left w:type="dxa" w:w="120"/>
              <w:bottom w:type="dxa" w:w="60"/>
              <w:right w:type="dxa" w:w="120"/>
            </w:tcMar>
          </w:tcPr>
          <w:p>
            <w:pPr>
              <w:spacing w:after="40" w:before="40"/>
            </w:pPr>
            <w:r>
              <w:rPr>
                <w:sz w:val="18"/>
                <w:szCs w:val="18"/>
              </w:rPr>
              <w:t xml:space="preserve">Row 0 is a form title across all 3 CHW files</w:t>
            </w:r>
          </w:p>
        </w:tc>
        <w:tc>
          <w:tcPr>
            <w:shd w:fill="EBF4FF" w:val="clear"/>
            <w:tcMar>
              <w:top w:type="dxa" w:w="60"/>
              <w:left w:type="dxa" w:w="120"/>
              <w:bottom w:type="dxa" w:w="60"/>
              <w:right w:type="dxa" w:w="120"/>
            </w:tcMar>
          </w:tcPr>
          <w:p>
            <w:pPr>
              <w:spacing w:after="40" w:before="40"/>
            </w:pPr>
            <w:r>
              <w:rPr>
                <w:sz w:val="18"/>
                <w:szCs w:val="18"/>
              </w:rPr>
              <w:t xml:space="preserve">header_row = 1 in ingestion_config</w:t>
            </w:r>
          </w:p>
        </w:tc>
      </w:tr>
      <w:tr>
        <w:tc>
          <w:tcPr>
            <w:tcMar>
              <w:top w:type="dxa" w:w="60"/>
              <w:left w:type="dxa" w:w="120"/>
              <w:bottom w:type="dxa" w:w="60"/>
              <w:right w:type="dxa" w:w="120"/>
            </w:tcMar>
          </w:tcPr>
          <w:p>
            <w:pPr>
              <w:spacing w:after="40" w:before="40"/>
            </w:pPr>
            <w:r>
              <w:rPr>
                <w:sz w:val="18"/>
                <w:szCs w:val="18"/>
              </w:rPr>
              <w:t xml:space="preserve">Unmapped facilities</w:t>
            </w:r>
          </w:p>
        </w:tc>
        <w:tc>
          <w:tcPr>
            <w:tcMar>
              <w:top w:type="dxa" w:w="60"/>
              <w:left w:type="dxa" w:w="120"/>
              <w:bottom w:type="dxa" w:w="60"/>
              <w:right w:type="dxa" w:w="120"/>
            </w:tcMar>
          </w:tcPr>
          <w:p>
            <w:pPr>
              <w:spacing w:after="40" w:before="40"/>
            </w:pPr>
            <w:r>
              <w:rPr>
                <w:sz w:val="18"/>
                <w:szCs w:val="18"/>
              </w:rPr>
              <w:t xml:space="preserve">507 distinct values not in LU_Facility</w:t>
            </w:r>
          </w:p>
        </w:tc>
        <w:tc>
          <w:tcPr>
            <w:tcMar>
              <w:top w:type="dxa" w:w="60"/>
              <w:left w:type="dxa" w:w="120"/>
              <w:bottom w:type="dxa" w:w="60"/>
              <w:right w:type="dxa" w:w="120"/>
            </w:tcMar>
          </w:tcPr>
          <w:p>
            <w:pPr>
              <w:spacing w:after="40" w:before="40"/>
            </w:pPr>
            <w:r>
              <w:rPr>
                <w:sz w:val="18"/>
                <w:szCs w:val="18"/>
              </w:rPr>
              <w:t xml:space="preserve">Recorded in silver.unmapped_facilities</w:t>
            </w:r>
          </w:p>
        </w:tc>
      </w:tr>
      <w:tr>
        <w:tc>
          <w:tcPr>
            <w:shd w:fill="EBF4FF" w:val="clear"/>
            <w:tcMar>
              <w:top w:type="dxa" w:w="60"/>
              <w:left w:type="dxa" w:w="120"/>
              <w:bottom w:type="dxa" w:w="60"/>
              <w:right w:type="dxa" w:w="120"/>
            </w:tcMar>
          </w:tcPr>
          <w:p>
            <w:pPr>
              <w:spacing w:after="40" w:before="40"/>
            </w:pPr>
            <w:r>
              <w:rPr>
                <w:sz w:val="18"/>
                <w:szCs w:val="18"/>
              </w:rPr>
              <w:t xml:space="preserve">Unmapped courses</w:t>
            </w:r>
          </w:p>
        </w:tc>
        <w:tc>
          <w:tcPr>
            <w:shd w:fill="EBF4FF" w:val="clear"/>
            <w:tcMar>
              <w:top w:type="dxa" w:w="60"/>
              <w:left w:type="dxa" w:w="120"/>
              <w:bottom w:type="dxa" w:w="60"/>
              <w:right w:type="dxa" w:w="120"/>
            </w:tcMar>
          </w:tcPr>
          <w:p>
            <w:pPr>
              <w:spacing w:after="40" w:before="40"/>
            </w:pPr>
            <w:r>
              <w:rPr>
                <w:sz w:val="18"/>
                <w:szCs w:val="18"/>
              </w:rPr>
              <w:t xml:space="preserve">607 distinct values not in LU_Courses</w:t>
            </w:r>
          </w:p>
        </w:tc>
        <w:tc>
          <w:tcPr>
            <w:shd w:fill="EBF4FF" w:val="clear"/>
            <w:tcMar>
              <w:top w:type="dxa" w:w="60"/>
              <w:left w:type="dxa" w:w="120"/>
              <w:bottom w:type="dxa" w:w="60"/>
              <w:right w:type="dxa" w:w="120"/>
            </w:tcMar>
          </w:tcPr>
          <w:p>
            <w:pPr>
              <w:spacing w:after="40" w:before="40"/>
            </w:pPr>
            <w:r>
              <w:rPr>
                <w:sz w:val="18"/>
                <w:szCs w:val="18"/>
              </w:rPr>
              <w:t xml:space="preserve">Recorded in silver.unmapped_courses</w:t>
            </w:r>
          </w:p>
        </w:tc>
      </w:tr>
      <w:tr>
        <w:tc>
          <w:tcPr>
            <w:tcMar>
              <w:top w:type="dxa" w:w="60"/>
              <w:left w:type="dxa" w:w="120"/>
              <w:bottom w:type="dxa" w:w="60"/>
              <w:right w:type="dxa" w:w="120"/>
            </w:tcMar>
          </w:tcPr>
          <w:p>
            <w:pPr>
              <w:spacing w:after="40" w:before="40"/>
            </w:pPr>
            <w:r>
              <w:rPr>
                <w:sz w:val="18"/>
                <w:szCs w:val="18"/>
              </w:rPr>
              <w:t xml:space="preserve">No event date (CHW)</w:t>
            </w:r>
          </w:p>
        </w:tc>
        <w:tc>
          <w:tcPr>
            <w:tcMar>
              <w:top w:type="dxa" w:w="60"/>
              <w:left w:type="dxa" w:w="120"/>
              <w:bottom w:type="dxa" w:w="60"/>
              <w:right w:type="dxa" w:w="120"/>
            </w:tcMar>
          </w:tcPr>
          <w:p>
            <w:pPr>
              <w:spacing w:after="40" w:before="40"/>
            </w:pPr>
            <w:r>
              <w:rPr>
                <w:sz w:val="18"/>
                <w:szCs w:val="18"/>
              </w:rPr>
              <w:t xml:space="preserve">All 359 CHW rows lack a date column</w:t>
            </w:r>
          </w:p>
        </w:tc>
        <w:tc>
          <w:tcPr>
            <w:tcMar>
              <w:top w:type="dxa" w:w="60"/>
              <w:left w:type="dxa" w:w="120"/>
              <w:bottom w:type="dxa" w:w="60"/>
              <w:right w:type="dxa" w:w="120"/>
            </w:tcMar>
          </w:tcPr>
          <w:p>
            <w:pPr>
              <w:spacing w:after="40" w:before="40"/>
            </w:pPr>
            <w:r>
              <w:rPr>
                <w:sz w:val="18"/>
                <w:szCs w:val="18"/>
              </w:rPr>
              <w:t xml:space="preserve">Treated as outside reporting period; recorded in silver.excluded_records</w:t>
            </w:r>
          </w:p>
        </w:tc>
      </w:tr>
      <w:tr>
        <w:tc>
          <w:tcPr>
            <w:shd w:fill="EBF4FF" w:val="clear"/>
            <w:tcMar>
              <w:top w:type="dxa" w:w="60"/>
              <w:left w:type="dxa" w:w="120"/>
              <w:bottom w:type="dxa" w:w="60"/>
              <w:right w:type="dxa" w:w="120"/>
            </w:tcMar>
          </w:tcPr>
          <w:p>
            <w:pPr>
              <w:spacing w:after="40" w:before="40"/>
            </w:pPr>
            <w:r>
              <w:rPr>
                <w:sz w:val="18"/>
                <w:szCs w:val="18"/>
              </w:rPr>
              <w:t xml:space="preserve">SA ID as float64</w:t>
            </w:r>
          </w:p>
        </w:tc>
        <w:tc>
          <w:tcPr>
            <w:shd w:fill="EBF4FF" w:val="clear"/>
            <w:tcMar>
              <w:top w:type="dxa" w:w="60"/>
              <w:left w:type="dxa" w:w="120"/>
              <w:bottom w:type="dxa" w:w="60"/>
              <w:right w:type="dxa" w:w="120"/>
            </w:tcMar>
          </w:tcPr>
          <w:p>
            <w:pPr>
              <w:spacing w:after="40" w:before="40"/>
            </w:pPr>
            <w:r>
              <w:rPr>
                <w:sz w:val="18"/>
                <w:szCs w:val="18"/>
              </w:rPr>
              <w:t xml:space="preserve">Excel renders IDs as 7783185163507.0</w:t>
            </w:r>
          </w:p>
        </w:tc>
        <w:tc>
          <w:tcPr>
            <w:shd w:fill="EBF4FF" w:val="clear"/>
            <w:tcMar>
              <w:top w:type="dxa" w:w="60"/>
              <w:left w:type="dxa" w:w="120"/>
              <w:bottom w:type="dxa" w:w="60"/>
              <w:right w:type="dxa" w:w="120"/>
            </w:tcMar>
          </w:tcPr>
          <w:p>
            <w:pPr>
              <w:spacing w:after="40" w:before="40"/>
            </w:pPr>
            <w:r>
              <w:rPr>
                <w:sz w:val="18"/>
                <w:szCs w:val="18"/>
              </w:rPr>
              <w:t xml:space="preserve">Strip .0 suffix during identifier normalisation</w:t>
            </w:r>
          </w:p>
        </w:tc>
      </w:tr>
      <w:tr>
        <w:tc>
          <w:tcPr>
            <w:tcMar>
              <w:top w:type="dxa" w:w="60"/>
              <w:left w:type="dxa" w:w="120"/>
              <w:bottom w:type="dxa" w:w="60"/>
              <w:right w:type="dxa" w:w="120"/>
            </w:tcMar>
          </w:tcPr>
          <w:p>
            <w:pPr>
              <w:spacing w:after="40" w:before="40"/>
            </w:pPr>
            <w:r>
              <w:rPr>
                <w:sz w:val="18"/>
                <w:szCs w:val="18"/>
              </w:rPr>
              <w:t xml:space="preserve">SA ID Luhn validity</w:t>
            </w:r>
          </w:p>
        </w:tc>
        <w:tc>
          <w:tcPr>
            <w:tcMar>
              <w:top w:type="dxa" w:w="60"/>
              <w:left w:type="dxa" w:w="120"/>
              <w:bottom w:type="dxa" w:w="60"/>
              <w:right w:type="dxa" w:w="120"/>
            </w:tcMar>
          </w:tcPr>
          <w:p>
            <w:pPr>
              <w:spacing w:after="40" w:before="40"/>
            </w:pPr>
            <w:r>
              <w:rPr>
                <w:sz w:val="18"/>
                <w:szCs w:val="18"/>
              </w:rPr>
              <w:t xml:space="preserve">~9% pass rate for anonymised 13-digit strings</w:t>
            </w:r>
          </w:p>
        </w:tc>
        <w:tc>
          <w:tcPr>
            <w:tcMar>
              <w:top w:type="dxa" w:w="60"/>
              <w:left w:type="dxa" w:w="120"/>
              <w:bottom w:type="dxa" w:w="60"/>
              <w:right w:type="dxa" w:w="120"/>
            </w:tcMar>
          </w:tcPr>
          <w:p>
            <w:pPr>
              <w:spacing w:after="40" w:before="40"/>
            </w:pPr>
            <w:r>
              <w:rPr>
                <w:sz w:val="18"/>
                <w:szCs w:val="18"/>
              </w:rPr>
              <w:t xml:space="preserve">Flagged as sa_id_luhn_valid; not used as matching gate</w:t>
            </w:r>
          </w:p>
        </w:tc>
      </w:tr>
      <w:tr>
        <w:tc>
          <w:tcPr>
            <w:shd w:fill="EBF4FF" w:val="clear"/>
            <w:tcMar>
              <w:top w:type="dxa" w:w="60"/>
              <w:left w:type="dxa" w:w="120"/>
              <w:bottom w:type="dxa" w:w="60"/>
              <w:right w:type="dxa" w:w="120"/>
            </w:tcMar>
          </w:tcPr>
          <w:p>
            <w:pPr>
              <w:spacing w:after="40" w:before="40"/>
            </w:pPr>
            <w:r>
              <w:rPr>
                <w:sz w:val="18"/>
                <w:szCs w:val="18"/>
              </w:rPr>
              <w:t xml:space="preserve">Online End Date nulls</w:t>
            </w:r>
          </w:p>
        </w:tc>
        <w:tc>
          <w:tcPr>
            <w:shd w:fill="EBF4FF" w:val="clear"/>
            <w:tcMar>
              <w:top w:type="dxa" w:w="60"/>
              <w:left w:type="dxa" w:w="120"/>
              <w:bottom w:type="dxa" w:w="60"/>
              <w:right w:type="dxa" w:w="120"/>
            </w:tcMar>
          </w:tcPr>
          <w:p>
            <w:pPr>
              <w:spacing w:after="40" w:before="40"/>
            </w:pPr>
            <w:r>
              <w:rPr>
                <w:sz w:val="18"/>
                <w:szCs w:val="18"/>
              </w:rPr>
              <w:t xml:space="preserve">28.4% of online rows have no End Date</w:t>
            </w:r>
          </w:p>
        </w:tc>
        <w:tc>
          <w:tcPr>
            <w:shd w:fill="EBF4FF" w:val="clear"/>
            <w:tcMar>
              <w:top w:type="dxa" w:w="60"/>
              <w:left w:type="dxa" w:w="120"/>
              <w:bottom w:type="dxa" w:w="60"/>
              <w:right w:type="dxa" w:w="120"/>
            </w:tcMar>
          </w:tcPr>
          <w:p>
            <w:pPr>
              <w:spacing w:after="40" w:before="40"/>
            </w:pPr>
            <w:r>
              <w:rPr>
                <w:sz w:val="18"/>
                <w:szCs w:val="18"/>
              </w:rPr>
              <w:t xml:space="preserve">IS NOT NULL proxy documented as limitation</w:t>
            </w:r>
          </w:p>
        </w:tc>
      </w:tr>
      <w:tr>
        <w:tc>
          <w:tcPr>
            <w:tcMar>
              <w:top w:type="dxa" w:w="60"/>
              <w:left w:type="dxa" w:w="120"/>
              <w:bottom w:type="dxa" w:w="60"/>
              <w:right w:type="dxa" w:w="120"/>
            </w:tcMar>
          </w:tcPr>
          <w:p>
            <w:pPr>
              <w:spacing w:after="40" w:before="40"/>
            </w:pPr>
            <w:r>
              <w:rPr>
                <w:sz w:val="18"/>
                <w:szCs w:val="18"/>
              </w:rPr>
              <w:t xml:space="preserve">Race spelling variants</w:t>
            </w:r>
          </w:p>
        </w:tc>
        <w:tc>
          <w:tcPr>
            <w:tcMar>
              <w:top w:type="dxa" w:w="60"/>
              <w:left w:type="dxa" w:w="120"/>
              <w:bottom w:type="dxa" w:w="60"/>
              <w:right w:type="dxa" w:w="120"/>
            </w:tcMar>
          </w:tcPr>
          <w:p>
            <w:pPr>
              <w:spacing w:after="40" w:before="40"/>
            </w:pPr>
            <w:r>
              <w:rPr>
                <w:sz w:val="18"/>
                <w:szCs w:val="18"/>
              </w:rPr>
              <w:t xml:space="preserve">Coloured / coloured / Colored co-exist</w:t>
            </w:r>
          </w:p>
        </w:tc>
        <w:tc>
          <w:tcPr>
            <w:tcMar>
              <w:top w:type="dxa" w:w="60"/>
              <w:left w:type="dxa" w:w="120"/>
              <w:bottom w:type="dxa" w:w="60"/>
              <w:right w:type="dxa" w:w="120"/>
            </w:tcMar>
          </w:tcPr>
          <w:p>
            <w:pPr>
              <w:spacing w:after="40" w:before="40"/>
            </w:pPr>
            <w:r>
              <w:rPr>
                <w:sz w:val="18"/>
                <w:szCs w:val="18"/>
              </w:rPr>
              <w:t xml:space="preserve">Standardised in Silver</w:t>
            </w:r>
          </w:p>
        </w:tc>
      </w:tr>
    </w:tbl>
    <w:p>
      <w:pPr>
        <w:spacing w:before="200"/>
      </w:pPr>
    </w:p>
    <w:p>
      <w:pPr>
        <w:pStyle w:val="Heading2"/>
        <w:spacing w:after="160" w:before="320"/>
      </w:pPr>
      <w:r>
        <w:t xml:space="preserve">3.3 Competing Facility Lookups</w:t>
      </w:r>
    </w:p>
    <w:p>
      <w:pPr>
        <w:spacing w:after="120" w:before="80"/>
      </w:pPr>
      <w:r>
        <w:t xml:space="preserve">Two facility lookups were identified. The standalone 'Course and Facility Look Ups.xlsx' / LU_Facility sheet (809 rows, 19 columns) is the authoritative source. Each of the three CHW workbooks also contains an embedded lu_Facility sheet (596 rows, 4 columns). The embedded lookups are identical across all three files and contain a subset of the standalone lookup's content. Only the standalone lookup is ingested and used for facility matching.</w:t>
      </w:r>
    </w:p>
    <w:p>
      <w:r>
        <w:br w:type="page"/>
      </w:r>
    </w:p>
    <w:p>
      <w:pPr>
        <w:pStyle w:val="Heading1"/>
        <w:spacing w:after="200" w:before="480"/>
      </w:pPr>
      <w:r>
        <w:t xml:space="preserve">4. Architecture</w:t>
      </w:r>
    </w:p>
    <w:p>
      <w:pPr>
        <w:pStyle w:val="Heading2"/>
        <w:spacing w:after="160" w:before="320"/>
      </w:pPr>
      <w:r>
        <w:t xml:space="preserve">4.1 Layer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gridCol w:w="100"/>
        <w:gridCol w:w="100"/>
      </w:tblGrid>
      <w:tr>
        <w:trPr>
          <w:tblHeader/>
        </w:trPr>
        <w:tc>
          <w:tcPr>
            <w:shd w:fill="1A365D" w:val="clear"/>
            <w:tcMar>
              <w:top w:type="dxa" w:w="80"/>
              <w:left w:type="dxa" w:w="120"/>
              <w:bottom w:type="dxa" w:w="80"/>
              <w:right w:type="dxa" w:w="120"/>
            </w:tcMar>
          </w:tcPr>
          <w:p>
            <w:pPr>
              <w:spacing w:after="40" w:before="40"/>
              <w:jc w:val="left"/>
            </w:pPr>
            <w:r>
              <w:rPr>
                <w:b/>
                <w:bCs/>
                <w:color w:val="FFFFFF"/>
                <w:sz w:val="18"/>
                <w:szCs w:val="18"/>
              </w:rPr>
              <w:t xml:space="preserve">Layer</w:t>
            </w:r>
          </w:p>
        </w:tc>
        <w:tc>
          <w:tcPr>
            <w:shd w:fill="1A365D" w:val="clear"/>
            <w:tcMar>
              <w:top w:type="dxa" w:w="80"/>
              <w:left w:type="dxa" w:w="120"/>
              <w:bottom w:type="dxa" w:w="80"/>
              <w:right w:type="dxa" w:w="120"/>
            </w:tcMar>
          </w:tcPr>
          <w:p>
            <w:pPr>
              <w:spacing w:after="40" w:before="40"/>
              <w:jc w:val="left"/>
            </w:pPr>
            <w:r>
              <w:rPr>
                <w:b/>
                <w:bCs/>
                <w:color w:val="FFFFFF"/>
                <w:sz w:val="18"/>
                <w:szCs w:val="18"/>
              </w:rPr>
              <w:t xml:space="preserve">Tables</w:t>
            </w:r>
          </w:p>
        </w:tc>
        <w:tc>
          <w:tcPr>
            <w:shd w:fill="1A365D" w:val="clear"/>
            <w:tcMar>
              <w:top w:type="dxa" w:w="80"/>
              <w:left w:type="dxa" w:w="120"/>
              <w:bottom w:type="dxa" w:w="80"/>
              <w:right w:type="dxa" w:w="120"/>
            </w:tcMar>
          </w:tcPr>
          <w:p>
            <w:pPr>
              <w:spacing w:after="40" w:before="40"/>
              <w:jc w:val="left"/>
            </w:pPr>
            <w:r>
              <w:rPr>
                <w:b/>
                <w:bCs/>
                <w:color w:val="FFFFFF"/>
                <w:sz w:val="18"/>
                <w:szCs w:val="18"/>
              </w:rPr>
              <w:t xml:space="preserve">Purpose</w:t>
            </w:r>
          </w:p>
        </w:tc>
        <w:tc>
          <w:tcPr>
            <w:shd w:fill="1A365D" w:val="clear"/>
            <w:tcMar>
              <w:top w:type="dxa" w:w="80"/>
              <w:left w:type="dxa" w:w="120"/>
              <w:bottom w:type="dxa" w:w="80"/>
              <w:right w:type="dxa" w:w="120"/>
            </w:tcMar>
          </w:tcPr>
          <w:p>
            <w:pPr>
              <w:spacing w:after="40" w:before="40"/>
              <w:jc w:val="left"/>
            </w:pPr>
            <w:r>
              <w:rPr>
                <w:b/>
                <w:bCs/>
                <w:color w:val="FFFFFF"/>
                <w:sz w:val="18"/>
                <w:szCs w:val="18"/>
              </w:rPr>
              <w:t xml:space="preserve">Preserves Source?</w:t>
            </w:r>
          </w:p>
        </w:tc>
        <w:tc>
          <w:tcPr>
            <w:shd w:fill="1A365D" w:val="clear"/>
            <w:tcMar>
              <w:top w:type="dxa" w:w="80"/>
              <w:left w:type="dxa" w:w="120"/>
              <w:bottom w:type="dxa" w:w="80"/>
              <w:right w:type="dxa" w:w="120"/>
            </w:tcMar>
          </w:tcPr>
          <w:p>
            <w:pPr>
              <w:spacing w:after="40" w:before="40"/>
              <w:jc w:val="left"/>
            </w:pPr>
            <w:r>
              <w:rPr>
                <w:b/>
                <w:bCs/>
                <w:color w:val="FFFFFF"/>
                <w:sz w:val="18"/>
                <w:szCs w:val="18"/>
              </w:rPr>
              <w:t xml:space="preserve">Adds Conformance?</w:t>
            </w:r>
          </w:p>
        </w:tc>
      </w:tr>
      <w:tr>
        <w:tc>
          <w:tcPr>
            <w:shd w:fill="EBF4FF" w:val="clear"/>
            <w:tcMar>
              <w:top w:type="dxa" w:w="60"/>
              <w:left w:type="dxa" w:w="120"/>
              <w:bottom w:type="dxa" w:w="60"/>
              <w:right w:type="dxa" w:w="120"/>
            </w:tcMar>
          </w:tcPr>
          <w:p>
            <w:pPr>
              <w:spacing w:after="40" w:before="40"/>
            </w:pPr>
            <w:r>
              <w:rPr>
                <w:sz w:val="18"/>
                <w:szCs w:val="18"/>
              </w:rPr>
              <w:t xml:space="preserve">Volume</w:t>
            </w:r>
          </w:p>
        </w:tc>
        <w:tc>
          <w:tcPr>
            <w:shd w:fill="EBF4FF" w:val="clear"/>
            <w:tcMar>
              <w:top w:type="dxa" w:w="60"/>
              <w:left w:type="dxa" w:w="120"/>
              <w:bottom w:type="dxa" w:w="60"/>
              <w:right w:type="dxa" w:w="120"/>
            </w:tcMar>
          </w:tcPr>
          <w:p>
            <w:pPr>
              <w:spacing w:after="40" w:before="40"/>
            </w:pPr>
            <w:r>
              <w:rPr>
                <w:sz w:val="18"/>
                <w:szCs w:val="18"/>
              </w:rPr>
              <w:t xml:space="preserve">—</w:t>
            </w:r>
          </w:p>
        </w:tc>
        <w:tc>
          <w:tcPr>
            <w:shd w:fill="EBF4FF" w:val="clear"/>
            <w:tcMar>
              <w:top w:type="dxa" w:w="60"/>
              <w:left w:type="dxa" w:w="120"/>
              <w:bottom w:type="dxa" w:w="60"/>
              <w:right w:type="dxa" w:w="120"/>
            </w:tcMar>
          </w:tcPr>
          <w:p>
            <w:pPr>
              <w:spacing w:after="40" w:before="40"/>
            </w:pPr>
            <w:r>
              <w:rPr>
                <w:sz w:val="18"/>
                <w:szCs w:val="18"/>
              </w:rPr>
              <w:t xml:space="preserve">Raw landing; files unchanged</w:t>
            </w:r>
          </w:p>
        </w:tc>
        <w:tc>
          <w:tcPr>
            <w:shd w:fill="EBF4FF" w:val="clear"/>
            <w:tcMar>
              <w:top w:type="dxa" w:w="60"/>
              <w:left w:type="dxa" w:w="120"/>
              <w:bottom w:type="dxa" w:w="60"/>
              <w:right w:type="dxa" w:w="120"/>
            </w:tcMar>
          </w:tcPr>
          <w:p>
            <w:pPr>
              <w:spacing w:after="40" w:before="40"/>
            </w:pPr>
            <w:r>
              <w:rPr>
                <w:sz w:val="18"/>
                <w:szCs w:val="18"/>
              </w:rPr>
              <w:t xml:space="preserve">Yes</w:t>
            </w:r>
          </w:p>
        </w:tc>
        <w:tc>
          <w:tcPr>
            <w:shd w:fill="EBF4FF" w:val="clear"/>
            <w:tcMar>
              <w:top w:type="dxa" w:w="60"/>
              <w:left w:type="dxa" w:w="120"/>
              <w:bottom w:type="dxa" w:w="60"/>
              <w:right w:type="dxa" w:w="120"/>
            </w:tcMar>
          </w:tcPr>
          <w:p>
            <w:pPr>
              <w:spacing w:after="40" w:before="40"/>
            </w:pPr>
            <w:r>
              <w:rPr>
                <w:sz w:val="18"/>
                <w:szCs w:val="18"/>
              </w:rPr>
              <w:t xml:space="preserve">No</w:t>
            </w:r>
          </w:p>
        </w:tc>
      </w:tr>
      <w:tr>
        <w:tc>
          <w:tcPr>
            <w:tcMar>
              <w:top w:type="dxa" w:w="60"/>
              <w:left w:type="dxa" w:w="120"/>
              <w:bottom w:type="dxa" w:w="60"/>
              <w:right w:type="dxa" w:w="120"/>
            </w:tcMar>
          </w:tcPr>
          <w:p>
            <w:pPr>
              <w:spacing w:after="40" w:before="40"/>
            </w:pPr>
            <w:r>
              <w:rPr>
                <w:sz w:val="18"/>
                <w:szCs w:val="18"/>
              </w:rPr>
              <w:t xml:space="preserve">Bronze</w:t>
            </w:r>
          </w:p>
        </w:tc>
        <w:tc>
          <w:tcPr>
            <w:tcMar>
              <w:top w:type="dxa" w:w="60"/>
              <w:left w:type="dxa" w:w="120"/>
              <w:bottom w:type="dxa" w:w="60"/>
              <w:right w:type="dxa" w:w="120"/>
            </w:tcMar>
          </w:tcPr>
          <w:p>
            <w:pPr>
              <w:spacing w:after="40" w:before="40"/>
            </w:pPr>
            <w:r>
              <w:rPr>
                <w:sz w:val="18"/>
                <w:szCs w:val="18"/>
              </w:rPr>
              <w:t xml:space="preserve">bronze.*</w:t>
            </w:r>
          </w:p>
        </w:tc>
        <w:tc>
          <w:tcPr>
            <w:tcMar>
              <w:top w:type="dxa" w:w="60"/>
              <w:left w:type="dxa" w:w="120"/>
              <w:bottom w:type="dxa" w:w="60"/>
              <w:right w:type="dxa" w:w="120"/>
            </w:tcMar>
          </w:tcPr>
          <w:p>
            <w:pPr>
              <w:spacing w:after="40" w:before="40"/>
            </w:pPr>
            <w:r>
              <w:rPr>
                <w:sz w:val="18"/>
                <w:szCs w:val="18"/>
              </w:rPr>
              <w:t xml:space="preserve">Queryable source-faithful representation with lineage</w:t>
            </w:r>
          </w:p>
        </w:tc>
        <w:tc>
          <w:tcPr>
            <w:tcMar>
              <w:top w:type="dxa" w:w="60"/>
              <w:left w:type="dxa" w:w="120"/>
              <w:bottom w:type="dxa" w:w="60"/>
              <w:right w:type="dxa" w:w="120"/>
            </w:tcMar>
          </w:tcPr>
          <w:p>
            <w:pPr>
              <w:spacing w:after="40" w:before="40"/>
            </w:pPr>
            <w:r>
              <w:rPr>
                <w:sz w:val="18"/>
                <w:szCs w:val="18"/>
              </w:rPr>
              <w:t xml:space="preserve">Yes</w:t>
            </w:r>
          </w:p>
        </w:tc>
        <w:tc>
          <w:tcPr>
            <w:tcMar>
              <w:top w:type="dxa" w:w="60"/>
              <w:left w:type="dxa" w:w="120"/>
              <w:bottom w:type="dxa" w:w="60"/>
              <w:right w:type="dxa" w:w="120"/>
            </w:tcMar>
          </w:tcPr>
          <w:p>
            <w:pPr>
              <w:spacing w:after="40" w:before="40"/>
            </w:pPr>
            <w:r>
              <w:rPr>
                <w:sz w:val="18"/>
                <w:szCs w:val="18"/>
              </w:rPr>
              <w:t xml:space="preserve">No</w:t>
            </w:r>
          </w:p>
        </w:tc>
      </w:tr>
      <w:tr>
        <w:tc>
          <w:tcPr>
            <w:shd w:fill="EBF4FF" w:val="clear"/>
            <w:tcMar>
              <w:top w:type="dxa" w:w="60"/>
              <w:left w:type="dxa" w:w="120"/>
              <w:bottom w:type="dxa" w:w="60"/>
              <w:right w:type="dxa" w:w="120"/>
            </w:tcMar>
          </w:tcPr>
          <w:p>
            <w:pPr>
              <w:spacing w:after="40" w:before="40"/>
            </w:pPr>
            <w:r>
              <w:rPr>
                <w:sz w:val="18"/>
                <w:szCs w:val="18"/>
              </w:rPr>
              <w:t xml:space="preserve">Silver</w:t>
            </w:r>
          </w:p>
        </w:tc>
        <w:tc>
          <w:tcPr>
            <w:shd w:fill="EBF4FF" w:val="clear"/>
            <w:tcMar>
              <w:top w:type="dxa" w:w="60"/>
              <w:left w:type="dxa" w:w="120"/>
              <w:bottom w:type="dxa" w:w="60"/>
              <w:right w:type="dxa" w:w="120"/>
            </w:tcMar>
          </w:tcPr>
          <w:p>
            <w:pPr>
              <w:spacing w:after="40" w:before="40"/>
            </w:pPr>
            <w:r>
              <w:rPr>
                <w:sz w:val="18"/>
                <w:szCs w:val="18"/>
              </w:rPr>
              <w:t xml:space="preserve">silver.*</w:t>
            </w:r>
          </w:p>
        </w:tc>
        <w:tc>
          <w:tcPr>
            <w:shd w:fill="EBF4FF" w:val="clear"/>
            <w:tcMar>
              <w:top w:type="dxa" w:w="60"/>
              <w:left w:type="dxa" w:w="120"/>
              <w:bottom w:type="dxa" w:w="60"/>
              <w:right w:type="dxa" w:w="120"/>
            </w:tcMar>
          </w:tcPr>
          <w:p>
            <w:pPr>
              <w:spacing w:after="40" w:before="40"/>
            </w:pPr>
            <w:r>
              <w:rPr>
                <w:sz w:val="18"/>
                <w:szCs w:val="18"/>
              </w:rPr>
              <w:t xml:space="preserve">Conformance, standardisation, deduplication, reportable rule</w:t>
            </w:r>
          </w:p>
        </w:tc>
        <w:tc>
          <w:tcPr>
            <w:shd w:fill="EBF4FF" w:val="clear"/>
            <w:tcMar>
              <w:top w:type="dxa" w:w="60"/>
              <w:left w:type="dxa" w:w="120"/>
              <w:bottom w:type="dxa" w:w="60"/>
              <w:right w:type="dxa" w:w="120"/>
            </w:tcMar>
          </w:tcPr>
          <w:p>
            <w:pPr>
              <w:spacing w:after="40" w:before="40"/>
            </w:pPr>
            <w:r>
              <w:rPr>
                <w:sz w:val="18"/>
                <w:szCs w:val="18"/>
              </w:rPr>
              <w:t xml:space="preserve">No</w:t>
            </w:r>
          </w:p>
        </w:tc>
        <w:tc>
          <w:tcPr>
            <w:shd w:fill="EBF4FF" w:val="clear"/>
            <w:tcMar>
              <w:top w:type="dxa" w:w="60"/>
              <w:left w:type="dxa" w:w="120"/>
              <w:bottom w:type="dxa" w:w="60"/>
              <w:right w:type="dxa" w:w="120"/>
            </w:tcMar>
          </w:tcPr>
          <w:p>
            <w:pPr>
              <w:spacing w:after="40" w:before="40"/>
            </w:pPr>
            <w:r>
              <w:rPr>
                <w:sz w:val="18"/>
                <w:szCs w:val="18"/>
              </w:rPr>
              <w:t xml:space="preserve">Yes</w:t>
            </w:r>
          </w:p>
        </w:tc>
      </w:tr>
      <w:tr>
        <w:tc>
          <w:tcPr>
            <w:tcMar>
              <w:top w:type="dxa" w:w="60"/>
              <w:left w:type="dxa" w:w="120"/>
              <w:bottom w:type="dxa" w:w="60"/>
              <w:right w:type="dxa" w:w="120"/>
            </w:tcMar>
          </w:tcPr>
          <w:p>
            <w:pPr>
              <w:spacing w:after="40" w:before="40"/>
            </w:pPr>
            <w:r>
              <w:rPr>
                <w:sz w:val="18"/>
                <w:szCs w:val="18"/>
              </w:rPr>
              <w:t xml:space="preserve">Gold</w:t>
            </w:r>
          </w:p>
        </w:tc>
        <w:tc>
          <w:tcPr>
            <w:tcMar>
              <w:top w:type="dxa" w:w="60"/>
              <w:left w:type="dxa" w:w="120"/>
              <w:bottom w:type="dxa" w:w="60"/>
              <w:right w:type="dxa" w:w="120"/>
            </w:tcMar>
          </w:tcPr>
          <w:p>
            <w:pPr>
              <w:spacing w:after="40" w:before="40"/>
            </w:pPr>
            <w:r>
              <w:rPr>
                <w:sz w:val="18"/>
                <w:szCs w:val="18"/>
              </w:rPr>
              <w:t xml:space="preserve">gold.*</w:t>
            </w:r>
          </w:p>
        </w:tc>
        <w:tc>
          <w:tcPr>
            <w:tcMar>
              <w:top w:type="dxa" w:w="60"/>
              <w:left w:type="dxa" w:w="120"/>
              <w:bottom w:type="dxa" w:w="60"/>
              <w:right w:type="dxa" w:w="120"/>
            </w:tcMar>
          </w:tcPr>
          <w:p>
            <w:pPr>
              <w:spacing w:after="40" w:before="40"/>
            </w:pPr>
            <w:r>
              <w:rPr>
                <w:sz w:val="18"/>
                <w:szCs w:val="18"/>
              </w:rPr>
              <w:t xml:space="preserve">Reporting-ready aggregates and reconciliation</w:t>
            </w:r>
          </w:p>
        </w:tc>
        <w:tc>
          <w:tcPr>
            <w:tcMar>
              <w:top w:type="dxa" w:w="60"/>
              <w:left w:type="dxa" w:w="120"/>
              <w:bottom w:type="dxa" w:w="60"/>
              <w:right w:type="dxa" w:w="120"/>
            </w:tcMar>
          </w:tcPr>
          <w:p>
            <w:pPr>
              <w:spacing w:after="40" w:before="40"/>
            </w:pPr>
            <w:r>
              <w:rPr>
                <w:sz w:val="18"/>
                <w:szCs w:val="18"/>
              </w:rPr>
              <w:t xml:space="preserve">No</w:t>
            </w:r>
          </w:p>
        </w:tc>
        <w:tc>
          <w:tcPr>
            <w:tcMar>
              <w:top w:type="dxa" w:w="60"/>
              <w:left w:type="dxa" w:w="120"/>
              <w:bottom w:type="dxa" w:w="60"/>
              <w:right w:type="dxa" w:w="120"/>
            </w:tcMar>
          </w:tcPr>
          <w:p>
            <w:pPr>
              <w:spacing w:after="40" w:before="40"/>
            </w:pPr>
            <w:r>
              <w:rPr>
                <w:sz w:val="18"/>
                <w:szCs w:val="18"/>
              </w:rPr>
              <w:t xml:space="preserve">Yes</w:t>
            </w:r>
          </w:p>
        </w:tc>
      </w:tr>
      <w:tr>
        <w:tc>
          <w:tcPr>
            <w:shd w:fill="EBF4FF" w:val="clear"/>
            <w:tcMar>
              <w:top w:type="dxa" w:w="60"/>
              <w:left w:type="dxa" w:w="120"/>
              <w:bottom w:type="dxa" w:w="60"/>
              <w:right w:type="dxa" w:w="120"/>
            </w:tcMar>
          </w:tcPr>
          <w:p>
            <w:pPr>
              <w:spacing w:after="40" w:before="40"/>
            </w:pPr>
            <w:r>
              <w:rPr>
                <w:sz w:val="18"/>
                <w:szCs w:val="18"/>
              </w:rPr>
              <w:t xml:space="preserve">Audit</w:t>
            </w:r>
          </w:p>
        </w:tc>
        <w:tc>
          <w:tcPr>
            <w:shd w:fill="EBF4FF" w:val="clear"/>
            <w:tcMar>
              <w:top w:type="dxa" w:w="60"/>
              <w:left w:type="dxa" w:w="120"/>
              <w:bottom w:type="dxa" w:w="60"/>
              <w:right w:type="dxa" w:w="120"/>
            </w:tcMar>
          </w:tcPr>
          <w:p>
            <w:pPr>
              <w:spacing w:after="40" w:before="40"/>
            </w:pPr>
            <w:r>
              <w:rPr>
                <w:sz w:val="18"/>
                <w:szCs w:val="18"/>
              </w:rPr>
              <w:t xml:space="preserve">audit.*</w:t>
            </w:r>
          </w:p>
        </w:tc>
        <w:tc>
          <w:tcPr>
            <w:shd w:fill="EBF4FF" w:val="clear"/>
            <w:tcMar>
              <w:top w:type="dxa" w:w="60"/>
              <w:left w:type="dxa" w:w="120"/>
              <w:bottom w:type="dxa" w:w="60"/>
              <w:right w:type="dxa" w:w="120"/>
            </w:tcMar>
          </w:tcPr>
          <w:p>
            <w:pPr>
              <w:spacing w:after="40" w:before="40"/>
            </w:pPr>
            <w:r>
              <w:rPr>
                <w:sz w:val="18"/>
                <w:szCs w:val="18"/>
              </w:rPr>
              <w:t xml:space="preserve">Cross-cutting observability, config, mapping tables</w:t>
            </w:r>
          </w:p>
        </w:tc>
        <w:tc>
          <w:tcPr>
            <w:shd w:fill="EBF4FF" w:val="clear"/>
            <w:tcMar>
              <w:top w:type="dxa" w:w="60"/>
              <w:left w:type="dxa" w:w="120"/>
              <w:bottom w:type="dxa" w:w="60"/>
              <w:right w:type="dxa" w:w="120"/>
            </w:tcMar>
          </w:tcPr>
          <w:p>
            <w:pPr>
              <w:spacing w:after="40" w:before="40"/>
            </w:pPr>
            <w:r>
              <w:rPr>
                <w:sz w:val="18"/>
                <w:szCs w:val="18"/>
              </w:rPr>
              <w:t xml:space="preserve">n/a</w:t>
            </w:r>
          </w:p>
        </w:tc>
        <w:tc>
          <w:tcPr>
            <w:shd w:fill="EBF4FF" w:val="clear"/>
            <w:tcMar>
              <w:top w:type="dxa" w:w="60"/>
              <w:left w:type="dxa" w:w="120"/>
              <w:bottom w:type="dxa" w:w="60"/>
              <w:right w:type="dxa" w:w="120"/>
            </w:tcMar>
          </w:tcPr>
          <w:p>
            <w:pPr>
              <w:spacing w:after="40" w:before="40"/>
            </w:pPr>
            <w:r>
              <w:rPr>
                <w:sz w:val="18"/>
                <w:szCs w:val="18"/>
              </w:rPr>
              <w:t xml:space="preserve">n/a</w:t>
            </w:r>
          </w:p>
        </w:tc>
      </w:tr>
    </w:tbl>
    <w:p>
      <w:pPr>
        <w:spacing w:before="200"/>
      </w:pPr>
    </w:p>
    <w:p>
      <w:pPr>
        <w:pStyle w:val="Heading2"/>
        <w:spacing w:after="160" w:before="320"/>
      </w:pPr>
      <w:r>
        <w:t xml:space="preserve">4.2 Pipeline Flow</w:t>
      </w:r>
    </w:p>
    <w:p>
      <w:pPr>
        <w:spacing w:after="60" w:before="60"/>
        <w:ind w:left="576"/>
      </w:pPr>
      <w:r>
        <w:rPr>
          <w:rFonts w:ascii="Courier New" w:cs="Courier New" w:eastAsia="Courier New" w:hAnsi="Courier New"/>
          <w:color w:val="2B6CB0"/>
          <w:sz w:val="18"/>
          <w:szCs w:val="18"/>
        </w:rPr>
        <w:t xml:space="preserve">Source files (Unity Catalog volume, unchanged)</w:t>
      </w:r>
    </w:p>
    <w:p>
      <w:pPr>
        <w:spacing w:after="60" w:before="60"/>
        <w:ind w:left="576"/>
      </w:pPr>
      <w:r>
        <w:rPr>
          <w:rFonts w:ascii="Courier New" w:cs="Courier New" w:eastAsia="Courier New" w:hAnsi="Courier New"/>
          <w:color w:val="2B6CB0"/>
          <w:sz w:val="18"/>
          <w:szCs w:val="18"/>
        </w:rPr>
        <w:t xml:space="preserve">        │</w:t>
      </w:r>
    </w:p>
    <w:p>
      <w:pPr>
        <w:spacing w:after="60" w:before="60"/>
        <w:ind w:left="576"/>
      </w:pPr>
      <w:r>
        <w:rPr>
          <w:rFonts w:ascii="Courier New" w:cs="Courier New" w:eastAsia="Courier New" w:hAnsi="Courier New"/>
          <w:color w:val="2B6CB0"/>
          <w:sz w:val="18"/>
          <w:szCs w:val="18"/>
        </w:rPr>
        <w:t xml:space="preserve">        ▼</w:t>
      </w:r>
    </w:p>
    <w:p>
      <w:pPr>
        <w:spacing w:after="60" w:before="60"/>
        <w:ind w:left="576"/>
      </w:pPr>
      <w:r>
        <w:rPr>
          <w:rFonts w:ascii="Courier New" w:cs="Courier New" w:eastAsia="Courier New" w:hAnsi="Courier New"/>
          <w:color w:val="2B6CB0"/>
          <w:sz w:val="18"/>
          <w:szCs w:val="18"/>
        </w:rPr>
        <w:t xml:space="preserve">nb_01_Ingestion ──► audit.file_manifest (fingerprints, idempotency)</w:t>
      </w:r>
    </w:p>
    <w:p>
      <w:pPr>
        <w:spacing w:after="60" w:before="60"/>
        <w:ind w:left="576"/>
      </w:pPr>
      <w:r>
        <w:rPr>
          <w:rFonts w:ascii="Courier New" w:cs="Courier New" w:eastAsia="Courier New" w:hAnsi="Courier New"/>
          <w:color w:val="2B6CB0"/>
          <w:sz w:val="18"/>
          <w:szCs w:val="18"/>
        </w:rPr>
        <w:t xml:space="preserve">        │</w:t>
      </w:r>
    </w:p>
    <w:p>
      <w:pPr>
        <w:spacing w:after="60" w:before="60"/>
        <w:ind w:left="576"/>
      </w:pPr>
      <w:r>
        <w:rPr>
          <w:rFonts w:ascii="Courier New" w:cs="Courier New" w:eastAsia="Courier New" w:hAnsi="Courier New"/>
          <w:color w:val="2B6CB0"/>
          <w:sz w:val="18"/>
          <w:szCs w:val="18"/>
        </w:rPr>
        <w:t xml:space="preserve">        ▼</w:t>
      </w:r>
    </w:p>
    <w:p>
      <w:pPr>
        <w:spacing w:after="60" w:before="60"/>
        <w:ind w:left="576"/>
      </w:pPr>
      <w:r>
        <w:rPr>
          <w:rFonts w:ascii="Courier New" w:cs="Courier New" w:eastAsia="Courier New" w:hAnsi="Courier New"/>
          <w:color w:val="2B6CB0"/>
          <w:sz w:val="18"/>
          <w:szCs w:val="18"/>
        </w:rPr>
        <w:t xml:space="preserve">nb_02_Bronze   ──► bronze.* (source-faithful, lineage columns)</w:t>
      </w:r>
    </w:p>
    <w:p>
      <w:pPr>
        <w:spacing w:after="60" w:before="60"/>
        <w:ind w:left="576"/>
      </w:pPr>
      <w:r>
        <w:rPr>
          <w:rFonts w:ascii="Courier New" w:cs="Courier New" w:eastAsia="Courier New" w:hAnsi="Courier New"/>
          <w:color w:val="2B6CB0"/>
          <w:sz w:val="18"/>
          <w:szCs w:val="18"/>
        </w:rPr>
        <w:t xml:space="preserve">        │</w:t>
      </w:r>
    </w:p>
    <w:p>
      <w:pPr>
        <w:spacing w:after="60" w:before="60"/>
        <w:ind w:left="576"/>
      </w:pPr>
      <w:r>
        <w:rPr>
          <w:rFonts w:ascii="Courier New" w:cs="Courier New" w:eastAsia="Courier New" w:hAnsi="Courier New"/>
          <w:color w:val="2B6CB0"/>
          <w:sz w:val="18"/>
          <w:szCs w:val="18"/>
        </w:rPr>
        <w:t xml:space="preserve">        ▼</w:t>
      </w:r>
    </w:p>
    <w:p>
      <w:pPr>
        <w:spacing w:after="60" w:before="60"/>
        <w:ind w:left="576"/>
      </w:pPr>
      <w:r>
        <w:rPr>
          <w:rFonts w:ascii="Courier New" w:cs="Courier New" w:eastAsia="Courier New" w:hAnsi="Courier New"/>
          <w:color w:val="2B6CB0"/>
          <w:sz w:val="18"/>
          <w:szCs w:val="18"/>
        </w:rPr>
        <w:t xml:space="preserve">nb_03_Silver   ──► silver.participant_event (conformed, standardised)</w:t>
      </w:r>
    </w:p>
    <w:p>
      <w:pPr>
        <w:spacing w:after="60" w:before="60"/>
        <w:ind w:left="576"/>
      </w:pPr>
      <w:r>
        <w:rPr>
          <w:rFonts w:ascii="Courier New" w:cs="Courier New" w:eastAsia="Courier New" w:hAnsi="Courier New"/>
          <w:color w:val="2B6CB0"/>
          <w:sz w:val="18"/>
          <w:szCs w:val="18"/>
        </w:rPr>
        <w:t xml:space="preserve">                   silver.unmapped_* (surfaced exceptions)</w:t>
      </w:r>
    </w:p>
    <w:p>
      <w:pPr>
        <w:spacing w:after="60" w:before="60"/>
        <w:ind w:left="576"/>
      </w:pPr>
      <w:r>
        <w:rPr>
          <w:rFonts w:ascii="Courier New" w:cs="Courier New" w:eastAsia="Courier New" w:hAnsi="Courier New"/>
          <w:color w:val="2B6CB0"/>
          <w:sz w:val="18"/>
          <w:szCs w:val="18"/>
        </w:rPr>
        <w:t xml:space="preserve">        │</w:t>
      </w:r>
    </w:p>
    <w:p>
      <w:pPr>
        <w:spacing w:after="60" w:before="60"/>
        <w:ind w:left="576"/>
      </w:pPr>
      <w:r>
        <w:rPr>
          <w:rFonts w:ascii="Courier New" w:cs="Courier New" w:eastAsia="Courier New" w:hAnsi="Courier New"/>
          <w:color w:val="2B6CB0"/>
          <w:sz w:val="18"/>
          <w:szCs w:val="18"/>
        </w:rPr>
        <w:t xml:space="preserve">        ▼</w:t>
      </w:r>
    </w:p>
    <w:p>
      <w:pPr>
        <w:spacing w:after="60" w:before="60"/>
        <w:ind w:left="576"/>
      </w:pPr>
      <w:r>
        <w:rPr>
          <w:rFonts w:ascii="Courier New" w:cs="Courier New" w:eastAsia="Courier New" w:hAnsi="Courier New"/>
          <w:color w:val="2B6CB0"/>
          <w:sz w:val="18"/>
          <w:szCs w:val="18"/>
        </w:rPr>
        <w:t xml:space="preserve">nb_04_Dedup    ──► silver.participant_event_dedup (Q4 2025, participant_key)</w:t>
      </w:r>
    </w:p>
    <w:p>
      <w:pPr>
        <w:spacing w:after="60" w:before="60"/>
        <w:ind w:left="576"/>
      </w:pPr>
      <w:r>
        <w:rPr>
          <w:rFonts w:ascii="Courier New" w:cs="Courier New" w:eastAsia="Courier New" w:hAnsi="Courier New"/>
          <w:color w:val="2B6CB0"/>
          <w:sz w:val="18"/>
          <w:szCs w:val="18"/>
        </w:rPr>
        <w:t xml:space="preserve">                   silver.excluded_records (outside Q4, with reason)</w:t>
      </w:r>
    </w:p>
    <w:p>
      <w:pPr>
        <w:spacing w:after="60" w:before="60"/>
        <w:ind w:left="576"/>
      </w:pPr>
      <w:r>
        <w:rPr>
          <w:rFonts w:ascii="Courier New" w:cs="Courier New" w:eastAsia="Courier New" w:hAnsi="Courier New"/>
          <w:color w:val="2B6CB0"/>
          <w:sz w:val="18"/>
          <w:szCs w:val="18"/>
        </w:rPr>
        <w:t xml:space="preserve">        │</w:t>
      </w:r>
    </w:p>
    <w:p>
      <w:pPr>
        <w:spacing w:after="60" w:before="60"/>
        <w:ind w:left="576"/>
      </w:pPr>
      <w:r>
        <w:rPr>
          <w:rFonts w:ascii="Courier New" w:cs="Courier New" w:eastAsia="Courier New" w:hAnsi="Courier New"/>
          <w:color w:val="2B6CB0"/>
          <w:sz w:val="18"/>
          <w:szCs w:val="18"/>
        </w:rPr>
        <w:t xml:space="preserve">        ▼</w:t>
      </w:r>
    </w:p>
    <w:p>
      <w:pPr>
        <w:spacing w:after="60" w:before="60"/>
        <w:ind w:left="576"/>
      </w:pPr>
      <w:r>
        <w:rPr>
          <w:rFonts w:ascii="Courier New" w:cs="Courier New" w:eastAsia="Courier New" w:hAnsi="Courier New"/>
          <w:color w:val="2B6CB0"/>
          <w:sz w:val="18"/>
          <w:szCs w:val="18"/>
        </w:rPr>
        <w:t xml:space="preserve">nb_05_Gold     ──► gold.report_completions_by_district</w:t>
      </w:r>
    </w:p>
    <w:p>
      <w:pPr>
        <w:spacing w:after="60" w:before="60"/>
        <w:ind w:left="576"/>
      </w:pPr>
      <w:r>
        <w:rPr>
          <w:rFonts w:ascii="Courier New" w:cs="Courier New" w:eastAsia="Courier New" w:hAnsi="Courier New"/>
          <w:color w:val="2B6CB0"/>
          <w:sz w:val="18"/>
          <w:szCs w:val="18"/>
        </w:rPr>
        <w:t xml:space="preserve">                   gold.report_enrolments_vs_completions</w:t>
      </w:r>
    </w:p>
    <w:p>
      <w:pPr>
        <w:spacing w:after="60" w:before="60"/>
        <w:ind w:left="576"/>
      </w:pPr>
      <w:r>
        <w:rPr>
          <w:rFonts w:ascii="Courier New" w:cs="Courier New" w:eastAsia="Courier New" w:hAnsi="Courier New"/>
          <w:color w:val="2B6CB0"/>
          <w:sz w:val="18"/>
          <w:szCs w:val="18"/>
        </w:rPr>
        <w:t xml:space="preserve">                   gold.reconciliation_results</w:t>
      </w:r>
    </w:p>
    <w:p>
      <w:pPr>
        <w:spacing w:after="60" w:before="60"/>
        <w:ind w:left="576"/>
      </w:pPr>
      <w:r>
        <w:rPr>
          <w:rFonts w:ascii="Courier New" w:cs="Courier New" w:eastAsia="Courier New" w:hAnsi="Courier New"/>
          <w:color w:val="2B6CB0"/>
          <w:sz w:val="18"/>
          <w:szCs w:val="18"/>
        </w:rPr>
        <w:t xml:space="preserve">        │</w:t>
      </w:r>
    </w:p>
    <w:p>
      <w:pPr>
        <w:spacing w:after="60" w:before="60"/>
        <w:ind w:left="576"/>
      </w:pPr>
      <w:r>
        <w:rPr>
          <w:rFonts w:ascii="Courier New" w:cs="Courier New" w:eastAsia="Courier New" w:hAnsi="Courier New"/>
          <w:color w:val="2B6CB0"/>
          <w:sz w:val="18"/>
          <w:szCs w:val="18"/>
        </w:rPr>
        <w:t xml:space="preserve">        ▼</w:t>
      </w:r>
    </w:p>
    <w:p>
      <w:pPr>
        <w:spacing w:after="60" w:before="60"/>
        <w:ind w:left="576"/>
      </w:pPr>
      <w:r>
        <w:rPr>
          <w:rFonts w:ascii="Courier New" w:cs="Courier New" w:eastAsia="Courier New" w:hAnsi="Courier New"/>
          <w:color w:val="2B6CB0"/>
          <w:sz w:val="18"/>
          <w:szCs w:val="18"/>
        </w:rPr>
        <w:t xml:space="preserve">nb_06_Validation ► gold.validation_results (17 checks)</w:t>
      </w:r>
    </w:p>
    <w:p>
      <w:pPr>
        <w:spacing w:before="200"/>
      </w:pPr>
    </w:p>
    <w:p>
      <w:pPr>
        <w:pStyle w:val="Heading2"/>
        <w:spacing w:after="160" w:before="320"/>
      </w:pPr>
      <w:r>
        <w:t xml:space="preserve">4.3 Audit Layer</w:t>
      </w:r>
    </w:p>
    <w:p>
      <w:pPr>
        <w:spacing w:after="120" w:before="80"/>
      </w:pPr>
      <w:r>
        <w:t xml:space="preserve">The audit layer is cross-cutting: every notebook writes at least one row to audit.pipeline_run_log at start (status = RUNNING) and on completion (status = SUCCESS or FAILED). This ensures that a notebook failure mid-execution produces an RUNNING row rather than no record at all.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rPr>
          <w:tblHeader/>
        </w:trPr>
        <w:tc>
          <w:tcPr>
            <w:shd w:fill="1A365D" w:val="clear"/>
            <w:tcMar>
              <w:top w:type="dxa" w:w="80"/>
              <w:left w:type="dxa" w:w="120"/>
              <w:bottom w:type="dxa" w:w="80"/>
              <w:right w:type="dxa" w:w="120"/>
            </w:tcMar>
          </w:tcPr>
          <w:p>
            <w:pPr>
              <w:spacing w:after="40" w:before="40"/>
              <w:jc w:val="left"/>
            </w:pPr>
            <w:r>
              <w:rPr>
                <w:b/>
                <w:bCs/>
                <w:color w:val="FFFFFF"/>
                <w:sz w:val="18"/>
                <w:szCs w:val="18"/>
              </w:rPr>
              <w:t xml:space="preserve">Table</w:t>
            </w:r>
          </w:p>
        </w:tc>
        <w:tc>
          <w:tcPr>
            <w:shd w:fill="1A365D" w:val="clear"/>
            <w:tcMar>
              <w:top w:type="dxa" w:w="80"/>
              <w:left w:type="dxa" w:w="120"/>
              <w:bottom w:type="dxa" w:w="80"/>
              <w:right w:type="dxa" w:w="120"/>
            </w:tcMar>
          </w:tcPr>
          <w:p>
            <w:pPr>
              <w:spacing w:after="40" w:before="40"/>
              <w:jc w:val="left"/>
            </w:pPr>
            <w:r>
              <w:rPr>
                <w:b/>
                <w:bCs/>
                <w:color w:val="FFFFFF"/>
                <w:sz w:val="18"/>
                <w:szCs w:val="18"/>
              </w:rPr>
              <w:t xml:space="preserve">Purpose</w:t>
            </w:r>
          </w:p>
        </w:tc>
      </w:tr>
      <w:tr>
        <w:tc>
          <w:tcPr>
            <w:shd w:fill="EBF4FF" w:val="clear"/>
            <w:tcMar>
              <w:top w:type="dxa" w:w="60"/>
              <w:left w:type="dxa" w:w="120"/>
              <w:bottom w:type="dxa" w:w="60"/>
              <w:right w:type="dxa" w:w="120"/>
            </w:tcMar>
          </w:tcPr>
          <w:p>
            <w:pPr>
              <w:spacing w:after="40" w:before="40"/>
            </w:pPr>
            <w:r>
              <w:rPr>
                <w:sz w:val="18"/>
                <w:szCs w:val="18"/>
              </w:rPr>
              <w:t xml:space="preserve">audit.pipeline_run_log</w:t>
            </w:r>
          </w:p>
        </w:tc>
        <w:tc>
          <w:tcPr>
            <w:shd w:fill="EBF4FF" w:val="clear"/>
            <w:tcMar>
              <w:top w:type="dxa" w:w="60"/>
              <w:left w:type="dxa" w:w="120"/>
              <w:bottom w:type="dxa" w:w="60"/>
              <w:right w:type="dxa" w:w="120"/>
            </w:tcMar>
          </w:tcPr>
          <w:p>
            <w:pPr>
              <w:spacing w:after="40" w:before="40"/>
            </w:pPr>
            <w:r>
              <w:rPr>
                <w:sz w:val="18"/>
                <w:szCs w:val="18"/>
              </w:rPr>
              <w:t xml:space="preserve">One row per notebook execution: run_id, status, row counts, duration</w:t>
            </w:r>
          </w:p>
        </w:tc>
      </w:tr>
      <w:tr>
        <w:tc>
          <w:tcPr>
            <w:tcMar>
              <w:top w:type="dxa" w:w="60"/>
              <w:left w:type="dxa" w:w="120"/>
              <w:bottom w:type="dxa" w:w="60"/>
              <w:right w:type="dxa" w:w="120"/>
            </w:tcMar>
          </w:tcPr>
          <w:p>
            <w:pPr>
              <w:spacing w:after="40" w:before="40"/>
            </w:pPr>
            <w:r>
              <w:rPr>
                <w:sz w:val="18"/>
                <w:szCs w:val="18"/>
              </w:rPr>
              <w:t xml:space="preserve">audit.file_manifest</w:t>
            </w:r>
          </w:p>
        </w:tc>
        <w:tc>
          <w:tcPr>
            <w:tcMar>
              <w:top w:type="dxa" w:w="60"/>
              <w:left w:type="dxa" w:w="120"/>
              <w:bottom w:type="dxa" w:w="60"/>
              <w:right w:type="dxa" w:w="120"/>
            </w:tcMar>
          </w:tcPr>
          <w:p>
            <w:pPr>
              <w:spacing w:after="40" w:before="40"/>
            </w:pPr>
            <w:r>
              <w:rPr>
                <w:sz w:val="18"/>
                <w:szCs w:val="18"/>
              </w:rPr>
              <w:t xml:space="preserve">Fingerprints and ingestion history per source file; basis of idempotency</w:t>
            </w:r>
          </w:p>
        </w:tc>
      </w:tr>
      <w:tr>
        <w:tc>
          <w:tcPr>
            <w:shd w:fill="EBF4FF" w:val="clear"/>
            <w:tcMar>
              <w:top w:type="dxa" w:w="60"/>
              <w:left w:type="dxa" w:w="120"/>
              <w:bottom w:type="dxa" w:w="60"/>
              <w:right w:type="dxa" w:w="120"/>
            </w:tcMar>
          </w:tcPr>
          <w:p>
            <w:pPr>
              <w:spacing w:after="40" w:before="40"/>
            </w:pPr>
            <w:r>
              <w:rPr>
                <w:sz w:val="18"/>
                <w:szCs w:val="18"/>
              </w:rPr>
              <w:t xml:space="preserve">audit.schema_registry</w:t>
            </w:r>
          </w:p>
        </w:tc>
        <w:tc>
          <w:tcPr>
            <w:shd w:fill="EBF4FF" w:val="clear"/>
            <w:tcMar>
              <w:top w:type="dxa" w:w="60"/>
              <w:left w:type="dxa" w:w="120"/>
              <w:bottom w:type="dxa" w:w="60"/>
              <w:right w:type="dxa" w:w="120"/>
            </w:tcMar>
          </w:tcPr>
          <w:p>
            <w:pPr>
              <w:spacing w:after="40" w:before="40"/>
            </w:pPr>
            <w:r>
              <w:rPr>
                <w:sz w:val="18"/>
                <w:szCs w:val="18"/>
              </w:rPr>
              <w:t xml:space="preserve">Expected columns per source (extensible; currently empty)</w:t>
            </w:r>
          </w:p>
        </w:tc>
      </w:tr>
      <w:tr>
        <w:tc>
          <w:tcPr>
            <w:tcMar>
              <w:top w:type="dxa" w:w="60"/>
              <w:left w:type="dxa" w:w="120"/>
              <w:bottom w:type="dxa" w:w="60"/>
              <w:right w:type="dxa" w:w="120"/>
            </w:tcMar>
          </w:tcPr>
          <w:p>
            <w:pPr>
              <w:spacing w:after="40" w:before="40"/>
            </w:pPr>
            <w:r>
              <w:rPr>
                <w:sz w:val="18"/>
                <w:szCs w:val="18"/>
              </w:rPr>
              <w:t xml:space="preserve">audit.data_quality_results</w:t>
            </w:r>
          </w:p>
        </w:tc>
        <w:tc>
          <w:tcPr>
            <w:tcMar>
              <w:top w:type="dxa" w:w="60"/>
              <w:left w:type="dxa" w:w="120"/>
              <w:bottom w:type="dxa" w:w="60"/>
              <w:right w:type="dxa" w:w="120"/>
            </w:tcMar>
          </w:tcPr>
          <w:p>
            <w:pPr>
              <w:spacing w:after="40" w:before="40"/>
            </w:pPr>
            <w:r>
              <w:rPr>
                <w:sz w:val="18"/>
                <w:szCs w:val="18"/>
              </w:rPr>
              <w:t xml:space="preserve">Per-run DQ check results</w:t>
            </w:r>
          </w:p>
        </w:tc>
      </w:tr>
      <w:tr>
        <w:tc>
          <w:tcPr>
            <w:shd w:fill="EBF4FF" w:val="clear"/>
            <w:tcMar>
              <w:top w:type="dxa" w:w="60"/>
              <w:left w:type="dxa" w:w="120"/>
              <w:bottom w:type="dxa" w:w="60"/>
              <w:right w:type="dxa" w:w="120"/>
            </w:tcMar>
          </w:tcPr>
          <w:p>
            <w:pPr>
              <w:spacing w:after="40" w:before="40"/>
            </w:pPr>
            <w:r>
              <w:rPr>
                <w:sz w:val="18"/>
                <w:szCs w:val="18"/>
              </w:rPr>
              <w:t xml:space="preserve">audit.ingestion_config</w:t>
            </w:r>
          </w:p>
        </w:tc>
        <w:tc>
          <w:tcPr>
            <w:shd w:fill="EBF4FF" w:val="clear"/>
            <w:tcMar>
              <w:top w:type="dxa" w:w="60"/>
              <w:left w:type="dxa" w:w="120"/>
              <w:bottom w:type="dxa" w:w="60"/>
              <w:right w:type="dxa" w:w="120"/>
            </w:tcMar>
          </w:tcPr>
          <w:p>
            <w:pPr>
              <w:spacing w:after="40" w:before="40"/>
            </w:pPr>
            <w:r>
              <w:rPr>
                <w:sz w:val="18"/>
                <w:szCs w:val="18"/>
              </w:rPr>
              <w:t xml:space="preserve">Metadata driving ingestion and Bronze notebooks</w:t>
            </w:r>
          </w:p>
        </w:tc>
      </w:tr>
      <w:tr>
        <w:tc>
          <w:tcPr>
            <w:tcMar>
              <w:top w:type="dxa" w:w="60"/>
              <w:left w:type="dxa" w:w="120"/>
              <w:bottom w:type="dxa" w:w="60"/>
              <w:right w:type="dxa" w:w="120"/>
            </w:tcMar>
          </w:tcPr>
          <w:p>
            <w:pPr>
              <w:spacing w:after="40" w:before="40"/>
            </w:pPr>
            <w:r>
              <w:rPr>
                <w:sz w:val="18"/>
                <w:szCs w:val="18"/>
              </w:rPr>
              <w:t xml:space="preserve">audit.map_professional_category</w:t>
            </w:r>
          </w:p>
        </w:tc>
        <w:tc>
          <w:tcPr>
            <w:tcMar>
              <w:top w:type="dxa" w:w="60"/>
              <w:left w:type="dxa" w:w="120"/>
              <w:bottom w:type="dxa" w:w="60"/>
              <w:right w:type="dxa" w:w="120"/>
            </w:tcMar>
          </w:tcPr>
          <w:p>
            <w:pPr>
              <w:spacing w:after="40" w:before="40"/>
            </w:pPr>
            <w:r>
              <w:rPr>
                <w:sz w:val="18"/>
                <w:szCs w:val="18"/>
              </w:rPr>
              <w:t xml:space="preserve">54 variants → 4 canonical values</w:t>
            </w:r>
          </w:p>
        </w:tc>
      </w:tr>
      <w:tr>
        <w:tc>
          <w:tcPr>
            <w:shd w:fill="EBF4FF" w:val="clear"/>
            <w:tcMar>
              <w:top w:type="dxa" w:w="60"/>
              <w:left w:type="dxa" w:w="120"/>
              <w:bottom w:type="dxa" w:w="60"/>
              <w:right w:type="dxa" w:w="120"/>
            </w:tcMar>
          </w:tcPr>
          <w:p>
            <w:pPr>
              <w:spacing w:after="40" w:before="40"/>
            </w:pPr>
            <w:r>
              <w:rPr>
                <w:sz w:val="18"/>
                <w:szCs w:val="18"/>
              </w:rPr>
              <w:t xml:space="preserve">audit.map_district</w:t>
            </w:r>
          </w:p>
        </w:tc>
        <w:tc>
          <w:tcPr>
            <w:shd w:fill="EBF4FF" w:val="clear"/>
            <w:tcMar>
              <w:top w:type="dxa" w:w="60"/>
              <w:left w:type="dxa" w:w="120"/>
              <w:bottom w:type="dxa" w:w="60"/>
              <w:right w:type="dxa" w:w="120"/>
            </w:tcMar>
          </w:tcPr>
          <w:p>
            <w:pPr>
              <w:spacing w:after="40" w:before="40"/>
            </w:pPr>
            <w:r>
              <w:rPr>
                <w:sz w:val="18"/>
                <w:szCs w:val="18"/>
              </w:rPr>
              <w:t xml:space="preserve">117 variants → 7 canonical districts</w:t>
            </w:r>
          </w:p>
        </w:tc>
      </w:tr>
      <w:tr>
        <w:tc>
          <w:tcPr>
            <w:tcMar>
              <w:top w:type="dxa" w:w="60"/>
              <w:left w:type="dxa" w:w="120"/>
              <w:bottom w:type="dxa" w:w="60"/>
              <w:right w:type="dxa" w:w="120"/>
            </w:tcMar>
          </w:tcPr>
          <w:p>
            <w:pPr>
              <w:spacing w:after="40" w:before="40"/>
            </w:pPr>
            <w:r>
              <w:rPr>
                <w:sz w:val="18"/>
                <w:szCs w:val="18"/>
              </w:rPr>
              <w:t xml:space="preserve">audit.map_employer_group</w:t>
            </w:r>
          </w:p>
        </w:tc>
        <w:tc>
          <w:tcPr>
            <w:tcMar>
              <w:top w:type="dxa" w:w="60"/>
              <w:left w:type="dxa" w:w="120"/>
              <w:bottom w:type="dxa" w:w="60"/>
              <w:right w:type="dxa" w:w="120"/>
            </w:tcMar>
          </w:tcPr>
          <w:p>
            <w:pPr>
              <w:spacing w:after="40" w:before="40"/>
            </w:pPr>
            <w:r>
              <w:rPr>
                <w:sz w:val="18"/>
                <w:szCs w:val="18"/>
              </w:rPr>
              <w:t xml:space="preserve">Cross-source employer group mapping</w:t>
            </w:r>
          </w:p>
        </w:tc>
      </w:tr>
      <w:tr>
        <w:tc>
          <w:tcPr>
            <w:shd w:fill="EBF4FF" w:val="clear"/>
            <w:tcMar>
              <w:top w:type="dxa" w:w="60"/>
              <w:left w:type="dxa" w:w="120"/>
              <w:bottom w:type="dxa" w:w="60"/>
              <w:right w:type="dxa" w:w="120"/>
            </w:tcMar>
          </w:tcPr>
          <w:p>
            <w:pPr>
              <w:spacing w:after="40" w:before="40"/>
            </w:pPr>
            <w:r>
              <w:rPr>
                <w:sz w:val="18"/>
                <w:szCs w:val="18"/>
              </w:rPr>
              <w:t xml:space="preserve">audit.map_facility</w:t>
            </w:r>
          </w:p>
        </w:tc>
        <w:tc>
          <w:tcPr>
            <w:shd w:fill="EBF4FF" w:val="clear"/>
            <w:tcMar>
              <w:top w:type="dxa" w:w="60"/>
              <w:left w:type="dxa" w:w="120"/>
              <w:bottom w:type="dxa" w:w="60"/>
              <w:right w:type="dxa" w:w="120"/>
            </w:tcMar>
          </w:tcPr>
          <w:p>
            <w:pPr>
              <w:spacing w:after="40" w:before="40"/>
            </w:pPr>
            <w:r>
              <w:rPr>
                <w:sz w:val="18"/>
                <w:szCs w:val="18"/>
              </w:rPr>
              <w:t xml:space="preserve">Facility mapping (populated in Silver)</w:t>
            </w:r>
          </w:p>
        </w:tc>
      </w:tr>
      <w:tr>
        <w:tc>
          <w:tcPr>
            <w:tcMar>
              <w:top w:type="dxa" w:w="60"/>
              <w:left w:type="dxa" w:w="120"/>
              <w:bottom w:type="dxa" w:w="60"/>
              <w:right w:type="dxa" w:w="120"/>
            </w:tcMar>
          </w:tcPr>
          <w:p>
            <w:pPr>
              <w:spacing w:after="40" w:before="40"/>
            </w:pPr>
            <w:r>
              <w:rPr>
                <w:sz w:val="18"/>
                <w:szCs w:val="18"/>
              </w:rPr>
              <w:t xml:space="preserve">audit.map_profession</w:t>
            </w:r>
          </w:p>
        </w:tc>
        <w:tc>
          <w:tcPr>
            <w:tcMar>
              <w:top w:type="dxa" w:w="60"/>
              <w:left w:type="dxa" w:w="120"/>
              <w:bottom w:type="dxa" w:w="60"/>
              <w:right w:type="dxa" w:w="120"/>
            </w:tcMar>
          </w:tcPr>
          <w:p>
            <w:pPr>
              <w:spacing w:after="40" w:before="40"/>
            </w:pPr>
            <w:r>
              <w:rPr>
                <w:sz w:val="18"/>
                <w:szCs w:val="18"/>
              </w:rPr>
              <w:t xml:space="preserve">Profession standardisation mapping</w:t>
            </w:r>
          </w:p>
        </w:tc>
      </w:tr>
    </w:tbl>
    <w:p>
      <w:r>
        <w:br w:type="page"/>
      </w:r>
    </w:p>
    <w:p>
      <w:pPr>
        <w:pStyle w:val="Heading1"/>
        <w:spacing w:after="200" w:before="480"/>
      </w:pPr>
      <w:r>
        <w:t xml:space="preserve">5. Ingestion Design (nb_01_Ingestion)</w:t>
      </w:r>
    </w:p>
    <w:p>
      <w:pPr>
        <w:pStyle w:val="Heading2"/>
        <w:spacing w:after="160" w:before="320"/>
      </w:pPr>
      <w:r>
        <w:t xml:space="preserve">5.1 Configuration-Driven Approach</w:t>
      </w:r>
    </w:p>
    <w:p>
      <w:pPr>
        <w:spacing w:after="120" w:before="80"/>
      </w:pPr>
      <w:r>
        <w:t xml:space="preserve">The ingestion notebook reads audit.ingestion_config to determine which files to process. This table contains one row per logical source (9 rows: 3 capturing tool sheets, 3 CHW files, online export, 2 lookup tables), with columns for source path, subfolder, format, sheet name, header row, target table, and an active flag.</w:t>
      </w:r>
    </w:p>
    <w:p>
      <w:pPr>
        <w:spacing w:after="120" w:before="80"/>
      </w:pPr>
      <w:r>
        <w:t xml:space="preserve">This design keeps source-specific differences (the CHW header_row = 1 requirement, the multi-sheet capturing tool, the CSV delimiter) in data rows rather than code branches. Adding a new source requires inserting a config row and a corresponding Bronze read cell, not restructuring the ingestion logic.</w:t>
      </w:r>
    </w:p>
    <w:p>
      <w:pPr>
        <w:pStyle w:val="Heading2"/>
        <w:spacing w:after="160" w:before="320"/>
      </w:pPr>
      <w:r>
        <w:t xml:space="preserve">5.2 File Validation</w:t>
      </w:r>
    </w:p>
    <w:p>
      <w:pPr>
        <w:spacing w:after="120" w:before="80"/>
      </w:pPr>
      <w:r>
        <w:t xml:space="preserve">For every active source, the notebook:</w:t>
      </w:r>
    </w:p>
    <w:p>
      <w:pPr>
        <w:pStyle w:val="ListParagraph"/>
        <w:numPr>
          <w:ilvl w:val="0"/>
          <w:numId w:val="1"/>
        </w:numPr>
        <w:spacing w:after="60" w:before="60"/>
      </w:pPr>
      <w:r>
        <w:t xml:space="preserve">Resolves the full volume path (handling the CHW subfolder correctly)</w:t>
      </w:r>
    </w:p>
    <w:p>
      <w:pPr>
        <w:pStyle w:val="ListParagraph"/>
        <w:numPr>
          <w:ilvl w:val="0"/>
          <w:numId w:val="1"/>
        </w:numPr>
        <w:spacing w:after="60" w:before="60"/>
      </w:pPr>
      <w:r>
        <w:t xml:space="preserve">Calls dbutils.fs.ls() to confirm the file exists and is non-empty</w:t>
      </w:r>
    </w:p>
    <w:p>
      <w:pPr>
        <w:pStyle w:val="ListParagraph"/>
        <w:numPr>
          <w:ilvl w:val="0"/>
          <w:numId w:val="1"/>
        </w:numPr>
        <w:spacing w:after="60" w:before="60"/>
      </w:pPr>
      <w:r>
        <w:t xml:space="preserve">Raises RuntimeError if any file is missing, empty, or unreadable (fail-loud)</w:t>
      </w:r>
    </w:p>
    <w:p>
      <w:pPr>
        <w:pStyle w:val="ListParagraph"/>
        <w:numPr>
          <w:ilvl w:val="0"/>
          <w:numId w:val="1"/>
        </w:numPr>
        <w:spacing w:after="60" w:before="60"/>
      </w:pPr>
      <w:r>
        <w:t xml:space="preserve">Deduplicates by path, since multiple config rows reference the same Excel file</w:t>
      </w:r>
    </w:p>
    <w:p>
      <w:pPr>
        <w:pStyle w:val="Heading2"/>
        <w:spacing w:after="160" w:before="320"/>
      </w:pPr>
      <w:r>
        <w:t xml:space="preserve">5.3 Content Fingerprinting</w:t>
      </w:r>
    </w:p>
    <w:p>
      <w:pPr>
        <w:spacing w:after="120" w:before="80"/>
      </w:pPr>
      <w:r>
        <w:t xml:space="preserve">File fingerprints are computed using Spark's binaryFile reader and the xxhash64 function. This is a 64-bit non-cryptographic hash sufficient for detecting content change in this context. The alternative — Python hashlib over the volume mount — took 32 minutes for the 10.8 MB CSV in testing.</w:t>
      </w:r>
    </w:p>
    <w:p>
      <w:pPr>
        <w:spacing w:after="120" w:before="80"/>
      </w:pPr>
      <w:r>
        <w:t xml:space="preserve">The manifest upsert uses SQL MERGE via a temp view rather than the Delta Python API. DeltaTable.forName().merge() raises AssertionError against a table that has never had a write commit, which is the state of file_manifest on the first pipeline run.</w:t>
      </w:r>
    </w:p>
    <w:p>
      <w:pPr>
        <w:pStyle w:val="Heading2"/>
        <w:spacing w:after="160" w:before="320"/>
      </w:pPr>
      <w:r>
        <w:t xml:space="preserve">5.4 Idempotency</w:t>
      </w:r>
    </w:p>
    <w:p>
      <w:pPr>
        <w:spacing w:after="120" w:before="80"/>
      </w:pPr>
      <w:r>
        <w:t xml:space="preserve">Re-running ingestion on unchanged source files increments ingest_count and refreshes last_ingested_at in the manifest without creating duplicates. Bronze is overwritten (mode=overwrite) on each run rather than appended, so the idempotency guarantee is enforced at the write layer, not the read layer.</w:t>
      </w:r>
    </w:p>
    <w:p>
      <w:r>
        <w:br w:type="page"/>
      </w:r>
    </w:p>
    <w:p>
      <w:pPr>
        <w:pStyle w:val="Heading1"/>
        <w:spacing w:after="200" w:before="480"/>
      </w:pPr>
      <w:r>
        <w:t xml:space="preserve">6. Bronze Layer (nb_02_Bronze)</w:t>
      </w:r>
    </w:p>
    <w:p>
      <w:pPr>
        <w:pStyle w:val="Heading2"/>
        <w:spacing w:after="160" w:before="320"/>
      </w:pPr>
      <w:r>
        <w:t xml:space="preserve">6.1 Design Principles</w:t>
      </w:r>
    </w:p>
    <w:p>
      <w:pPr>
        <w:spacing w:after="120" w:before="80"/>
      </w:pPr>
      <w:r>
        <w:t xml:space="preserve">Bronze preserves source values exactly. No cleaning, no type casting beyond STRING, no business rule application. Each Bronze table adds four lineage columns: _source_file, _source_sheet, _ingested_at, _run_id. Delta column mapping is enabled on all Bronze tables to preserve source column names containing spaces, parentheses, commas, and slashes.</w:t>
      </w:r>
    </w:p>
    <w:p>
      <w:pPr>
        <w:pStyle w:val="Heading2"/>
        <w:spacing w:after="160" w:before="320"/>
      </w:pPr>
      <w:r>
        <w:t xml:space="preserve">6.2 Source Readers</w:t>
      </w:r>
    </w:p>
    <w:p>
      <w:pPr>
        <w:spacing w:after="120" w:before="80"/>
      </w:pPr>
      <w:r>
        <w:t xml:space="preserve">Three explicit reader functions handle the three source formats. A single generic reader was considered but rejected: the CHW header=1 requirement, the capturing tool multi-sheet union, and the CSV delimiter detection are all format-specific with no meaningful abstraction to share.</w:t>
      </w:r>
    </w:p>
    <w:p>
      <w:pPr>
        <w:pStyle w:val="ListParagraph"/>
        <w:numPr>
          <w:ilvl w:val="0"/>
          <w:numId w:val="1"/>
        </w:numPr>
        <w:spacing w:after="60" w:before="60"/>
      </w:pPr>
      <w:r>
        <w:t xml:space="preserve">read_excel_sheet(): pandas + openpyxl; handles header_row parameter; the CHW files use header_row=1 because row 0 is the printed form title</w:t>
      </w:r>
    </w:p>
    <w:p>
      <w:pPr>
        <w:pStyle w:val="ListParagraph"/>
        <w:numPr>
          <w:ilvl w:val="0"/>
          <w:numId w:val="1"/>
        </w:numPr>
        <w:spacing w:after="60" w:before="60"/>
      </w:pPr>
      <w:r>
        <w:t xml:space="preserve">read_csv_file(): attempts multiple encoding and delimiter candidates; auto-detects the correct combination by checking column count &gt; 1</w:t>
      </w:r>
    </w:p>
    <w:p>
      <w:pPr>
        <w:pStyle w:val="ListParagraph"/>
        <w:numPr>
          <w:ilvl w:val="0"/>
          <w:numId w:val="1"/>
        </w:numPr>
        <w:spacing w:after="60" w:before="60"/>
      </w:pPr>
      <w:r>
        <w:t xml:space="preserve">pandas_to_spark(): converts all column values to string type; type casting is a Silver concern, not a Bronze concern</w:t>
      </w:r>
    </w:p>
    <w:p>
      <w:pPr>
        <w:pStyle w:val="Heading2"/>
        <w:spacing w:after="160" w:before="320"/>
      </w:pPr>
      <w:r>
        <w:t xml:space="preserve">6.3 Bronze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rPr>
          <w:tblHeader/>
        </w:trPr>
        <w:tc>
          <w:tcPr>
            <w:shd w:fill="1A365D" w:val="clear"/>
            <w:tcMar>
              <w:top w:type="dxa" w:w="80"/>
              <w:left w:type="dxa" w:w="120"/>
              <w:bottom w:type="dxa" w:w="80"/>
              <w:right w:type="dxa" w:w="120"/>
            </w:tcMar>
          </w:tcPr>
          <w:p>
            <w:pPr>
              <w:spacing w:after="40" w:before="40"/>
              <w:jc w:val="left"/>
            </w:pPr>
            <w:r>
              <w:rPr>
                <w:b/>
                <w:bCs/>
                <w:color w:val="FFFFFF"/>
                <w:sz w:val="18"/>
                <w:szCs w:val="18"/>
              </w:rPr>
              <w:t xml:space="preserve">Table</w:t>
            </w:r>
          </w:p>
        </w:tc>
        <w:tc>
          <w:tcPr>
            <w:shd w:fill="1A365D" w:val="clear"/>
            <w:tcMar>
              <w:top w:type="dxa" w:w="80"/>
              <w:left w:type="dxa" w:w="120"/>
              <w:bottom w:type="dxa" w:w="80"/>
              <w:right w:type="dxa" w:w="120"/>
            </w:tcMar>
          </w:tcPr>
          <w:p>
            <w:pPr>
              <w:spacing w:after="40" w:before="40"/>
              <w:jc w:val="left"/>
            </w:pPr>
            <w:r>
              <w:rPr>
                <w:b/>
                <w:bCs/>
                <w:color w:val="FFFFFF"/>
                <w:sz w:val="18"/>
                <w:szCs w:val="18"/>
              </w:rPr>
              <w:t xml:space="preserve">Rows</w:t>
            </w:r>
          </w:p>
        </w:tc>
        <w:tc>
          <w:tcPr>
            <w:shd w:fill="1A365D" w:val="clear"/>
            <w:tcMar>
              <w:top w:type="dxa" w:w="80"/>
              <w:left w:type="dxa" w:w="120"/>
              <w:bottom w:type="dxa" w:w="80"/>
              <w:right w:type="dxa" w:w="120"/>
            </w:tcMar>
          </w:tcPr>
          <w:p>
            <w:pPr>
              <w:spacing w:after="40" w:before="40"/>
              <w:jc w:val="left"/>
            </w:pPr>
            <w:r>
              <w:rPr>
                <w:b/>
                <w:bCs/>
                <w:color w:val="FFFFFF"/>
                <w:sz w:val="18"/>
                <w:szCs w:val="18"/>
              </w:rPr>
              <w:t xml:space="preserve">Source</w:t>
            </w:r>
          </w:p>
        </w:tc>
      </w:tr>
      <w:tr>
        <w:tc>
          <w:tcPr>
            <w:shd w:fill="EBF4FF" w:val="clear"/>
            <w:tcMar>
              <w:top w:type="dxa" w:w="60"/>
              <w:left w:type="dxa" w:w="120"/>
              <w:bottom w:type="dxa" w:w="60"/>
              <w:right w:type="dxa" w:w="120"/>
            </w:tcMar>
          </w:tcPr>
          <w:p>
            <w:pPr>
              <w:spacing w:after="40" w:before="40"/>
            </w:pPr>
            <w:r>
              <w:rPr>
                <w:sz w:val="18"/>
                <w:szCs w:val="18"/>
              </w:rPr>
              <w:t xml:space="preserve">bronze.capturing_tool</w:t>
            </w:r>
          </w:p>
        </w:tc>
        <w:tc>
          <w:tcPr>
            <w:shd w:fill="EBF4FF" w:val="clear"/>
            <w:tcMar>
              <w:top w:type="dxa" w:w="60"/>
              <w:left w:type="dxa" w:w="120"/>
              <w:bottom w:type="dxa" w:w="60"/>
              <w:right w:type="dxa" w:w="120"/>
            </w:tcMar>
          </w:tcPr>
          <w:p>
            <w:pPr>
              <w:spacing w:after="40" w:before="40"/>
            </w:pPr>
            <w:r>
              <w:rPr>
                <w:sz w:val="18"/>
                <w:szCs w:val="18"/>
              </w:rPr>
              <w:t xml:space="preserve">11,607</w:t>
            </w:r>
          </w:p>
        </w:tc>
        <w:tc>
          <w:tcPr>
            <w:shd w:fill="EBF4FF" w:val="clear"/>
            <w:tcMar>
              <w:top w:type="dxa" w:w="60"/>
              <w:left w:type="dxa" w:w="120"/>
              <w:bottom w:type="dxa" w:w="60"/>
              <w:right w:type="dxa" w:w="120"/>
            </w:tcMar>
          </w:tcPr>
          <w:p>
            <w:pPr>
              <w:spacing w:after="40" w:before="40"/>
            </w:pPr>
            <w:r>
              <w:rPr>
                <w:sz w:val="18"/>
                <w:szCs w:val="18"/>
              </w:rPr>
              <w:t xml:space="preserve">Capturing Tool xlsx (3 sheets unioned)</w:t>
            </w:r>
          </w:p>
        </w:tc>
      </w:tr>
      <w:tr>
        <w:tc>
          <w:tcPr>
            <w:tcMar>
              <w:top w:type="dxa" w:w="60"/>
              <w:left w:type="dxa" w:w="120"/>
              <w:bottom w:type="dxa" w:w="60"/>
              <w:right w:type="dxa" w:w="120"/>
            </w:tcMar>
          </w:tcPr>
          <w:p>
            <w:pPr>
              <w:spacing w:after="40" w:before="40"/>
            </w:pPr>
            <w:r>
              <w:rPr>
                <w:sz w:val="18"/>
                <w:szCs w:val="18"/>
              </w:rPr>
              <w:t xml:space="preserve">bronze.chw_attendance</w:t>
            </w:r>
          </w:p>
        </w:tc>
        <w:tc>
          <w:tcPr>
            <w:tcMar>
              <w:top w:type="dxa" w:w="60"/>
              <w:left w:type="dxa" w:w="120"/>
              <w:bottom w:type="dxa" w:w="60"/>
              <w:right w:type="dxa" w:w="120"/>
            </w:tcMar>
          </w:tcPr>
          <w:p>
            <w:pPr>
              <w:spacing w:after="40" w:before="40"/>
            </w:pPr>
            <w:r>
              <w:rPr>
                <w:sz w:val="18"/>
                <w:szCs w:val="18"/>
              </w:rPr>
              <w:t xml:space="preserve">359</w:t>
            </w:r>
          </w:p>
        </w:tc>
        <w:tc>
          <w:tcPr>
            <w:tcMar>
              <w:top w:type="dxa" w:w="60"/>
              <w:left w:type="dxa" w:w="120"/>
              <w:bottom w:type="dxa" w:w="60"/>
              <w:right w:type="dxa" w:w="120"/>
            </w:tcMar>
          </w:tcPr>
          <w:p>
            <w:pPr>
              <w:spacing w:after="40" w:before="40"/>
            </w:pPr>
            <w:r>
              <w:rPr>
                <w:sz w:val="18"/>
                <w:szCs w:val="18"/>
              </w:rPr>
              <w:t xml:space="preserve">3 CHW workbooks unioned (header row 1)</w:t>
            </w:r>
          </w:p>
        </w:tc>
      </w:tr>
      <w:tr>
        <w:tc>
          <w:tcPr>
            <w:shd w:fill="EBF4FF" w:val="clear"/>
            <w:tcMar>
              <w:top w:type="dxa" w:w="60"/>
              <w:left w:type="dxa" w:w="120"/>
              <w:bottom w:type="dxa" w:w="60"/>
              <w:right w:type="dxa" w:w="120"/>
            </w:tcMar>
          </w:tcPr>
          <w:p>
            <w:pPr>
              <w:spacing w:after="40" w:before="40"/>
            </w:pPr>
            <w:r>
              <w:rPr>
                <w:sz w:val="18"/>
                <w:szCs w:val="18"/>
              </w:rPr>
              <w:t xml:space="preserve">bronze.online_export</w:t>
            </w:r>
          </w:p>
        </w:tc>
        <w:tc>
          <w:tcPr>
            <w:shd w:fill="EBF4FF" w:val="clear"/>
            <w:tcMar>
              <w:top w:type="dxa" w:w="60"/>
              <w:left w:type="dxa" w:w="120"/>
              <w:bottom w:type="dxa" w:w="60"/>
              <w:right w:type="dxa" w:w="120"/>
            </w:tcMar>
          </w:tcPr>
          <w:p>
            <w:pPr>
              <w:spacing w:after="40" w:before="40"/>
            </w:pPr>
            <w:r>
              <w:rPr>
                <w:sz w:val="18"/>
                <w:szCs w:val="18"/>
              </w:rPr>
              <w:t xml:space="preserve">25,824</w:t>
            </w:r>
          </w:p>
        </w:tc>
        <w:tc>
          <w:tcPr>
            <w:shd w:fill="EBF4FF" w:val="clear"/>
            <w:tcMar>
              <w:top w:type="dxa" w:w="60"/>
              <w:left w:type="dxa" w:w="120"/>
              <w:bottom w:type="dxa" w:w="60"/>
              <w:right w:type="dxa" w:w="120"/>
            </w:tcMar>
          </w:tcPr>
          <w:p>
            <w:pPr>
              <w:spacing w:after="40" w:before="40"/>
            </w:pPr>
            <w:r>
              <w:rPr>
                <w:sz w:val="18"/>
                <w:szCs w:val="18"/>
              </w:rPr>
              <w:t xml:space="preserve">Online Data Export CSV</w:t>
            </w:r>
          </w:p>
        </w:tc>
      </w:tr>
      <w:tr>
        <w:tc>
          <w:tcPr>
            <w:tcMar>
              <w:top w:type="dxa" w:w="60"/>
              <w:left w:type="dxa" w:w="120"/>
              <w:bottom w:type="dxa" w:w="60"/>
              <w:right w:type="dxa" w:w="120"/>
            </w:tcMar>
          </w:tcPr>
          <w:p>
            <w:pPr>
              <w:spacing w:after="40" w:before="40"/>
            </w:pPr>
            <w:r>
              <w:rPr>
                <w:sz w:val="18"/>
                <w:szCs w:val="18"/>
              </w:rPr>
              <w:t xml:space="preserve">bronze.lookup_courses</w:t>
            </w:r>
          </w:p>
        </w:tc>
        <w:tc>
          <w:tcPr>
            <w:tcMar>
              <w:top w:type="dxa" w:w="60"/>
              <w:left w:type="dxa" w:w="120"/>
              <w:bottom w:type="dxa" w:w="60"/>
              <w:right w:type="dxa" w:w="120"/>
            </w:tcMar>
          </w:tcPr>
          <w:p>
            <w:pPr>
              <w:spacing w:after="40" w:before="40"/>
            </w:pPr>
            <w:r>
              <w:rPr>
                <w:sz w:val="18"/>
                <w:szCs w:val="18"/>
              </w:rPr>
              <w:t xml:space="preserve">340</w:t>
            </w:r>
          </w:p>
        </w:tc>
        <w:tc>
          <w:tcPr>
            <w:tcMar>
              <w:top w:type="dxa" w:w="60"/>
              <w:left w:type="dxa" w:w="120"/>
              <w:bottom w:type="dxa" w:w="60"/>
              <w:right w:type="dxa" w:w="120"/>
            </w:tcMar>
          </w:tcPr>
          <w:p>
            <w:pPr>
              <w:spacing w:after="40" w:before="40"/>
            </w:pPr>
            <w:r>
              <w:rPr>
                <w:sz w:val="18"/>
                <w:szCs w:val="18"/>
              </w:rPr>
              <w:t xml:space="preserve">Course and Facility Look Ups / LU_Courses</w:t>
            </w:r>
          </w:p>
        </w:tc>
      </w:tr>
      <w:tr>
        <w:tc>
          <w:tcPr>
            <w:shd w:fill="EBF4FF" w:val="clear"/>
            <w:tcMar>
              <w:top w:type="dxa" w:w="60"/>
              <w:left w:type="dxa" w:w="120"/>
              <w:bottom w:type="dxa" w:w="60"/>
              <w:right w:type="dxa" w:w="120"/>
            </w:tcMar>
          </w:tcPr>
          <w:p>
            <w:pPr>
              <w:spacing w:after="40" w:before="40"/>
            </w:pPr>
            <w:r>
              <w:rPr>
                <w:sz w:val="18"/>
                <w:szCs w:val="18"/>
              </w:rPr>
              <w:t xml:space="preserve">bronze.lookup_facility</w:t>
            </w:r>
          </w:p>
        </w:tc>
        <w:tc>
          <w:tcPr>
            <w:shd w:fill="EBF4FF" w:val="clear"/>
            <w:tcMar>
              <w:top w:type="dxa" w:w="60"/>
              <w:left w:type="dxa" w:w="120"/>
              <w:bottom w:type="dxa" w:w="60"/>
              <w:right w:type="dxa" w:w="120"/>
            </w:tcMar>
          </w:tcPr>
          <w:p>
            <w:pPr>
              <w:spacing w:after="40" w:before="40"/>
            </w:pPr>
            <w:r>
              <w:rPr>
                <w:sz w:val="18"/>
                <w:szCs w:val="18"/>
              </w:rPr>
              <w:t xml:space="preserve">809</w:t>
            </w:r>
          </w:p>
        </w:tc>
        <w:tc>
          <w:tcPr>
            <w:shd w:fill="EBF4FF" w:val="clear"/>
            <w:tcMar>
              <w:top w:type="dxa" w:w="60"/>
              <w:left w:type="dxa" w:w="120"/>
              <w:bottom w:type="dxa" w:w="60"/>
              <w:right w:type="dxa" w:w="120"/>
            </w:tcMar>
          </w:tcPr>
          <w:p>
            <w:pPr>
              <w:spacing w:after="40" w:before="40"/>
            </w:pPr>
            <w:r>
              <w:rPr>
                <w:sz w:val="18"/>
                <w:szCs w:val="18"/>
              </w:rPr>
              <w:t xml:space="preserve">Course and Facility Look Ups / LU_Facility</w:t>
            </w:r>
          </w:p>
        </w:tc>
      </w:tr>
    </w:tbl>
    <w:p>
      <w:pPr>
        <w:spacing w:before="200"/>
      </w:pPr>
    </w:p>
    <w:p>
      <w:pPr>
        <w:pStyle w:val="Heading2"/>
        <w:spacing w:after="160" w:before="320"/>
      </w:pPr>
      <w:r>
        <w:t xml:space="preserve">6.4 Schema Validation</w:t>
      </w:r>
    </w:p>
    <w:p>
      <w:pPr>
        <w:spacing w:after="120" w:before="80"/>
      </w:pPr>
      <w:r>
        <w:t xml:space="preserve">Bronze includes a schema validation step that compares observed columns against audit.schema_registry. The registry is currently empty (not populated during the assessment time-box), so all sources pass with a SAFE status. The validation framework is in place: populating the registry with expected columns would immediately enforce breaking schema change detection without code changes.</w:t>
      </w:r>
    </w:p>
    <w:p>
      <w:r>
        <w:br w:type="page"/>
      </w:r>
    </w:p>
    <w:p>
      <w:pPr>
        <w:pStyle w:val="Heading1"/>
        <w:spacing w:after="200" w:before="480"/>
      </w:pPr>
      <w:r>
        <w:t xml:space="preserve">7. Silver / Conformed Layer (nb_03_Silver)</w:t>
      </w:r>
    </w:p>
    <w:p>
      <w:pPr>
        <w:pStyle w:val="Heading2"/>
        <w:spacing w:after="160" w:before="320"/>
      </w:pPr>
      <w:r>
        <w:t xml:space="preserve">7.1 Column Canonicalisation</w:t>
      </w:r>
    </w:p>
    <w:p>
      <w:pPr>
        <w:spacing w:after="120" w:before="80"/>
      </w:pPr>
      <w:r>
        <w:t xml:space="preserve">Each source is mapped to a common 20-column schema before the union. This is where source naming differences are resolved: the online export's Last Name / Location Name / Start Date become surname / facility / event_date. CHW rows receive a synthetic course value ('Community Health Worker Programme') because the CHW source has no course column.</w:t>
      </w:r>
    </w:p>
    <w:p>
      <w:pPr>
        <w:spacing w:after="120" w:before="80"/>
      </w:pPr>
      <w:r>
        <w:t xml:space="preserve">All branches cast event_date to STRING before the unionByName. If one branch is STRING and another is DATE, Spark resolves the schema to DATE but leaves STRING branch values unconverted; the write fails with CAST_INVALID_INPUT. Explicit STRING casts in every branch, followed by a single try_to_date parse, make the type homogeneous and the parsing visible.</w:t>
      </w:r>
    </w:p>
    <w:p>
      <w:pPr>
        <w:pStyle w:val="Heading2"/>
        <w:spacing w:after="160" w:before="320"/>
      </w:pPr>
      <w:r>
        <w:t xml:space="preserve">7.2 Identifier Normalisation</w:t>
      </w:r>
    </w:p>
    <w:p>
      <w:pPr>
        <w:spacing w:after="120" w:before="80"/>
      </w:pPr>
      <w:r>
        <w:t xml:space="preserve">SA IDs are normalised in three steps:</w:t>
      </w:r>
    </w:p>
    <w:p>
      <w:pPr>
        <w:pStyle w:val="ListParagraph"/>
        <w:numPr>
          <w:ilvl w:val="0"/>
          <w:numId w:val="1"/>
        </w:numPr>
        <w:spacing w:after="60" w:before="60"/>
      </w:pPr>
      <w:r>
        <w:t xml:space="preserve">Trim whitespace</w:t>
      </w:r>
    </w:p>
    <w:p>
      <w:pPr>
        <w:pStyle w:val="ListParagraph"/>
        <w:numPr>
          <w:ilvl w:val="0"/>
          <w:numId w:val="1"/>
        </w:numPr>
        <w:spacing w:after="60" w:before="60"/>
      </w:pPr>
      <w:r>
        <w:t xml:space="preserve">Remove .0 suffix (Excel float artefact: 7783185163507.0 → 7783185163507)</w:t>
      </w:r>
    </w:p>
    <w:p>
      <w:pPr>
        <w:pStyle w:val="ListParagraph"/>
        <w:numPr>
          <w:ilvl w:val="0"/>
          <w:numId w:val="1"/>
        </w:numPr>
        <w:spacing w:after="60" w:before="60"/>
      </w:pPr>
      <w:r>
        <w:t xml:space="preserve">Retain only digit characters</w:t>
      </w:r>
    </w:p>
    <w:p>
      <w:pPr>
        <w:spacing w:after="120" w:before="80"/>
      </w:pPr>
      <w:r>
        <w:t xml:space="preserve">Only 13-digit strings are retained as sa_id_normalised. Luhn validation is implemented as a Python UDF and recorded as sa_id_luhn_valid, but is not used as a matching gate. The ~9% Luhn pass rate is expected for randomised 13-digit synthetic identifiers.</w:t>
      </w:r>
    </w:p>
    <w:p>
      <w:pPr>
        <w:pStyle w:val="Heading2"/>
        <w:spacing w:after="160" w:before="320"/>
      </w:pPr>
      <w:r>
        <w:t xml:space="preserve">7.3 Facility Standardisation</w:t>
      </w:r>
    </w:p>
    <w:p>
      <w:pPr>
        <w:spacing w:after="120" w:before="80"/>
      </w:pPr>
      <w:r>
        <w:t xml:space="preserve">The standalone LU_Facility lookup (809 rows) is the authoritative source. Matching is case-insensitive and trimmed. The pipeline attempts FacilityName first, then FacilityReportingName. District placeholder values (source values ending in ' - Other Location') are flagged as DISTRICT_PLACEHOLDER rather than treated as unmatched. Unmatched values are recorded in silver.unmapped_facilities.</w:t>
      </w:r>
    </w:p>
    <w:p>
      <w:pPr>
        <w:pStyle w:val="Heading2"/>
        <w:spacing w:after="160" w:before="320"/>
      </w:pPr>
      <w:r>
        <w:t xml:space="preserve">7.4 Professional Category Standardisation</w:t>
      </w:r>
    </w:p>
    <w:p>
      <w:pPr>
        <w:spacing w:after="120" w:before="80"/>
      </w:pPr>
      <w:r>
        <w:t xml:space="preserve">54 spelling variants of the Professional Category field in the Capturing Tool are mapped to four canonical values: Doctor, Nurse, Pharmacist, Other. Mapping is stored in audit.map_professional_category. Examples of variants reduced: 'DOCTOR', 'Dr', 'dotor', 'MO Medical Officer' all map to 'Doctor'.</w:t>
      </w:r>
    </w:p>
    <w:p>
      <w:pPr>
        <w:pStyle w:val="Heading2"/>
        <w:spacing w:after="160" w:before="320"/>
      </w:pPr>
      <w:r>
        <w:t xml:space="preserve">7.5 District Standardisation</w:t>
      </w:r>
    </w:p>
    <w:p>
      <w:pPr>
        <w:spacing w:after="120" w:before="80"/>
      </w:pPr>
      <w:r>
        <w:t xml:space="preserve">117 spelling variants of the District field in the Capturing Tool are mapped to seven canonical districts via audit.map_district. District and sub-district from the facility lookup are used to derive district for rows where the facility match succeeded.</w:t>
      </w:r>
    </w:p>
    <w:p>
      <w:pPr>
        <w:pStyle w:val="Heading2"/>
        <w:spacing w:after="160" w:before="320"/>
      </w:pPr>
      <w:r>
        <w:t xml:space="preserve">7.6 Event Key</w:t>
      </w:r>
    </w:p>
    <w:p>
      <w:pPr>
        <w:spacing w:after="120" w:before="80"/>
      </w:pPr>
      <w:r>
        <w:t xml:space="preserve">event_key is a SHA-256 hash of: source_system || source_file || source_sheet || sa_id_normalised || surname || first_name || course || event_date_raw. The event_date_raw component was added after a defect was identified during validation: the initial formula without it produced 43 collisions when participants attended the same course on different dates.</w:t>
      </w:r>
    </w:p>
    <w:p>
      <w:pPr>
        <w:pStyle w:val="Heading2"/>
        <w:spacing w:after="160" w:before="320"/>
      </w:pPr>
      <w:r>
        <w:t xml:space="preserve">7.7 Silver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rPr>
          <w:tblHeader/>
        </w:trPr>
        <w:tc>
          <w:tcPr>
            <w:shd w:fill="1A365D" w:val="clear"/>
            <w:tcMar>
              <w:top w:type="dxa" w:w="80"/>
              <w:left w:type="dxa" w:w="120"/>
              <w:bottom w:type="dxa" w:w="80"/>
              <w:right w:type="dxa" w:w="120"/>
            </w:tcMar>
          </w:tcPr>
          <w:p>
            <w:pPr>
              <w:spacing w:after="40" w:before="40"/>
              <w:jc w:val="left"/>
            </w:pPr>
            <w:r>
              <w:rPr>
                <w:b/>
                <w:bCs/>
                <w:color w:val="FFFFFF"/>
                <w:sz w:val="18"/>
                <w:szCs w:val="18"/>
              </w:rPr>
              <w:t xml:space="preserve">Table</w:t>
            </w:r>
          </w:p>
        </w:tc>
        <w:tc>
          <w:tcPr>
            <w:shd w:fill="1A365D" w:val="clear"/>
            <w:tcMar>
              <w:top w:type="dxa" w:w="80"/>
              <w:left w:type="dxa" w:w="120"/>
              <w:bottom w:type="dxa" w:w="80"/>
              <w:right w:type="dxa" w:w="120"/>
            </w:tcMar>
          </w:tcPr>
          <w:p>
            <w:pPr>
              <w:spacing w:after="40" w:before="40"/>
              <w:jc w:val="left"/>
            </w:pPr>
            <w:r>
              <w:rPr>
                <w:b/>
                <w:bCs/>
                <w:color w:val="FFFFFF"/>
                <w:sz w:val="18"/>
                <w:szCs w:val="18"/>
              </w:rPr>
              <w:t xml:space="preserve">Rows</w:t>
            </w:r>
          </w:p>
        </w:tc>
        <w:tc>
          <w:tcPr>
            <w:shd w:fill="1A365D" w:val="clear"/>
            <w:tcMar>
              <w:top w:type="dxa" w:w="80"/>
              <w:left w:type="dxa" w:w="120"/>
              <w:bottom w:type="dxa" w:w="80"/>
              <w:right w:type="dxa" w:w="120"/>
            </w:tcMar>
          </w:tcPr>
          <w:p>
            <w:pPr>
              <w:spacing w:after="40" w:before="40"/>
              <w:jc w:val="left"/>
            </w:pPr>
            <w:r>
              <w:rPr>
                <w:b/>
                <w:bCs/>
                <w:color w:val="FFFFFF"/>
                <w:sz w:val="18"/>
                <w:szCs w:val="18"/>
              </w:rPr>
              <w:t xml:space="preserve">Purpose</w:t>
            </w:r>
          </w:p>
        </w:tc>
      </w:tr>
      <w:tr>
        <w:tc>
          <w:tcPr>
            <w:shd w:fill="EBF4FF" w:val="clear"/>
            <w:tcMar>
              <w:top w:type="dxa" w:w="60"/>
              <w:left w:type="dxa" w:w="120"/>
              <w:bottom w:type="dxa" w:w="60"/>
              <w:right w:type="dxa" w:w="120"/>
            </w:tcMar>
          </w:tcPr>
          <w:p>
            <w:pPr>
              <w:spacing w:after="40" w:before="40"/>
            </w:pPr>
            <w:r>
              <w:rPr>
                <w:sz w:val="18"/>
                <w:szCs w:val="18"/>
              </w:rPr>
              <w:t xml:space="preserve">silver.participant_event</w:t>
            </w:r>
          </w:p>
        </w:tc>
        <w:tc>
          <w:tcPr>
            <w:shd w:fill="EBF4FF" w:val="clear"/>
            <w:tcMar>
              <w:top w:type="dxa" w:w="60"/>
              <w:left w:type="dxa" w:w="120"/>
              <w:bottom w:type="dxa" w:w="60"/>
              <w:right w:type="dxa" w:w="120"/>
            </w:tcMar>
          </w:tcPr>
          <w:p>
            <w:pPr>
              <w:spacing w:after="40" w:before="40"/>
            </w:pPr>
            <w:r>
              <w:rPr>
                <w:sz w:val="18"/>
                <w:szCs w:val="18"/>
              </w:rPr>
              <w:t xml:space="preserve">37,790</w:t>
            </w:r>
          </w:p>
        </w:tc>
        <w:tc>
          <w:tcPr>
            <w:shd w:fill="EBF4FF" w:val="clear"/>
            <w:tcMar>
              <w:top w:type="dxa" w:w="60"/>
              <w:left w:type="dxa" w:w="120"/>
              <w:bottom w:type="dxa" w:w="60"/>
              <w:right w:type="dxa" w:w="120"/>
            </w:tcMar>
          </w:tcPr>
          <w:p>
            <w:pPr>
              <w:spacing w:after="40" w:before="40"/>
            </w:pPr>
            <w:r>
              <w:rPr>
                <w:sz w:val="18"/>
                <w:szCs w:val="18"/>
              </w:rPr>
              <w:t xml:space="preserve">Full conformed fact across all sources and periods</w:t>
            </w:r>
          </w:p>
        </w:tc>
      </w:tr>
      <w:tr>
        <w:tc>
          <w:tcPr>
            <w:tcMar>
              <w:top w:type="dxa" w:w="60"/>
              <w:left w:type="dxa" w:w="120"/>
              <w:bottom w:type="dxa" w:w="60"/>
              <w:right w:type="dxa" w:w="120"/>
            </w:tcMar>
          </w:tcPr>
          <w:p>
            <w:pPr>
              <w:spacing w:after="40" w:before="40"/>
            </w:pPr>
            <w:r>
              <w:rPr>
                <w:sz w:val="18"/>
                <w:szCs w:val="18"/>
              </w:rPr>
              <w:t xml:space="preserve">silver.participant_event_dedup</w:t>
            </w:r>
          </w:p>
        </w:tc>
        <w:tc>
          <w:tcPr>
            <w:tcMar>
              <w:top w:type="dxa" w:w="60"/>
              <w:left w:type="dxa" w:w="120"/>
              <w:bottom w:type="dxa" w:w="60"/>
              <w:right w:type="dxa" w:w="120"/>
            </w:tcMar>
          </w:tcPr>
          <w:p>
            <w:pPr>
              <w:spacing w:after="40" w:before="40"/>
            </w:pPr>
            <w:r>
              <w:rPr>
                <w:sz w:val="18"/>
                <w:szCs w:val="18"/>
              </w:rPr>
              <w:t xml:space="preserve">4,832</w:t>
            </w:r>
          </w:p>
        </w:tc>
        <w:tc>
          <w:tcPr>
            <w:tcMar>
              <w:top w:type="dxa" w:w="60"/>
              <w:left w:type="dxa" w:w="120"/>
              <w:bottom w:type="dxa" w:w="60"/>
              <w:right w:type="dxa" w:w="120"/>
            </w:tcMar>
          </w:tcPr>
          <w:p>
            <w:pPr>
              <w:spacing w:after="40" w:before="40"/>
            </w:pPr>
            <w:r>
              <w:rPr>
                <w:sz w:val="18"/>
                <w:szCs w:val="18"/>
              </w:rPr>
              <w:t xml:space="preserve">Q4 2025 reportable rows with participant_key</w:t>
            </w:r>
          </w:p>
        </w:tc>
      </w:tr>
      <w:tr>
        <w:tc>
          <w:tcPr>
            <w:shd w:fill="EBF4FF" w:val="clear"/>
            <w:tcMar>
              <w:top w:type="dxa" w:w="60"/>
              <w:left w:type="dxa" w:w="120"/>
              <w:bottom w:type="dxa" w:w="60"/>
              <w:right w:type="dxa" w:w="120"/>
            </w:tcMar>
          </w:tcPr>
          <w:p>
            <w:pPr>
              <w:spacing w:after="40" w:before="40"/>
            </w:pPr>
            <w:r>
              <w:rPr>
                <w:sz w:val="18"/>
                <w:szCs w:val="18"/>
              </w:rPr>
              <w:t xml:space="preserve">silver.excluded_records</w:t>
            </w:r>
          </w:p>
        </w:tc>
        <w:tc>
          <w:tcPr>
            <w:shd w:fill="EBF4FF" w:val="clear"/>
            <w:tcMar>
              <w:top w:type="dxa" w:w="60"/>
              <w:left w:type="dxa" w:w="120"/>
              <w:bottom w:type="dxa" w:w="60"/>
              <w:right w:type="dxa" w:w="120"/>
            </w:tcMar>
          </w:tcPr>
          <w:p>
            <w:pPr>
              <w:spacing w:after="40" w:before="40"/>
            </w:pPr>
            <w:r>
              <w:rPr>
                <w:sz w:val="18"/>
                <w:szCs w:val="18"/>
              </w:rPr>
              <w:t xml:space="preserve">32,958</w:t>
            </w:r>
          </w:p>
        </w:tc>
        <w:tc>
          <w:tcPr>
            <w:shd w:fill="EBF4FF" w:val="clear"/>
            <w:tcMar>
              <w:top w:type="dxa" w:w="60"/>
              <w:left w:type="dxa" w:w="120"/>
              <w:bottom w:type="dxa" w:w="60"/>
              <w:right w:type="dxa" w:w="120"/>
            </w:tcMar>
          </w:tcPr>
          <w:p>
            <w:pPr>
              <w:spacing w:after="40" w:before="40"/>
            </w:pPr>
            <w:r>
              <w:rPr>
                <w:sz w:val="18"/>
                <w:szCs w:val="18"/>
              </w:rPr>
              <w:t xml:space="preserve">Rows outside Q4 2025 with exclusion_reason</w:t>
            </w:r>
          </w:p>
        </w:tc>
      </w:tr>
      <w:tr>
        <w:tc>
          <w:tcPr>
            <w:tcMar>
              <w:top w:type="dxa" w:w="60"/>
              <w:left w:type="dxa" w:w="120"/>
              <w:bottom w:type="dxa" w:w="60"/>
              <w:right w:type="dxa" w:w="120"/>
            </w:tcMar>
          </w:tcPr>
          <w:p>
            <w:pPr>
              <w:spacing w:after="40" w:before="40"/>
            </w:pPr>
            <w:r>
              <w:rPr>
                <w:sz w:val="18"/>
                <w:szCs w:val="18"/>
              </w:rPr>
              <w:t xml:space="preserve">silver.facility_dimension</w:t>
            </w:r>
          </w:p>
        </w:tc>
        <w:tc>
          <w:tcPr>
            <w:tcMar>
              <w:top w:type="dxa" w:w="60"/>
              <w:left w:type="dxa" w:w="120"/>
              <w:bottom w:type="dxa" w:w="60"/>
              <w:right w:type="dxa" w:w="120"/>
            </w:tcMar>
          </w:tcPr>
          <w:p>
            <w:pPr>
              <w:spacing w:after="40" w:before="40"/>
            </w:pPr>
            <w:r>
              <w:rPr>
                <w:sz w:val="18"/>
                <w:szCs w:val="18"/>
              </w:rPr>
              <w:t xml:space="preserve">1,024</w:t>
            </w:r>
          </w:p>
        </w:tc>
        <w:tc>
          <w:tcPr>
            <w:tcMar>
              <w:top w:type="dxa" w:w="60"/>
              <w:left w:type="dxa" w:w="120"/>
              <w:bottom w:type="dxa" w:w="60"/>
              <w:right w:type="dxa" w:w="120"/>
            </w:tcMar>
          </w:tcPr>
          <w:p>
            <w:pPr>
              <w:spacing w:after="40" w:before="40"/>
            </w:pPr>
            <w:r>
              <w:rPr>
                <w:sz w:val="18"/>
                <w:szCs w:val="18"/>
              </w:rPr>
              <w:t xml:space="preserve">Mapped facility reference</w:t>
            </w:r>
          </w:p>
        </w:tc>
      </w:tr>
      <w:tr>
        <w:tc>
          <w:tcPr>
            <w:shd w:fill="EBF4FF" w:val="clear"/>
            <w:tcMar>
              <w:top w:type="dxa" w:w="60"/>
              <w:left w:type="dxa" w:w="120"/>
              <w:bottom w:type="dxa" w:w="60"/>
              <w:right w:type="dxa" w:w="120"/>
            </w:tcMar>
          </w:tcPr>
          <w:p>
            <w:pPr>
              <w:spacing w:after="40" w:before="40"/>
            </w:pPr>
            <w:r>
              <w:rPr>
                <w:sz w:val="18"/>
                <w:szCs w:val="18"/>
              </w:rPr>
              <w:t xml:space="preserve">silver.course_dimension</w:t>
            </w:r>
          </w:p>
        </w:tc>
        <w:tc>
          <w:tcPr>
            <w:shd w:fill="EBF4FF" w:val="clear"/>
            <w:tcMar>
              <w:top w:type="dxa" w:w="60"/>
              <w:left w:type="dxa" w:w="120"/>
              <w:bottom w:type="dxa" w:w="60"/>
              <w:right w:type="dxa" w:w="120"/>
            </w:tcMar>
          </w:tcPr>
          <w:p>
            <w:pPr>
              <w:spacing w:after="40" w:before="40"/>
            </w:pPr>
            <w:r>
              <w:rPr>
                <w:sz w:val="18"/>
                <w:szCs w:val="18"/>
              </w:rPr>
              <w:t xml:space="preserve">933</w:t>
            </w:r>
          </w:p>
        </w:tc>
        <w:tc>
          <w:tcPr>
            <w:shd w:fill="EBF4FF" w:val="clear"/>
            <w:tcMar>
              <w:top w:type="dxa" w:w="60"/>
              <w:left w:type="dxa" w:w="120"/>
              <w:bottom w:type="dxa" w:w="60"/>
              <w:right w:type="dxa" w:w="120"/>
            </w:tcMar>
          </w:tcPr>
          <w:p>
            <w:pPr>
              <w:spacing w:after="40" w:before="40"/>
            </w:pPr>
            <w:r>
              <w:rPr>
                <w:sz w:val="18"/>
                <w:szCs w:val="18"/>
              </w:rPr>
              <w:t xml:space="preserve">Mapped course reference</w:t>
            </w:r>
          </w:p>
        </w:tc>
      </w:tr>
      <w:tr>
        <w:tc>
          <w:tcPr>
            <w:tcMar>
              <w:top w:type="dxa" w:w="60"/>
              <w:left w:type="dxa" w:w="120"/>
              <w:bottom w:type="dxa" w:w="60"/>
              <w:right w:type="dxa" w:w="120"/>
            </w:tcMar>
          </w:tcPr>
          <w:p>
            <w:pPr>
              <w:spacing w:after="40" w:before="40"/>
            </w:pPr>
            <w:r>
              <w:rPr>
                <w:sz w:val="18"/>
                <w:szCs w:val="18"/>
              </w:rPr>
              <w:t xml:space="preserve">silver.profession_dimension</w:t>
            </w:r>
          </w:p>
        </w:tc>
        <w:tc>
          <w:tcPr>
            <w:tcMar>
              <w:top w:type="dxa" w:w="60"/>
              <w:left w:type="dxa" w:w="120"/>
              <w:bottom w:type="dxa" w:w="60"/>
              <w:right w:type="dxa" w:w="120"/>
            </w:tcMar>
          </w:tcPr>
          <w:p>
            <w:pPr>
              <w:spacing w:after="40" w:before="40"/>
            </w:pPr>
            <w:r>
              <w:rPr>
                <w:sz w:val="18"/>
                <w:szCs w:val="18"/>
              </w:rPr>
              <w:t xml:space="preserve">60</w:t>
            </w:r>
          </w:p>
        </w:tc>
        <w:tc>
          <w:tcPr>
            <w:tcMar>
              <w:top w:type="dxa" w:w="60"/>
              <w:left w:type="dxa" w:w="120"/>
              <w:bottom w:type="dxa" w:w="60"/>
              <w:right w:type="dxa" w:w="120"/>
            </w:tcMar>
          </w:tcPr>
          <w:p>
            <w:pPr>
              <w:spacing w:after="40" w:before="40"/>
            </w:pPr>
            <w:r>
              <w:rPr>
                <w:sz w:val="18"/>
                <w:szCs w:val="18"/>
              </w:rPr>
              <w:t xml:space="preserve">Canonical profession list</w:t>
            </w:r>
          </w:p>
        </w:tc>
      </w:tr>
      <w:tr>
        <w:tc>
          <w:tcPr>
            <w:shd w:fill="EBF4FF" w:val="clear"/>
            <w:tcMar>
              <w:top w:type="dxa" w:w="60"/>
              <w:left w:type="dxa" w:w="120"/>
              <w:bottom w:type="dxa" w:w="60"/>
              <w:right w:type="dxa" w:w="120"/>
            </w:tcMar>
          </w:tcPr>
          <w:p>
            <w:pPr>
              <w:spacing w:after="40" w:before="40"/>
            </w:pPr>
            <w:r>
              <w:rPr>
                <w:sz w:val="18"/>
                <w:szCs w:val="18"/>
              </w:rPr>
              <w:t xml:space="preserve">silver.unmapped_facilities</w:t>
            </w:r>
          </w:p>
        </w:tc>
        <w:tc>
          <w:tcPr>
            <w:shd w:fill="EBF4FF" w:val="clear"/>
            <w:tcMar>
              <w:top w:type="dxa" w:w="60"/>
              <w:left w:type="dxa" w:w="120"/>
              <w:bottom w:type="dxa" w:w="60"/>
              <w:right w:type="dxa" w:w="120"/>
            </w:tcMar>
          </w:tcPr>
          <w:p>
            <w:pPr>
              <w:spacing w:after="40" w:before="40"/>
            </w:pPr>
            <w:r>
              <w:rPr>
                <w:sz w:val="18"/>
                <w:szCs w:val="18"/>
              </w:rPr>
              <w:t xml:space="preserve">507</w:t>
            </w:r>
          </w:p>
        </w:tc>
        <w:tc>
          <w:tcPr>
            <w:shd w:fill="EBF4FF" w:val="clear"/>
            <w:tcMar>
              <w:top w:type="dxa" w:w="60"/>
              <w:left w:type="dxa" w:w="120"/>
              <w:bottom w:type="dxa" w:w="60"/>
              <w:right w:type="dxa" w:w="120"/>
            </w:tcMar>
          </w:tcPr>
          <w:p>
            <w:pPr>
              <w:spacing w:after="40" w:before="40"/>
            </w:pPr>
            <w:r>
              <w:rPr>
                <w:sz w:val="18"/>
                <w:szCs w:val="18"/>
              </w:rPr>
              <w:t xml:space="preserve">Facility values not in LU_Facility</w:t>
            </w:r>
          </w:p>
        </w:tc>
      </w:tr>
      <w:tr>
        <w:tc>
          <w:tcPr>
            <w:tcMar>
              <w:top w:type="dxa" w:w="60"/>
              <w:left w:type="dxa" w:w="120"/>
              <w:bottom w:type="dxa" w:w="60"/>
              <w:right w:type="dxa" w:w="120"/>
            </w:tcMar>
          </w:tcPr>
          <w:p>
            <w:pPr>
              <w:spacing w:after="40" w:before="40"/>
            </w:pPr>
            <w:r>
              <w:rPr>
                <w:sz w:val="18"/>
                <w:szCs w:val="18"/>
              </w:rPr>
              <w:t xml:space="preserve">silver.unmapped_courses</w:t>
            </w:r>
          </w:p>
        </w:tc>
        <w:tc>
          <w:tcPr>
            <w:tcMar>
              <w:top w:type="dxa" w:w="60"/>
              <w:left w:type="dxa" w:w="120"/>
              <w:bottom w:type="dxa" w:w="60"/>
              <w:right w:type="dxa" w:w="120"/>
            </w:tcMar>
          </w:tcPr>
          <w:p>
            <w:pPr>
              <w:spacing w:after="40" w:before="40"/>
            </w:pPr>
            <w:r>
              <w:rPr>
                <w:sz w:val="18"/>
                <w:szCs w:val="18"/>
              </w:rPr>
              <w:t xml:space="preserve">607</w:t>
            </w:r>
          </w:p>
        </w:tc>
        <w:tc>
          <w:tcPr>
            <w:tcMar>
              <w:top w:type="dxa" w:w="60"/>
              <w:left w:type="dxa" w:w="120"/>
              <w:bottom w:type="dxa" w:w="60"/>
              <w:right w:type="dxa" w:w="120"/>
            </w:tcMar>
          </w:tcPr>
          <w:p>
            <w:pPr>
              <w:spacing w:after="40" w:before="40"/>
            </w:pPr>
            <w:r>
              <w:rPr>
                <w:sz w:val="18"/>
                <w:szCs w:val="18"/>
              </w:rPr>
              <w:t xml:space="preserve">Course values not in LU_Courses</w:t>
            </w:r>
          </w:p>
        </w:tc>
      </w:tr>
      <w:tr>
        <w:tc>
          <w:tcPr>
            <w:shd w:fill="EBF4FF" w:val="clear"/>
            <w:tcMar>
              <w:top w:type="dxa" w:w="60"/>
              <w:left w:type="dxa" w:w="120"/>
              <w:bottom w:type="dxa" w:w="60"/>
              <w:right w:type="dxa" w:w="120"/>
            </w:tcMar>
          </w:tcPr>
          <w:p>
            <w:pPr>
              <w:spacing w:after="40" w:before="40"/>
            </w:pPr>
            <w:r>
              <w:rPr>
                <w:sz w:val="18"/>
                <w:szCs w:val="18"/>
              </w:rPr>
              <w:t xml:space="preserve">silver.unmapped_professions</w:t>
            </w:r>
          </w:p>
        </w:tc>
        <w:tc>
          <w:tcPr>
            <w:shd w:fill="EBF4FF" w:val="clear"/>
            <w:tcMar>
              <w:top w:type="dxa" w:w="60"/>
              <w:left w:type="dxa" w:w="120"/>
              <w:bottom w:type="dxa" w:w="60"/>
              <w:right w:type="dxa" w:w="120"/>
            </w:tcMar>
          </w:tcPr>
          <w:p>
            <w:pPr>
              <w:spacing w:after="40" w:before="40"/>
            </w:pPr>
            <w:r>
              <w:rPr>
                <w:sz w:val="18"/>
                <w:szCs w:val="18"/>
              </w:rPr>
              <w:t xml:space="preserve">6</w:t>
            </w:r>
          </w:p>
        </w:tc>
        <w:tc>
          <w:tcPr>
            <w:shd w:fill="EBF4FF" w:val="clear"/>
            <w:tcMar>
              <w:top w:type="dxa" w:w="60"/>
              <w:left w:type="dxa" w:w="120"/>
              <w:bottom w:type="dxa" w:w="60"/>
              <w:right w:type="dxa" w:w="120"/>
            </w:tcMar>
          </w:tcPr>
          <w:p>
            <w:pPr>
              <w:spacing w:after="40" w:before="40"/>
            </w:pPr>
            <w:r>
              <w:rPr>
                <w:sz w:val="18"/>
                <w:szCs w:val="18"/>
              </w:rPr>
              <w:t xml:space="preserve">Profession values not in mapping</w:t>
            </w:r>
          </w:p>
        </w:tc>
      </w:tr>
    </w:tbl>
    <w:p>
      <w:r>
        <w:br w:type="page"/>
      </w:r>
    </w:p>
    <w:p>
      <w:pPr>
        <w:pStyle w:val="Heading1"/>
        <w:spacing w:after="200" w:before="480"/>
      </w:pPr>
      <w:r>
        <w:t xml:space="preserve">8. Deduplication and Participant Matching (nb_04_Deduplication)</w:t>
      </w:r>
    </w:p>
    <w:p>
      <w:pPr>
        <w:pStyle w:val="Heading2"/>
        <w:spacing w:after="160" w:before="320"/>
      </w:pPr>
      <w:r>
        <w:t xml:space="preserve">8.1 Three-Tier Matching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rPr>
          <w:tblHeader/>
        </w:trPr>
        <w:tc>
          <w:tcPr>
            <w:shd w:fill="1A365D" w:val="clear"/>
            <w:tcMar>
              <w:top w:type="dxa" w:w="80"/>
              <w:left w:type="dxa" w:w="120"/>
              <w:bottom w:type="dxa" w:w="80"/>
              <w:right w:type="dxa" w:w="120"/>
            </w:tcMar>
          </w:tcPr>
          <w:p>
            <w:pPr>
              <w:spacing w:after="40" w:before="40"/>
              <w:jc w:val="left"/>
            </w:pPr>
            <w:r>
              <w:rPr>
                <w:b/>
                <w:bCs/>
                <w:color w:val="FFFFFF"/>
                <w:sz w:val="18"/>
                <w:szCs w:val="18"/>
              </w:rPr>
              <w:t xml:space="preserve">Tier</w:t>
            </w:r>
          </w:p>
        </w:tc>
        <w:tc>
          <w:tcPr>
            <w:shd w:fill="1A365D" w:val="clear"/>
            <w:tcMar>
              <w:top w:type="dxa" w:w="80"/>
              <w:left w:type="dxa" w:w="120"/>
              <w:bottom w:type="dxa" w:w="80"/>
              <w:right w:type="dxa" w:w="120"/>
            </w:tcMar>
          </w:tcPr>
          <w:p>
            <w:pPr>
              <w:spacing w:after="40" w:before="40"/>
              <w:jc w:val="left"/>
            </w:pPr>
            <w:r>
              <w:rPr>
                <w:b/>
                <w:bCs/>
                <w:color w:val="FFFFFF"/>
                <w:sz w:val="18"/>
                <w:szCs w:val="18"/>
              </w:rPr>
              <w:t xml:space="preserve">Key</w:t>
            </w:r>
          </w:p>
        </w:tc>
        <w:tc>
          <w:tcPr>
            <w:shd w:fill="1A365D" w:val="clear"/>
            <w:tcMar>
              <w:top w:type="dxa" w:w="80"/>
              <w:left w:type="dxa" w:w="120"/>
              <w:bottom w:type="dxa" w:w="80"/>
              <w:right w:type="dxa" w:w="120"/>
            </w:tcMar>
          </w:tcPr>
          <w:p>
            <w:pPr>
              <w:spacing w:after="40" w:before="40"/>
              <w:jc w:val="left"/>
            </w:pPr>
            <w:r>
              <w:rPr>
                <w:b/>
                <w:bCs/>
                <w:color w:val="FFFFFF"/>
                <w:sz w:val="18"/>
                <w:szCs w:val="18"/>
              </w:rPr>
              <w:t xml:space="preserve">Condition</w:t>
            </w:r>
          </w:p>
        </w:tc>
      </w:tr>
      <w:tr>
        <w:tc>
          <w:tcPr>
            <w:shd w:fill="EBF4FF" w:val="clear"/>
            <w:tcMar>
              <w:top w:type="dxa" w:w="60"/>
              <w:left w:type="dxa" w:w="120"/>
              <w:bottom w:type="dxa" w:w="60"/>
              <w:right w:type="dxa" w:w="120"/>
            </w:tcMar>
          </w:tcPr>
          <w:p>
            <w:pPr>
              <w:spacing w:after="40" w:before="40"/>
            </w:pPr>
            <w:r>
              <w:rPr>
                <w:sz w:val="18"/>
                <w:szCs w:val="18"/>
              </w:rPr>
              <w:t xml:space="preserve">1</w:t>
            </w:r>
          </w:p>
        </w:tc>
        <w:tc>
          <w:tcPr>
            <w:shd w:fill="EBF4FF" w:val="clear"/>
            <w:tcMar>
              <w:top w:type="dxa" w:w="60"/>
              <w:left w:type="dxa" w:w="120"/>
              <w:bottom w:type="dxa" w:w="60"/>
              <w:right w:type="dxa" w:w="120"/>
            </w:tcMar>
          </w:tcPr>
          <w:p>
            <w:pPr>
              <w:spacing w:after="40" w:before="40"/>
            </w:pPr>
            <w:r>
              <w:rPr>
                <w:sz w:val="18"/>
                <w:szCs w:val="18"/>
              </w:rPr>
              <w:t xml:space="preserve">sa_id_normalised</w:t>
            </w:r>
          </w:p>
        </w:tc>
        <w:tc>
          <w:tcPr>
            <w:shd w:fill="EBF4FF" w:val="clear"/>
            <w:tcMar>
              <w:top w:type="dxa" w:w="60"/>
              <w:left w:type="dxa" w:w="120"/>
              <w:bottom w:type="dxa" w:w="60"/>
              <w:right w:type="dxa" w:w="120"/>
            </w:tcMar>
          </w:tcPr>
          <w:p>
            <w:pPr>
              <w:spacing w:after="40" w:before="40"/>
            </w:pPr>
            <w:r>
              <w:rPr>
                <w:sz w:val="18"/>
                <w:szCs w:val="18"/>
              </w:rPr>
              <w:t xml:space="preserve">13-digit SA ID present and non-null</w:t>
            </w:r>
          </w:p>
        </w:tc>
      </w:tr>
      <w:tr>
        <w:tc>
          <w:tcPr>
            <w:tcMar>
              <w:top w:type="dxa" w:w="60"/>
              <w:left w:type="dxa" w:w="120"/>
              <w:bottom w:type="dxa" w:w="60"/>
              <w:right w:type="dxa" w:w="120"/>
            </w:tcMar>
          </w:tcPr>
          <w:p>
            <w:pPr>
              <w:spacing w:after="40" w:before="40"/>
            </w:pPr>
            <w:r>
              <w:rPr>
                <w:sz w:val="18"/>
                <w:szCs w:val="18"/>
              </w:rPr>
              <w:t xml:space="preserve">2</w:t>
            </w:r>
          </w:p>
        </w:tc>
        <w:tc>
          <w:tcPr>
            <w:tcMar>
              <w:top w:type="dxa" w:w="60"/>
              <w:left w:type="dxa" w:w="120"/>
              <w:bottom w:type="dxa" w:w="60"/>
              <w:right w:type="dxa" w:w="120"/>
            </w:tcMar>
          </w:tcPr>
          <w:p>
            <w:pPr>
              <w:spacing w:after="40" w:before="40"/>
            </w:pPr>
            <w:r>
              <w:rPr>
                <w:sz w:val="18"/>
                <w:szCs w:val="18"/>
              </w:rPr>
              <w:t xml:space="preserve">sha256(surname_upper || first_name_upper || persal_clean)</w:t>
            </w:r>
          </w:p>
        </w:tc>
        <w:tc>
          <w:tcPr>
            <w:tcMar>
              <w:top w:type="dxa" w:w="60"/>
              <w:left w:type="dxa" w:w="120"/>
              <w:bottom w:type="dxa" w:w="60"/>
              <w:right w:type="dxa" w:w="120"/>
            </w:tcMar>
          </w:tcPr>
          <w:p>
            <w:pPr>
              <w:spacing w:after="40" w:before="40"/>
            </w:pPr>
            <w:r>
              <w:rPr>
                <w:sz w:val="18"/>
                <w:szCs w:val="18"/>
              </w:rPr>
              <w:t xml:space="preserve">SA ID missing; all three fields present and non-empty</w:t>
            </w:r>
          </w:p>
        </w:tc>
      </w:tr>
      <w:tr>
        <w:tc>
          <w:tcPr>
            <w:shd w:fill="EBF4FF" w:val="clear"/>
            <w:tcMar>
              <w:top w:type="dxa" w:w="60"/>
              <w:left w:type="dxa" w:w="120"/>
              <w:bottom w:type="dxa" w:w="60"/>
              <w:right w:type="dxa" w:w="120"/>
            </w:tcMar>
          </w:tcPr>
          <w:p>
            <w:pPr>
              <w:spacing w:after="40" w:before="40"/>
            </w:pPr>
            <w:r>
              <w:rPr>
                <w:sz w:val="18"/>
                <w:szCs w:val="18"/>
              </w:rPr>
              <w:t xml:space="preserve">3</w:t>
            </w:r>
          </w:p>
        </w:tc>
        <w:tc>
          <w:tcPr>
            <w:shd w:fill="EBF4FF" w:val="clear"/>
            <w:tcMar>
              <w:top w:type="dxa" w:w="60"/>
              <w:left w:type="dxa" w:w="120"/>
              <w:bottom w:type="dxa" w:w="60"/>
              <w:right w:type="dxa" w:w="120"/>
            </w:tcMar>
          </w:tcPr>
          <w:p>
            <w:pPr>
              <w:spacing w:after="40" w:before="40"/>
            </w:pPr>
            <w:r>
              <w:rPr>
                <w:sz w:val="18"/>
                <w:szCs w:val="18"/>
              </w:rPr>
              <w:t xml:space="preserve">event_key (row's own unique hash)</w:t>
            </w:r>
          </w:p>
        </w:tc>
        <w:tc>
          <w:tcPr>
            <w:shd w:fill="EBF4FF" w:val="clear"/>
            <w:tcMar>
              <w:top w:type="dxa" w:w="60"/>
              <w:left w:type="dxa" w:w="120"/>
              <w:bottom w:type="dxa" w:w="60"/>
              <w:right w:type="dxa" w:w="120"/>
            </w:tcMar>
          </w:tcPr>
          <w:p>
            <w:pPr>
              <w:spacing w:after="40" w:before="40"/>
            </w:pPr>
            <w:r>
              <w:rPr>
                <w:sz w:val="18"/>
                <w:szCs w:val="18"/>
              </w:rPr>
              <w:t xml:space="preserve">Neither Tier 1 nor Tier 2 applicable</w:t>
            </w:r>
          </w:p>
        </w:tc>
      </w:tr>
    </w:tbl>
    <w:p>
      <w:pPr>
        <w:spacing w:before="200"/>
      </w:pPr>
    </w:p>
    <w:p>
      <w:pPr>
        <w:spacing w:after="120" w:before="80"/>
      </w:pPr>
      <w:r>
        <w:t xml:space="preserve">participant_match_tier records which tier produced each participant_key, making the matching decision auditable. No probabilistic or fuzzy matching is used. Rows without a usable identifier are treated as distinct participants rather than being silently matched or dropped.</w:t>
      </w:r>
    </w:p>
    <w:p>
      <w:pPr>
        <w:pStyle w:val="Heading2"/>
        <w:spacing w:after="160" w:before="320"/>
      </w:pPr>
      <w:r>
        <w:t xml:space="preserve">8.2 Luhn Validity as a Non-Gate</w:t>
      </w:r>
    </w:p>
    <w:p>
      <w:pPr>
        <w:spacing w:after="120" w:before="80"/>
      </w:pPr>
      <w:r>
        <w:t xml:space="preserve">Luhn validity is intentionally not a gate for Tier 1 matching. The assessment brief and client handover email confirm the data was anonymised with randomised 13-digit strings. Requiring Luhn validity would incorrectly classify ~91% of valid-format SA IDs as missing, collapsing most participants to Tier 2 or Tier 3 matching and producing meaningless unique participant counts.</w:t>
      </w:r>
    </w:p>
    <w:p>
      <w:pPr>
        <w:pStyle w:val="Heading2"/>
        <w:spacing w:after="160" w:before="320"/>
      </w:pPr>
      <w:r>
        <w:t xml:space="preserve">8.3 Reportable Rule</w:t>
      </w:r>
    </w:p>
    <w:p>
      <w:pPr>
        <w:spacing w:after="120" w:before="80"/>
      </w:pPr>
      <w:r>
        <w:t xml:space="preserve">A row is reportable if (a) its event_date falls within Q4 2025 and (b) it represents a completed training event. Completion is defined per source: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rPr>
          <w:tblHeader/>
        </w:trPr>
        <w:tc>
          <w:tcPr>
            <w:shd w:fill="1A365D" w:val="clear"/>
            <w:tcMar>
              <w:top w:type="dxa" w:w="80"/>
              <w:left w:type="dxa" w:w="120"/>
              <w:bottom w:type="dxa" w:w="80"/>
              <w:right w:type="dxa" w:w="120"/>
            </w:tcMar>
          </w:tcPr>
          <w:p>
            <w:pPr>
              <w:spacing w:after="40" w:before="40"/>
              <w:jc w:val="left"/>
            </w:pPr>
            <w:r>
              <w:rPr>
                <w:b/>
                <w:bCs/>
                <w:color w:val="FFFFFF"/>
                <w:sz w:val="18"/>
                <w:szCs w:val="18"/>
              </w:rPr>
              <w:t xml:space="preserve">Source</w:t>
            </w:r>
          </w:p>
        </w:tc>
        <w:tc>
          <w:tcPr>
            <w:shd w:fill="1A365D" w:val="clear"/>
            <w:tcMar>
              <w:top w:type="dxa" w:w="80"/>
              <w:left w:type="dxa" w:w="120"/>
              <w:bottom w:type="dxa" w:w="80"/>
              <w:right w:type="dxa" w:w="120"/>
            </w:tcMar>
          </w:tcPr>
          <w:p>
            <w:pPr>
              <w:spacing w:after="40" w:before="40"/>
              <w:jc w:val="left"/>
            </w:pPr>
            <w:r>
              <w:rPr>
                <w:b/>
                <w:bCs/>
                <w:color w:val="FFFFFF"/>
                <w:sz w:val="18"/>
                <w:szCs w:val="18"/>
              </w:rPr>
              <w:t xml:space="preserve">Completion Condition</w:t>
            </w:r>
          </w:p>
        </w:tc>
        <w:tc>
          <w:tcPr>
            <w:shd w:fill="1A365D" w:val="clear"/>
            <w:tcMar>
              <w:top w:type="dxa" w:w="80"/>
              <w:left w:type="dxa" w:w="120"/>
              <w:bottom w:type="dxa" w:w="80"/>
              <w:right w:type="dxa" w:w="120"/>
            </w:tcMar>
          </w:tcPr>
          <w:p>
            <w:pPr>
              <w:spacing w:after="40" w:before="40"/>
              <w:jc w:val="left"/>
            </w:pPr>
            <w:r>
              <w:rPr>
                <w:b/>
                <w:bCs/>
                <w:color w:val="FFFFFF"/>
                <w:sz w:val="18"/>
                <w:szCs w:val="18"/>
              </w:rPr>
              <w:t xml:space="preserve">Rationale</w:t>
            </w:r>
          </w:p>
        </w:tc>
      </w:tr>
      <w:tr>
        <w:tc>
          <w:tcPr>
            <w:shd w:fill="EBF4FF" w:val="clear"/>
            <w:tcMar>
              <w:top w:type="dxa" w:w="60"/>
              <w:left w:type="dxa" w:w="120"/>
              <w:bottom w:type="dxa" w:w="60"/>
              <w:right w:type="dxa" w:w="120"/>
            </w:tcMar>
          </w:tcPr>
          <w:p>
            <w:pPr>
              <w:spacing w:after="40" w:before="40"/>
            </w:pPr>
            <w:r>
              <w:rPr>
                <w:sz w:val="18"/>
                <w:szCs w:val="18"/>
              </w:rPr>
              <w:t xml:space="preserve">capturing_tool</w:t>
            </w:r>
          </w:p>
        </w:tc>
        <w:tc>
          <w:tcPr>
            <w:shd w:fill="EBF4FF" w:val="clear"/>
            <w:tcMar>
              <w:top w:type="dxa" w:w="60"/>
              <w:left w:type="dxa" w:w="120"/>
              <w:bottom w:type="dxa" w:w="60"/>
              <w:right w:type="dxa" w:w="120"/>
            </w:tcMar>
          </w:tcPr>
          <w:p>
            <w:pPr>
              <w:spacing w:after="40" w:before="40"/>
            </w:pPr>
            <w:r>
              <w:rPr>
                <w:sz w:val="18"/>
                <w:szCs w:val="18"/>
              </w:rPr>
              <w:t xml:space="preserve">attendance_status IN ('Attended', 'Partial attendance', 'Replacement')</w:t>
            </w:r>
          </w:p>
        </w:tc>
        <w:tc>
          <w:tcPr>
            <w:shd w:fill="EBF4FF" w:val="clear"/>
            <w:tcMar>
              <w:top w:type="dxa" w:w="60"/>
              <w:left w:type="dxa" w:w="120"/>
              <w:bottom w:type="dxa" w:w="60"/>
              <w:right w:type="dxa" w:w="120"/>
            </w:tcMar>
          </w:tcPr>
          <w:p>
            <w:pPr>
              <w:spacing w:after="40" w:before="40"/>
            </w:pPr>
            <w:r>
              <w:rPr>
                <w:sz w:val="18"/>
                <w:szCs w:val="18"/>
              </w:rPr>
              <w:t xml:space="preserve">Source-specific attendance taxonomy</w:t>
            </w:r>
          </w:p>
        </w:tc>
      </w:tr>
      <w:tr>
        <w:tc>
          <w:tcPr>
            <w:tcMar>
              <w:top w:type="dxa" w:w="60"/>
              <w:left w:type="dxa" w:w="120"/>
              <w:bottom w:type="dxa" w:w="60"/>
              <w:right w:type="dxa" w:w="120"/>
            </w:tcMar>
          </w:tcPr>
          <w:p>
            <w:pPr>
              <w:spacing w:after="40" w:before="40"/>
            </w:pPr>
            <w:r>
              <w:rPr>
                <w:sz w:val="18"/>
                <w:szCs w:val="18"/>
              </w:rPr>
              <w:t xml:space="preserve">chw</w:t>
            </w:r>
          </w:p>
        </w:tc>
        <w:tc>
          <w:tcPr>
            <w:tcMar>
              <w:top w:type="dxa" w:w="60"/>
              <w:left w:type="dxa" w:w="120"/>
              <w:bottom w:type="dxa" w:w="60"/>
              <w:right w:type="dxa" w:w="120"/>
            </w:tcMar>
          </w:tcPr>
          <w:p>
            <w:pPr>
              <w:spacing w:after="40" w:before="40"/>
            </w:pPr>
            <w:r>
              <w:rPr>
                <w:sz w:val="18"/>
                <w:szCs w:val="18"/>
              </w:rPr>
              <w:t xml:space="preserve">Any row</w:t>
            </w:r>
          </w:p>
        </w:tc>
        <w:tc>
          <w:tcPr>
            <w:tcMar>
              <w:top w:type="dxa" w:w="60"/>
              <w:left w:type="dxa" w:w="120"/>
              <w:bottom w:type="dxa" w:w="60"/>
              <w:right w:type="dxa" w:w="120"/>
            </w:tcMar>
          </w:tcPr>
          <w:p>
            <w:pPr>
              <w:spacing w:after="40" w:before="40"/>
            </w:pPr>
            <w:r>
              <w:rPr>
                <w:sz w:val="18"/>
                <w:szCs w:val="18"/>
              </w:rPr>
              <w:t xml:space="preserve">Presence on CHW register implies completion</w:t>
            </w:r>
          </w:p>
        </w:tc>
      </w:tr>
      <w:tr>
        <w:tc>
          <w:tcPr>
            <w:shd w:fill="EBF4FF" w:val="clear"/>
            <w:tcMar>
              <w:top w:type="dxa" w:w="60"/>
              <w:left w:type="dxa" w:w="120"/>
              <w:bottom w:type="dxa" w:w="60"/>
              <w:right w:type="dxa" w:w="120"/>
            </w:tcMar>
          </w:tcPr>
          <w:p>
            <w:pPr>
              <w:spacing w:after="40" w:before="40"/>
            </w:pPr>
            <w:r>
              <w:rPr>
                <w:sz w:val="18"/>
                <w:szCs w:val="18"/>
              </w:rPr>
              <w:t xml:space="preserve">online_export</w:t>
            </w:r>
          </w:p>
        </w:tc>
        <w:tc>
          <w:tcPr>
            <w:shd w:fill="EBF4FF" w:val="clear"/>
            <w:tcMar>
              <w:top w:type="dxa" w:w="60"/>
              <w:left w:type="dxa" w:w="120"/>
              <w:bottom w:type="dxa" w:w="60"/>
              <w:right w:type="dxa" w:w="120"/>
            </w:tcMar>
          </w:tcPr>
          <w:p>
            <w:pPr>
              <w:spacing w:after="40" w:before="40"/>
            </w:pPr>
            <w:r>
              <w:rPr>
                <w:sz w:val="18"/>
                <w:szCs w:val="18"/>
              </w:rPr>
              <w:t xml:space="preserve">End Date IS NOT NULL</w:t>
            </w:r>
          </w:p>
        </w:tc>
        <w:tc>
          <w:tcPr>
            <w:shd w:fill="EBF4FF" w:val="clear"/>
            <w:tcMar>
              <w:top w:type="dxa" w:w="60"/>
              <w:left w:type="dxa" w:w="120"/>
              <w:bottom w:type="dxa" w:w="60"/>
              <w:right w:type="dxa" w:w="120"/>
            </w:tcMar>
          </w:tcPr>
          <w:p>
            <w:pPr>
              <w:spacing w:after="40" w:before="40"/>
            </w:pPr>
            <w:r>
              <w:rPr>
                <w:sz w:val="18"/>
                <w:szCs w:val="18"/>
              </w:rPr>
              <w:t xml:space="preserve">Documented proxy; End Date blank on 28.4% of rows</w:t>
            </w:r>
          </w:p>
        </w:tc>
      </w:tr>
    </w:tbl>
    <w:p>
      <w:pPr>
        <w:spacing w:before="200"/>
      </w:pPr>
    </w:p>
    <w:p>
      <w:pPr>
        <w:pStyle w:val="Heading2"/>
        <w:spacing w:after="160" w:before="320"/>
      </w:pPr>
      <w:r>
        <w:t xml:space="preserve">8.4 Excluded Records</w:t>
      </w:r>
    </w:p>
    <w:p>
      <w:pPr>
        <w:spacing w:after="120" w:before="80"/>
      </w:pPr>
      <w:r>
        <w:t xml:space="preserve">Rows outside Q4 2025 are written to silver.excluded_records with exclusion_reason = 'OUTSIDE_REPORTING_PERIOD'. The excluded table is produced using a LEFT ANTI JOIN on event_key rather than DataFrame.subtract(), which is a distinct set difference and may fail to subtract rows that differ only in column values not part of the comparison key.</w:t>
      </w:r>
    </w:p>
    <w:p>
      <w:pPr>
        <w:pStyle w:val="Heading2"/>
        <w:spacing w:after="160" w:before="320"/>
      </w:pPr>
      <w:r>
        <w:t xml:space="preserve">8.5 Limitations</w:t>
      </w:r>
    </w:p>
    <w:p>
      <w:pPr>
        <w:pStyle w:val="ListParagraph"/>
        <w:numPr>
          <w:ilvl w:val="0"/>
          <w:numId w:val="1"/>
        </w:numPr>
        <w:spacing w:after="60" w:before="60"/>
      </w:pPr>
      <w:r>
        <w:t xml:space="preserve">Online export End Date IS NOT NULL may conflate non-completion with incomplete data entry by training administrators</w:t>
      </w:r>
    </w:p>
    <w:p>
      <w:pPr>
        <w:pStyle w:val="ListParagraph"/>
        <w:numPr>
          <w:ilvl w:val="0"/>
          <w:numId w:val="1"/>
        </w:numPr>
        <w:spacing w:after="60" w:before="60"/>
      </w:pPr>
      <w:r>
        <w:t xml:space="preserve">CHW rows have no event date; all 359 CHW rows are excluded from Q4 2025 by definition and recorded in silver.excluded_records</w:t>
      </w:r>
    </w:p>
    <w:p>
      <w:pPr>
        <w:pStyle w:val="ListParagraph"/>
        <w:numPr>
          <w:ilvl w:val="0"/>
          <w:numId w:val="1"/>
        </w:numPr>
        <w:spacing w:after="60" w:before="60"/>
      </w:pPr>
      <w:r>
        <w:t xml:space="preserve">Tier 3 participants (no SA ID, no PERSAL) cannot be matched across sources; cross-source duplicates in this tier produce inflated unique participant counts</w:t>
      </w:r>
    </w:p>
    <w:p>
      <w:pPr>
        <w:pStyle w:val="ListParagraph"/>
        <w:numPr>
          <w:ilvl w:val="0"/>
          <w:numId w:val="1"/>
        </w:numPr>
        <w:spacing w:after="60" w:before="60"/>
      </w:pPr>
      <w:r>
        <w:t xml:space="preserve">The composite Tier 2 key (surname + first_name + PERSAL) does not account for name variations or data entry errors in name fields</w:t>
      </w:r>
    </w:p>
    <w:p>
      <w:r>
        <w:br w:type="page"/>
      </w:r>
    </w:p>
    <w:p>
      <w:pPr>
        <w:pStyle w:val="Heading1"/>
        <w:spacing w:after="200" w:before="480"/>
      </w:pPr>
      <w:r>
        <w:t xml:space="preserve">9. Gold / Reporting Layer (nb_05_Gold)</w:t>
      </w:r>
    </w:p>
    <w:p>
      <w:pPr>
        <w:pStyle w:val="Heading2"/>
        <w:spacing w:after="160" w:before="320"/>
      </w:pPr>
      <w:r>
        <w:t xml:space="preserve">9.1 Metric Definitions</w:t>
      </w:r>
    </w:p>
    <w:p>
      <w:pPr>
        <w:spacing w:after="120" w:before="80"/>
      </w:pPr>
      <w:r>
        <w:t xml:space="preserve">The following metric definitions are applied consistently across both reporting outputs:</w:t>
      </w:r>
    </w:p>
    <w:p>
      <w:pPr>
        <w:pStyle w:val="ListParagraph"/>
        <w:numPr>
          <w:ilvl w:val="0"/>
          <w:numId w:val="1"/>
        </w:numPr>
        <w:spacing w:after="60" w:before="60"/>
      </w:pPr>
      <w:r>
        <w:t xml:space="preserve">Enrolment: count of participant_event rows (one row = one enrolment event)</w:t>
      </w:r>
    </w:p>
    <w:p>
      <w:pPr>
        <w:pStyle w:val="ListParagraph"/>
        <w:numPr>
          <w:ilvl w:val="0"/>
          <w:numId w:val="1"/>
        </w:numPr>
        <w:spacing w:after="60" w:before="60"/>
      </w:pPr>
      <w:r>
        <w:t xml:space="preserve">Completion: count of rows where is_completed = true</w:t>
      </w:r>
    </w:p>
    <w:p>
      <w:pPr>
        <w:pStyle w:val="ListParagraph"/>
        <w:numPr>
          <w:ilvl w:val="0"/>
          <w:numId w:val="1"/>
        </w:numPr>
        <w:spacing w:after="60" w:before="60"/>
      </w:pPr>
      <w:r>
        <w:t xml:space="preserve">Not completed: enrolments − completions</w:t>
      </w:r>
    </w:p>
    <w:p>
      <w:pPr>
        <w:pStyle w:val="ListParagraph"/>
        <w:numPr>
          <w:ilvl w:val="0"/>
          <w:numId w:val="1"/>
        </w:numPr>
        <w:spacing w:after="60" w:before="60"/>
      </w:pPr>
      <w:r>
        <w:t xml:space="preserve">Unique participants: COUNT(DISTINCT participant_key) — this will always be ≤ enrolments when participants attend multiple courses</w:t>
      </w:r>
    </w:p>
    <w:p>
      <w:pPr>
        <w:pStyle w:val="Heading2"/>
        <w:spacing w:after="160" w:before="320"/>
      </w:pPr>
      <w:r>
        <w:t xml:space="preserve">9.2 Output 1 — Completions by District</w:t>
      </w:r>
    </w:p>
    <w:p>
      <w:pPr>
        <w:spacing w:after="120" w:before="80"/>
      </w:pPr>
      <w:r>
        <w:t xml:space="preserve">gold.report_completions_by_district: one row per canonical district, plus a TOTAL row. Columns: district, enrolments, completions, not_completed, unique_participants. Rows are ordered by completions descending.</w:t>
      </w:r>
    </w:p>
    <w:p>
      <w:pPr>
        <w:pStyle w:val="Heading2"/>
        <w:spacing w:after="160" w:before="320"/>
      </w:pPr>
      <w:r>
        <w:t xml:space="preserve">9.3 Output 2 — Enrolments vs Completions by Source</w:t>
      </w:r>
    </w:p>
    <w:p>
      <w:pPr>
        <w:spacing w:after="120" w:before="80"/>
      </w:pPr>
      <w:r>
        <w:t xml:space="preserve">gold.report_enrolments_vs_completions: one row per source system (capturing_tool, chw, online_export), plus a TOTAL row. Same columns as Output 1, with source_system instead of district.</w:t>
      </w:r>
    </w:p>
    <w:p>
      <w:pPr>
        <w:pStyle w:val="Heading2"/>
        <w:spacing w:after="160" w:before="320"/>
      </w:pPr>
      <w:r>
        <w:t xml:space="preserve">9.4 Reconciliation</w:t>
      </w:r>
    </w:p>
    <w:p>
      <w:pPr>
        <w:spacing w:after="120" w:before="80"/>
      </w:pPr>
      <w:r>
        <w:t xml:space="preserve">gold.reconciliation_results contains five checks:</w:t>
      </w:r>
    </w:p>
    <w:p>
      <w:pPr>
        <w:pStyle w:val="ListParagraph"/>
        <w:numPr>
          <w:ilvl w:val="0"/>
          <w:numId w:val="1"/>
        </w:numPr>
        <w:spacing w:after="60" w:before="60"/>
      </w:pPr>
      <w:r>
        <w:t xml:space="preserve">Source subtotals sum to headline enrolments</w:t>
      </w:r>
    </w:p>
    <w:p>
      <w:pPr>
        <w:pStyle w:val="ListParagraph"/>
        <w:numPr>
          <w:ilvl w:val="0"/>
          <w:numId w:val="1"/>
        </w:numPr>
        <w:spacing w:after="60" w:before="60"/>
      </w:pPr>
      <w:r>
        <w:t xml:space="preserve">District subtotals sum to headline enrolments</w:t>
      </w:r>
    </w:p>
    <w:p>
      <w:pPr>
        <w:pStyle w:val="ListParagraph"/>
        <w:numPr>
          <w:ilvl w:val="0"/>
          <w:numId w:val="1"/>
        </w:numPr>
        <w:spacing w:after="60" w:before="60"/>
      </w:pPr>
      <w:r>
        <w:t xml:space="preserve">Source subtotals sum to headline completions</w:t>
      </w:r>
    </w:p>
    <w:p>
      <w:pPr>
        <w:pStyle w:val="ListParagraph"/>
        <w:numPr>
          <w:ilvl w:val="0"/>
          <w:numId w:val="1"/>
        </w:numPr>
        <w:spacing w:after="60" w:before="60"/>
      </w:pPr>
      <w:r>
        <w:t xml:space="preserve">District subtotals sum to headline completions</w:t>
      </w:r>
    </w:p>
    <w:p>
      <w:pPr>
        <w:pStyle w:val="ListParagraph"/>
        <w:numPr>
          <w:ilvl w:val="0"/>
          <w:numId w:val="1"/>
        </w:numPr>
        <w:spacing w:after="60" w:before="60"/>
      </w:pPr>
      <w:r>
        <w:t xml:space="preserve">Headline enrolments = completions + not_completed</w:t>
      </w:r>
    </w:p>
    <w:p>
      <w:pPr>
        <w:spacing w:after="120" w:before="80"/>
      </w:pPr>
      <w:r>
        <w:t xml:space="preserve">All five checks pass. Expected values are computed from the dedup fact at runtime, not hard-coded.</w:t>
      </w:r>
    </w:p>
    <w:p>
      <w:r>
        <w:br w:type="page"/>
      </w:r>
    </w:p>
    <w:p>
      <w:pPr>
        <w:pStyle w:val="Heading1"/>
        <w:spacing w:after="200" w:before="480"/>
      </w:pPr>
      <w:r>
        <w:t xml:space="preserve">10. Data Quality Framework (nb_06_Validation)</w:t>
      </w:r>
    </w:p>
    <w:p>
      <w:pPr>
        <w:pStyle w:val="Heading2"/>
        <w:spacing w:after="160" w:before="320"/>
      </w:pPr>
      <w:r>
        <w:t xml:space="preserve">10.1 Validation Check 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rPr>
          <w:tblHeader/>
        </w:trPr>
        <w:tc>
          <w:tcPr>
            <w:shd w:fill="1A365D" w:val="clear"/>
            <w:tcMar>
              <w:top w:type="dxa" w:w="80"/>
              <w:left w:type="dxa" w:w="120"/>
              <w:bottom w:type="dxa" w:w="80"/>
              <w:right w:type="dxa" w:w="120"/>
            </w:tcMar>
          </w:tcPr>
          <w:p>
            <w:pPr>
              <w:spacing w:after="40" w:before="40"/>
              <w:jc w:val="left"/>
            </w:pPr>
            <w:r>
              <w:rPr>
                <w:b/>
                <w:bCs/>
                <w:color w:val="FFFFFF"/>
                <w:sz w:val="18"/>
                <w:szCs w:val="18"/>
              </w:rPr>
              <w:t xml:space="preserve">Category</w:t>
            </w:r>
          </w:p>
        </w:tc>
        <w:tc>
          <w:tcPr>
            <w:shd w:fill="1A365D" w:val="clear"/>
            <w:tcMar>
              <w:top w:type="dxa" w:w="80"/>
              <w:left w:type="dxa" w:w="120"/>
              <w:bottom w:type="dxa" w:w="80"/>
              <w:right w:type="dxa" w:w="120"/>
            </w:tcMar>
          </w:tcPr>
          <w:p>
            <w:pPr>
              <w:spacing w:after="40" w:before="40"/>
              <w:jc w:val="left"/>
            </w:pPr>
            <w:r>
              <w:rPr>
                <w:b/>
                <w:bCs/>
                <w:color w:val="FFFFFF"/>
                <w:sz w:val="18"/>
                <w:szCs w:val="18"/>
              </w:rPr>
              <w:t xml:space="preserve">Check Name</w:t>
            </w:r>
          </w:p>
        </w:tc>
        <w:tc>
          <w:tcPr>
            <w:shd w:fill="1A365D" w:val="clear"/>
            <w:tcMar>
              <w:top w:type="dxa" w:w="80"/>
              <w:left w:type="dxa" w:w="120"/>
              <w:bottom w:type="dxa" w:w="80"/>
              <w:right w:type="dxa" w:w="120"/>
            </w:tcMar>
          </w:tcPr>
          <w:p>
            <w:pPr>
              <w:spacing w:after="40" w:before="40"/>
              <w:jc w:val="left"/>
            </w:pPr>
            <w:r>
              <w:rPr>
                <w:b/>
                <w:bCs/>
                <w:color w:val="FFFFFF"/>
                <w:sz w:val="18"/>
                <w:szCs w:val="18"/>
              </w:rPr>
              <w:t xml:space="preserve">What It Tests</w:t>
            </w:r>
          </w:p>
        </w:tc>
      </w:tr>
      <w:tr>
        <w:tc>
          <w:tcPr>
            <w:shd w:fill="EBF4FF" w:val="clear"/>
            <w:tcMar>
              <w:top w:type="dxa" w:w="60"/>
              <w:left w:type="dxa" w:w="120"/>
              <w:bottom w:type="dxa" w:w="60"/>
              <w:right w:type="dxa" w:w="120"/>
            </w:tcMar>
          </w:tcPr>
          <w:p>
            <w:pPr>
              <w:spacing w:after="40" w:before="40"/>
            </w:pPr>
            <w:r>
              <w:rPr>
                <w:sz w:val="18"/>
                <w:szCs w:val="18"/>
              </w:rPr>
              <w:t xml:space="preserve">completeness</w:t>
            </w:r>
          </w:p>
        </w:tc>
        <w:tc>
          <w:tcPr>
            <w:shd w:fill="EBF4FF" w:val="clear"/>
            <w:tcMar>
              <w:top w:type="dxa" w:w="60"/>
              <w:left w:type="dxa" w:w="120"/>
              <w:bottom w:type="dxa" w:w="60"/>
              <w:right w:type="dxa" w:w="120"/>
            </w:tcMar>
          </w:tcPr>
          <w:p>
            <w:pPr>
              <w:spacing w:after="40" w:before="40"/>
            </w:pPr>
            <w:r>
              <w:rPr>
                <w:sz w:val="18"/>
                <w:szCs w:val="18"/>
              </w:rPr>
              <w:t xml:space="preserve">bronze_capturing_tool_rows</w:t>
            </w:r>
          </w:p>
        </w:tc>
        <w:tc>
          <w:tcPr>
            <w:shd w:fill="EBF4FF" w:val="clear"/>
            <w:tcMar>
              <w:top w:type="dxa" w:w="60"/>
              <w:left w:type="dxa" w:w="120"/>
              <w:bottom w:type="dxa" w:w="60"/>
              <w:right w:type="dxa" w:w="120"/>
            </w:tcMar>
          </w:tcPr>
          <w:p>
            <w:pPr>
              <w:spacing w:after="40" w:before="40"/>
            </w:pPr>
            <w:r>
              <w:rPr>
                <w:sz w:val="18"/>
                <w:szCs w:val="18"/>
              </w:rPr>
              <w:t xml:space="preserve">Bronze capturing_tool = 11,607 rows</w:t>
            </w:r>
          </w:p>
        </w:tc>
      </w:tr>
      <w:tr>
        <w:tc>
          <w:tcPr>
            <w:tcMar>
              <w:top w:type="dxa" w:w="60"/>
              <w:left w:type="dxa" w:w="120"/>
              <w:bottom w:type="dxa" w:w="60"/>
              <w:right w:type="dxa" w:w="120"/>
            </w:tcMar>
          </w:tcPr>
          <w:p>
            <w:pPr>
              <w:spacing w:after="40" w:before="40"/>
            </w:pPr>
            <w:r>
              <w:rPr>
                <w:sz w:val="18"/>
                <w:szCs w:val="18"/>
              </w:rPr>
              <w:t xml:space="preserve">completeness</w:t>
            </w:r>
          </w:p>
        </w:tc>
        <w:tc>
          <w:tcPr>
            <w:tcMar>
              <w:top w:type="dxa" w:w="60"/>
              <w:left w:type="dxa" w:w="120"/>
              <w:bottom w:type="dxa" w:w="60"/>
              <w:right w:type="dxa" w:w="120"/>
            </w:tcMar>
          </w:tcPr>
          <w:p>
            <w:pPr>
              <w:spacing w:after="40" w:before="40"/>
            </w:pPr>
            <w:r>
              <w:rPr>
                <w:sz w:val="18"/>
                <w:szCs w:val="18"/>
              </w:rPr>
              <w:t xml:space="preserve">bronze_chw_attendance_rows</w:t>
            </w:r>
          </w:p>
        </w:tc>
        <w:tc>
          <w:tcPr>
            <w:tcMar>
              <w:top w:type="dxa" w:w="60"/>
              <w:left w:type="dxa" w:w="120"/>
              <w:bottom w:type="dxa" w:w="60"/>
              <w:right w:type="dxa" w:w="120"/>
            </w:tcMar>
          </w:tcPr>
          <w:p>
            <w:pPr>
              <w:spacing w:after="40" w:before="40"/>
            </w:pPr>
            <w:r>
              <w:rPr>
                <w:sz w:val="18"/>
                <w:szCs w:val="18"/>
              </w:rPr>
              <w:t xml:space="preserve">Bronze chw_attendance = 359 rows</w:t>
            </w:r>
          </w:p>
        </w:tc>
      </w:tr>
      <w:tr>
        <w:tc>
          <w:tcPr>
            <w:shd w:fill="EBF4FF" w:val="clear"/>
            <w:tcMar>
              <w:top w:type="dxa" w:w="60"/>
              <w:left w:type="dxa" w:w="120"/>
              <w:bottom w:type="dxa" w:w="60"/>
              <w:right w:type="dxa" w:w="120"/>
            </w:tcMar>
          </w:tcPr>
          <w:p>
            <w:pPr>
              <w:spacing w:after="40" w:before="40"/>
            </w:pPr>
            <w:r>
              <w:rPr>
                <w:sz w:val="18"/>
                <w:szCs w:val="18"/>
              </w:rPr>
              <w:t xml:space="preserve">completeness</w:t>
            </w:r>
          </w:p>
        </w:tc>
        <w:tc>
          <w:tcPr>
            <w:shd w:fill="EBF4FF" w:val="clear"/>
            <w:tcMar>
              <w:top w:type="dxa" w:w="60"/>
              <w:left w:type="dxa" w:w="120"/>
              <w:bottom w:type="dxa" w:w="60"/>
              <w:right w:type="dxa" w:w="120"/>
            </w:tcMar>
          </w:tcPr>
          <w:p>
            <w:pPr>
              <w:spacing w:after="40" w:before="40"/>
            </w:pPr>
            <w:r>
              <w:rPr>
                <w:sz w:val="18"/>
                <w:szCs w:val="18"/>
              </w:rPr>
              <w:t xml:space="preserve">bronze_online_export_rows</w:t>
            </w:r>
          </w:p>
        </w:tc>
        <w:tc>
          <w:tcPr>
            <w:shd w:fill="EBF4FF" w:val="clear"/>
            <w:tcMar>
              <w:top w:type="dxa" w:w="60"/>
              <w:left w:type="dxa" w:w="120"/>
              <w:bottom w:type="dxa" w:w="60"/>
              <w:right w:type="dxa" w:w="120"/>
            </w:tcMar>
          </w:tcPr>
          <w:p>
            <w:pPr>
              <w:spacing w:after="40" w:before="40"/>
            </w:pPr>
            <w:r>
              <w:rPr>
                <w:sz w:val="18"/>
                <w:szCs w:val="18"/>
              </w:rPr>
              <w:t xml:space="preserve">Bronze online_export = 25,824 rows</w:t>
            </w:r>
          </w:p>
        </w:tc>
      </w:tr>
      <w:tr>
        <w:tc>
          <w:tcPr>
            <w:tcMar>
              <w:top w:type="dxa" w:w="60"/>
              <w:left w:type="dxa" w:w="120"/>
              <w:bottom w:type="dxa" w:w="60"/>
              <w:right w:type="dxa" w:w="120"/>
            </w:tcMar>
          </w:tcPr>
          <w:p>
            <w:pPr>
              <w:spacing w:after="40" w:before="40"/>
            </w:pPr>
            <w:r>
              <w:rPr>
                <w:sz w:val="18"/>
                <w:szCs w:val="18"/>
              </w:rPr>
              <w:t xml:space="preserve">completeness</w:t>
            </w:r>
          </w:p>
        </w:tc>
        <w:tc>
          <w:tcPr>
            <w:tcMar>
              <w:top w:type="dxa" w:w="60"/>
              <w:left w:type="dxa" w:w="120"/>
              <w:bottom w:type="dxa" w:w="60"/>
              <w:right w:type="dxa" w:w="120"/>
            </w:tcMar>
          </w:tcPr>
          <w:p>
            <w:pPr>
              <w:spacing w:after="40" w:before="40"/>
            </w:pPr>
            <w:r>
              <w:rPr>
                <w:sz w:val="18"/>
                <w:szCs w:val="18"/>
              </w:rPr>
              <w:t xml:space="preserve">bronze_lookup_courses_rows</w:t>
            </w:r>
          </w:p>
        </w:tc>
        <w:tc>
          <w:tcPr>
            <w:tcMar>
              <w:top w:type="dxa" w:w="60"/>
              <w:left w:type="dxa" w:w="120"/>
              <w:bottom w:type="dxa" w:w="60"/>
              <w:right w:type="dxa" w:w="120"/>
            </w:tcMar>
          </w:tcPr>
          <w:p>
            <w:pPr>
              <w:spacing w:after="40" w:before="40"/>
            </w:pPr>
            <w:r>
              <w:rPr>
                <w:sz w:val="18"/>
                <w:szCs w:val="18"/>
              </w:rPr>
              <w:t xml:space="preserve">Bronze lookup_courses = 340 rows</w:t>
            </w:r>
          </w:p>
        </w:tc>
      </w:tr>
      <w:tr>
        <w:tc>
          <w:tcPr>
            <w:shd w:fill="EBF4FF" w:val="clear"/>
            <w:tcMar>
              <w:top w:type="dxa" w:w="60"/>
              <w:left w:type="dxa" w:w="120"/>
              <w:bottom w:type="dxa" w:w="60"/>
              <w:right w:type="dxa" w:w="120"/>
            </w:tcMar>
          </w:tcPr>
          <w:p>
            <w:pPr>
              <w:spacing w:after="40" w:before="40"/>
            </w:pPr>
            <w:r>
              <w:rPr>
                <w:sz w:val="18"/>
                <w:szCs w:val="18"/>
              </w:rPr>
              <w:t xml:space="preserve">completeness</w:t>
            </w:r>
          </w:p>
        </w:tc>
        <w:tc>
          <w:tcPr>
            <w:shd w:fill="EBF4FF" w:val="clear"/>
            <w:tcMar>
              <w:top w:type="dxa" w:w="60"/>
              <w:left w:type="dxa" w:w="120"/>
              <w:bottom w:type="dxa" w:w="60"/>
              <w:right w:type="dxa" w:w="120"/>
            </w:tcMar>
          </w:tcPr>
          <w:p>
            <w:pPr>
              <w:spacing w:after="40" w:before="40"/>
            </w:pPr>
            <w:r>
              <w:rPr>
                <w:sz w:val="18"/>
                <w:szCs w:val="18"/>
              </w:rPr>
              <w:t xml:space="preserve">bronze_lookup_facility_rows</w:t>
            </w:r>
          </w:p>
        </w:tc>
        <w:tc>
          <w:tcPr>
            <w:shd w:fill="EBF4FF" w:val="clear"/>
            <w:tcMar>
              <w:top w:type="dxa" w:w="60"/>
              <w:left w:type="dxa" w:w="120"/>
              <w:bottom w:type="dxa" w:w="60"/>
              <w:right w:type="dxa" w:w="120"/>
            </w:tcMar>
          </w:tcPr>
          <w:p>
            <w:pPr>
              <w:spacing w:after="40" w:before="40"/>
            </w:pPr>
            <w:r>
              <w:rPr>
                <w:sz w:val="18"/>
                <w:szCs w:val="18"/>
              </w:rPr>
              <w:t xml:space="preserve">Bronze lookup_facility = 809 rows</w:t>
            </w:r>
          </w:p>
        </w:tc>
      </w:tr>
      <w:tr>
        <w:tc>
          <w:tcPr>
            <w:tcMar>
              <w:top w:type="dxa" w:w="60"/>
              <w:left w:type="dxa" w:w="120"/>
              <w:bottom w:type="dxa" w:w="60"/>
              <w:right w:type="dxa" w:w="120"/>
            </w:tcMar>
          </w:tcPr>
          <w:p>
            <w:pPr>
              <w:spacing w:after="40" w:before="40"/>
            </w:pPr>
            <w:r>
              <w:rPr>
                <w:sz w:val="18"/>
                <w:szCs w:val="18"/>
              </w:rPr>
              <w:t xml:space="preserve">completeness</w:t>
            </w:r>
          </w:p>
        </w:tc>
        <w:tc>
          <w:tcPr>
            <w:tcMar>
              <w:top w:type="dxa" w:w="60"/>
              <w:left w:type="dxa" w:w="120"/>
              <w:bottom w:type="dxa" w:w="60"/>
              <w:right w:type="dxa" w:w="120"/>
            </w:tcMar>
          </w:tcPr>
          <w:p>
            <w:pPr>
              <w:spacing w:after="40" w:before="40"/>
            </w:pPr>
            <w:r>
              <w:rPr>
                <w:sz w:val="18"/>
                <w:szCs w:val="18"/>
              </w:rPr>
              <w:t xml:space="preserve">silver_fact_row_count</w:t>
            </w:r>
          </w:p>
        </w:tc>
        <w:tc>
          <w:tcPr>
            <w:tcMar>
              <w:top w:type="dxa" w:w="60"/>
              <w:left w:type="dxa" w:w="120"/>
              <w:bottom w:type="dxa" w:w="60"/>
              <w:right w:type="dxa" w:w="120"/>
            </w:tcMar>
          </w:tcPr>
          <w:p>
            <w:pPr>
              <w:spacing w:after="40" w:before="40"/>
            </w:pPr>
            <w:r>
              <w:rPr>
                <w:sz w:val="18"/>
                <w:szCs w:val="18"/>
              </w:rPr>
              <w:t xml:space="preserve">Silver participant_event = sum of 3 fact source counts</w:t>
            </w:r>
          </w:p>
        </w:tc>
      </w:tr>
      <w:tr>
        <w:tc>
          <w:tcPr>
            <w:shd w:fill="EBF4FF" w:val="clear"/>
            <w:tcMar>
              <w:top w:type="dxa" w:w="60"/>
              <w:left w:type="dxa" w:w="120"/>
              <w:bottom w:type="dxa" w:w="60"/>
              <w:right w:type="dxa" w:w="120"/>
            </w:tcMar>
          </w:tcPr>
          <w:p>
            <w:pPr>
              <w:spacing w:after="40" w:before="40"/>
            </w:pPr>
            <w:r>
              <w:rPr>
                <w:sz w:val="18"/>
                <w:szCs w:val="18"/>
              </w:rPr>
              <w:t xml:space="preserve">accounting</w:t>
            </w:r>
          </w:p>
        </w:tc>
        <w:tc>
          <w:tcPr>
            <w:shd w:fill="EBF4FF" w:val="clear"/>
            <w:tcMar>
              <w:top w:type="dxa" w:w="60"/>
              <w:left w:type="dxa" w:w="120"/>
              <w:bottom w:type="dxa" w:w="60"/>
              <w:right w:type="dxa" w:w="120"/>
            </w:tcMar>
          </w:tcPr>
          <w:p>
            <w:pPr>
              <w:spacing w:after="40" w:before="40"/>
            </w:pPr>
            <w:r>
              <w:rPr>
                <w:sz w:val="18"/>
                <w:szCs w:val="18"/>
              </w:rPr>
              <w:t xml:space="preserve">silver_to_dedup_plus_excluded</w:t>
            </w:r>
          </w:p>
        </w:tc>
        <w:tc>
          <w:tcPr>
            <w:shd w:fill="EBF4FF" w:val="clear"/>
            <w:tcMar>
              <w:top w:type="dxa" w:w="60"/>
              <w:left w:type="dxa" w:w="120"/>
              <w:bottom w:type="dxa" w:w="60"/>
              <w:right w:type="dxa" w:w="120"/>
            </w:tcMar>
          </w:tcPr>
          <w:p>
            <w:pPr>
              <w:spacing w:after="40" w:before="40"/>
            </w:pPr>
            <w:r>
              <w:rPr>
                <w:sz w:val="18"/>
                <w:szCs w:val="18"/>
              </w:rPr>
              <w:t xml:space="preserve">Silver = dedup fact + excluded records (no rows lost)</w:t>
            </w:r>
          </w:p>
        </w:tc>
      </w:tr>
      <w:tr>
        <w:tc>
          <w:tcPr>
            <w:tcMar>
              <w:top w:type="dxa" w:w="60"/>
              <w:left w:type="dxa" w:w="120"/>
              <w:bottom w:type="dxa" w:w="60"/>
              <w:right w:type="dxa" w:w="120"/>
            </w:tcMar>
          </w:tcPr>
          <w:p>
            <w:pPr>
              <w:spacing w:after="40" w:before="40"/>
            </w:pPr>
            <w:r>
              <w:rPr>
                <w:sz w:val="18"/>
                <w:szCs w:val="18"/>
              </w:rPr>
              <w:t xml:space="preserve">integrity</w:t>
            </w:r>
          </w:p>
        </w:tc>
        <w:tc>
          <w:tcPr>
            <w:tcMar>
              <w:top w:type="dxa" w:w="60"/>
              <w:left w:type="dxa" w:w="120"/>
              <w:bottom w:type="dxa" w:w="60"/>
              <w:right w:type="dxa" w:w="120"/>
            </w:tcMar>
          </w:tcPr>
          <w:p>
            <w:pPr>
              <w:spacing w:after="40" w:before="40"/>
            </w:pPr>
            <w:r>
              <w:rPr>
                <w:sz w:val="18"/>
                <w:szCs w:val="18"/>
              </w:rPr>
              <w:t xml:space="preserve">dedup_all_in_q4_2025</w:t>
            </w:r>
          </w:p>
        </w:tc>
        <w:tc>
          <w:tcPr>
            <w:tcMar>
              <w:top w:type="dxa" w:w="60"/>
              <w:left w:type="dxa" w:w="120"/>
              <w:bottom w:type="dxa" w:w="60"/>
              <w:right w:type="dxa" w:w="120"/>
            </w:tcMar>
          </w:tcPr>
          <w:p>
            <w:pPr>
              <w:spacing w:after="40" w:before="40"/>
            </w:pPr>
            <w:r>
              <w:rPr>
                <w:sz w:val="18"/>
                <w:szCs w:val="18"/>
              </w:rPr>
              <w:t xml:space="preserve">Every dedup fact row has event_date in 2025-10-01 to 2025-12-31</w:t>
            </w:r>
          </w:p>
        </w:tc>
      </w:tr>
      <w:tr>
        <w:tc>
          <w:tcPr>
            <w:shd w:fill="EBF4FF" w:val="clear"/>
            <w:tcMar>
              <w:top w:type="dxa" w:w="60"/>
              <w:left w:type="dxa" w:w="120"/>
              <w:bottom w:type="dxa" w:w="60"/>
              <w:right w:type="dxa" w:w="120"/>
            </w:tcMar>
          </w:tcPr>
          <w:p>
            <w:pPr>
              <w:spacing w:after="40" w:before="40"/>
            </w:pPr>
            <w:r>
              <w:rPr>
                <w:sz w:val="18"/>
                <w:szCs w:val="18"/>
              </w:rPr>
              <w:t xml:space="preserve">integrity</w:t>
            </w:r>
          </w:p>
        </w:tc>
        <w:tc>
          <w:tcPr>
            <w:shd w:fill="EBF4FF" w:val="clear"/>
            <w:tcMar>
              <w:top w:type="dxa" w:w="60"/>
              <w:left w:type="dxa" w:w="120"/>
              <w:bottom w:type="dxa" w:w="60"/>
              <w:right w:type="dxa" w:w="120"/>
            </w:tcMar>
          </w:tcPr>
          <w:p>
            <w:pPr>
              <w:spacing w:after="40" w:before="40"/>
            </w:pPr>
            <w:r>
              <w:rPr>
                <w:sz w:val="18"/>
                <w:szCs w:val="18"/>
              </w:rPr>
              <w:t xml:space="preserve">audit_covers_all_notebooks</w:t>
            </w:r>
          </w:p>
        </w:tc>
        <w:tc>
          <w:tcPr>
            <w:shd w:fill="EBF4FF" w:val="clear"/>
            <w:tcMar>
              <w:top w:type="dxa" w:w="60"/>
              <w:left w:type="dxa" w:w="120"/>
              <w:bottom w:type="dxa" w:w="60"/>
              <w:right w:type="dxa" w:w="120"/>
            </w:tcMar>
          </w:tcPr>
          <w:p>
            <w:pPr>
              <w:spacing w:after="40" w:before="40"/>
            </w:pPr>
            <w:r>
              <w:rPr>
                <w:sz w:val="18"/>
                <w:szCs w:val="18"/>
              </w:rPr>
              <w:t xml:space="preserve">Every pipeline notebook has a SUCCESS entry in pipeline_run_log</w:t>
            </w:r>
          </w:p>
        </w:tc>
      </w:tr>
      <w:tr>
        <w:tc>
          <w:tcPr>
            <w:tcMar>
              <w:top w:type="dxa" w:w="60"/>
              <w:left w:type="dxa" w:w="120"/>
              <w:bottom w:type="dxa" w:w="60"/>
              <w:right w:type="dxa" w:w="120"/>
            </w:tcMar>
          </w:tcPr>
          <w:p>
            <w:pPr>
              <w:spacing w:after="40" w:before="40"/>
            </w:pPr>
            <w:r>
              <w:rPr>
                <w:sz w:val="18"/>
                <w:szCs w:val="18"/>
              </w:rPr>
              <w:t xml:space="preserve">uniqueness</w:t>
            </w:r>
          </w:p>
        </w:tc>
        <w:tc>
          <w:tcPr>
            <w:tcMar>
              <w:top w:type="dxa" w:w="60"/>
              <w:left w:type="dxa" w:w="120"/>
              <w:bottom w:type="dxa" w:w="60"/>
              <w:right w:type="dxa" w:w="120"/>
            </w:tcMar>
          </w:tcPr>
          <w:p>
            <w:pPr>
              <w:spacing w:after="40" w:before="40"/>
            </w:pPr>
            <w:r>
              <w:rPr>
                <w:sz w:val="18"/>
                <w:szCs w:val="18"/>
              </w:rPr>
              <w:t xml:space="preserve">no_event_key_overlap</w:t>
            </w:r>
          </w:p>
        </w:tc>
        <w:tc>
          <w:tcPr>
            <w:tcMar>
              <w:top w:type="dxa" w:w="60"/>
              <w:left w:type="dxa" w:w="120"/>
              <w:bottom w:type="dxa" w:w="60"/>
              <w:right w:type="dxa" w:w="120"/>
            </w:tcMar>
          </w:tcPr>
          <w:p>
            <w:pPr>
              <w:spacing w:after="40" w:before="40"/>
            </w:pPr>
            <w:r>
              <w:rPr>
                <w:sz w:val="18"/>
                <w:szCs w:val="18"/>
              </w:rPr>
              <w:t xml:space="preserve">No event_key appears in both dedup fact and excluded records</w:t>
            </w:r>
          </w:p>
        </w:tc>
      </w:tr>
      <w:tr>
        <w:tc>
          <w:tcPr>
            <w:shd w:fill="EBF4FF" w:val="clear"/>
            <w:tcMar>
              <w:top w:type="dxa" w:w="60"/>
              <w:left w:type="dxa" w:w="120"/>
              <w:bottom w:type="dxa" w:w="60"/>
              <w:right w:type="dxa" w:w="120"/>
            </w:tcMar>
          </w:tcPr>
          <w:p>
            <w:pPr>
              <w:spacing w:after="40" w:before="40"/>
            </w:pPr>
            <w:r>
              <w:rPr>
                <w:sz w:val="18"/>
                <w:szCs w:val="18"/>
              </w:rPr>
              <w:t xml:space="preserve">reconciliation</w:t>
            </w:r>
          </w:p>
        </w:tc>
        <w:tc>
          <w:tcPr>
            <w:shd w:fill="EBF4FF" w:val="clear"/>
            <w:tcMar>
              <w:top w:type="dxa" w:w="60"/>
              <w:left w:type="dxa" w:w="120"/>
              <w:bottom w:type="dxa" w:w="60"/>
              <w:right w:type="dxa" w:w="120"/>
            </w:tcMar>
          </w:tcPr>
          <w:p>
            <w:pPr>
              <w:spacing w:after="40" w:before="40"/>
            </w:pPr>
            <w:r>
              <w:rPr>
                <w:sz w:val="18"/>
                <w:szCs w:val="18"/>
              </w:rPr>
              <w:t xml:space="preserve">district_enrolment_subtotals</w:t>
            </w:r>
          </w:p>
        </w:tc>
        <w:tc>
          <w:tcPr>
            <w:shd w:fill="EBF4FF" w:val="clear"/>
            <w:tcMar>
              <w:top w:type="dxa" w:w="60"/>
              <w:left w:type="dxa" w:w="120"/>
              <w:bottom w:type="dxa" w:w="60"/>
              <w:right w:type="dxa" w:w="120"/>
            </w:tcMar>
          </w:tcPr>
          <w:p>
            <w:pPr>
              <w:spacing w:after="40" w:before="40"/>
            </w:pPr>
            <w:r>
              <w:rPr>
                <w:sz w:val="18"/>
                <w:szCs w:val="18"/>
              </w:rPr>
              <w:t xml:space="preserve">District report enrolment subtotal = dedup fact count</w:t>
            </w:r>
          </w:p>
        </w:tc>
      </w:tr>
      <w:tr>
        <w:tc>
          <w:tcPr>
            <w:tcMar>
              <w:top w:type="dxa" w:w="60"/>
              <w:left w:type="dxa" w:w="120"/>
              <w:bottom w:type="dxa" w:w="60"/>
              <w:right w:type="dxa" w:w="120"/>
            </w:tcMar>
          </w:tcPr>
          <w:p>
            <w:pPr>
              <w:spacing w:after="40" w:before="40"/>
            </w:pPr>
            <w:r>
              <w:rPr>
                <w:sz w:val="18"/>
                <w:szCs w:val="18"/>
              </w:rPr>
              <w:t xml:space="preserve">reconciliation</w:t>
            </w:r>
          </w:p>
        </w:tc>
        <w:tc>
          <w:tcPr>
            <w:tcMar>
              <w:top w:type="dxa" w:w="60"/>
              <w:left w:type="dxa" w:w="120"/>
              <w:bottom w:type="dxa" w:w="60"/>
              <w:right w:type="dxa" w:w="120"/>
            </w:tcMar>
          </w:tcPr>
          <w:p>
            <w:pPr>
              <w:spacing w:after="40" w:before="40"/>
            </w:pPr>
            <w:r>
              <w:rPr>
                <w:sz w:val="18"/>
                <w:szCs w:val="18"/>
              </w:rPr>
              <w:t xml:space="preserve">district_completion_subtotals</w:t>
            </w:r>
          </w:p>
        </w:tc>
        <w:tc>
          <w:tcPr>
            <w:tcMar>
              <w:top w:type="dxa" w:w="60"/>
              <w:left w:type="dxa" w:w="120"/>
              <w:bottom w:type="dxa" w:w="60"/>
              <w:right w:type="dxa" w:w="120"/>
            </w:tcMar>
          </w:tcPr>
          <w:p>
            <w:pPr>
              <w:spacing w:after="40" w:before="40"/>
            </w:pPr>
            <w:r>
              <w:rPr>
                <w:sz w:val="18"/>
                <w:szCs w:val="18"/>
              </w:rPr>
              <w:t xml:space="preserve">District report completion subtotal = dedup completions</w:t>
            </w:r>
          </w:p>
        </w:tc>
      </w:tr>
      <w:tr>
        <w:tc>
          <w:tcPr>
            <w:shd w:fill="EBF4FF" w:val="clear"/>
            <w:tcMar>
              <w:top w:type="dxa" w:w="60"/>
              <w:left w:type="dxa" w:w="120"/>
              <w:bottom w:type="dxa" w:w="60"/>
              <w:right w:type="dxa" w:w="120"/>
            </w:tcMar>
          </w:tcPr>
          <w:p>
            <w:pPr>
              <w:spacing w:after="40" w:before="40"/>
            </w:pPr>
            <w:r>
              <w:rPr>
                <w:sz w:val="18"/>
                <w:szCs w:val="18"/>
              </w:rPr>
              <w:t xml:space="preserve">reconciliation</w:t>
            </w:r>
          </w:p>
        </w:tc>
        <w:tc>
          <w:tcPr>
            <w:shd w:fill="EBF4FF" w:val="clear"/>
            <w:tcMar>
              <w:top w:type="dxa" w:w="60"/>
              <w:left w:type="dxa" w:w="120"/>
              <w:bottom w:type="dxa" w:w="60"/>
              <w:right w:type="dxa" w:w="120"/>
            </w:tcMar>
          </w:tcPr>
          <w:p>
            <w:pPr>
              <w:spacing w:after="40" w:before="40"/>
            </w:pPr>
            <w:r>
              <w:rPr>
                <w:sz w:val="18"/>
                <w:szCs w:val="18"/>
              </w:rPr>
              <w:t xml:space="preserve">source_enrolment_subtotals</w:t>
            </w:r>
          </w:p>
        </w:tc>
        <w:tc>
          <w:tcPr>
            <w:shd w:fill="EBF4FF" w:val="clear"/>
            <w:tcMar>
              <w:top w:type="dxa" w:w="60"/>
              <w:left w:type="dxa" w:w="120"/>
              <w:bottom w:type="dxa" w:w="60"/>
              <w:right w:type="dxa" w:w="120"/>
            </w:tcMar>
          </w:tcPr>
          <w:p>
            <w:pPr>
              <w:spacing w:after="40" w:before="40"/>
            </w:pPr>
            <w:r>
              <w:rPr>
                <w:sz w:val="18"/>
                <w:szCs w:val="18"/>
              </w:rPr>
              <w:t xml:space="preserve">Source report enrolment subtotal = dedup fact count</w:t>
            </w:r>
          </w:p>
        </w:tc>
      </w:tr>
      <w:tr>
        <w:tc>
          <w:tcPr>
            <w:tcMar>
              <w:top w:type="dxa" w:w="60"/>
              <w:left w:type="dxa" w:w="120"/>
              <w:bottom w:type="dxa" w:w="60"/>
              <w:right w:type="dxa" w:w="120"/>
            </w:tcMar>
          </w:tcPr>
          <w:p>
            <w:pPr>
              <w:spacing w:after="40" w:before="40"/>
            </w:pPr>
            <w:r>
              <w:rPr>
                <w:sz w:val="18"/>
                <w:szCs w:val="18"/>
              </w:rPr>
              <w:t xml:space="preserve">reconciliation</w:t>
            </w:r>
          </w:p>
        </w:tc>
        <w:tc>
          <w:tcPr>
            <w:tcMar>
              <w:top w:type="dxa" w:w="60"/>
              <w:left w:type="dxa" w:w="120"/>
              <w:bottom w:type="dxa" w:w="60"/>
              <w:right w:type="dxa" w:w="120"/>
            </w:tcMar>
          </w:tcPr>
          <w:p>
            <w:pPr>
              <w:spacing w:after="40" w:before="40"/>
            </w:pPr>
            <w:r>
              <w:rPr>
                <w:sz w:val="18"/>
                <w:szCs w:val="18"/>
              </w:rPr>
              <w:t xml:space="preserve">source_completion_subtotals</w:t>
            </w:r>
          </w:p>
        </w:tc>
        <w:tc>
          <w:tcPr>
            <w:tcMar>
              <w:top w:type="dxa" w:w="60"/>
              <w:left w:type="dxa" w:w="120"/>
              <w:bottom w:type="dxa" w:w="60"/>
              <w:right w:type="dxa" w:w="120"/>
            </w:tcMar>
          </w:tcPr>
          <w:p>
            <w:pPr>
              <w:spacing w:after="40" w:before="40"/>
            </w:pPr>
            <w:r>
              <w:rPr>
                <w:sz w:val="18"/>
                <w:szCs w:val="18"/>
              </w:rPr>
              <w:t xml:space="preserve">Source report completion subtotal = dedup completions</w:t>
            </w:r>
          </w:p>
        </w:tc>
      </w:tr>
      <w:tr>
        <w:tc>
          <w:tcPr>
            <w:shd w:fill="EBF4FF" w:val="clear"/>
            <w:tcMar>
              <w:top w:type="dxa" w:w="60"/>
              <w:left w:type="dxa" w:w="120"/>
              <w:bottom w:type="dxa" w:w="60"/>
              <w:right w:type="dxa" w:w="120"/>
            </w:tcMar>
          </w:tcPr>
          <w:p>
            <w:pPr>
              <w:spacing w:after="40" w:before="40"/>
            </w:pPr>
            <w:r>
              <w:rPr>
                <w:sz w:val="18"/>
                <w:szCs w:val="18"/>
              </w:rPr>
              <w:t xml:space="preserve">reconciliation</w:t>
            </w:r>
          </w:p>
        </w:tc>
        <w:tc>
          <w:tcPr>
            <w:shd w:fill="EBF4FF" w:val="clear"/>
            <w:tcMar>
              <w:top w:type="dxa" w:w="60"/>
              <w:left w:type="dxa" w:w="120"/>
              <w:bottom w:type="dxa" w:w="60"/>
              <w:right w:type="dxa" w:w="120"/>
            </w:tcMar>
          </w:tcPr>
          <w:p>
            <w:pPr>
              <w:spacing w:after="40" w:before="40"/>
            </w:pPr>
            <w:r>
              <w:rPr>
                <w:sz w:val="18"/>
                <w:szCs w:val="18"/>
              </w:rPr>
              <w:t xml:space="preserve">enrolments_split_correctly</w:t>
            </w:r>
          </w:p>
        </w:tc>
        <w:tc>
          <w:tcPr>
            <w:shd w:fill="EBF4FF" w:val="clear"/>
            <w:tcMar>
              <w:top w:type="dxa" w:w="60"/>
              <w:left w:type="dxa" w:w="120"/>
              <w:bottom w:type="dxa" w:w="60"/>
              <w:right w:type="dxa" w:w="120"/>
            </w:tcMar>
          </w:tcPr>
          <w:p>
            <w:pPr>
              <w:spacing w:after="40" w:before="40"/>
            </w:pPr>
            <w:r>
              <w:rPr>
                <w:sz w:val="18"/>
                <w:szCs w:val="18"/>
              </w:rPr>
              <w:t xml:space="preserve">Enrolments = completions + not_completed</w:t>
            </w:r>
          </w:p>
        </w:tc>
      </w:tr>
      <w:tr>
        <w:tc>
          <w:tcPr>
            <w:tcMar>
              <w:top w:type="dxa" w:w="60"/>
              <w:left w:type="dxa" w:w="120"/>
              <w:bottom w:type="dxa" w:w="60"/>
              <w:right w:type="dxa" w:w="120"/>
            </w:tcMar>
          </w:tcPr>
          <w:p>
            <w:pPr>
              <w:spacing w:after="40" w:before="40"/>
            </w:pPr>
            <w:r>
              <w:rPr>
                <w:sz w:val="18"/>
                <w:szCs w:val="18"/>
              </w:rPr>
              <w:t xml:space="preserve">reconciliation</w:t>
            </w:r>
          </w:p>
        </w:tc>
        <w:tc>
          <w:tcPr>
            <w:tcMar>
              <w:top w:type="dxa" w:w="60"/>
              <w:left w:type="dxa" w:w="120"/>
              <w:bottom w:type="dxa" w:w="60"/>
              <w:right w:type="dxa" w:w="120"/>
            </w:tcMar>
          </w:tcPr>
          <w:p>
            <w:pPr>
              <w:spacing w:after="40" w:before="40"/>
            </w:pPr>
            <w:r>
              <w:rPr>
                <w:sz w:val="18"/>
                <w:szCs w:val="18"/>
              </w:rPr>
              <w:t xml:space="preserve">gold_reconciliation_all_pass</w:t>
            </w:r>
          </w:p>
        </w:tc>
        <w:tc>
          <w:tcPr>
            <w:tcMar>
              <w:top w:type="dxa" w:w="60"/>
              <w:left w:type="dxa" w:w="120"/>
              <w:bottom w:type="dxa" w:w="60"/>
              <w:right w:type="dxa" w:w="120"/>
            </w:tcMar>
          </w:tcPr>
          <w:p>
            <w:pPr>
              <w:spacing w:after="40" w:before="40"/>
            </w:pPr>
            <w:r>
              <w:rPr>
                <w:sz w:val="18"/>
                <w:szCs w:val="18"/>
              </w:rPr>
              <w:t xml:space="preserve">gold.reconciliation_results contains 0 FAIL rows</w:t>
            </w:r>
          </w:p>
        </w:tc>
      </w:tr>
      <w:tr>
        <w:tc>
          <w:tcPr>
            <w:shd w:fill="EBF4FF" w:val="clear"/>
            <w:tcMar>
              <w:top w:type="dxa" w:w="60"/>
              <w:left w:type="dxa" w:w="120"/>
              <w:bottom w:type="dxa" w:w="60"/>
              <w:right w:type="dxa" w:w="120"/>
            </w:tcMar>
          </w:tcPr>
          <w:p>
            <w:pPr>
              <w:spacing w:after="40" w:before="40"/>
            </w:pPr>
            <w:r>
              <w:rPr>
                <w:sz w:val="18"/>
                <w:szCs w:val="18"/>
              </w:rPr>
              <w:t xml:space="preserve">referential</w:t>
            </w:r>
          </w:p>
        </w:tc>
        <w:tc>
          <w:tcPr>
            <w:shd w:fill="EBF4FF" w:val="clear"/>
            <w:tcMar>
              <w:top w:type="dxa" w:w="60"/>
              <w:left w:type="dxa" w:w="120"/>
              <w:bottom w:type="dxa" w:w="60"/>
              <w:right w:type="dxa" w:w="120"/>
            </w:tcMar>
          </w:tcPr>
          <w:p>
            <w:pPr>
              <w:spacing w:after="40" w:before="40"/>
            </w:pPr>
            <w:r>
              <w:rPr>
                <w:sz w:val="18"/>
                <w:szCs w:val="18"/>
              </w:rPr>
              <w:t xml:space="preserve">unmapped_facilities_surfaced</w:t>
            </w:r>
          </w:p>
        </w:tc>
        <w:tc>
          <w:tcPr>
            <w:shd w:fill="EBF4FF" w:val="clear"/>
            <w:tcMar>
              <w:top w:type="dxa" w:w="60"/>
              <w:left w:type="dxa" w:w="120"/>
              <w:bottom w:type="dxa" w:w="60"/>
              <w:right w:type="dxa" w:w="120"/>
            </w:tcMar>
          </w:tcPr>
          <w:p>
            <w:pPr>
              <w:spacing w:after="40" w:before="40"/>
            </w:pPr>
            <w:r>
              <w:rPr>
                <w:sz w:val="18"/>
                <w:szCs w:val="18"/>
              </w:rPr>
              <w:t xml:space="preserve">silver.unmapped_facilities contains &gt; 0 rows (exceptions are captured, not dropped)</w:t>
            </w:r>
          </w:p>
        </w:tc>
      </w:tr>
    </w:tbl>
    <w:p>
      <w:pPr>
        <w:spacing w:before="200"/>
      </w:pPr>
    </w:p>
    <w:p>
      <w:pPr>
        <w:pStyle w:val="Heading2"/>
        <w:spacing w:after="160" w:before="320"/>
      </w:pPr>
      <w:r>
        <w:t xml:space="preserve">10.2 Design Principle</w:t>
      </w:r>
    </w:p>
    <w:p>
      <w:pPr>
        <w:spacing w:after="120" w:before="80"/>
      </w:pPr>
      <w:r>
        <w:t xml:space="preserve">All reconciliation check expected values are computed at runtime from the dedup fact table itself, not hard-coded. A hard-coded expected value becomes stale whenever an upstream change alters the row population. Computing it guarantees the check tests the pipeline's internal consistency, not its coincidence with a number captured at an earlier point in time.</w:t>
      </w:r>
    </w:p>
    <w:p>
      <w:r>
        <w:br w:type="page"/>
      </w:r>
    </w:p>
    <w:p>
      <w:pPr>
        <w:pStyle w:val="Heading1"/>
        <w:spacing w:after="200" w:before="480"/>
      </w:pPr>
      <w:r>
        <w:t xml:space="preserve">11. Reconciliation Framework</w:t>
      </w:r>
    </w:p>
    <w:p>
      <w:pPr>
        <w:pStyle w:val="Heading2"/>
        <w:spacing w:after="160" w:before="320"/>
      </w:pPr>
      <w:r>
        <w:t xml:space="preserve">11.1 Headline Total</w:t>
      </w:r>
    </w:p>
    <w:p>
      <w:pPr>
        <w:spacing w:after="120" w:before="80"/>
      </w:pPr>
      <w:r>
        <w:t xml:space="preserve">The headline total is 4,832 enrolments: the count of rows in silver.participant_event_dedup, representing training events that occurred in Q4 2025 across all three source systems.</w:t>
      </w:r>
    </w:p>
    <w:p>
      <w:pPr>
        <w:pStyle w:val="Heading2"/>
        <w:spacing w:after="160" w:before="320"/>
      </w:pPr>
      <w:r>
        <w:t xml:space="preserve">11.2 Reconciliation Structure</w:t>
      </w:r>
    </w:p>
    <w:p>
      <w:pPr>
        <w:spacing w:after="60" w:before="60"/>
        <w:ind w:left="576"/>
      </w:pPr>
      <w:r>
        <w:rPr>
          <w:rFonts w:ascii="Courier New" w:cs="Courier New" w:eastAsia="Courier New" w:hAnsi="Courier New"/>
          <w:color w:val="2B6CB0"/>
          <w:sz w:val="18"/>
          <w:szCs w:val="18"/>
        </w:rPr>
        <w:t xml:space="preserve">Headline Enrolments: 4,832</w:t>
      </w:r>
    </w:p>
    <w:p>
      <w:pPr>
        <w:spacing w:after="60" w:before="60"/>
        <w:ind w:left="576"/>
      </w:pPr>
      <w:r>
        <w:rPr>
          <w:rFonts w:ascii="Courier New" w:cs="Courier New" w:eastAsia="Courier New" w:hAnsi="Courier New"/>
          <w:color w:val="2B6CB0"/>
          <w:sz w:val="18"/>
          <w:szCs w:val="18"/>
        </w:rPr>
        <w:t xml:space="preserve"/>
      </w:r>
    </w:p>
    <w:p>
      <w:pPr>
        <w:spacing w:after="60" w:before="60"/>
        <w:ind w:left="576"/>
      </w:pPr>
      <w:r>
        <w:rPr>
          <w:rFonts w:ascii="Courier New" w:cs="Courier New" w:eastAsia="Courier New" w:hAnsi="Courier New"/>
          <w:color w:val="2B6CB0"/>
          <w:sz w:val="18"/>
          <w:szCs w:val="18"/>
        </w:rPr>
        <w:t xml:space="preserve">  By Source:</w:t>
      </w:r>
    </w:p>
    <w:p>
      <w:pPr>
        <w:spacing w:after="60" w:before="60"/>
        <w:ind w:left="576"/>
      </w:pPr>
      <w:r>
        <w:rPr>
          <w:rFonts w:ascii="Courier New" w:cs="Courier New" w:eastAsia="Courier New" w:hAnsi="Courier New"/>
          <w:color w:val="2B6CB0"/>
          <w:sz w:val="18"/>
          <w:szCs w:val="18"/>
        </w:rPr>
        <w:t xml:space="preserve">    capturing_tool    : [subtotal]</w:t>
      </w:r>
    </w:p>
    <w:p>
      <w:pPr>
        <w:spacing w:after="60" w:before="60"/>
        <w:ind w:left="576"/>
      </w:pPr>
      <w:r>
        <w:rPr>
          <w:rFonts w:ascii="Courier New" w:cs="Courier New" w:eastAsia="Courier New" w:hAnsi="Courier New"/>
          <w:color w:val="2B6CB0"/>
          <w:sz w:val="18"/>
          <w:szCs w:val="18"/>
        </w:rPr>
        <w:t xml:space="preserve">    chw               : [subtotal]   &lt;- CHW excluded (no date) → 0</w:t>
      </w:r>
    </w:p>
    <w:p>
      <w:pPr>
        <w:spacing w:after="60" w:before="60"/>
        <w:ind w:left="576"/>
      </w:pPr>
      <w:r>
        <w:rPr>
          <w:rFonts w:ascii="Courier New" w:cs="Courier New" w:eastAsia="Courier New" w:hAnsi="Courier New"/>
          <w:color w:val="2B6CB0"/>
          <w:sz w:val="18"/>
          <w:szCs w:val="18"/>
        </w:rPr>
        <w:t xml:space="preserve">    online_export     : [subtotal]</w:t>
      </w:r>
    </w:p>
    <w:p>
      <w:pPr>
        <w:spacing w:after="60" w:before="60"/>
        <w:ind w:left="576"/>
      </w:pPr>
      <w:r>
        <w:rPr>
          <w:rFonts w:ascii="Courier New" w:cs="Courier New" w:eastAsia="Courier New" w:hAnsi="Courier New"/>
          <w:color w:val="2B6CB0"/>
          <w:sz w:val="18"/>
          <w:szCs w:val="18"/>
        </w:rPr>
        <w:t xml:space="preserve">    ─────────────────────────────</w:t>
      </w:r>
    </w:p>
    <w:p>
      <w:pPr>
        <w:spacing w:after="60" w:before="60"/>
        <w:ind w:left="576"/>
      </w:pPr>
      <w:r>
        <w:rPr>
          <w:rFonts w:ascii="Courier New" w:cs="Courier New" w:eastAsia="Courier New" w:hAnsi="Courier New"/>
          <w:color w:val="2B6CB0"/>
          <w:sz w:val="18"/>
          <w:szCs w:val="18"/>
        </w:rPr>
        <w:t xml:space="preserve">    TOTAL             : 4,832  ✓</w:t>
      </w:r>
    </w:p>
    <w:p>
      <w:pPr>
        <w:spacing w:after="60" w:before="60"/>
        <w:ind w:left="576"/>
      </w:pPr>
      <w:r>
        <w:rPr>
          <w:rFonts w:ascii="Courier New" w:cs="Courier New" w:eastAsia="Courier New" w:hAnsi="Courier New"/>
          <w:color w:val="2B6CB0"/>
          <w:sz w:val="18"/>
          <w:szCs w:val="18"/>
        </w:rPr>
        <w:t xml:space="preserve"/>
      </w:r>
    </w:p>
    <w:p>
      <w:pPr>
        <w:spacing w:after="60" w:before="60"/>
        <w:ind w:left="576"/>
      </w:pPr>
      <w:r>
        <w:rPr>
          <w:rFonts w:ascii="Courier New" w:cs="Courier New" w:eastAsia="Courier New" w:hAnsi="Courier New"/>
          <w:color w:val="2B6CB0"/>
          <w:sz w:val="18"/>
          <w:szCs w:val="18"/>
        </w:rPr>
        <w:t xml:space="preserve">  By District:</w:t>
      </w:r>
    </w:p>
    <w:p>
      <w:pPr>
        <w:spacing w:after="60" w:before="60"/>
        <w:ind w:left="576"/>
      </w:pPr>
      <w:r>
        <w:rPr>
          <w:rFonts w:ascii="Courier New" w:cs="Courier New" w:eastAsia="Courier New" w:hAnsi="Courier New"/>
          <w:color w:val="2B6CB0"/>
          <w:sz w:val="18"/>
          <w:szCs w:val="18"/>
        </w:rPr>
        <w:t xml:space="preserve">    [6 districts + UNKNOWN]</w:t>
      </w:r>
    </w:p>
    <w:p>
      <w:pPr>
        <w:spacing w:after="60" w:before="60"/>
        <w:ind w:left="576"/>
      </w:pPr>
      <w:r>
        <w:rPr>
          <w:rFonts w:ascii="Courier New" w:cs="Courier New" w:eastAsia="Courier New" w:hAnsi="Courier New"/>
          <w:color w:val="2B6CB0"/>
          <w:sz w:val="18"/>
          <w:szCs w:val="18"/>
        </w:rPr>
        <w:t xml:space="preserve">    ─────────────────────────────</w:t>
      </w:r>
    </w:p>
    <w:p>
      <w:pPr>
        <w:spacing w:after="60" w:before="60"/>
        <w:ind w:left="576"/>
      </w:pPr>
      <w:r>
        <w:rPr>
          <w:rFonts w:ascii="Courier New" w:cs="Courier New" w:eastAsia="Courier New" w:hAnsi="Courier New"/>
          <w:color w:val="2B6CB0"/>
          <w:sz w:val="18"/>
          <w:szCs w:val="18"/>
        </w:rPr>
        <w:t xml:space="preserve">    TOTAL             : 4,832  ✓</w:t>
      </w:r>
    </w:p>
    <w:p>
      <w:pPr>
        <w:spacing w:after="60" w:before="60"/>
        <w:ind w:left="576"/>
      </w:pPr>
      <w:r>
        <w:rPr>
          <w:rFonts w:ascii="Courier New" w:cs="Courier New" w:eastAsia="Courier New" w:hAnsi="Courier New"/>
          <w:color w:val="2B6CB0"/>
          <w:sz w:val="18"/>
          <w:szCs w:val="18"/>
        </w:rPr>
        <w:t xml:space="preserve"/>
      </w:r>
    </w:p>
    <w:p>
      <w:pPr>
        <w:spacing w:after="60" w:before="60"/>
        <w:ind w:left="576"/>
      </w:pPr>
      <w:r>
        <w:rPr>
          <w:rFonts w:ascii="Courier New" w:cs="Courier New" w:eastAsia="Courier New" w:hAnsi="Courier New"/>
          <w:color w:val="2B6CB0"/>
          <w:sz w:val="18"/>
          <w:szCs w:val="18"/>
        </w:rPr>
        <w:t xml:space="preserve">Headline Completions: 3,850</w:t>
      </w:r>
    </w:p>
    <w:p>
      <w:pPr>
        <w:spacing w:after="60" w:before="60"/>
        <w:ind w:left="576"/>
      </w:pPr>
      <w:r>
        <w:rPr>
          <w:rFonts w:ascii="Courier New" w:cs="Courier New" w:eastAsia="Courier New" w:hAnsi="Courier New"/>
          <w:color w:val="2B6CB0"/>
          <w:sz w:val="18"/>
          <w:szCs w:val="18"/>
        </w:rPr>
        <w:t xml:space="preserve">    Source subtotals  : 3,850  ✓</w:t>
      </w:r>
    </w:p>
    <w:p>
      <w:pPr>
        <w:spacing w:after="60" w:before="60"/>
        <w:ind w:left="576"/>
      </w:pPr>
      <w:r>
        <w:rPr>
          <w:rFonts w:ascii="Courier New" w:cs="Courier New" w:eastAsia="Courier New" w:hAnsi="Courier New"/>
          <w:color w:val="2B6CB0"/>
          <w:sz w:val="18"/>
          <w:szCs w:val="18"/>
        </w:rPr>
        <w:t xml:space="preserve">    District subtotals: 3,850  ✓</w:t>
      </w:r>
    </w:p>
    <w:p>
      <w:pPr>
        <w:spacing w:after="60" w:before="60"/>
        <w:ind w:left="576"/>
      </w:pPr>
      <w:r>
        <w:rPr>
          <w:rFonts w:ascii="Courier New" w:cs="Courier New" w:eastAsia="Courier New" w:hAnsi="Courier New"/>
          <w:color w:val="2B6CB0"/>
          <w:sz w:val="18"/>
          <w:szCs w:val="18"/>
        </w:rPr>
        <w:t xml:space="preserve"/>
      </w:r>
    </w:p>
    <w:p>
      <w:pPr>
        <w:spacing w:after="60" w:before="60"/>
        <w:ind w:left="576"/>
      </w:pPr>
      <w:r>
        <w:rPr>
          <w:rFonts w:ascii="Courier New" w:cs="Courier New" w:eastAsia="Courier New" w:hAnsi="Courier New"/>
          <w:color w:val="2B6CB0"/>
          <w:sz w:val="18"/>
          <w:szCs w:val="18"/>
        </w:rPr>
        <w:t xml:space="preserve">Enrolments (4,832) = Completions (3,850) + Not completed (982) ✓</w:t>
      </w:r>
    </w:p>
    <w:p>
      <w:pPr>
        <w:spacing w:after="60" w:before="60"/>
        <w:ind w:left="576"/>
      </w:pPr>
      <w:r>
        <w:rPr>
          <w:rFonts w:ascii="Courier New" w:cs="Courier New" w:eastAsia="Courier New" w:hAnsi="Courier New"/>
          <w:color w:val="2B6CB0"/>
          <w:sz w:val="18"/>
          <w:szCs w:val="18"/>
        </w:rPr>
        <w:t xml:space="preserve"/>
      </w:r>
    </w:p>
    <w:p>
      <w:pPr>
        <w:spacing w:after="60" w:before="60"/>
        <w:ind w:left="576"/>
      </w:pPr>
      <w:r>
        <w:rPr>
          <w:rFonts w:ascii="Courier New" w:cs="Courier New" w:eastAsia="Courier New" w:hAnsi="Courier New"/>
          <w:color w:val="2B6CB0"/>
          <w:sz w:val="18"/>
          <w:szCs w:val="18"/>
        </w:rPr>
        <w:t xml:space="preserve">Unique Participants: 3,259 (COUNT DISTINCT participant_key — not additive)</w:t>
      </w:r>
    </w:p>
    <w:p>
      <w:pPr>
        <w:spacing w:before="200"/>
      </w:pPr>
    </w:p>
    <w:p>
      <w:pPr>
        <w:pStyle w:val="Heading2"/>
        <w:spacing w:after="160" w:before="320"/>
      </w:pPr>
      <w:r>
        <w:t xml:space="preserve">11.3 Distinction Between Counts</w:t>
      </w:r>
    </w:p>
    <w:p>
      <w:pPr>
        <w:spacing w:after="120" w:before="80"/>
      </w:pPr>
      <w:r>
        <w:t xml:space="preserve">Enrolments (4,832) is a row count: one event row per participant per course attended. A participant who attended two courses in Q4 2025 contributes two enrolment rows.</w:t>
      </w:r>
    </w:p>
    <w:p>
      <w:pPr>
        <w:spacing w:after="120" w:before="80"/>
      </w:pPr>
      <w:r>
        <w:t xml:space="preserve">Unique participants (3,259) is a distinct count of participant_key. It is always ≤ enrolments. These two metrics are not additive and are presented separately in both reporting outputs.</w:t>
      </w:r>
    </w:p>
    <w:p>
      <w:r>
        <w:br w:type="page"/>
      </w:r>
    </w:p>
    <w:p>
      <w:pPr>
        <w:pStyle w:val="Heading1"/>
        <w:spacing w:after="200" w:before="480"/>
      </w:pPr>
      <w:r>
        <w:t xml:space="preserve">12. Error Handling and Idempotency</w:t>
      </w:r>
    </w:p>
    <w:p>
      <w:pPr>
        <w:pStyle w:val="Heading2"/>
        <w:spacing w:after="160" w:before="320"/>
      </w:pPr>
      <w:r>
        <w:t xml:space="preserve">12.1 Fail-Loud Ingestion</w:t>
      </w:r>
    </w:p>
    <w:p>
      <w:pPr>
        <w:spacing w:after="120" w:before="80"/>
      </w:pPr>
      <w:r>
        <w:t xml:space="preserve">nb_01_Ingestion raises RuntimeError if any required source file is missing, empty, or unreadable. The error message lists all failing paths. The downstream notebooks do not run, and the pipeline_run_log shows RUNNING (never updated to SUCCESS) for the ingestion notebook.</w:t>
      </w:r>
    </w:p>
    <w:p>
      <w:pPr>
        <w:pStyle w:val="Heading2"/>
        <w:spacing w:after="160" w:before="320"/>
      </w:pPr>
      <w:r>
        <w:t xml:space="preserve">12.2 Idempotency Per Layer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rPr>
          <w:tblHeader/>
        </w:trPr>
        <w:tc>
          <w:tcPr>
            <w:shd w:fill="1A365D" w:val="clear"/>
            <w:tcMar>
              <w:top w:type="dxa" w:w="80"/>
              <w:left w:type="dxa" w:w="120"/>
              <w:bottom w:type="dxa" w:w="80"/>
              <w:right w:type="dxa" w:w="120"/>
            </w:tcMar>
          </w:tcPr>
          <w:p>
            <w:pPr>
              <w:spacing w:after="40" w:before="40"/>
              <w:jc w:val="left"/>
            </w:pPr>
            <w:r>
              <w:rPr>
                <w:b/>
                <w:bCs/>
                <w:color w:val="FFFFFF"/>
                <w:sz w:val="18"/>
                <w:szCs w:val="18"/>
              </w:rPr>
              <w:t xml:space="preserve">Layer</w:t>
            </w:r>
          </w:p>
        </w:tc>
        <w:tc>
          <w:tcPr>
            <w:shd w:fill="1A365D" w:val="clear"/>
            <w:tcMar>
              <w:top w:type="dxa" w:w="80"/>
              <w:left w:type="dxa" w:w="120"/>
              <w:bottom w:type="dxa" w:w="80"/>
              <w:right w:type="dxa" w:w="120"/>
            </w:tcMar>
          </w:tcPr>
          <w:p>
            <w:pPr>
              <w:spacing w:after="40" w:before="40"/>
              <w:jc w:val="left"/>
            </w:pPr>
            <w:r>
              <w:rPr>
                <w:b/>
                <w:bCs/>
                <w:color w:val="FFFFFF"/>
                <w:sz w:val="18"/>
                <w:szCs w:val="18"/>
              </w:rPr>
              <w:t xml:space="preserve">Idempotency Mechanism</w:t>
            </w:r>
          </w:p>
        </w:tc>
      </w:tr>
      <w:tr>
        <w:tc>
          <w:tcPr>
            <w:shd w:fill="EBF4FF" w:val="clear"/>
            <w:tcMar>
              <w:top w:type="dxa" w:w="60"/>
              <w:left w:type="dxa" w:w="120"/>
              <w:bottom w:type="dxa" w:w="60"/>
              <w:right w:type="dxa" w:w="120"/>
            </w:tcMar>
          </w:tcPr>
          <w:p>
            <w:pPr>
              <w:spacing w:after="40" w:before="40"/>
            </w:pPr>
            <w:r>
              <w:rPr>
                <w:sz w:val="18"/>
                <w:szCs w:val="18"/>
              </w:rPr>
              <w:t xml:space="preserve">Ingestion</w:t>
            </w:r>
          </w:p>
        </w:tc>
        <w:tc>
          <w:tcPr>
            <w:shd w:fill="EBF4FF" w:val="clear"/>
            <w:tcMar>
              <w:top w:type="dxa" w:w="60"/>
              <w:left w:type="dxa" w:w="120"/>
              <w:bottom w:type="dxa" w:w="60"/>
              <w:right w:type="dxa" w:w="120"/>
            </w:tcMar>
          </w:tcPr>
          <w:p>
            <w:pPr>
              <w:spacing w:after="40" w:before="40"/>
            </w:pPr>
            <w:r>
              <w:rPr>
                <w:sz w:val="18"/>
                <w:szCs w:val="18"/>
              </w:rPr>
              <w:t xml:space="preserve">xxhash64 fingerprints in file_manifest; unchanged files increment ingest_count only</w:t>
            </w:r>
          </w:p>
        </w:tc>
      </w:tr>
      <w:tr>
        <w:tc>
          <w:tcPr>
            <w:tcMar>
              <w:top w:type="dxa" w:w="60"/>
              <w:left w:type="dxa" w:w="120"/>
              <w:bottom w:type="dxa" w:w="60"/>
              <w:right w:type="dxa" w:w="120"/>
            </w:tcMar>
          </w:tcPr>
          <w:p>
            <w:pPr>
              <w:spacing w:after="40" w:before="40"/>
            </w:pPr>
            <w:r>
              <w:rPr>
                <w:sz w:val="18"/>
                <w:szCs w:val="18"/>
              </w:rPr>
              <w:t xml:space="preserve">Bronze</w:t>
            </w:r>
          </w:p>
        </w:tc>
        <w:tc>
          <w:tcPr>
            <w:tcMar>
              <w:top w:type="dxa" w:w="60"/>
              <w:left w:type="dxa" w:w="120"/>
              <w:bottom w:type="dxa" w:w="60"/>
              <w:right w:type="dxa" w:w="120"/>
            </w:tcMar>
          </w:tcPr>
          <w:p>
            <w:pPr>
              <w:spacing w:after="40" w:before="40"/>
            </w:pPr>
            <w:r>
              <w:rPr>
                <w:sz w:val="18"/>
                <w:szCs w:val="18"/>
              </w:rPr>
              <w:t xml:space="preserve">mode('overwrite') on every Bronze table</w:t>
            </w:r>
          </w:p>
        </w:tc>
      </w:tr>
      <w:tr>
        <w:tc>
          <w:tcPr>
            <w:shd w:fill="EBF4FF" w:val="clear"/>
            <w:tcMar>
              <w:top w:type="dxa" w:w="60"/>
              <w:left w:type="dxa" w:w="120"/>
              <w:bottom w:type="dxa" w:w="60"/>
              <w:right w:type="dxa" w:w="120"/>
            </w:tcMar>
          </w:tcPr>
          <w:p>
            <w:pPr>
              <w:spacing w:after="40" w:before="40"/>
            </w:pPr>
            <w:r>
              <w:rPr>
                <w:sz w:val="18"/>
                <w:szCs w:val="18"/>
              </w:rPr>
              <w:t xml:space="preserve">Silver</w:t>
            </w:r>
          </w:p>
        </w:tc>
        <w:tc>
          <w:tcPr>
            <w:shd w:fill="EBF4FF" w:val="clear"/>
            <w:tcMar>
              <w:top w:type="dxa" w:w="60"/>
              <w:left w:type="dxa" w:w="120"/>
              <w:bottom w:type="dxa" w:w="60"/>
              <w:right w:type="dxa" w:w="120"/>
            </w:tcMar>
          </w:tcPr>
          <w:p>
            <w:pPr>
              <w:spacing w:after="40" w:before="40"/>
            </w:pPr>
            <w:r>
              <w:rPr>
                <w:sz w:val="18"/>
                <w:szCs w:val="18"/>
              </w:rPr>
              <w:t xml:space="preserve">DROP TABLE IF EXISTS + recreate on every Silver table</w:t>
            </w:r>
          </w:p>
        </w:tc>
      </w:tr>
      <w:tr>
        <w:tc>
          <w:tcPr>
            <w:tcMar>
              <w:top w:type="dxa" w:w="60"/>
              <w:left w:type="dxa" w:w="120"/>
              <w:bottom w:type="dxa" w:w="60"/>
              <w:right w:type="dxa" w:w="120"/>
            </w:tcMar>
          </w:tcPr>
          <w:p>
            <w:pPr>
              <w:spacing w:after="40" w:before="40"/>
            </w:pPr>
            <w:r>
              <w:rPr>
                <w:sz w:val="18"/>
                <w:szCs w:val="18"/>
              </w:rPr>
              <w:t xml:space="preserve">Gold</w:t>
            </w:r>
          </w:p>
        </w:tc>
        <w:tc>
          <w:tcPr>
            <w:tcMar>
              <w:top w:type="dxa" w:w="60"/>
              <w:left w:type="dxa" w:w="120"/>
              <w:bottom w:type="dxa" w:w="60"/>
              <w:right w:type="dxa" w:w="120"/>
            </w:tcMar>
          </w:tcPr>
          <w:p>
            <w:pPr>
              <w:spacing w:after="40" w:before="40"/>
            </w:pPr>
            <w:r>
              <w:rPr>
                <w:sz w:val="18"/>
                <w:szCs w:val="18"/>
              </w:rPr>
              <w:t xml:space="preserve">DROP TABLE IF EXISTS + recreate on every Gold table</w:t>
            </w:r>
          </w:p>
        </w:tc>
      </w:tr>
      <w:tr>
        <w:tc>
          <w:tcPr>
            <w:shd w:fill="EBF4FF" w:val="clear"/>
            <w:tcMar>
              <w:top w:type="dxa" w:w="60"/>
              <w:left w:type="dxa" w:w="120"/>
              <w:bottom w:type="dxa" w:w="60"/>
              <w:right w:type="dxa" w:w="120"/>
            </w:tcMar>
          </w:tcPr>
          <w:p>
            <w:pPr>
              <w:spacing w:after="40" w:before="40"/>
            </w:pPr>
            <w:r>
              <w:rPr>
                <w:sz w:val="18"/>
                <w:szCs w:val="18"/>
              </w:rPr>
              <w:t xml:space="preserve">Validation</w:t>
            </w:r>
          </w:p>
        </w:tc>
        <w:tc>
          <w:tcPr>
            <w:shd w:fill="EBF4FF" w:val="clear"/>
            <w:tcMar>
              <w:top w:type="dxa" w:w="60"/>
              <w:left w:type="dxa" w:w="120"/>
              <w:bottom w:type="dxa" w:w="60"/>
              <w:right w:type="dxa" w:w="120"/>
            </w:tcMar>
          </w:tcPr>
          <w:p>
            <w:pPr>
              <w:spacing w:after="40" w:before="40"/>
            </w:pPr>
            <w:r>
              <w:rPr>
                <w:sz w:val="18"/>
                <w:szCs w:val="18"/>
              </w:rPr>
              <w:t xml:space="preserve">DROP TABLE IF EXISTS + recreate on gold.validation_results</w:t>
            </w:r>
          </w:p>
        </w:tc>
      </w:tr>
    </w:tbl>
    <w:p>
      <w:pPr>
        <w:spacing w:before="200"/>
      </w:pPr>
    </w:p>
    <w:p>
      <w:pPr>
        <w:pStyle w:val="Heading2"/>
        <w:spacing w:after="160" w:before="320"/>
      </w:pPr>
      <w:r>
        <w:t xml:space="preserve">12.3 Audit Trail</w:t>
      </w:r>
    </w:p>
    <w:p>
      <w:pPr>
        <w:spacing w:after="120" w:before="80"/>
      </w:pPr>
      <w:r>
        <w:t xml:space="preserve">Every notebook writes a RUNNING row to audit.pipeline_run_log before processing begins and updates it to SUCCESS or FAILED on completion. A failed notebook leaves a RUNNING row visible to a reviewer. The validation notebook checks that every expected notebook has a SUCCESS entry and fails if any are missing.</w:t>
      </w:r>
    </w:p>
    <w:p>
      <w:r>
        <w:br w:type="page"/>
      </w:r>
    </w:p>
    <w:p>
      <w:pPr>
        <w:pStyle w:val="Heading1"/>
        <w:spacing w:after="200" w:before="480"/>
      </w:pPr>
      <w:r>
        <w:t xml:space="preserve">13. Defects Found and Corrected During Validation</w:t>
      </w:r>
    </w:p>
    <w:p>
      <w:pPr>
        <w:pStyle w:val="Heading2"/>
        <w:spacing w:after="160" w:before="320"/>
      </w:pPr>
      <w:r>
        <w:t xml:space="preserve">13.1 Event Key Collision</w:t>
      </w:r>
    </w:p>
    <w:p>
      <w:pPr>
        <w:spacing w:after="120" w:before="80"/>
      </w:pPr>
      <w:r>
        <w:t xml:space="preserve">The initial event_key formula was a SHA-256 of source_system || source_file || source_sheet || sa_id_normalised || surname || first_name || course. Two rows for the same participant on the same course but on different event dates produced the same event_key. When the deduplication notebook split rows into Q4 2025 (reportable) and outside Q4 2025 (excluded), 43 event_key values appeared in both tables simultaneously, causing the no_event_key_overlap validation check to return 43 instead of 0.</w:t>
      </w:r>
    </w:p>
    <w:p>
      <w:pPr>
        <w:pStyle w:val="ListParagraph"/>
        <w:numPr>
          <w:ilvl w:val="0"/>
          <w:numId w:val="1"/>
        </w:numPr>
        <w:spacing w:after="60" w:before="60"/>
      </w:pPr>
      <w:r>
        <w:t xml:space="preserve">Fix: event_key now includes event_date_raw as a component of the hash</w:t>
      </w:r>
    </w:p>
    <w:p>
      <w:pPr>
        <w:pStyle w:val="ListParagraph"/>
        <w:numPr>
          <w:ilvl w:val="0"/>
          <w:numId w:val="1"/>
        </w:numPr>
        <w:spacing w:after="60" w:before="60"/>
      </w:pPr>
      <w:r>
        <w:t xml:space="preserve">Impact: completions increased from 3,849 to 3,850 (one previously collapsed event now counted correctly)</w:t>
      </w:r>
    </w:p>
    <w:p>
      <w:pPr>
        <w:pStyle w:val="Heading2"/>
        <w:spacing w:after="160" w:before="320"/>
      </w:pPr>
      <w:r>
        <w:t xml:space="preserve">13.2 Duplicate Hash Formula in Deduplication Notebook</w:t>
      </w:r>
    </w:p>
    <w:p>
      <w:pPr>
        <w:spacing w:after="120" w:before="80"/>
      </w:pPr>
      <w:r>
        <w:t xml:space="preserve">After correcting the event_key formula in nb_03_Silver, the online export completion proxy collapsed to zero. nb_04_Deduplication Cell 4 independently reconstructed event_key from Bronze columns to join the online export's End Date back to the fact. This second hash formula still used the old definition (without event_date_raw), so the join produced zero matches for the 2,279 online rows, causing total completions to drop to 2,405.</w:t>
      </w:r>
    </w:p>
    <w:p>
      <w:pPr>
        <w:pStyle w:val="ListParagraph"/>
        <w:numPr>
          <w:ilvl w:val="0"/>
          <w:numId w:val="1"/>
        </w:numPr>
        <w:spacing w:after="60" w:before="60"/>
      </w:pPr>
      <w:r>
        <w:t xml:space="preserve">Fix: the hash formula in Cell 4 was aligned to match the corrected formula in nb_03_Silver Cell 9</w:t>
      </w:r>
    </w:p>
    <w:p>
      <w:pPr>
        <w:pStyle w:val="Heading2"/>
        <w:spacing w:after="160" w:before="320"/>
      </w:pPr>
      <w:r>
        <w:t xml:space="preserve">13.3 Validation Check That Was Itself Wrong</w:t>
      </w:r>
    </w:p>
    <w:p>
      <w:pPr>
        <w:spacing w:after="120" w:before="80"/>
      </w:pPr>
      <w:r>
        <w:t xml:space="preserve">The initial no_participant_key_overlap check compared participant_key from the dedup table against event_key from the excluded records table. These columns are in different key spaces; any intersection was coincidental and meaningless. The check was rewritten to compare event_key against event_key — which is the correct cross-table uniqueness test.</w:t>
      </w:r>
    </w:p>
    <w:p>
      <w:pPr>
        <w:pStyle w:val="Heading2"/>
        <w:spacing w:after="160" w:before="320"/>
      </w:pPr>
      <w:r>
        <w:t xml:space="preserve">13.4 Hard-Coded Expected Values in Reconciliation Checks</w:t>
      </w:r>
    </w:p>
    <w:p>
      <w:pPr>
        <w:spacing w:after="120" w:before="80"/>
      </w:pPr>
      <w:r>
        <w:t xml:space="preserve">Two reconciliation checks initially hard-coded the expected completion count captured from an earlier run. After the event_key fix increased completions from 3,849 to 3,850, those checks failed even though the pipeline was producing correct output. The checks were rewritten to compute the expected value from the dedup fact at runtime.</w:t>
      </w:r>
    </w:p>
    <w:p>
      <w:r>
        <w:br w:type="page"/>
      </w:r>
    </w:p>
    <w:p>
      <w:pPr>
        <w:pStyle w:val="Heading1"/>
        <w:spacing w:after="200" w:before="480"/>
      </w:pPr>
      <w:r>
        <w:t xml:space="preserve">14. Key Engineering Decisions and Trade-offs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rPr>
          <w:tblHeader/>
        </w:trPr>
        <w:tc>
          <w:tcPr>
            <w:shd w:fill="1A365D" w:val="clear"/>
            <w:tcMar>
              <w:top w:type="dxa" w:w="80"/>
              <w:left w:type="dxa" w:w="120"/>
              <w:bottom w:type="dxa" w:w="80"/>
              <w:right w:type="dxa" w:w="120"/>
            </w:tcMar>
          </w:tcPr>
          <w:p>
            <w:pPr>
              <w:spacing w:after="40" w:before="40"/>
              <w:jc w:val="left"/>
            </w:pPr>
            <w:r>
              <w:rPr>
                <w:b/>
                <w:bCs/>
                <w:color w:val="FFFFFF"/>
                <w:sz w:val="18"/>
                <w:szCs w:val="18"/>
              </w:rPr>
              <w:t xml:space="preserve">Decision</w:t>
            </w:r>
          </w:p>
        </w:tc>
        <w:tc>
          <w:tcPr>
            <w:shd w:fill="1A365D" w:val="clear"/>
            <w:tcMar>
              <w:top w:type="dxa" w:w="80"/>
              <w:left w:type="dxa" w:w="120"/>
              <w:bottom w:type="dxa" w:w="80"/>
              <w:right w:type="dxa" w:w="120"/>
            </w:tcMar>
          </w:tcPr>
          <w:p>
            <w:pPr>
              <w:spacing w:after="40" w:before="40"/>
              <w:jc w:val="left"/>
            </w:pPr>
            <w:r>
              <w:rPr>
                <w:b/>
                <w:bCs/>
                <w:color w:val="FFFFFF"/>
                <w:sz w:val="18"/>
                <w:szCs w:val="18"/>
              </w:rPr>
              <w:t xml:space="preserve">Alternative Considered</w:t>
            </w:r>
          </w:p>
        </w:tc>
        <w:tc>
          <w:tcPr>
            <w:shd w:fill="1A365D" w:val="clear"/>
            <w:tcMar>
              <w:top w:type="dxa" w:w="80"/>
              <w:left w:type="dxa" w:w="120"/>
              <w:bottom w:type="dxa" w:w="80"/>
              <w:right w:type="dxa" w:w="120"/>
            </w:tcMar>
          </w:tcPr>
          <w:p>
            <w:pPr>
              <w:spacing w:after="40" w:before="40"/>
              <w:jc w:val="left"/>
            </w:pPr>
            <w:r>
              <w:rPr>
                <w:b/>
                <w:bCs/>
                <w:color w:val="FFFFFF"/>
                <w:sz w:val="18"/>
                <w:szCs w:val="18"/>
              </w:rPr>
              <w:t xml:space="preserve">Rationale</w:t>
            </w:r>
          </w:p>
        </w:tc>
      </w:tr>
      <w:tr>
        <w:tc>
          <w:tcPr>
            <w:shd w:fill="EBF4FF" w:val="clear"/>
            <w:tcMar>
              <w:top w:type="dxa" w:w="60"/>
              <w:left w:type="dxa" w:w="120"/>
              <w:bottom w:type="dxa" w:w="60"/>
              <w:right w:type="dxa" w:w="120"/>
            </w:tcMar>
          </w:tcPr>
          <w:p>
            <w:pPr>
              <w:spacing w:after="40" w:before="40"/>
            </w:pPr>
            <w:r>
              <w:rPr>
                <w:sz w:val="18"/>
                <w:szCs w:val="18"/>
              </w:rPr>
              <w:t xml:space="preserve">xxhash64 via Spark binaryFile for fingerprints</w:t>
            </w:r>
          </w:p>
        </w:tc>
        <w:tc>
          <w:tcPr>
            <w:shd w:fill="EBF4FF" w:val="clear"/>
            <w:tcMar>
              <w:top w:type="dxa" w:w="60"/>
              <w:left w:type="dxa" w:w="120"/>
              <w:bottom w:type="dxa" w:w="60"/>
              <w:right w:type="dxa" w:w="120"/>
            </w:tcMar>
          </w:tcPr>
          <w:p>
            <w:pPr>
              <w:spacing w:after="40" w:before="40"/>
            </w:pPr>
            <w:r>
              <w:rPr>
                <w:sz w:val="18"/>
                <w:szCs w:val="18"/>
              </w:rPr>
              <w:t xml:space="preserve">Python hashlib SHA-256</w:t>
            </w:r>
          </w:p>
        </w:tc>
        <w:tc>
          <w:tcPr>
            <w:shd w:fill="EBF4FF" w:val="clear"/>
            <w:tcMar>
              <w:top w:type="dxa" w:w="60"/>
              <w:left w:type="dxa" w:w="120"/>
              <w:bottom w:type="dxa" w:w="60"/>
              <w:right w:type="dxa" w:w="120"/>
            </w:tcMar>
          </w:tcPr>
          <w:p>
            <w:pPr>
              <w:spacing w:after="40" w:before="40"/>
            </w:pPr>
            <w:r>
              <w:rPr>
                <w:sz w:val="18"/>
                <w:szCs w:val="18"/>
              </w:rPr>
              <w:t xml:space="preserve">hashlib over volume mount took 32 minutes; binaryFile + xxhash64 &lt; 15 seconds</w:t>
            </w:r>
          </w:p>
        </w:tc>
      </w:tr>
      <w:tr>
        <w:tc>
          <w:tcPr>
            <w:tcMar>
              <w:top w:type="dxa" w:w="60"/>
              <w:left w:type="dxa" w:w="120"/>
              <w:bottom w:type="dxa" w:w="60"/>
              <w:right w:type="dxa" w:w="120"/>
            </w:tcMar>
          </w:tcPr>
          <w:p>
            <w:pPr>
              <w:spacing w:after="40" w:before="40"/>
            </w:pPr>
            <w:r>
              <w:rPr>
                <w:sz w:val="18"/>
                <w:szCs w:val="18"/>
              </w:rPr>
              <w:t xml:space="preserve">SQL MERGE via temp view for manifest upsert</w:t>
            </w:r>
          </w:p>
        </w:tc>
        <w:tc>
          <w:tcPr>
            <w:tcMar>
              <w:top w:type="dxa" w:w="60"/>
              <w:left w:type="dxa" w:w="120"/>
              <w:bottom w:type="dxa" w:w="60"/>
              <w:right w:type="dxa" w:w="120"/>
            </w:tcMar>
          </w:tcPr>
          <w:p>
            <w:pPr>
              <w:spacing w:after="40" w:before="40"/>
            </w:pPr>
            <w:r>
              <w:rPr>
                <w:sz w:val="18"/>
                <w:szCs w:val="18"/>
              </w:rPr>
              <w:t xml:space="preserve">DeltaTable.forName().merge()</w:t>
            </w:r>
          </w:p>
        </w:tc>
        <w:tc>
          <w:tcPr>
            <w:tcMar>
              <w:top w:type="dxa" w:w="60"/>
              <w:left w:type="dxa" w:w="120"/>
              <w:bottom w:type="dxa" w:w="60"/>
              <w:right w:type="dxa" w:w="120"/>
            </w:tcMar>
          </w:tcPr>
          <w:p>
            <w:pPr>
              <w:spacing w:after="40" w:before="40"/>
            </w:pPr>
            <w:r>
              <w:rPr>
                <w:sz w:val="18"/>
                <w:szCs w:val="18"/>
              </w:rPr>
              <w:t xml:space="preserve">Delta Python API raises AssertionError against never-written tables</w:t>
            </w:r>
          </w:p>
        </w:tc>
      </w:tr>
      <w:tr>
        <w:tc>
          <w:tcPr>
            <w:shd w:fill="EBF4FF" w:val="clear"/>
            <w:tcMar>
              <w:top w:type="dxa" w:w="60"/>
              <w:left w:type="dxa" w:w="120"/>
              <w:bottom w:type="dxa" w:w="60"/>
              <w:right w:type="dxa" w:w="120"/>
            </w:tcMar>
          </w:tcPr>
          <w:p>
            <w:pPr>
              <w:spacing w:after="40" w:before="40"/>
            </w:pPr>
            <w:r>
              <w:rPr>
                <w:sz w:val="18"/>
                <w:szCs w:val="18"/>
              </w:rPr>
              <w:t xml:space="preserve">try_to_date with multiple formats</w:t>
            </w:r>
          </w:p>
        </w:tc>
        <w:tc>
          <w:tcPr>
            <w:shd w:fill="EBF4FF" w:val="clear"/>
            <w:tcMar>
              <w:top w:type="dxa" w:w="60"/>
              <w:left w:type="dxa" w:w="120"/>
              <w:bottom w:type="dxa" w:w="60"/>
              <w:right w:type="dxa" w:w="120"/>
            </w:tcMar>
          </w:tcPr>
          <w:p>
            <w:pPr>
              <w:spacing w:after="40" w:before="40"/>
            </w:pPr>
            <w:r>
              <w:rPr>
                <w:sz w:val="18"/>
                <w:szCs w:val="18"/>
              </w:rPr>
              <w:t xml:space="preserve">to_date with single format</w:t>
            </w:r>
          </w:p>
        </w:tc>
        <w:tc>
          <w:tcPr>
            <w:shd w:fill="EBF4FF" w:val="clear"/>
            <w:tcMar>
              <w:top w:type="dxa" w:w="60"/>
              <w:left w:type="dxa" w:w="120"/>
              <w:bottom w:type="dxa" w:w="60"/>
              <w:right w:type="dxa" w:w="120"/>
            </w:tcMar>
          </w:tcPr>
          <w:p>
            <w:pPr>
              <w:spacing w:after="40" w:before="40"/>
            </w:pPr>
            <w:r>
              <w:rPr>
                <w:sz w:val="18"/>
                <w:szCs w:val="18"/>
              </w:rPr>
              <w:t xml:space="preserve">to_date raises CAST_INVALID_INPUT; try_to_date returns NULL and allows pipeline to continue</w:t>
            </w:r>
          </w:p>
        </w:tc>
      </w:tr>
      <w:tr>
        <w:tc>
          <w:tcPr>
            <w:tcMar>
              <w:top w:type="dxa" w:w="60"/>
              <w:left w:type="dxa" w:w="120"/>
              <w:bottom w:type="dxa" w:w="60"/>
              <w:right w:type="dxa" w:w="120"/>
            </w:tcMar>
          </w:tcPr>
          <w:p>
            <w:pPr>
              <w:spacing w:after="40" w:before="40"/>
            </w:pPr>
            <w:r>
              <w:rPr>
                <w:sz w:val="18"/>
                <w:szCs w:val="18"/>
              </w:rPr>
              <w:t xml:space="preserve">Three explicit source readers</w:t>
            </w:r>
          </w:p>
        </w:tc>
        <w:tc>
          <w:tcPr>
            <w:tcMar>
              <w:top w:type="dxa" w:w="60"/>
              <w:left w:type="dxa" w:w="120"/>
              <w:bottom w:type="dxa" w:w="60"/>
              <w:right w:type="dxa" w:w="120"/>
            </w:tcMar>
          </w:tcPr>
          <w:p>
            <w:pPr>
              <w:spacing w:after="40" w:before="40"/>
            </w:pPr>
            <w:r>
              <w:rPr>
                <w:sz w:val="18"/>
                <w:szCs w:val="18"/>
              </w:rPr>
              <w:t xml:space="preserve">One generic parameterised reader</w:t>
            </w:r>
          </w:p>
        </w:tc>
        <w:tc>
          <w:tcPr>
            <w:tcMar>
              <w:top w:type="dxa" w:w="60"/>
              <w:left w:type="dxa" w:w="120"/>
              <w:bottom w:type="dxa" w:w="60"/>
              <w:right w:type="dxa" w:w="120"/>
            </w:tcMar>
          </w:tcPr>
          <w:p>
            <w:pPr>
              <w:spacing w:after="40" w:before="40"/>
            </w:pPr>
            <w:r>
              <w:rPr>
                <w:sz w:val="18"/>
                <w:szCs w:val="18"/>
              </w:rPr>
              <w:t xml:space="preserve">Source differences (header row, multi-sheet union, CSV detection) are real; a generic reader would need as many branches as an explicit one</w:t>
            </w:r>
          </w:p>
        </w:tc>
      </w:tr>
      <w:tr>
        <w:tc>
          <w:tcPr>
            <w:shd w:fill="EBF4FF" w:val="clear"/>
            <w:tcMar>
              <w:top w:type="dxa" w:w="60"/>
              <w:left w:type="dxa" w:w="120"/>
              <w:bottom w:type="dxa" w:w="60"/>
              <w:right w:type="dxa" w:w="120"/>
            </w:tcMar>
          </w:tcPr>
          <w:p>
            <w:pPr>
              <w:spacing w:after="40" w:before="40"/>
            </w:pPr>
            <w:r>
              <w:rPr>
                <w:sz w:val="18"/>
                <w:szCs w:val="18"/>
              </w:rPr>
              <w:t xml:space="preserve">No probabilistic/fuzzy matching</w:t>
            </w:r>
          </w:p>
        </w:tc>
        <w:tc>
          <w:tcPr>
            <w:shd w:fill="EBF4FF" w:val="clear"/>
            <w:tcMar>
              <w:top w:type="dxa" w:w="60"/>
              <w:left w:type="dxa" w:w="120"/>
              <w:bottom w:type="dxa" w:w="60"/>
              <w:right w:type="dxa" w:w="120"/>
            </w:tcMar>
          </w:tcPr>
          <w:p>
            <w:pPr>
              <w:spacing w:after="40" w:before="40"/>
            </w:pPr>
            <w:r>
              <w:rPr>
                <w:sz w:val="18"/>
                <w:szCs w:val="18"/>
              </w:rPr>
              <w:t xml:space="preserve">Levenshtein or phonetic matching on names</w:t>
            </w:r>
          </w:p>
        </w:tc>
        <w:tc>
          <w:tcPr>
            <w:shd w:fill="EBF4FF" w:val="clear"/>
            <w:tcMar>
              <w:top w:type="dxa" w:w="60"/>
              <w:left w:type="dxa" w:w="120"/>
              <w:bottom w:type="dxa" w:w="60"/>
              <w:right w:type="dxa" w:w="120"/>
            </w:tcMar>
          </w:tcPr>
          <w:p>
            <w:pPr>
              <w:spacing w:after="40" w:before="40"/>
            </w:pPr>
            <w:r>
              <w:rPr>
                <w:sz w:val="18"/>
                <w:szCs w:val="18"/>
              </w:rPr>
              <w:t xml:space="preserve">Anonymised identifiers; fuzzy match on synthetic names would produce meaningless results</w:t>
            </w:r>
          </w:p>
        </w:tc>
      </w:tr>
      <w:tr>
        <w:tc>
          <w:tcPr>
            <w:tcMar>
              <w:top w:type="dxa" w:w="60"/>
              <w:left w:type="dxa" w:w="120"/>
              <w:bottom w:type="dxa" w:w="60"/>
              <w:right w:type="dxa" w:w="120"/>
            </w:tcMar>
          </w:tcPr>
          <w:p>
            <w:pPr>
              <w:spacing w:after="40" w:before="40"/>
            </w:pPr>
            <w:r>
              <w:rPr>
                <w:sz w:val="18"/>
                <w:szCs w:val="18"/>
              </w:rPr>
              <w:t xml:space="preserve">Luhn validity recorded but not gated</w:t>
            </w:r>
          </w:p>
        </w:tc>
        <w:tc>
          <w:tcPr>
            <w:tcMar>
              <w:top w:type="dxa" w:w="60"/>
              <w:left w:type="dxa" w:w="120"/>
              <w:bottom w:type="dxa" w:w="60"/>
              <w:right w:type="dxa" w:w="120"/>
            </w:tcMar>
          </w:tcPr>
          <w:p>
            <w:pPr>
              <w:spacing w:after="40" w:before="40"/>
            </w:pPr>
            <w:r>
              <w:rPr>
                <w:sz w:val="18"/>
                <w:szCs w:val="18"/>
              </w:rPr>
              <w:t xml:space="preserve">Reject non-Luhn IDs from Tier 1</w:t>
            </w:r>
          </w:p>
        </w:tc>
        <w:tc>
          <w:tcPr>
            <w:tcMar>
              <w:top w:type="dxa" w:w="60"/>
              <w:left w:type="dxa" w:w="120"/>
              <w:bottom w:type="dxa" w:w="60"/>
              <w:right w:type="dxa" w:w="120"/>
            </w:tcMar>
          </w:tcPr>
          <w:p>
            <w:pPr>
              <w:spacing w:after="40" w:before="40"/>
            </w:pPr>
            <w:r>
              <w:rPr>
                <w:sz w:val="18"/>
                <w:szCs w:val="18"/>
              </w:rPr>
              <w:t xml:space="preserve">~91% of IDs fail Luhn; all are synthetic; gating would collapse most to Tier 3</w:t>
            </w:r>
          </w:p>
        </w:tc>
      </w:tr>
      <w:tr>
        <w:tc>
          <w:tcPr>
            <w:shd w:fill="EBF4FF" w:val="clear"/>
            <w:tcMar>
              <w:top w:type="dxa" w:w="60"/>
              <w:left w:type="dxa" w:w="120"/>
              <w:bottom w:type="dxa" w:w="60"/>
              <w:right w:type="dxa" w:w="120"/>
            </w:tcMar>
          </w:tcPr>
          <w:p>
            <w:pPr>
              <w:spacing w:after="40" w:before="40"/>
            </w:pPr>
            <w:r>
              <w:rPr>
                <w:sz w:val="18"/>
                <w:szCs w:val="18"/>
              </w:rPr>
              <w:t xml:space="preserve">No Azure Data Factory</w:t>
            </w:r>
          </w:p>
        </w:tc>
        <w:tc>
          <w:tcPr>
            <w:shd w:fill="EBF4FF" w:val="clear"/>
            <w:tcMar>
              <w:top w:type="dxa" w:w="60"/>
              <w:left w:type="dxa" w:w="120"/>
              <w:bottom w:type="dxa" w:w="60"/>
              <w:right w:type="dxa" w:w="120"/>
            </w:tcMar>
          </w:tcPr>
          <w:p>
            <w:pPr>
              <w:spacing w:after="40" w:before="40"/>
            </w:pPr>
            <w:r>
              <w:rPr>
                <w:sz w:val="18"/>
                <w:szCs w:val="18"/>
              </w:rPr>
              <w:t xml:space="preserve">ADF-triggered ingestion</w:t>
            </w:r>
          </w:p>
        </w:tc>
        <w:tc>
          <w:tcPr>
            <w:shd w:fill="EBF4FF" w:val="clear"/>
            <w:tcMar>
              <w:top w:type="dxa" w:w="60"/>
              <w:left w:type="dxa" w:w="120"/>
              <w:bottom w:type="dxa" w:w="60"/>
              <w:right w:type="dxa" w:w="120"/>
            </w:tcMar>
          </w:tcPr>
          <w:p>
            <w:pPr>
              <w:spacing w:after="40" w:before="40"/>
            </w:pPr>
            <w:r>
              <w:rPr>
                <w:sz w:val="18"/>
                <w:szCs w:val="18"/>
              </w:rPr>
              <w:t xml:space="preserve">ADF's value is scheduled ingestion from external systems; this pipeline ingests from a fixed source package once</w:t>
            </w:r>
          </w:p>
        </w:tc>
      </w:tr>
      <w:tr>
        <w:tc>
          <w:tcPr>
            <w:tcMar>
              <w:top w:type="dxa" w:w="60"/>
              <w:left w:type="dxa" w:w="120"/>
              <w:bottom w:type="dxa" w:w="60"/>
              <w:right w:type="dxa" w:w="120"/>
            </w:tcMar>
          </w:tcPr>
          <w:p>
            <w:pPr>
              <w:spacing w:after="40" w:before="40"/>
            </w:pPr>
            <w:r>
              <w:rPr>
                <w:sz w:val="18"/>
                <w:szCs w:val="18"/>
              </w:rPr>
              <w:t xml:space="preserve">Local Jupyter profiling before Databricks code</w:t>
            </w:r>
          </w:p>
        </w:tc>
        <w:tc>
          <w:tcPr>
            <w:tcMar>
              <w:top w:type="dxa" w:w="60"/>
              <w:left w:type="dxa" w:w="120"/>
              <w:bottom w:type="dxa" w:w="60"/>
              <w:right w:type="dxa" w:w="120"/>
            </w:tcMar>
          </w:tcPr>
          <w:p>
            <w:pPr>
              <w:spacing w:after="40" w:before="40"/>
            </w:pPr>
            <w:r>
              <w:rPr>
                <w:sz w:val="18"/>
                <w:szCs w:val="18"/>
              </w:rPr>
              <w:t xml:space="preserve">Discover schema in Databricks</w:t>
            </w:r>
          </w:p>
        </w:tc>
        <w:tc>
          <w:tcPr>
            <w:tcMar>
              <w:top w:type="dxa" w:w="60"/>
              <w:left w:type="dxa" w:w="120"/>
              <w:bottom w:type="dxa" w:w="60"/>
              <w:right w:type="dxa" w:w="120"/>
            </w:tcMar>
          </w:tcPr>
          <w:p>
            <w:pPr>
              <w:spacing w:after="40" w:before="40"/>
            </w:pPr>
            <w:r>
              <w:rPr>
                <w:sz w:val="18"/>
                <w:szCs w:val="18"/>
              </w:rPr>
              <w:t xml:space="preserve">Established schemas, CHW header offset, typo patterns, and lookup conflict before committing to code</w:t>
            </w:r>
          </w:p>
        </w:tc>
      </w:tr>
    </w:tbl>
    <w:p>
      <w:r>
        <w:br w:type="page"/>
      </w:r>
    </w:p>
    <w:p>
      <w:pPr>
        <w:pStyle w:val="Heading1"/>
        <w:spacing w:after="200" w:before="480"/>
      </w:pPr>
      <w:r>
        <w:t xml:space="preserve">15. Future Enhancements</w:t>
      </w:r>
    </w:p>
    <w:p>
      <w:pPr>
        <w:spacing w:after="120" w:before="80"/>
      </w:pPr>
      <w:r>
        <w:t xml:space="preserve">The following are genuine future improvements, not described as implemented functionality:</w:t>
      </w:r>
    </w:p>
    <w:p>
      <w:pPr>
        <w:pStyle w:val="ListParagraph"/>
        <w:numPr>
          <w:ilvl w:val="0"/>
          <w:numId w:val="1"/>
        </w:numPr>
        <w:spacing w:after="60" w:before="60"/>
      </w:pPr>
      <w:r>
        <w:t xml:space="preserve">Temporal mapping versioning: add valid_from and valid_to columns to audit.map_* tables so that historical reports can be reproduced using the mapping rules that applied at the time</w:t>
      </w:r>
    </w:p>
    <w:p>
      <w:pPr>
        <w:pStyle w:val="ListParagraph"/>
        <w:numPr>
          <w:ilvl w:val="0"/>
          <w:numId w:val="1"/>
        </w:numPr>
        <w:spacing w:after="60" w:before="60"/>
      </w:pPr>
      <w:r>
        <w:t xml:space="preserve">Per-module CHW unpivot: the CHW workbooks contain 15 module completion columns. Unpivoting these would enable module-level completion reporting</w:t>
      </w:r>
    </w:p>
    <w:p>
      <w:pPr>
        <w:pStyle w:val="ListParagraph"/>
        <w:numPr>
          <w:ilvl w:val="0"/>
          <w:numId w:val="1"/>
        </w:numPr>
        <w:spacing w:after="60" w:before="60"/>
      </w:pPr>
      <w:r>
        <w:t xml:space="preserve">Extended online export completion rule: use Earliest Approval Date as an alternative or supplementary indicator alongside End Date IS NOT NULL</w:t>
      </w:r>
    </w:p>
    <w:p>
      <w:pPr>
        <w:pStyle w:val="ListParagraph"/>
        <w:numPr>
          <w:ilvl w:val="0"/>
          <w:numId w:val="1"/>
        </w:numPr>
        <w:spacing w:after="60" w:before="60"/>
      </w:pPr>
      <w:r>
        <w:t xml:space="preserve">Delta Live Tables version: add DLT expectations and automated lineage for the Silver and Gold layers</w:t>
      </w:r>
    </w:p>
    <w:p>
      <w:pPr>
        <w:pStyle w:val="ListParagraph"/>
        <w:numPr>
          <w:ilvl w:val="0"/>
          <w:numId w:val="1"/>
        </w:numPr>
        <w:spacing w:after="60" w:before="60"/>
      </w:pPr>
      <w:r>
        <w:t xml:space="preserve">Nightly schedule with alerting: configure a nightly Databricks Job and alert on validation failures rather than requiring manual review</w:t>
      </w:r>
    </w:p>
    <w:p>
      <w:pPr>
        <w:pStyle w:val="ListParagraph"/>
        <w:numPr>
          <w:ilvl w:val="0"/>
          <w:numId w:val="1"/>
        </w:numPr>
        <w:spacing w:after="60" w:before="60"/>
      </w:pPr>
      <w:r>
        <w:t xml:space="preserve">Partitioning: add partition pruning on source_system and event_date for Silver and Gold tables to support performance at larger data volumes</w:t>
      </w:r>
    </w:p>
    <w:p>
      <w:pPr>
        <w:pStyle w:val="ListParagraph"/>
        <w:numPr>
          <w:ilvl w:val="0"/>
          <w:numId w:val="1"/>
        </w:numPr>
        <w:spacing w:after="60" w:before="60"/>
      </w:pPr>
      <w:r>
        <w:t xml:space="preserve">schema_registry population: define expected columns per source in audit.schema_registry to enforce breaking schema change detection automatically</w:t>
      </w:r>
    </w:p>
    <w:p>
      <w:r>
        <w:br w:type="page"/>
      </w:r>
    </w:p>
    <w:p>
      <w:pPr>
        <w:pStyle w:val="Heading1"/>
        <w:spacing w:after="200" w:before="480"/>
      </w:pPr>
      <w:r>
        <w:t xml:space="preserve">Appendix: Headline Results — Q4 2025</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rPr>
          <w:tblHeader/>
        </w:trPr>
        <w:tc>
          <w:tcPr>
            <w:shd w:fill="1A365D" w:val="clear"/>
            <w:tcMar>
              <w:top w:type="dxa" w:w="80"/>
              <w:left w:type="dxa" w:w="120"/>
              <w:bottom w:type="dxa" w:w="80"/>
              <w:right w:type="dxa" w:w="120"/>
            </w:tcMar>
          </w:tcPr>
          <w:p>
            <w:pPr>
              <w:spacing w:after="40" w:before="40"/>
              <w:jc w:val="left"/>
            </w:pPr>
            <w:r>
              <w:rPr>
                <w:b/>
                <w:bCs/>
                <w:color w:val="FFFFFF"/>
                <w:sz w:val="18"/>
                <w:szCs w:val="18"/>
              </w:rPr>
              <w:t xml:space="preserve">Metric</w:t>
            </w:r>
          </w:p>
        </w:tc>
        <w:tc>
          <w:tcPr>
            <w:shd w:fill="1A365D" w:val="clear"/>
            <w:tcMar>
              <w:top w:type="dxa" w:w="80"/>
              <w:left w:type="dxa" w:w="120"/>
              <w:bottom w:type="dxa" w:w="80"/>
              <w:right w:type="dxa" w:w="120"/>
            </w:tcMar>
          </w:tcPr>
          <w:p>
            <w:pPr>
              <w:spacing w:after="40" w:before="40"/>
              <w:jc w:val="left"/>
            </w:pPr>
            <w:r>
              <w:rPr>
                <w:b/>
                <w:bCs/>
                <w:color w:val="FFFFFF"/>
                <w:sz w:val="18"/>
                <w:szCs w:val="18"/>
              </w:rPr>
              <w:t xml:space="preserve">Value</w:t>
            </w:r>
          </w:p>
        </w:tc>
      </w:tr>
      <w:tr>
        <w:tc>
          <w:tcPr>
            <w:shd w:fill="EBF4FF" w:val="clear"/>
            <w:tcMar>
              <w:top w:type="dxa" w:w="60"/>
              <w:left w:type="dxa" w:w="120"/>
              <w:bottom w:type="dxa" w:w="60"/>
              <w:right w:type="dxa" w:w="120"/>
            </w:tcMar>
          </w:tcPr>
          <w:p>
            <w:pPr>
              <w:spacing w:after="40" w:before="40"/>
            </w:pPr>
            <w:r>
              <w:rPr>
                <w:sz w:val="18"/>
                <w:szCs w:val="18"/>
              </w:rPr>
              <w:t xml:space="preserve">Reporting Period</w:t>
            </w:r>
          </w:p>
        </w:tc>
        <w:tc>
          <w:tcPr>
            <w:shd w:fill="EBF4FF" w:val="clear"/>
            <w:tcMar>
              <w:top w:type="dxa" w:w="60"/>
              <w:left w:type="dxa" w:w="120"/>
              <w:bottom w:type="dxa" w:w="60"/>
              <w:right w:type="dxa" w:w="120"/>
            </w:tcMar>
          </w:tcPr>
          <w:p>
            <w:pPr>
              <w:spacing w:after="40" w:before="40"/>
            </w:pPr>
            <w:r>
              <w:rPr>
                <w:sz w:val="18"/>
                <w:szCs w:val="18"/>
              </w:rPr>
              <w:t xml:space="preserve">2025-10-01 to 2025-12-31 (Q4 2025)</w:t>
            </w:r>
          </w:p>
        </w:tc>
      </w:tr>
      <w:tr>
        <w:tc>
          <w:tcPr>
            <w:tcMar>
              <w:top w:type="dxa" w:w="60"/>
              <w:left w:type="dxa" w:w="120"/>
              <w:bottom w:type="dxa" w:w="60"/>
              <w:right w:type="dxa" w:w="120"/>
            </w:tcMar>
          </w:tcPr>
          <w:p>
            <w:pPr>
              <w:spacing w:after="40" w:before="40"/>
            </w:pPr>
            <w:r>
              <w:rPr>
                <w:sz w:val="18"/>
                <w:szCs w:val="18"/>
              </w:rPr>
              <w:t xml:space="preserve">Enrolments</w:t>
            </w:r>
          </w:p>
        </w:tc>
        <w:tc>
          <w:tcPr>
            <w:tcMar>
              <w:top w:type="dxa" w:w="60"/>
              <w:left w:type="dxa" w:w="120"/>
              <w:bottom w:type="dxa" w:w="60"/>
              <w:right w:type="dxa" w:w="120"/>
            </w:tcMar>
          </w:tcPr>
          <w:p>
            <w:pPr>
              <w:spacing w:after="40" w:before="40"/>
            </w:pPr>
            <w:r>
              <w:rPr>
                <w:sz w:val="18"/>
                <w:szCs w:val="18"/>
              </w:rPr>
              <w:t xml:space="preserve">4,832</w:t>
            </w:r>
          </w:p>
        </w:tc>
      </w:tr>
      <w:tr>
        <w:tc>
          <w:tcPr>
            <w:shd w:fill="EBF4FF" w:val="clear"/>
            <w:tcMar>
              <w:top w:type="dxa" w:w="60"/>
              <w:left w:type="dxa" w:w="120"/>
              <w:bottom w:type="dxa" w:w="60"/>
              <w:right w:type="dxa" w:w="120"/>
            </w:tcMar>
          </w:tcPr>
          <w:p>
            <w:pPr>
              <w:spacing w:after="40" w:before="40"/>
            </w:pPr>
            <w:r>
              <w:rPr>
                <w:sz w:val="18"/>
                <w:szCs w:val="18"/>
              </w:rPr>
              <w:t xml:space="preserve">Completions</w:t>
            </w:r>
          </w:p>
        </w:tc>
        <w:tc>
          <w:tcPr>
            <w:shd w:fill="EBF4FF" w:val="clear"/>
            <w:tcMar>
              <w:top w:type="dxa" w:w="60"/>
              <w:left w:type="dxa" w:w="120"/>
              <w:bottom w:type="dxa" w:w="60"/>
              <w:right w:type="dxa" w:w="120"/>
            </w:tcMar>
          </w:tcPr>
          <w:p>
            <w:pPr>
              <w:spacing w:after="40" w:before="40"/>
            </w:pPr>
            <w:r>
              <w:rPr>
                <w:sz w:val="18"/>
                <w:szCs w:val="18"/>
              </w:rPr>
              <w:t xml:space="preserve">3,850</w:t>
            </w:r>
          </w:p>
        </w:tc>
      </w:tr>
      <w:tr>
        <w:tc>
          <w:tcPr>
            <w:tcMar>
              <w:top w:type="dxa" w:w="60"/>
              <w:left w:type="dxa" w:w="120"/>
              <w:bottom w:type="dxa" w:w="60"/>
              <w:right w:type="dxa" w:w="120"/>
            </w:tcMar>
          </w:tcPr>
          <w:p>
            <w:pPr>
              <w:spacing w:after="40" w:before="40"/>
            </w:pPr>
            <w:r>
              <w:rPr>
                <w:sz w:val="18"/>
                <w:szCs w:val="18"/>
              </w:rPr>
              <w:t xml:space="preserve">Not Completed</w:t>
            </w:r>
          </w:p>
        </w:tc>
        <w:tc>
          <w:tcPr>
            <w:tcMar>
              <w:top w:type="dxa" w:w="60"/>
              <w:left w:type="dxa" w:w="120"/>
              <w:bottom w:type="dxa" w:w="60"/>
              <w:right w:type="dxa" w:w="120"/>
            </w:tcMar>
          </w:tcPr>
          <w:p>
            <w:pPr>
              <w:spacing w:after="40" w:before="40"/>
            </w:pPr>
            <w:r>
              <w:rPr>
                <w:sz w:val="18"/>
                <w:szCs w:val="18"/>
              </w:rPr>
              <w:t xml:space="preserve">982</w:t>
            </w:r>
          </w:p>
        </w:tc>
      </w:tr>
      <w:tr>
        <w:tc>
          <w:tcPr>
            <w:shd w:fill="EBF4FF" w:val="clear"/>
            <w:tcMar>
              <w:top w:type="dxa" w:w="60"/>
              <w:left w:type="dxa" w:w="120"/>
              <w:bottom w:type="dxa" w:w="60"/>
              <w:right w:type="dxa" w:w="120"/>
            </w:tcMar>
          </w:tcPr>
          <w:p>
            <w:pPr>
              <w:spacing w:after="40" w:before="40"/>
            </w:pPr>
            <w:r>
              <w:rPr>
                <w:sz w:val="18"/>
                <w:szCs w:val="18"/>
              </w:rPr>
              <w:t xml:space="preserve">Completion Rate</w:t>
            </w:r>
          </w:p>
        </w:tc>
        <w:tc>
          <w:tcPr>
            <w:shd w:fill="EBF4FF" w:val="clear"/>
            <w:tcMar>
              <w:top w:type="dxa" w:w="60"/>
              <w:left w:type="dxa" w:w="120"/>
              <w:bottom w:type="dxa" w:w="60"/>
              <w:right w:type="dxa" w:w="120"/>
            </w:tcMar>
          </w:tcPr>
          <w:p>
            <w:pPr>
              <w:spacing w:after="40" w:before="40"/>
            </w:pPr>
            <w:r>
              <w:rPr>
                <w:sz w:val="18"/>
                <w:szCs w:val="18"/>
              </w:rPr>
              <w:t xml:space="preserve">79.7%</w:t>
            </w:r>
          </w:p>
        </w:tc>
      </w:tr>
      <w:tr>
        <w:tc>
          <w:tcPr>
            <w:tcMar>
              <w:top w:type="dxa" w:w="60"/>
              <w:left w:type="dxa" w:w="120"/>
              <w:bottom w:type="dxa" w:w="60"/>
              <w:right w:type="dxa" w:w="120"/>
            </w:tcMar>
          </w:tcPr>
          <w:p>
            <w:pPr>
              <w:spacing w:after="40" w:before="40"/>
            </w:pPr>
            <w:r>
              <w:rPr>
                <w:sz w:val="18"/>
                <w:szCs w:val="18"/>
              </w:rPr>
              <w:t xml:space="preserve">Unique Participants</w:t>
            </w:r>
          </w:p>
        </w:tc>
        <w:tc>
          <w:tcPr>
            <w:tcMar>
              <w:top w:type="dxa" w:w="60"/>
              <w:left w:type="dxa" w:w="120"/>
              <w:bottom w:type="dxa" w:w="60"/>
              <w:right w:type="dxa" w:w="120"/>
            </w:tcMar>
          </w:tcPr>
          <w:p>
            <w:pPr>
              <w:spacing w:after="40" w:before="40"/>
            </w:pPr>
            <w:r>
              <w:rPr>
                <w:sz w:val="18"/>
                <w:szCs w:val="18"/>
              </w:rPr>
              <w:t xml:space="preserve">3,259</w:t>
            </w:r>
          </w:p>
        </w:tc>
      </w:tr>
    </w:tbl>
    <w:p>
      <w:pPr>
        <w:spacing w:before="400"/>
      </w:pPr>
    </w:p>
    <w:p>
      <w:pPr>
        <w:pStyle w:val="Heading2"/>
        <w:spacing w:after="160" w:before="320"/>
      </w:pPr>
      <w:r>
        <w:t xml:space="preserve">Source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gridCol w:w="100"/>
        <w:gridCol w:w="100"/>
      </w:tblGrid>
      <w:tr>
        <w:trPr>
          <w:tblHeader/>
        </w:trPr>
        <w:tc>
          <w:tcPr>
            <w:shd w:fill="1A365D" w:val="clear"/>
            <w:tcMar>
              <w:top w:type="dxa" w:w="80"/>
              <w:left w:type="dxa" w:w="120"/>
              <w:bottom w:type="dxa" w:w="80"/>
              <w:right w:type="dxa" w:w="120"/>
            </w:tcMar>
          </w:tcPr>
          <w:p>
            <w:pPr>
              <w:spacing w:after="40" w:before="40"/>
              <w:jc w:val="left"/>
            </w:pPr>
            <w:r>
              <w:rPr>
                <w:b/>
                <w:bCs/>
                <w:color w:val="FFFFFF"/>
                <w:sz w:val="18"/>
                <w:szCs w:val="18"/>
              </w:rPr>
              <w:t xml:space="preserve">Source System</w:t>
            </w:r>
          </w:p>
        </w:tc>
        <w:tc>
          <w:tcPr>
            <w:shd w:fill="1A365D" w:val="clear"/>
            <w:tcMar>
              <w:top w:type="dxa" w:w="80"/>
              <w:left w:type="dxa" w:w="120"/>
              <w:bottom w:type="dxa" w:w="80"/>
              <w:right w:type="dxa" w:w="120"/>
            </w:tcMar>
          </w:tcPr>
          <w:p>
            <w:pPr>
              <w:spacing w:after="40" w:before="40"/>
              <w:jc w:val="left"/>
            </w:pPr>
            <w:r>
              <w:rPr>
                <w:b/>
                <w:bCs/>
                <w:color w:val="FFFFFF"/>
                <w:sz w:val="18"/>
                <w:szCs w:val="18"/>
              </w:rPr>
              <w:t xml:space="preserve">Enrolments</w:t>
            </w:r>
          </w:p>
        </w:tc>
        <w:tc>
          <w:tcPr>
            <w:shd w:fill="1A365D" w:val="clear"/>
            <w:tcMar>
              <w:top w:type="dxa" w:w="80"/>
              <w:left w:type="dxa" w:w="120"/>
              <w:bottom w:type="dxa" w:w="80"/>
              <w:right w:type="dxa" w:w="120"/>
            </w:tcMar>
          </w:tcPr>
          <w:p>
            <w:pPr>
              <w:spacing w:after="40" w:before="40"/>
              <w:jc w:val="left"/>
            </w:pPr>
            <w:r>
              <w:rPr>
                <w:b/>
                <w:bCs/>
                <w:color w:val="FFFFFF"/>
                <w:sz w:val="18"/>
                <w:szCs w:val="18"/>
              </w:rPr>
              <w:t xml:space="preserve">Completions</w:t>
            </w:r>
          </w:p>
        </w:tc>
        <w:tc>
          <w:tcPr>
            <w:shd w:fill="1A365D" w:val="clear"/>
            <w:tcMar>
              <w:top w:type="dxa" w:w="80"/>
              <w:left w:type="dxa" w:w="120"/>
              <w:bottom w:type="dxa" w:w="80"/>
              <w:right w:type="dxa" w:w="120"/>
            </w:tcMar>
          </w:tcPr>
          <w:p>
            <w:pPr>
              <w:spacing w:after="40" w:before="40"/>
              <w:jc w:val="left"/>
            </w:pPr>
            <w:r>
              <w:rPr>
                <w:b/>
                <w:bCs/>
                <w:color w:val="FFFFFF"/>
                <w:sz w:val="18"/>
                <w:szCs w:val="18"/>
              </w:rPr>
              <w:t xml:space="preserve">Not Completed</w:t>
            </w:r>
          </w:p>
        </w:tc>
        <w:tc>
          <w:tcPr>
            <w:shd w:fill="1A365D" w:val="clear"/>
            <w:tcMar>
              <w:top w:type="dxa" w:w="80"/>
              <w:left w:type="dxa" w:w="120"/>
              <w:bottom w:type="dxa" w:w="80"/>
              <w:right w:type="dxa" w:w="120"/>
            </w:tcMar>
          </w:tcPr>
          <w:p>
            <w:pPr>
              <w:spacing w:after="40" w:before="40"/>
              <w:jc w:val="left"/>
            </w:pPr>
            <w:r>
              <w:rPr>
                <w:b/>
                <w:bCs/>
                <w:color w:val="FFFFFF"/>
                <w:sz w:val="18"/>
                <w:szCs w:val="18"/>
              </w:rPr>
              <w:t xml:space="preserve">Unique Participants</w:t>
            </w:r>
          </w:p>
        </w:tc>
      </w:tr>
      <w:tr>
        <w:tc>
          <w:tcPr>
            <w:shd w:fill="EBF4FF" w:val="clear"/>
            <w:tcMar>
              <w:top w:type="dxa" w:w="60"/>
              <w:left w:type="dxa" w:w="120"/>
              <w:bottom w:type="dxa" w:w="60"/>
              <w:right w:type="dxa" w:w="120"/>
            </w:tcMar>
          </w:tcPr>
          <w:p>
            <w:pPr>
              <w:spacing w:after="40" w:before="40"/>
            </w:pPr>
            <w:r>
              <w:rPr>
                <w:sz w:val="18"/>
                <w:szCs w:val="18"/>
              </w:rPr>
              <w:t xml:space="preserve">capturing_tool</w:t>
            </w:r>
          </w:p>
        </w:tc>
        <w:tc>
          <w:tcPr>
            <w:shd w:fill="EBF4FF" w:val="clear"/>
            <w:tcMar>
              <w:top w:type="dxa" w:w="60"/>
              <w:left w:type="dxa" w:w="120"/>
              <w:bottom w:type="dxa" w:w="60"/>
              <w:right w:type="dxa" w:w="120"/>
            </w:tcMar>
          </w:tcPr>
          <w:p>
            <w:pPr>
              <w:spacing w:after="40" w:before="40"/>
            </w:pPr>
            <w:r>
              <w:rPr>
                <w:sz w:val="18"/>
                <w:szCs w:val="18"/>
              </w:rPr>
              <w:t xml:space="preserve">[from gold table]</w:t>
            </w:r>
          </w:p>
        </w:tc>
        <w:tc>
          <w:tcPr>
            <w:shd w:fill="EBF4FF" w:val="clear"/>
            <w:tcMar>
              <w:top w:type="dxa" w:w="60"/>
              <w:left w:type="dxa" w:w="120"/>
              <w:bottom w:type="dxa" w:w="60"/>
              <w:right w:type="dxa" w:w="120"/>
            </w:tcMar>
          </w:tcPr>
          <w:p>
            <w:pPr>
              <w:spacing w:after="40" w:before="40"/>
            </w:pPr>
            <w:r>
              <w:rPr>
                <w:sz w:val="18"/>
                <w:szCs w:val="18"/>
              </w:rPr>
              <w:t xml:space="preserve">[from gold table]</w:t>
            </w:r>
          </w:p>
        </w:tc>
        <w:tc>
          <w:tcPr>
            <w:shd w:fill="EBF4FF" w:val="clear"/>
            <w:tcMar>
              <w:top w:type="dxa" w:w="60"/>
              <w:left w:type="dxa" w:w="120"/>
              <w:bottom w:type="dxa" w:w="60"/>
              <w:right w:type="dxa" w:w="120"/>
            </w:tcMar>
          </w:tcPr>
          <w:p>
            <w:pPr>
              <w:spacing w:after="40" w:before="40"/>
            </w:pPr>
            <w:r>
              <w:rPr>
                <w:sz w:val="18"/>
                <w:szCs w:val="18"/>
              </w:rPr>
              <w:t xml:space="preserve">[from gold table]</w:t>
            </w:r>
          </w:p>
        </w:tc>
        <w:tc>
          <w:tcPr>
            <w:shd w:fill="EBF4FF" w:val="clear"/>
            <w:tcMar>
              <w:top w:type="dxa" w:w="60"/>
              <w:left w:type="dxa" w:w="120"/>
              <w:bottom w:type="dxa" w:w="60"/>
              <w:right w:type="dxa" w:w="120"/>
            </w:tcMar>
          </w:tcPr>
          <w:p>
            <w:pPr>
              <w:spacing w:after="40" w:before="40"/>
            </w:pPr>
            <w:r>
              <w:rPr>
                <w:sz w:val="18"/>
                <w:szCs w:val="18"/>
              </w:rPr>
              <w:t xml:space="preserve">[from gold table]</w:t>
            </w:r>
          </w:p>
        </w:tc>
      </w:tr>
      <w:tr>
        <w:tc>
          <w:tcPr>
            <w:tcMar>
              <w:top w:type="dxa" w:w="60"/>
              <w:left w:type="dxa" w:w="120"/>
              <w:bottom w:type="dxa" w:w="60"/>
              <w:right w:type="dxa" w:w="120"/>
            </w:tcMar>
          </w:tcPr>
          <w:p>
            <w:pPr>
              <w:spacing w:after="40" w:before="40"/>
            </w:pPr>
            <w:r>
              <w:rPr>
                <w:sz w:val="18"/>
                <w:szCs w:val="18"/>
              </w:rPr>
              <w:t xml:space="preserve">chw</w:t>
            </w:r>
          </w:p>
        </w:tc>
        <w:tc>
          <w:tcPr>
            <w:tcMar>
              <w:top w:type="dxa" w:w="60"/>
              <w:left w:type="dxa" w:w="120"/>
              <w:bottom w:type="dxa" w:w="60"/>
              <w:right w:type="dxa" w:w="120"/>
            </w:tcMar>
          </w:tcPr>
          <w:p>
            <w:pPr>
              <w:spacing w:after="40" w:before="40"/>
            </w:pPr>
            <w:r>
              <w:rPr>
                <w:sz w:val="18"/>
                <w:szCs w:val="18"/>
              </w:rPr>
              <w:t xml:space="preserve">0 (no Q4 dates)</w:t>
            </w:r>
          </w:p>
        </w:tc>
        <w:tc>
          <w:tcPr>
            <w:tcMar>
              <w:top w:type="dxa" w:w="60"/>
              <w:left w:type="dxa" w:w="120"/>
              <w:bottom w:type="dxa" w:w="60"/>
              <w:right w:type="dxa" w:w="120"/>
            </w:tcMar>
          </w:tcPr>
          <w:p>
            <w:pPr>
              <w:spacing w:after="40" w:before="40"/>
            </w:pPr>
            <w:r>
              <w:rPr>
                <w:sz w:val="18"/>
                <w:szCs w:val="18"/>
              </w:rPr>
              <w:t xml:space="preserve">0</w:t>
            </w:r>
          </w:p>
        </w:tc>
        <w:tc>
          <w:tcPr>
            <w:tcMar>
              <w:top w:type="dxa" w:w="60"/>
              <w:left w:type="dxa" w:w="120"/>
              <w:bottom w:type="dxa" w:w="60"/>
              <w:right w:type="dxa" w:w="120"/>
            </w:tcMar>
          </w:tcPr>
          <w:p>
            <w:pPr>
              <w:spacing w:after="40" w:before="40"/>
            </w:pPr>
            <w:r>
              <w:rPr>
                <w:sz w:val="18"/>
                <w:szCs w:val="18"/>
              </w:rPr>
              <w:t xml:space="preserve">0</w:t>
            </w:r>
          </w:p>
        </w:tc>
        <w:tc>
          <w:tcPr>
            <w:tcMar>
              <w:top w:type="dxa" w:w="60"/>
              <w:left w:type="dxa" w:w="120"/>
              <w:bottom w:type="dxa" w:w="60"/>
              <w:right w:type="dxa" w:w="120"/>
            </w:tcMar>
          </w:tcPr>
          <w:p>
            <w:pPr>
              <w:spacing w:after="40" w:before="40"/>
            </w:pPr>
            <w:r>
              <w:rPr>
                <w:sz w:val="18"/>
                <w:szCs w:val="18"/>
              </w:rPr>
              <w:t xml:space="preserve">0</w:t>
            </w:r>
          </w:p>
        </w:tc>
      </w:tr>
      <w:tr>
        <w:tc>
          <w:tcPr>
            <w:shd w:fill="EBF4FF" w:val="clear"/>
            <w:tcMar>
              <w:top w:type="dxa" w:w="60"/>
              <w:left w:type="dxa" w:w="120"/>
              <w:bottom w:type="dxa" w:w="60"/>
              <w:right w:type="dxa" w:w="120"/>
            </w:tcMar>
          </w:tcPr>
          <w:p>
            <w:pPr>
              <w:spacing w:after="40" w:before="40"/>
            </w:pPr>
            <w:r>
              <w:rPr>
                <w:sz w:val="18"/>
                <w:szCs w:val="18"/>
              </w:rPr>
              <w:t xml:space="preserve">online_export</w:t>
            </w:r>
          </w:p>
        </w:tc>
        <w:tc>
          <w:tcPr>
            <w:shd w:fill="EBF4FF" w:val="clear"/>
            <w:tcMar>
              <w:top w:type="dxa" w:w="60"/>
              <w:left w:type="dxa" w:w="120"/>
              <w:bottom w:type="dxa" w:w="60"/>
              <w:right w:type="dxa" w:w="120"/>
            </w:tcMar>
          </w:tcPr>
          <w:p>
            <w:pPr>
              <w:spacing w:after="40" w:before="40"/>
            </w:pPr>
            <w:r>
              <w:rPr>
                <w:sz w:val="18"/>
                <w:szCs w:val="18"/>
              </w:rPr>
              <w:t xml:space="preserve">[from gold table]</w:t>
            </w:r>
          </w:p>
        </w:tc>
        <w:tc>
          <w:tcPr>
            <w:shd w:fill="EBF4FF" w:val="clear"/>
            <w:tcMar>
              <w:top w:type="dxa" w:w="60"/>
              <w:left w:type="dxa" w:w="120"/>
              <w:bottom w:type="dxa" w:w="60"/>
              <w:right w:type="dxa" w:w="120"/>
            </w:tcMar>
          </w:tcPr>
          <w:p>
            <w:pPr>
              <w:spacing w:after="40" w:before="40"/>
            </w:pPr>
            <w:r>
              <w:rPr>
                <w:sz w:val="18"/>
                <w:szCs w:val="18"/>
              </w:rPr>
              <w:t xml:space="preserve">[from gold table]</w:t>
            </w:r>
          </w:p>
        </w:tc>
        <w:tc>
          <w:tcPr>
            <w:shd w:fill="EBF4FF" w:val="clear"/>
            <w:tcMar>
              <w:top w:type="dxa" w:w="60"/>
              <w:left w:type="dxa" w:w="120"/>
              <w:bottom w:type="dxa" w:w="60"/>
              <w:right w:type="dxa" w:w="120"/>
            </w:tcMar>
          </w:tcPr>
          <w:p>
            <w:pPr>
              <w:spacing w:after="40" w:before="40"/>
            </w:pPr>
            <w:r>
              <w:rPr>
                <w:sz w:val="18"/>
                <w:szCs w:val="18"/>
              </w:rPr>
              <w:t xml:space="preserve">[from gold table]</w:t>
            </w:r>
          </w:p>
        </w:tc>
        <w:tc>
          <w:tcPr>
            <w:shd w:fill="EBF4FF" w:val="clear"/>
            <w:tcMar>
              <w:top w:type="dxa" w:w="60"/>
              <w:left w:type="dxa" w:w="120"/>
              <w:bottom w:type="dxa" w:w="60"/>
              <w:right w:type="dxa" w:w="120"/>
            </w:tcMar>
          </w:tcPr>
          <w:p>
            <w:pPr>
              <w:spacing w:after="40" w:before="40"/>
            </w:pPr>
            <w:r>
              <w:rPr>
                <w:sz w:val="18"/>
                <w:szCs w:val="18"/>
              </w:rPr>
              <w:t xml:space="preserve">[from gold table]</w:t>
            </w:r>
          </w:p>
        </w:tc>
      </w:tr>
      <w:tr>
        <w:tc>
          <w:tcPr>
            <w:tcMar>
              <w:top w:type="dxa" w:w="60"/>
              <w:left w:type="dxa" w:w="120"/>
              <w:bottom w:type="dxa" w:w="60"/>
              <w:right w:type="dxa" w:w="120"/>
            </w:tcMar>
          </w:tcPr>
          <w:p>
            <w:pPr>
              <w:spacing w:after="40" w:before="40"/>
            </w:pPr>
            <w:r>
              <w:rPr>
                <w:sz w:val="18"/>
                <w:szCs w:val="18"/>
              </w:rPr>
              <w:t xml:space="preserve">TOTAL</w:t>
            </w:r>
          </w:p>
        </w:tc>
        <w:tc>
          <w:tcPr>
            <w:tcMar>
              <w:top w:type="dxa" w:w="60"/>
              <w:left w:type="dxa" w:w="120"/>
              <w:bottom w:type="dxa" w:w="60"/>
              <w:right w:type="dxa" w:w="120"/>
            </w:tcMar>
          </w:tcPr>
          <w:p>
            <w:pPr>
              <w:spacing w:after="40" w:before="40"/>
            </w:pPr>
            <w:r>
              <w:rPr>
                <w:sz w:val="18"/>
                <w:szCs w:val="18"/>
              </w:rPr>
              <w:t xml:space="preserve">4,832</w:t>
            </w:r>
          </w:p>
        </w:tc>
        <w:tc>
          <w:tcPr>
            <w:tcMar>
              <w:top w:type="dxa" w:w="60"/>
              <w:left w:type="dxa" w:w="120"/>
              <w:bottom w:type="dxa" w:w="60"/>
              <w:right w:type="dxa" w:w="120"/>
            </w:tcMar>
          </w:tcPr>
          <w:p>
            <w:pPr>
              <w:spacing w:after="40" w:before="40"/>
            </w:pPr>
            <w:r>
              <w:rPr>
                <w:sz w:val="18"/>
                <w:szCs w:val="18"/>
              </w:rPr>
              <w:t xml:space="preserve">3,850</w:t>
            </w:r>
          </w:p>
        </w:tc>
        <w:tc>
          <w:tcPr>
            <w:tcMar>
              <w:top w:type="dxa" w:w="60"/>
              <w:left w:type="dxa" w:w="120"/>
              <w:bottom w:type="dxa" w:w="60"/>
              <w:right w:type="dxa" w:w="120"/>
            </w:tcMar>
          </w:tcPr>
          <w:p>
            <w:pPr>
              <w:spacing w:after="40" w:before="40"/>
            </w:pPr>
            <w:r>
              <w:rPr>
                <w:sz w:val="18"/>
                <w:szCs w:val="18"/>
              </w:rPr>
              <w:t xml:space="preserve">982</w:t>
            </w:r>
          </w:p>
        </w:tc>
        <w:tc>
          <w:tcPr>
            <w:tcMar>
              <w:top w:type="dxa" w:w="60"/>
              <w:left w:type="dxa" w:w="120"/>
              <w:bottom w:type="dxa" w:w="60"/>
              <w:right w:type="dxa" w:w="120"/>
            </w:tcMar>
          </w:tcPr>
          <w:p>
            <w:pPr>
              <w:spacing w:after="40" w:before="40"/>
            </w:pPr>
            <w:r>
              <w:rPr>
                <w:sz w:val="18"/>
                <w:szCs w:val="18"/>
              </w:rPr>
              <w:t xml:space="preserve">3,259</w:t>
            </w:r>
          </w:p>
        </w:tc>
      </w:tr>
    </w:tbl>
    <w:p>
      <w:pPr>
        <w:spacing w:before="200"/>
      </w:pPr>
    </w:p>
    <w:p>
      <w:pPr>
        <w:spacing w:after="120" w:before="80"/>
      </w:pPr>
      <w:r>
        <w:t xml:space="preserve">Note: CHW enrolments are zero in Q4 2025 because all 359 CHW rows lack an event date and are therefore excluded from the reporting period. They are recorded in silver.excluded_records with exclusion_reason = 'OUTSIDE_REPORTING_PERIOD'.</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2026-09-12T15:37:09.380Z</dcterms:created>
  <dcterms:modified xsi:type="dcterms:W3CDTF">2026-09-12T15:37:09.394Z</dcterms:modified>
</cp:coreProperties>
</file>

<file path=docProps/custom.xml><?xml version="1.0" encoding="utf-8"?>
<Properties xmlns="http://schemas.openxmlformats.org/officeDocument/2006/custom-properties" xmlns:vt="http://schemas.openxmlformats.org/officeDocument/2006/docPropsVTypes"/>
</file>