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color w:val="1F4E5F"/>
          <w:sz w:val="44"/>
          <w:szCs w:val="44"/>
        </w:rPr>
        <w:t xml:space="preserve">MDM Medallion Architecture Demo</w:t>
      </w:r>
    </w:p>
    <w:p>
      <w:pPr>
        <w:spacing w:after="400"/>
        <w:jc w:val="center"/>
      </w:pPr>
      <w:r>
        <w:rPr>
          <w:color w:val="5B6770"/>
          <w:sz w:val="30"/>
          <w:szCs w:val="30"/>
        </w:rPr>
        <w:t xml:space="preserve">Design Document</w:t>
      </w:r>
    </w:p>
    <w:p>
      <w:pPr>
        <w:spacing w:after="80"/>
        <w:jc w:val="center"/>
      </w:pPr>
      <w:r>
        <w:rPr>
          <w:i/>
          <w:iCs/>
          <w:sz w:val="22"/>
          <w:szCs w:val="22"/>
        </w:rPr>
        <w:t xml:space="preserve">System Architecture, Data Model, and Component Design</w:t>
      </w:r>
    </w:p>
    <w:p>
      <w:pPr>
        <w:spacing w:before="800"/>
        <w:jc w:val="center"/>
      </w:pPr>
      <w:r>
        <w:rPr>
          <w:sz w:val="22"/>
          <w:szCs w:val="22"/>
        </w:rPr>
        <w:t xml:space="preserve">Prepared by Balram</w:t>
      </w:r>
    </w:p>
    <w:p>
      <w:pPr>
        <w:spacing w:after="2000"/>
        <w:jc w:val="center"/>
      </w:pPr>
      <w:r>
        <w:rPr>
          <w:color w:val="5B6770"/>
          <w:sz w:val="22"/>
          <w:szCs w:val="22"/>
        </w:rPr>
        <w:t xml:space="preserve">July 2026</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Introduction &amp; Purpose</w:t>
      </w:r>
    </w:p>
    <w:p>
      <w:pPr>
        <w:spacing w:after="160"/>
      </w:pPr>
      <w:r>
        <w:t xml:space="preserve">This document describes the design of the MDM Medallion Architecture Demo: a working master data management (MDM) platform built to demonstrate the core disciplines of enterprise data governance — metadata-driven data quality, deterministic match/merge and survivorship, AI-assisted data stewardship, lineage and impact analysis, and access-controlled data products.</w:t>
      </w:r>
    </w:p>
    <w:p>
      <w:pPr>
        <w:spacing w:after="160"/>
      </w:pPr>
      <w:r>
        <w:t xml:space="preserve">The system is built around a bronze/silver/gold medallion architecture using dbt-core and DuckDB for the batch pipeline, with a FastAPI backend serving two web applications (a Data Stewardship Console and an MDM Data Hub Portal) plus a REST API over the curated gold layer. It runs entirely locally with no cloud dependency, using two synthetic heterogeneous source systems (a CRM and an ERP) to make schema standardization and matching genuine problems rather than formalities.</w:t>
      </w:r>
    </w:p>
    <w:p>
      <w:pPr>
        <w:pStyle w:val="Heading2"/>
      </w:pPr>
      <w:r>
        <w:t xml:space="preserve">1.1 Scope</w:t>
      </w:r>
    </w:p>
    <w:p>
      <w:pPr>
        <w:spacing w:after="160"/>
      </w:pPr>
      <w:r>
        <w:t xml:space="preserve">This document covers:</w:t>
      </w:r>
    </w:p>
    <w:p>
      <w:pPr>
        <w:pStyle w:val="ListParagraph"/>
        <w:numPr>
          <w:ilvl w:val="0"/>
          <w:numId w:val="2"/>
        </w:numPr>
        <w:spacing w:after="90"/>
      </w:pPr>
      <w:r>
        <w:t xml:space="preserve">The medallion data architecture (bronze, silver, gold) and the transformations between layers.</w:t>
      </w:r>
    </w:p>
    <w:p>
      <w:pPr>
        <w:pStyle w:val="ListParagraph"/>
        <w:numPr>
          <w:ilvl w:val="0"/>
          <w:numId w:val="2"/>
        </w:numPr>
        <w:spacing w:after="90"/>
      </w:pPr>
      <w:r>
        <w:t xml:space="preserve">The metadata-driven data quality rules engine and lineage metadata model.</w:t>
      </w:r>
    </w:p>
    <w:p>
      <w:pPr>
        <w:pStyle w:val="ListParagraph"/>
        <w:numPr>
          <w:ilvl w:val="0"/>
          <w:numId w:val="2"/>
        </w:numPr>
        <w:spacing w:after="90"/>
      </w:pPr>
      <w:r>
        <w:t xml:space="preserve">Deterministic match/merge and survivorship logic, including the real-time reprocessing path.</w:t>
      </w:r>
    </w:p>
    <w:p>
      <w:pPr>
        <w:pStyle w:val="ListParagraph"/>
        <w:numPr>
          <w:ilvl w:val="0"/>
          <w:numId w:val="2"/>
        </w:numPr>
        <w:spacing w:after="90"/>
      </w:pPr>
      <w:r>
        <w:t xml:space="preserve">The three application surfaces: Data Stewardship Console, MDM Data Hub Portal, and REST API.</w:t>
      </w:r>
    </w:p>
    <w:p>
      <w:pPr>
        <w:pStyle w:val="ListParagraph"/>
        <w:numPr>
          <w:ilvl w:val="0"/>
          <w:numId w:val="2"/>
        </w:numPr>
        <w:spacing w:after="90"/>
      </w:pPr>
      <w:r>
        <w:t xml:space="preserve">Authentication, authorization, and the role/access model.</w:t>
      </w:r>
    </w:p>
    <w:p>
      <w:pPr>
        <w:pStyle w:val="ListParagraph"/>
        <w:numPr>
          <w:ilvl w:val="0"/>
          <w:numId w:val="2"/>
        </w:numPr>
        <w:spacing w:after="90"/>
      </w:pPr>
      <w:r>
        <w:t xml:space="preserve">AI-assisted remediation design.</w:t>
      </w:r>
    </w:p>
    <w:p>
      <w:pPr>
        <w:pStyle w:val="ListParagraph"/>
        <w:numPr>
          <w:ilvl w:val="0"/>
          <w:numId w:val="2"/>
        </w:numPr>
        <w:spacing w:after="90"/>
      </w:pPr>
      <w:r>
        <w:t xml:space="preserve">Known design simplifications and the rationale behind each.</w:t>
      </w:r>
    </w:p>
    <w:p>
      <w:pPr>
        <w:pStyle w:val="Heading1"/>
      </w:pPr>
      <w:r>
        <w:t xml:space="preserve">2. Architecture Overview</w:t>
      </w:r>
    </w:p>
    <w:p>
      <w:pPr>
        <w:pStyle w:val="Heading2"/>
      </w:pPr>
      <w:r>
        <w:t xml:space="preserve">2.1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60"/>
      </w:tblGrid>
      <w:tr>
        <w:trPr>
          <w:tblHeader/>
        </w:trPr>
        <w:tc>
          <w:tcPr>
            <w:tcW w:type="dxa" w:w="24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Layer</w:t>
            </w:r>
          </w:p>
        </w:tc>
        <w:tc>
          <w:tcPr>
            <w:tcW w:type="dxa" w:w="34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Technology</w:t>
            </w:r>
          </w:p>
        </w:tc>
        <w:tc>
          <w:tcPr>
            <w:tcW w:type="dxa" w:w="356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Rationale</w:t>
            </w:r>
          </w:p>
        </w:tc>
      </w:tr>
      <w:tr>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Batch pipeline</w:t>
            </w:r>
          </w:p>
        </w:tc>
        <w:tc>
          <w:tcPr>
            <w:tcW w:type="dxa" w:w="3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dbt-core 1.11 + dbt-duckdb adapter</w:t>
            </w:r>
          </w:p>
        </w:tc>
        <w:tc>
          <w:tcPr>
            <w:tcW w:type="dxa" w:w="35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Genuinely runs locally at zero cost; lakehouse-style patterns transferable to Snowflake/Databricks</w:t>
            </w:r>
          </w:p>
        </w:tc>
      </w:tr>
      <w:tr>
        <w:tc>
          <w:tcPr>
            <w:tcW w:type="dxa" w:w="2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Analytical store</w:t>
            </w:r>
          </w:p>
        </w:tc>
        <w:tc>
          <w:tcPr>
            <w:tcW w:type="dxa" w:w="3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DuckDB (single file, mdm_demo.duckdb)</w:t>
            </w:r>
          </w:p>
        </w:tc>
        <w:tc>
          <w:tcPr>
            <w:tcW w:type="dxa" w:w="35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Zero-install embedded OLAP engine; holds bronze/silver/gold plus auth and stewardship schemas</w:t>
            </w:r>
          </w:p>
        </w:tc>
      </w:tr>
      <w:tr>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Application backend</w:t>
            </w:r>
          </w:p>
        </w:tc>
        <w:tc>
          <w:tcPr>
            <w:tcW w:type="dxa" w:w="3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FastAPI + Uvicorn</w:t>
            </w:r>
          </w:p>
        </w:tc>
        <w:tc>
          <w:tcPr>
            <w:tcW w:type="dxa" w:w="35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Async Python web framework; serves both frontends and the REST API from one process</w:t>
            </w:r>
          </w:p>
        </w:tc>
      </w:tr>
      <w:tr>
        <w:tc>
          <w:tcPr>
            <w:tcW w:type="dxa" w:w="2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Authentication</w:t>
            </w:r>
          </w:p>
        </w:tc>
        <w:tc>
          <w:tcPr>
            <w:tcW w:type="dxa" w:w="3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bcrypt password hashing + bearer tokens</w:t>
            </w:r>
          </w:p>
        </w:tc>
        <w:tc>
          <w:tcPr>
            <w:tcW w:type="dxa" w:w="35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From-scratch, dependency-light session auth suited to a self-contained demo</w:t>
            </w:r>
          </w:p>
        </w:tc>
      </w:tr>
      <w:tr>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Frontends</w:t>
            </w:r>
          </w:p>
        </w:tc>
        <w:tc>
          <w:tcPr>
            <w:tcW w:type="dxa" w:w="3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Static HTML/JS (no build step)</w:t>
            </w:r>
          </w:p>
        </w:tc>
        <w:tc>
          <w:tcPr>
            <w:tcW w:type="dxa" w:w="35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No Node.js toolchain required; runs by simply being served as static files</w:t>
            </w:r>
          </w:p>
        </w:tc>
      </w:tr>
      <w:tr>
        <w:tc>
          <w:tcPr>
            <w:tcW w:type="dxa" w:w="2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AI assistance</w:t>
            </w:r>
          </w:p>
        </w:tc>
        <w:tc>
          <w:tcPr>
            <w:tcW w:type="dxa" w:w="3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Anthropic Claude API (optional)</w:t>
            </w:r>
          </w:p>
        </w:tc>
        <w:tc>
          <w:tcPr>
            <w:tcW w:type="dxa" w:w="35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Used for remediation suggestions; heuristic fallback keeps the demo fully functional offline</w:t>
            </w:r>
          </w:p>
        </w:tc>
      </w:tr>
    </w:tbl>
    <w:p>
      <w:pPr>
        <w:pStyle w:val="Heading2"/>
      </w:pPr>
      <w:r>
        <w:t xml:space="preserve">2.2 High-Level Component Diagram</w:t>
      </w:r>
    </w:p>
    <w:p>
      <w:pPr>
        <w:spacing w:after="160"/>
      </w:pPr>
      <w:r>
        <w:t xml:space="preserve">Conceptually, the system is organized into four layers:</w:t>
      </w:r>
    </w:p>
    <w:p>
      <w:pPr>
        <w:pStyle w:val="ListParagraph"/>
        <w:numPr>
          <w:ilvl w:val="0"/>
          <w:numId w:val="3"/>
        </w:numPr>
        <w:spacing w:after="90"/>
      </w:pPr>
      <w:r>
        <w:t xml:space="preserve">Data sources — synthetic CRM and ERP CSV extracts, generated with deliberately seeded data quality defects.</w:t>
      </w:r>
    </w:p>
    <w:p>
      <w:pPr>
        <w:pStyle w:val="ListParagraph"/>
        <w:numPr>
          <w:ilvl w:val="0"/>
          <w:numId w:val="3"/>
        </w:numPr>
        <w:spacing w:after="90"/>
      </w:pPr>
      <w:r>
        <w:t xml:space="preserve">Batch pipeline (dbt + DuckDB) — bronze landing, silver cleansing/validation, gold match/merge/survivorship.</w:t>
      </w:r>
    </w:p>
    <w:p>
      <w:pPr>
        <w:pStyle w:val="ListParagraph"/>
        <w:numPr>
          <w:ilvl w:val="0"/>
          <w:numId w:val="3"/>
        </w:numPr>
        <w:spacing w:after="90"/>
      </w:pPr>
      <w:r>
        <w:t xml:space="preserve">Application layer (FastAPI) — REST API, real-time reprocessing, AI remediation, authentication.</w:t>
      </w:r>
    </w:p>
    <w:p>
      <w:pPr>
        <w:pStyle w:val="ListParagraph"/>
        <w:numPr>
          <w:ilvl w:val="0"/>
          <w:numId w:val="3"/>
        </w:numPr>
        <w:spacing w:after="90"/>
      </w:pPr>
      <w:r>
        <w:t xml:space="preserve">Presentation layer — the Data Stewardship Console and the MDM Data Hub Portal, both static HTML/JS served by FastAPI.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  CRM CSV        ERP CSV</w:t>
            </w:r>
          </w:p>
          <w:p>
            <w:pPr>
              <w:spacing w:after="20"/>
            </w:pPr>
            <w:r>
              <w:rPr>
                <w:rFonts w:ascii="Consolas" w:cs="Consolas" w:eastAsia="Consolas" w:hAnsi="Consolas"/>
                <w:sz w:val="19"/>
                <w:szCs w:val="19"/>
              </w:rPr>
              <w:t xml:space="preserve">     |              |</w:t>
            </w:r>
          </w:p>
          <w:p>
            <w:pPr>
              <w:spacing w:after="20"/>
            </w:pPr>
            <w:r>
              <w:rPr>
                <w:rFonts w:ascii="Consolas" w:cs="Consolas" w:eastAsia="Consolas" w:hAnsi="Consolas"/>
                <w:sz w:val="19"/>
                <w:szCs w:val="19"/>
              </w:rPr>
              <w:t xml:space="preserve">     v              v</w:t>
            </w:r>
          </w:p>
          <w:p>
            <w:pPr>
              <w:spacing w:after="20"/>
            </w:pPr>
            <w:r>
              <w:rPr>
                <w:rFonts w:ascii="Consolas" w:cs="Consolas" w:eastAsia="Consolas" w:hAnsi="Consolas"/>
                <w:sz w:val="19"/>
                <w:szCs w:val="19"/>
              </w:rPr>
              <w:t xml:space="preserve">  [ BRONZE ]  raw, untouched, tagged with source_system/source_record_id</w:t>
            </w:r>
          </w:p>
          <w:p>
            <w:pPr>
              <w:spacing w:after="20"/>
            </w:pPr>
            <w:r>
              <w:rPr>
                <w:rFonts w:ascii="Consolas" w:cs="Consolas" w:eastAsia="Consolas" w:hAnsi="Consolas"/>
                <w:sz w:val="19"/>
                <w:szCs w:val="19"/>
              </w:rPr>
              <w:t xml:space="preserve">     |</w:t>
            </w:r>
          </w:p>
          <w:p>
            <w:pPr>
              <w:spacing w:after="20"/>
            </w:pPr>
            <w:r>
              <w:rPr>
                <w:rFonts w:ascii="Consolas" w:cs="Consolas" w:eastAsia="Consolas" w:hAnsi="Consolas"/>
                <w:sz w:val="19"/>
                <w:szCs w:val="19"/>
              </w:rPr>
              <w:t xml:space="preserve">     v  (metadata-driven cleansing + validation: column_rules.csv)</w:t>
            </w:r>
          </w:p>
          <w:p>
            <w:pPr>
              <w:spacing w:after="20"/>
            </w:pPr>
            <w:r>
              <w:rPr>
                <w:rFonts w:ascii="Consolas" w:cs="Consolas" w:eastAsia="Consolas" w:hAnsi="Consolas"/>
                <w:sz w:val="19"/>
                <w:szCs w:val="19"/>
              </w:rPr>
              <w:t xml:space="preserve">  [ SILVER ]  silver_customers (valid)  +  exceptions_queue (invalid)</w:t>
            </w:r>
          </w:p>
          <w:p>
            <w:pPr>
              <w:spacing w:after="20"/>
            </w:pPr>
            <w:r>
              <w:rPr>
                <w:rFonts w:ascii="Consolas" w:cs="Consolas" w:eastAsia="Consolas" w:hAnsi="Consolas"/>
                <w:sz w:val="19"/>
                <w:szCs w:val="19"/>
              </w:rPr>
              <w:t xml:space="preserve">     |                                        |</w:t>
            </w:r>
          </w:p>
          <w:p>
            <w:pPr>
              <w:spacing w:after="20"/>
            </w:pPr>
            <w:r>
              <w:rPr>
                <w:rFonts w:ascii="Consolas" w:cs="Consolas" w:eastAsia="Consolas" w:hAnsi="Consolas"/>
                <w:sz w:val="19"/>
                <w:szCs w:val="19"/>
              </w:rPr>
              <w:t xml:space="preserve">     v  (deterministic match: email OR phone)  v  (Data Stewardship Console</w:t>
            </w:r>
          </w:p>
          <w:p>
            <w:pPr>
              <w:spacing w:after="20"/>
            </w:pPr>
            <w:r>
              <w:rPr>
                <w:rFonts w:ascii="Consolas" w:cs="Consolas" w:eastAsia="Consolas" w:hAnsi="Consolas"/>
                <w:sz w:val="19"/>
                <w:szCs w:val="19"/>
              </w:rPr>
              <w:t xml:space="preserve">  [ GOLD ]  gold_customers + gold_crosswalk        + AI-assisted remediation)</w:t>
            </w:r>
          </w:p>
          <w:p>
            <w:pPr>
              <w:spacing w:after="20"/>
            </w:pPr>
            <w:r>
              <w:rPr>
                <w:rFonts w:ascii="Consolas" w:cs="Consolas" w:eastAsia="Consolas" w:hAnsi="Consolas"/>
                <w:sz w:val="19"/>
                <w:szCs w:val="19"/>
              </w:rPr>
              <w:t xml:space="preserve">     |                                        |</w:t>
            </w:r>
          </w:p>
          <w:p>
            <w:pPr>
              <w:spacing w:after="20"/>
            </w:pPr>
            <w:r>
              <w:rPr>
                <w:rFonts w:ascii="Consolas" w:cs="Consolas" w:eastAsia="Consolas" w:hAnsi="Consolas"/>
                <w:sz w:val="19"/>
                <w:szCs w:val="19"/>
              </w:rPr>
              <w:t xml:space="preserve">     |            &lt;---- real-time reprocessing on steward approval ----</w:t>
            </w:r>
          </w:p>
          <w:p>
            <w:pPr>
              <w:spacing w:after="20"/>
            </w:pPr>
            <w:r>
              <w:rPr>
                <w:rFonts w:ascii="Consolas" w:cs="Consolas" w:eastAsia="Consolas" w:hAnsi="Consolas"/>
                <w:sz w:val="19"/>
                <w:szCs w:val="19"/>
              </w:rPr>
              <w:t xml:space="preserve">     v</w:t>
            </w:r>
          </w:p>
          <w:p>
            <w:pPr>
              <w:spacing w:after="20"/>
            </w:pPr>
            <w:r>
              <w:rPr>
                <w:rFonts w:ascii="Consolas" w:cs="Consolas" w:eastAsia="Consolas" w:hAnsi="Consolas"/>
                <w:sz w:val="19"/>
                <w:szCs w:val="19"/>
              </w:rPr>
              <w:t xml:space="preserve">  MDM Data Hub Portal  /  REST API  /  Data Governance lineage graph</w:t>
            </w:r>
          </w:p>
        </w:tc>
      </w:tr>
    </w:tbl>
    <w:p>
      <w:pPr>
        <w:pStyle w:val="Heading2"/>
      </w:pPr>
      <w:r>
        <w:t xml:space="preserve">2.3 Repository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Path</w:t>
            </w:r>
          </w:p>
        </w:tc>
        <w:tc>
          <w:tcPr>
            <w:tcW w:type="dxa" w:w="696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Purpose</w:t>
            </w:r>
          </w:p>
        </w:tc>
      </w:tr>
      <w:tr>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data/</w:t>
            </w:r>
          </w:p>
        </w:tc>
        <w:tc>
          <w:tcPr>
            <w:tcW w:type="dxa" w:w="69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Synthetic CRM + ERP source data generator and generated CSVs</w:t>
            </w:r>
          </w:p>
        </w:tc>
      </w:tr>
      <w:tr>
        <w:tc>
          <w:tcPr>
            <w:tcW w:type="dxa" w:w="2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scripts/</w:t>
            </w:r>
          </w:p>
        </w:tc>
        <w:tc>
          <w:tcPr>
            <w:tcW w:type="dxa" w:w="69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load_bronze.py, create_admin_user.py, reset_admin_password.py</w:t>
            </w:r>
          </w:p>
        </w:tc>
      </w:tr>
      <w:tr>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dbt_project/</w:t>
            </w:r>
          </w:p>
        </w:tc>
        <w:tc>
          <w:tcPr>
            <w:tcW w:type="dxa" w:w="69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seeds (rules/reference/lineage metadata), models (silver, gold), macros</w:t>
            </w:r>
          </w:p>
        </w:tc>
      </w:tr>
      <w:tr>
        <w:tc>
          <w:tcPr>
            <w:tcW w:type="dxa" w:w="2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api/</w:t>
            </w:r>
          </w:p>
        </w:tc>
        <w:tc>
          <w:tcPr>
            <w:tcW w:type="dxa" w:w="69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FastAPI app: main.py, db.py, auth.py, reprocessing.py, lineage.py, ai_remediation.py</w:t>
            </w:r>
          </w:p>
        </w:tc>
      </w:tr>
      <w:tr>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stewardship_app/frontend/</w:t>
            </w:r>
          </w:p>
        </w:tc>
        <w:tc>
          <w:tcPr>
            <w:tcW w:type="dxa" w:w="69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Data Stewardship Console (single-page HTML/JS)</w:t>
            </w:r>
          </w:p>
        </w:tc>
      </w:tr>
      <w:tr>
        <w:tc>
          <w:tcPr>
            <w:tcW w:type="dxa" w:w="2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portal_app/frontend/</w:t>
            </w:r>
          </w:p>
        </w:tc>
        <w:tc>
          <w:tcPr>
            <w:tcW w:type="dxa" w:w="69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MDM Data Hub Portal: browse, governance graph, admin (single-page HTML/JS)</w:t>
            </w:r>
          </w:p>
        </w:tc>
      </w:tr>
      <w:tr>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requirements.txt</w:t>
            </w:r>
          </w:p>
        </w:tc>
        <w:tc>
          <w:tcPr>
            <w:tcW w:type="dxa" w:w="69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Pinned/managed Python dependencies</w:t>
            </w:r>
          </w:p>
        </w:tc>
      </w:tr>
    </w:tbl>
    <w:p>
      <w:r>
        <w:br w:type="page"/>
      </w:r>
    </w:p>
    <w:p>
      <w:pPr>
        <w:pStyle w:val="Heading1"/>
      </w:pPr>
      <w:r>
        <w:t xml:space="preserve">3. Data Architecture</w:t>
      </w:r>
    </w:p>
    <w:p>
      <w:pPr>
        <w:pStyle w:val="Heading2"/>
      </w:pPr>
      <w:r>
        <w:t xml:space="preserve">3.1 Bronze Layer</w:t>
      </w:r>
    </w:p>
    <w:p>
      <w:pPr>
        <w:spacing w:after="160"/>
      </w:pPr>
      <w:r>
        <w:t xml:space="preserve">Bronze lands the raw CRM and ERP CSV extracts untouched, tagged with source_system, a natural-key source_record_id (customer_id for CRM, customer_number for ERP), and a load timestamp. All columns are loaded as VARCHAR to guarantee a faithful, lossless copy of the source. No cleansing happens at this layer by design — bronze is the immutable system of record for what the source systems actually 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900"/>
        <w:gridCol w:w="3460"/>
      </w:tblGrid>
      <w:tr>
        <w:trPr>
          <w:tblHeader/>
        </w:trPr>
        <w:tc>
          <w:tcPr>
            <w:tcW w:type="dxa" w:w="30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Table</w:t>
            </w:r>
          </w:p>
        </w:tc>
        <w:tc>
          <w:tcPr>
            <w:tcW w:type="dxa" w:w="29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Source</w:t>
            </w:r>
          </w:p>
        </w:tc>
        <w:tc>
          <w:tcPr>
            <w:tcW w:type="dxa" w:w="346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Key columns</w:t>
            </w:r>
          </w:p>
        </w:tc>
      </w:tr>
      <w:tr>
        <w:tc>
          <w:tcPr>
            <w:tcW w:type="dxa" w:w="30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bronze.crm_customers_raw</w:t>
            </w:r>
          </w:p>
        </w:tc>
        <w:tc>
          <w:tcPr>
            <w:tcW w:type="dxa" w:w="29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data/sources/crm_customers.csv</w:t>
            </w:r>
          </w:p>
        </w:tc>
        <w:tc>
          <w:tcPr>
            <w:tcW w:type="dxa" w:w="34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customer_id, first_name, last_name, email, phone, address, city, state, zip, country, created_date, modified_date</w:t>
            </w:r>
          </w:p>
        </w:tc>
      </w:tr>
      <w:tr>
        <w:tc>
          <w:tcPr>
            <w:tcW w:type="dxa" w:w="30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bronze.erp_customers_raw</w:t>
            </w:r>
          </w:p>
        </w:tc>
        <w:tc>
          <w:tcPr>
            <w:tcW w:type="dxa" w:w="29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data/sources/erp_customers.csv</w:t>
            </w:r>
          </w:p>
        </w:tc>
        <w:tc>
          <w:tcPr>
            <w:tcW w:type="dxa" w:w="34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customer_number, full_name (“Last, First”), email_addr, contact_phone, addr1/addr2, city_code, state_code, postal_code, country_code, last_updated</w:t>
            </w:r>
          </w:p>
        </w:tc>
      </w:tr>
    </w:tbl>
    <w:p>
      <w:pPr>
        <w:pStyle w:val="Heading2"/>
      </w:pPr>
      <w:r>
        <w:t xml:space="preserve">3.2 Silver Layer</w:t>
      </w:r>
    </w:p>
    <w:p>
      <w:pPr>
        <w:spacing w:after="160"/>
      </w:pPr>
      <w:r>
        <w:t xml:space="preserve">Silver is where cleansing, standardization, and validation happen — driven entirely by metadata in dbt_project/seeds/column_rules.csv rather than hardcoded per-source logic scattered through the pipeline. Each source has its own staging model (stg_crm_customers, stg_erp_customers) that applies the standardization rules for that source and computes per-row validation flags; the two are then unioned in silver_all_staged, which also assembles a human-readable reject_reasons array.</w:t>
      </w:r>
    </w:p>
    <w:p>
      <w:pPr>
        <w:pStyle w:val="Heading3"/>
      </w:pPr>
      <w:r>
        <w:t xml:space="preserve">3.2.1 Standardization rules applied</w:t>
      </w:r>
    </w:p>
    <w:p>
      <w:pPr>
        <w:pStyle w:val="ListParagraph"/>
        <w:numPr>
          <w:ilvl w:val="0"/>
          <w:numId w:val="2"/>
        </w:numPr>
        <w:spacing w:after="90"/>
      </w:pPr>
      <w:r>
        <w:t xml:space="preserve">CRM: trim + proper-case first/last name (R006/R007); phone standardized to a +1 E.164-style format (R008).</w:t>
      </w:r>
    </w:p>
    <w:p>
      <w:pPr>
        <w:pStyle w:val="ListParagraph"/>
        <w:numPr>
          <w:ilvl w:val="0"/>
          <w:numId w:val="2"/>
        </w:numPr>
        <w:spacing w:after="90"/>
      </w:pPr>
      <w:r>
        <w:t xml:space="preserve">ERP: full_name (“Last, First”) is split into canonical first_name/last_name; email lowercased (R014); phone standardized to +1 format (R015).</w:t>
      </w:r>
    </w:p>
    <w:p>
      <w:pPr>
        <w:pStyle w:val="ListParagraph"/>
        <w:numPr>
          <w:ilvl w:val="0"/>
          <w:numId w:val="2"/>
        </w:numPr>
        <w:spacing w:after="90"/>
      </w:pPr>
      <w:r>
        <w:t xml:space="preserve">Both sources: state and country codes upper-cased and validated against the ref_state_codes and ref_country_codes seed tables.</w:t>
      </w:r>
    </w:p>
    <w:p>
      <w:pPr>
        <w:pStyle w:val="Heading3"/>
      </w:pPr>
      <w:r>
        <w:t xml:space="preserve">3.2.2 Validation rules applied</w:t>
      </w:r>
    </w:p>
    <w:p>
      <w:pPr>
        <w:spacing w:after="160"/>
      </w:pPr>
      <w:r>
        <w:t xml:space="preserve">Each rule in column_rules.csv carries a rule_id, source_system, source_column, rule_type, severity, and description, so the exception queue and lineage graph can reference rules by ID rather than duplicating logic: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160"/>
      </w:tblGrid>
      <w:tr>
        <w:trPr>
          <w:tblHeader/>
        </w:trPr>
        <w:tc>
          <w:tcPr>
            <w:tcW w:type="dxa" w:w="22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Rule ID(s)</w:t>
            </w:r>
          </w:p>
        </w:tc>
        <w:tc>
          <w:tcPr>
            <w:tcW w:type="dxa" w:w="50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Check</w:t>
            </w:r>
          </w:p>
        </w:tc>
        <w:tc>
          <w:tcPr>
            <w:tcW w:type="dxa" w:w="216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Severity</w:t>
            </w:r>
          </w:p>
        </w:tc>
      </w:tr>
      <w:tr>
        <w:tc>
          <w:tcPr>
            <w:tcW w:type="dxa" w:w="22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R001/R002, R009</w:t>
            </w:r>
          </w:p>
        </w:tc>
        <w:tc>
          <w:tcPr>
            <w:tcW w:type="dxa" w:w="50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Required fields (first/last name) present</w:t>
            </w:r>
          </w:p>
        </w:tc>
        <w:tc>
          <w:tcPr>
            <w:tcW w:type="dxa" w:w="21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reject</w:t>
            </w:r>
          </w:p>
        </w:tc>
      </w:tr>
      <w:tr>
        <w:tc>
          <w:tcPr>
            <w:tcW w:type="dxa" w:w="22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R003/R010</w:t>
            </w:r>
          </w:p>
        </w:tc>
        <w:tc>
          <w:tcPr>
            <w:tcW w:type="dxa" w:w="50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Email matches standard regex format</w:t>
            </w:r>
          </w:p>
        </w:tc>
        <w:tc>
          <w:tcPr>
            <w:tcW w:type="dxa" w:w="21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reject</w:t>
            </w:r>
          </w:p>
        </w:tc>
      </w:tr>
      <w:tr>
        <w:tc>
          <w:tcPr>
            <w:tcW w:type="dxa" w:w="22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R004/R012</w:t>
            </w:r>
          </w:p>
        </w:tc>
        <w:tc>
          <w:tcPr>
            <w:tcW w:type="dxa" w:w="50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State code present in ref_state_codes</w:t>
            </w:r>
          </w:p>
        </w:tc>
        <w:tc>
          <w:tcPr>
            <w:tcW w:type="dxa" w:w="21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reject</w:t>
            </w:r>
          </w:p>
        </w:tc>
      </w:tr>
      <w:tr>
        <w:tc>
          <w:tcPr>
            <w:tcW w:type="dxa" w:w="22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R005/R013</w:t>
            </w:r>
          </w:p>
        </w:tc>
        <w:tc>
          <w:tcPr>
            <w:tcW w:type="dxa" w:w="50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Country code present in ref_country_codes</w:t>
            </w:r>
          </w:p>
        </w:tc>
        <w:tc>
          <w:tcPr>
            <w:tcW w:type="dxa" w:w="21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reject</w:t>
            </w:r>
          </w:p>
        </w:tc>
      </w:tr>
      <w:tr>
        <w:tc>
          <w:tcPr>
            <w:tcW w:type="dxa" w:w="22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R011</w:t>
            </w:r>
          </w:p>
        </w:tc>
        <w:tc>
          <w:tcPr>
            <w:tcW w:type="dxa" w:w="50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Phone number present (ERP)</w:t>
            </w:r>
          </w:p>
        </w:tc>
        <w:tc>
          <w:tcPr>
            <w:tcW w:type="dxa" w:w="21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reject</w:t>
            </w:r>
          </w:p>
        </w:tc>
      </w:tr>
    </w:tbl>
    <w:p>
      <w:pPr>
        <w:spacing w:after="160"/>
      </w:pPr>
      <w:r>
        <w:t xml:space="preserve">Records that fail any reject-severity rule are routed to silver.exceptions_queue (never reaching silver_customers) with an md5-derived exception_id, the full record, the list of human-readable reject_reasons, and a remediation_status defaulting to 'open'. Records that pass all rules land in silver.silver_customers, the single canonical, validated customer table that gold is built from.</w:t>
      </w:r>
    </w:p>
    <w:p>
      <w:pPr>
        <w:pStyle w:val="Heading2"/>
      </w:pPr>
      <w:r>
        <w:t xml:space="preserve">3.3 Gold Layer (Data Hub)</w:t>
      </w:r>
    </w:p>
    <w:p>
      <w:pPr>
        <w:spacing w:after="160"/>
      </w:pPr>
      <w:r>
        <w:t xml:space="preserve">Gold performs match/merge across the two source systems and produces the curated, deduplicated customer record — the “golden record” — plus a crosswalk that preserves full traceability back to every contributing source row.</w:t>
      </w:r>
    </w:p>
    <w:p>
      <w:pPr>
        <w:pStyle w:val="Heading3"/>
      </w:pPr>
      <w:r>
        <w:t xml:space="preserve">3.3.1 Matching — gold_match_candidates</w:t>
      </w:r>
    </w:p>
    <w:p>
      <w:pPr>
        <w:spacing w:after="160"/>
      </w:pPr>
      <w:r>
        <w:t xml:space="preserve">Two silver records are considered the same customer if they share a normalized email (lowercased, trimmed) or a normalized phone (digits only). A dense_rank() window function over the coalesced match key assigns each record a match_group_id, effectively performing a union-find over shared keys. This is intentionally deterministic and exact-match only, to keep the survivorship and crosswalk logic easy to follow and verify.</w:t>
      </w:r>
    </w:p>
    <w:p>
      <w:pPr>
        <w:pStyle w:val="Heading3"/>
      </w:pPr>
      <w:r>
        <w:t xml:space="preserve">3.3.2 Survivorship — gold_customers</w:t>
      </w:r>
    </w:p>
    <w:p>
      <w:pPr>
        <w:spacing w:after="160"/>
      </w:pPr>
      <w:r>
        <w:t xml:space="preserve">Within each match_group_id, records are ranked by source_modified_date descending (most recently modified wins), with CRM preferred as a tiebreaker when dates are equal or missing. The top-ranked record's full attribute set becomes the golden record — survivorship is record-level (whole record from the winning source), not attribute-level. The golden_id is formatted as GOLD-00001, GOLD-00002, etc., derived from the match_group_id.</w:t>
      </w:r>
    </w:p>
    <w:p>
      <w:pPr>
        <w:pStyle w:val="Heading3"/>
      </w:pPr>
      <w:r>
        <w:t xml:space="preserve">3.3.3 Crosswalk — gold_crosswalk</w:t>
      </w:r>
    </w:p>
    <w:p>
      <w:pPr>
        <w:spacing w:after="160"/>
      </w:pPr>
      <w:r>
        <w:t xml:space="preserve">Every source record that contributed to a golden record has a row here: golden_id, source_system, source_record_id, a match_confidence_score (1.00 if corroborated by a second source, 0.50 if the golden record is single-source/provisional), and an is_survivor_record flag identifying which contributing row was the survivor. This is the mechanism that answers “which source records make up this golden record, and how confident are we in the match?”</w:t>
      </w:r>
    </w:p>
    <w:p>
      <w:pPr>
        <w:pStyle w:val="Heading2"/>
      </w:pPr>
      <w:r>
        <w:t xml:space="preserve">3.4 Metadata-Driven Rules Engine</w:t>
      </w:r>
    </w:p>
    <w:p>
      <w:pPr>
        <w:spacing w:after="160"/>
      </w:pPr>
      <w:r>
        <w:t xml:space="preserve">dbt_project/seeds/column_rules.csv is the single source of truth for every cleansing, standardization, and validation rule, referenced by rule ID (R001, R002, …) throughout the staging models, the exceptions queue's reject_reasons, and the stewardship UI. Each row specifies rule_id, source_system, source_column, rule_type (not_null, regex, reference_state, reference_country, trim_case_proper, standardize_phone_us, lowercase), rule_param, severity (reject or correct), an active flag, and a human-readable description. The current implementation interprets these rules via explicit SQL in the staging models rather than a fully generic rule interpreter — a deliberate trade-off favoring reliability and legibility over abstraction purity within the project's time-box.</w:t>
      </w:r>
    </w:p>
    <w:p>
      <w:pPr>
        <w:pStyle w:val="Heading2"/>
      </w:pPr>
      <w:r>
        <w:t xml:space="preserve">3.5 Lineage Metadata</w:t>
      </w:r>
    </w:p>
    <w:p>
      <w:pPr>
        <w:spacing w:after="160"/>
      </w:pPr>
      <w:r>
        <w:t xml:space="preserve">dbt_project/seeds/lineage_edges.csv models column-level lineage as a directed graph: each row is an edge from (from_layer, from_table, from_column) to (to_layer, to_table, to_column), tagged with the transform_rule_id and a human-readable transform_description. This static metadata graph powers both the Data Governance network diagram in the portal and the /api/v1/lineage/* endpoints, via a breadth-first traversal (api/lineage.py) that walks edges forward (impact analysis) or backward (lineage trace) from a given column, matching wildcard columns (“*”) as well as exact ones.</w:t>
      </w:r>
    </w:p>
    <w:p>
      <w:pPr>
        <w:spacing w:after="160"/>
      </w:pPr>
      <w:r>
        <w:rPr>
          <w:i/>
          <w:iCs/>
          <w:color w:val="5B6770"/>
        </w:rPr>
        <w:t xml:space="preserve">Design note: because this graph is statically seeded rather than derived from live pipeline execution metadata, it can silently drift from what the pipeline actually does if a new column or transformation is added without a corresponding edge — this already happened once during development with wildcard match-key nodes, and was fixed in edges E018/E019.</w:t>
      </w:r>
    </w:p>
    <w:p>
      <w:r>
        <w:br w:type="page"/>
      </w:r>
    </w:p>
    <w:p>
      <w:pPr>
        <w:pStyle w:val="Heading1"/>
      </w:pPr>
      <w:r>
        <w:t xml:space="preserve">4. Application Components</w:t>
      </w:r>
    </w:p>
    <w:p>
      <w:pPr>
        <w:pStyle w:val="Heading2"/>
      </w:pPr>
      <w:r>
        <w:t xml:space="preserve">4.1 Data Stewardship Console (/app/)</w:t>
      </w:r>
    </w:p>
    <w:p>
      <w:pPr>
        <w:spacing w:after="160"/>
      </w:pPr>
      <w:r>
        <w:t xml:space="preserve">A single-page console for working the exception queue. It lists open exceptions (source system, record ID, name, and reject reasons), and lets a steward select a record, edit any field inline, optionally request an AI-assisted remediation suggestion, and either approve (resolve) or reject the record.</w:t>
      </w:r>
    </w:p>
    <w:p>
      <w:pPr>
        <w:spacing w:after="160"/>
      </w:pPr>
      <w:r>
        <w:t xml:space="preserve">Approving a correction triggers real-time reprocessing (see Section 5) rather than waiting for the next batch dbt run — the corrected record is immediately upserted into silver, matched against the current gold set, and survivorship is recomputed. The console surfaces the outcome (new golden record created vs. an existing one updated) directly in a toast notification.</w:t>
      </w:r>
    </w:p>
    <w:p>
      <w:pPr>
        <w:spacing w:after="160"/>
      </w:pPr>
      <w:r>
        <w:t xml:space="preserve">As of July 2026, the Data Stewardship Console requires authentication and is restricted to the dataSteward and dataOwner roles (require_steward_or_owner dependency in api/auth.py) — the admin and businessUser roles are deliberately excluded, since stewardship is a distinct governance function rather than a superset of admin rights. The console shares a single sign-on session with the MDM Data Hub Portal: both are served from the same FastAPI origin, so the session token is persisted to the browser's localStorage and recognized by whichever app is opened first, with no separate login required until the 8-hour session expires.</w:t>
      </w:r>
    </w:p>
    <w:p>
      <w:pPr>
        <w:pStyle w:val="Heading2"/>
      </w:pPr>
      <w:r>
        <w:t xml:space="preserve">4.2 MDM Data Hub Portal (/portal/)</w:t>
      </w:r>
    </w:p>
    <w:p>
      <w:pPr>
        <w:spacing w:after="160"/>
      </w:pPr>
      <w:r>
        <w:t xml:space="preserve">A login-gated application with three areas, gated by role and gold_access:</w:t>
      </w:r>
    </w:p>
    <w:p>
      <w:pPr>
        <w:pStyle w:val="ListParagraph"/>
        <w:numPr>
          <w:ilvl w:val="0"/>
          <w:numId w:val="2"/>
        </w:numPr>
        <w:spacing w:after="90"/>
      </w:pPr>
      <w:r>
        <w:t xml:space="preserve">Browse Customers — a searchable, paginated gold-layer browser with live debounced search-as-you-type (by name, email, or golden ID), a click-through detail modal showing the full source crosswalk, and inline editing when the signed-in user has read_write gold access.</w:t>
      </w:r>
    </w:p>
    <w:p>
      <w:pPr>
        <w:pStyle w:val="ListParagraph"/>
        <w:numPr>
          <w:ilvl w:val="0"/>
          <w:numId w:val="2"/>
        </w:numPr>
        <w:spacing w:after="90"/>
      </w:pPr>
      <w:r>
        <w:t xml:space="preserve">Data Governance — a pannable, zoomable SVG network diagram of the entire lineage metadata graph (bronze → silver → gold → stewardship). Clicking any node highlights its upstream lineage in amber and downstream impact in green directly on the graph, with a side panel showing the node's description, direct incoming/outgoing rules, and upstream/downstream counts. Clicking a gold-layer node also surfaces a Golden ID lookup tool.</w:t>
      </w:r>
    </w:p>
    <w:p>
      <w:pPr>
        <w:pStyle w:val="ListParagraph"/>
        <w:numPr>
          <w:ilvl w:val="0"/>
          <w:numId w:val="2"/>
        </w:numPr>
        <w:spacing w:after="90"/>
      </w:pPr>
      <w:r>
        <w:t xml:space="preserve">Administration → User Administration (admin role only) — create/edit/deactivate portal users, assign role and gold_access, and reset passwords. New-user creation returns a one-time password that is never stored or logged in plaintext (only its bcrypt hash persists).</w:t>
      </w:r>
    </w:p>
    <w:p>
      <w:pPr>
        <w:pStyle w:val="Heading2"/>
      </w:pPr>
      <w:r>
        <w:t xml:space="preserve">4.3 REST API</w:t>
      </w:r>
    </w:p>
    <w:p>
      <w:pPr>
        <w:spacing w:after="160"/>
      </w:pPr>
      <w:r>
        <w:t xml:space="preserve">The FastAPI application (api/main.py) exposes the gold layer, crosswalk, lineage graph, and stewardship queue for downstream consumption, with interactive documentation auto-generated at /docs. The full endpoint surface is enumerated in Section 7.</w:t>
      </w:r>
    </w:p>
    <w:p>
      <w:r>
        <w:br w:type="page"/>
      </w:r>
    </w:p>
    <w:p>
      <w:pPr>
        <w:pStyle w:val="Heading1"/>
      </w:pPr>
      <w:r>
        <w:t xml:space="preserve">5. Real-Time Reprocessing Flow</w:t>
      </w:r>
    </w:p>
    <w:p>
      <w:pPr>
        <w:spacing w:after="160"/>
      </w:pPr>
      <w:r>
        <w:t xml:space="preserve">When a steward resolves an exception in the Data Stewardship Console, api/reprocessing.py mirrors the batch dbt gold logic so both paths stay behaviorally consistent, without waiting for the next scheduled dbt run:</w:t>
      </w:r>
    </w:p>
    <w:p>
      <w:pPr>
        <w:pStyle w:val="ListParagraph"/>
        <w:numPr>
          <w:ilvl w:val="0"/>
          <w:numId w:val="4"/>
        </w:numPr>
        <w:spacing w:after="90"/>
      </w:pPr>
      <w:r>
        <w:t xml:space="preserve">Upsert into silver — the corrected record replaces any prior silver row for the same (source_system, source_record_id) and is treated as canonical on the strength of the steward's approval. Validation rules are not re-run at this point; steward sign-off is treated as an authoritative human-in-the-loop override.</w:t>
      </w:r>
    </w:p>
    <w:p>
      <w:pPr>
        <w:pStyle w:val="ListParagraph"/>
        <w:numPr>
          <w:ilvl w:val="0"/>
          <w:numId w:val="4"/>
        </w:numPr>
        <w:spacing w:after="90"/>
      </w:pPr>
      <w:r>
        <w:t xml:space="preserve">Match against the current gold set — the corrected record's normalized email/phone is compared against each existing golden record's current survivor values (not every historical non-survivor source in that group), using the same deterministic match strategy as the batch pipeline.</w:t>
      </w:r>
    </w:p>
    <w:p>
      <w:pPr>
        <w:pStyle w:val="ListParagraph"/>
        <w:numPr>
          <w:ilvl w:val="0"/>
          <w:numId w:val="4"/>
        </w:numPr>
        <w:spacing w:after="90"/>
      </w:pPr>
      <w:r>
        <w:t xml:space="preserve">Survivorship — if matched, the survivor is recomputed across the whole contributing group (most-recently-modified wins, CRM tiebreak) and the existing golden record and crosswalk are updated in place; if unmatched, a brand-new golden record is created with this record as its sole, and therefore surviving, source.</w:t>
      </w:r>
    </w:p>
    <w:p>
      <w:pPr>
        <w:spacing w:after="160"/>
      </w:pPr>
      <w:r>
        <w:rPr>
          <w:i/>
          <w:iCs/>
          <w:color w:val="5B6770"/>
        </w:rPr>
        <w:t xml:space="preserve">Design note: because the corrected record's modified timestamp is stamped at the moment of correction, a fresh steward correction will typically become the new survivor under the recency-wins rule — generally the desired behavior, since a just-verified value should be trusted as current. Also note that new golden IDs are assigned by incrementing the current max, which can diverge from what a full dbt run would produce from scratch (dbt's dense_rank is order-dependent on the complete silver set); both paths remain internally consistent, but the ID numbers are not guaranteed portable between them.</w:t>
      </w:r>
    </w:p>
    <w:p>
      <w:pPr>
        <w:pStyle w:val="Heading1"/>
      </w:pPr>
      <w:r>
        <w:t xml:space="preserve">6. AI-Assisted Remediation</w:t>
      </w:r>
    </w:p>
    <w:p>
      <w:pPr>
        <w:spacing w:after="160"/>
      </w:pPr>
      <w:r>
        <w:t xml:space="preserve">api/ai_remediation.py proposes corrections for fields that failed validation — it never auto-applies a fix; a steward always reviews and explicitly approves before anything re-enters the pipeline.</w:t>
      </w:r>
    </w:p>
    <w:p>
      <w:pPr>
        <w:pStyle w:val="ListParagraph"/>
        <w:numPr>
          <w:ilvl w:val="0"/>
          <w:numId w:val="2"/>
        </w:numPr>
        <w:spacing w:after="90"/>
      </w:pPr>
      <w:r>
        <w:t xml:space="preserve">If ANTHROPIC_API_KEY is set, a prompt containing the record and its reject reasons is sent to the Claude API (model claude-sonnet-4-6), instructed to propose corrections only for fields it has evidential basis for and to leave ambiguous fields for manual steward input. The response is parsed as strict JSON: {suggested_fields, rationale}.</w:t>
      </w:r>
    </w:p>
    <w:p>
      <w:pPr>
        <w:pStyle w:val="ListParagraph"/>
        <w:numPr>
          <w:ilvl w:val="0"/>
          <w:numId w:val="2"/>
        </w:numPr>
        <w:spacing w:after="90"/>
      </w:pPr>
      <w:r>
        <w:t xml:space="preserve">If no API key is configured, or the API call fails for any reason, a deterministic heuristic fallback runs instead — pattern-matching common defects seeded in the demo data (e.g. '[at]' in place of '@', doubled '@@', malformed near-matches to 'US', city-based state inference for a small lookup table).</w:t>
      </w:r>
    </w:p>
    <w:p>
      <w:pPr>
        <w:pStyle w:val="ListParagraph"/>
        <w:numPr>
          <w:ilvl w:val="0"/>
          <w:numId w:val="2"/>
        </w:numPr>
        <w:spacing w:after="90"/>
      </w:pPr>
      <w:r>
        <w:t xml:space="preserve">Every response includes a source field ('ai' or 'heuristic_fallback') so it is always transparent which path produced a given suggestion — this is surfaced directly in the stewardship console UI.</w:t>
      </w:r>
    </w:p>
    <w:p>
      <w:r>
        <w:br w:type="page"/>
      </w:r>
    </w:p>
    <w:p>
      <w:pPr>
        <w:pStyle w:val="Heading1"/>
      </w:pPr>
      <w:r>
        <w:t xml:space="preserve">7. Security &amp; Access Control</w:t>
      </w:r>
    </w:p>
    <w:p>
      <w:pPr>
        <w:pStyle w:val="Heading2"/>
      </w:pPr>
      <w:r>
        <w:t xml:space="preserve">7.1 Authentication</w:t>
      </w:r>
    </w:p>
    <w:p>
      <w:pPr>
        <w:spacing w:after="160"/>
      </w:pPr>
      <w:r>
        <w:t xml:space="preserve">Portal authentication is a from-scratch implementation (api/auth.py): passwords are hashed with bcrypt (never stored in plaintext), successful login issues a random 32-byte URL-safe bearer token stored in auth.sessions with an 8-hour expiry, and every authenticated request supplies Authorization: Bearer &lt;token&gt;. Logout deletes the session row; get_current_user validates the token and expiry on every request. Because the Portal (/portal/) and the Data Stewardship Console (/app/) are both served as static assets from the same FastAPI origin, the session token is persisted to the browser’s localStorage rather than held only in memory: signing in to either app makes the other recognize the session immediately (single sign-on), and both call the same /api/v1/auth/me endpoint on load to validate the stored token before rendering.</w:t>
      </w:r>
    </w:p>
    <w:p>
      <w:pPr>
        <w:pStyle w:val="Heading2"/>
      </w:pPr>
      <w:r>
        <w:t xml:space="preserve">7.2 Roles</w:t>
      </w:r>
    </w:p>
    <w:p>
      <w:pPr>
        <w:spacing w:after="160"/>
      </w:pPr>
      <w:r>
        <w:t xml:space="preserve">Four roles are supported, each stored as a camelCase value and displayed with a readable label in the portal: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rPr>
          <w:tblHeader/>
        </w:trPr>
        <w:tc>
          <w:tcPr>
            <w:tcW w:type="dxa" w:w="24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Stored value</w:t>
            </w:r>
          </w:p>
        </w:tc>
        <w:tc>
          <w:tcPr>
            <w:tcW w:type="dxa" w:w="24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Display label</w:t>
            </w:r>
          </w:p>
        </w:tc>
        <w:tc>
          <w:tcPr>
            <w:tcW w:type="dxa" w:w="456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Notes</w:t>
            </w:r>
          </w:p>
        </w:tc>
      </w:tr>
      <w:tr>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admin</w:t>
            </w:r>
          </w:p>
        </w:tc>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Admin</w:t>
            </w:r>
          </w:p>
        </w:tc>
        <w:tc>
          <w:tcPr>
            <w:tcW w:type="dxa" w:w="45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Only role that sees the Administration → User Administration menu (require_admin dependency)</w:t>
            </w:r>
          </w:p>
        </w:tc>
      </w:tr>
      <w:tr>
        <w:tc>
          <w:tcPr>
            <w:tcW w:type="dxa" w:w="2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dataSteward</w:t>
            </w:r>
          </w:p>
        </w:tc>
        <w:tc>
          <w:tcPr>
            <w:tcW w:type="dxa" w:w="2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Data Steward</w:t>
            </w:r>
          </w:p>
        </w:tc>
        <w:tc>
          <w:tcPr>
            <w:tcW w:type="dxa" w:w="45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Intended for stewardship-oriented portal users</w:t>
            </w:r>
          </w:p>
        </w:tc>
      </w:tr>
      <w:tr>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dataOwner</w:t>
            </w:r>
          </w:p>
        </w:tc>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Data Owner</w:t>
            </w:r>
          </w:p>
        </w:tc>
        <w:tc>
          <w:tcPr>
            <w:tcW w:type="dxa" w:w="45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Business/data-domain ownership role</w:t>
            </w:r>
          </w:p>
        </w:tc>
      </w:tr>
      <w:tr>
        <w:tc>
          <w:tcPr>
            <w:tcW w:type="dxa" w:w="2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businessUser</w:t>
            </w:r>
          </w:p>
        </w:tc>
        <w:tc>
          <w:tcPr>
            <w:tcW w:type="dxa" w:w="2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Business User</w:t>
            </w:r>
          </w:p>
        </w:tc>
        <w:tc>
          <w:tcPr>
            <w:tcW w:type="dxa" w:w="45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General read-oriented business consumer role</w:t>
            </w:r>
          </w:p>
        </w:tc>
      </w:tr>
    </w:tbl>
    <w:p>
      <w:pPr>
        <w:spacing w:after="160"/>
      </w:pPr>
      <w:r>
        <w:t xml:space="preserve">Role gates two areas of the application: the Administration → User Administration menu (admin only), and the Data Stewardship Console, which requires dataSteward or dataOwner (Section 4.1). Access to gold-layer data is controlled separately by the gold_access field below.</w:t>
      </w:r>
    </w:p>
    <w:p>
      <w:pPr>
        <w:pStyle w:val="Heading2"/>
      </w:pPr>
      <w:r>
        <w:t xml:space="preserve">7.3 Gold-Layer 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gold_access value</w:t>
            </w:r>
          </w:p>
        </w:tc>
        <w:tc>
          <w:tcPr>
            <w:tcW w:type="dxa" w:w="676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Effect</w:t>
            </w:r>
          </w:p>
        </w:tc>
      </w:tr>
      <w:tr>
        <w:tc>
          <w:tcPr>
            <w:tcW w:type="dxa" w:w="2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read_write</w:t>
            </w:r>
          </w:p>
        </w:tc>
        <w:tc>
          <w:tcPr>
            <w:tcW w:type="dxa" w:w="67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Can browse and edit gold-layer customer records (require_gold_write)</w:t>
            </w:r>
          </w:p>
        </w:tc>
      </w:tr>
      <w:tr>
        <w:tc>
          <w:tcPr>
            <w:tcW w:type="dxa" w:w="2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read</w:t>
            </w:r>
          </w:p>
        </w:tc>
        <w:tc>
          <w:tcPr>
            <w:tcW w:type="dxa" w:w="67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Can browse gold-layer customer records only (require_gold_read)</w:t>
            </w:r>
          </w:p>
        </w:tc>
      </w:tr>
      <w:tr>
        <w:tc>
          <w:tcPr>
            <w:tcW w:type="dxa" w:w="2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none</w:t>
            </w:r>
          </w:p>
        </w:tc>
        <w:tc>
          <w:tcPr>
            <w:tcW w:type="dxa" w:w="67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No access to /api/v1/customers* endpoints</w:t>
            </w:r>
          </w:p>
        </w:tc>
      </w:tr>
    </w:tbl>
    <w:p>
      <w:pPr>
        <w:pStyle w:val="Heading2"/>
      </w:pPr>
      <w:r>
        <w:t xml:space="preserve">7.4 Known Security Simplifications</w:t>
      </w:r>
    </w:p>
    <w:p>
      <w:pPr>
        <w:pStyle w:val="ListParagraph"/>
        <w:numPr>
          <w:ilvl w:val="0"/>
          <w:numId w:val="2"/>
        </w:numPr>
        <w:spacing w:after="90"/>
      </w:pPr>
      <w:r>
        <w:t xml:space="preserve">No MFA, no refresh tokens; sessions are a flat 8-hour bearer token.</w:t>
      </w:r>
    </w:p>
    <w:p>
      <w:pPr>
        <w:pStyle w:val="ListParagraph"/>
        <w:numPr>
          <w:ilvl w:val="0"/>
          <w:numId w:val="2"/>
        </w:numPr>
        <w:spacing w:after="90"/>
      </w:pPr>
      <w:r>
        <w:t xml:space="preserve">No field-level masking — gold_access is coarse (whole-record read/write), not attribute-level.</w:t>
      </w:r>
    </w:p>
    <w:p>
      <w:pPr>
        <w:pStyle w:val="ListParagraph"/>
        <w:numPr>
          <w:ilvl w:val="0"/>
          <w:numId w:val="2"/>
        </w:numPr>
        <w:spacing w:after="90"/>
      </w:pPr>
      <w:r>
        <w:t xml:space="preserve">Secrets (ANTHROPIC_API_KEY) are read from plain environment variables, not a secrets manager.</w:t>
      </w:r>
    </w:p>
    <w:p>
      <w:pPr>
        <w:pStyle w:val="ListParagraph"/>
        <w:numPr>
          <w:ilvl w:val="0"/>
          <w:numId w:val="2"/>
        </w:numPr>
        <w:spacing w:after="90"/>
      </w:pPr>
      <w:r>
        <w:t xml:space="preserve">Single local DuckDB file, not a concurrent multi-user production database.</w:t>
      </w:r>
    </w:p>
    <w:p>
      <w:r>
        <w:br w:type="page"/>
      </w:r>
    </w:p>
    <w:p>
      <w:pPr>
        <w:pStyle w:val="Heading1"/>
      </w:pPr>
      <w:r>
        <w:t xml:space="preserve">8. API Reference</w:t>
      </w:r>
    </w:p>
    <w:p>
      <w:pPr>
        <w:spacing w:after="160"/>
      </w:pPr>
      <w:r>
        <w:t xml:space="preserve">All endpoints are prefixed /api/v1 unless noted. Endpoints marked Auth require a Bearer token; Admin-only endpoints additionally require the admin role.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4360"/>
        <w:gridCol w:w="1400"/>
      </w:tblGrid>
      <w:tr>
        <w:trPr>
          <w:tblHeader/>
        </w:trPr>
        <w:tc>
          <w:tcPr>
            <w:tcW w:type="dxa" w:w="36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Method &amp; path</w:t>
            </w:r>
          </w:p>
        </w:tc>
        <w:tc>
          <w:tcPr>
            <w:tcW w:type="dxa" w:w="436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Purpose</w:t>
            </w:r>
          </w:p>
        </w:tc>
        <w:tc>
          <w:tcPr>
            <w:tcW w:type="dxa" w:w="14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Auth</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POST /auth/login</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Authenticate; returns a session token</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POST /auth/logout</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Invalidate the current session</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Bearer</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/auth/me</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Current user's identity/role/access</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Bearer</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/customers</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List golden records (paginated, q= search, state_code filter)</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read</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/customers/{golden_id}</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Get one golden record</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read</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PUT /customers/{golden_id}</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Edit a golden record</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read_write</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/customers/{golden_id}/sources</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Crosswalk: contributing source records</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read</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/lineage/impact?layer=&amp;table=&amp;column=</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Forward impact analysis</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Bearer</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/lineage/trace?layer=&amp;table=&amp;column=</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Backward lineage trace</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Bearer</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/lineage/record/{golden_id}</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Full lineage for one golden record</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Bearer</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/lineage/graph</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Full lineage metadata graph (network diagram)</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Bearer</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/stewardship/queue?status=open</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Exception queue</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Steward/Owner</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/stewardship/queue/{id}</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Get one exception</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Steward/Owner</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POST /stewardship/queue/{id}/suggest</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AI/heuristic remediation suggestion</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Steward/Owner</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POST /stewardship/queue/{id}/resolve</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Approve a correction (triggers reprocessing)</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Steward/Owner</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POST /stewardship/queue/{id}/reject</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Reject a record</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Steward/Owner</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/admin/users</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List portal users</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Admin</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POST /admin/users</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Create a user</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Admin</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PUT /admin/users/{user_id}</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Update role/access/status</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Admin</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POST /admin/users/{user_id}/reset_password</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Reset a user's password</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Admin</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/health</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Liveness check</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w:t>
            </w:r>
          </w:p>
        </w:tc>
      </w:tr>
    </w:tbl>
    <w:p>
      <w:pPr>
        <w:spacing w:after="160"/>
      </w:pPr>
      <w:r>
        <w:rPr>
          <w:i/>
          <w:iCs/>
          <w:color w:val="5B6770"/>
        </w:rPr>
        <w:t xml:space="preserve">Note: the stewardship queue endpoints require a Bearer token and enforce the dataSteward/dataOwner role check described in Section 7.2; the Data Stewardship Console shares its session with the login-gated portal via a common browser-side session token (Section 4.1).</w:t>
      </w:r>
    </w:p>
    <w:p>
      <w:r>
        <w:br w:type="page"/>
      </w:r>
    </w:p>
    <w:p>
      <w:pPr>
        <w:pStyle w:val="Heading1"/>
      </w:pPr>
      <w:r>
        <w:t xml:space="preserve">9. Known Design Simplifications</w:t>
      </w:r>
    </w:p>
    <w:p>
      <w:pPr>
        <w:spacing w:after="160"/>
      </w:pPr>
      <w:r>
        <w:t xml:space="preserve">Each of these was a deliberate, documented trade-off made to keep the system runnable, legible, and time-boxed as a demo — not an oversight:</w:t>
      </w:r>
    </w:p>
    <w:p>
      <w:pPr>
        <w:pStyle w:val="ListParagraph"/>
        <w:numPr>
          <w:ilvl w:val="0"/>
          <w:numId w:val="2"/>
        </w:numPr>
        <w:spacing w:after="90"/>
      </w:pPr>
      <w:r>
        <w:t xml:space="preserve">Matching is deterministic (exact match on normalized email or phone), not fuzzy/probabilistic.</w:t>
      </w:r>
    </w:p>
    <w:p>
      <w:pPr>
        <w:pStyle w:val="ListParagraph"/>
        <w:numPr>
          <w:ilvl w:val="0"/>
          <w:numId w:val="2"/>
        </w:numPr>
        <w:spacing w:after="90"/>
      </w:pPr>
      <w:r>
        <w:t xml:space="preserve">Survivorship is record-level (whole record from one winning source), not attribute-level.</w:t>
      </w:r>
    </w:p>
    <w:p>
      <w:pPr>
        <w:pStyle w:val="ListParagraph"/>
        <w:numPr>
          <w:ilvl w:val="0"/>
          <w:numId w:val="2"/>
        </w:numPr>
        <w:spacing w:after="90"/>
      </w:pPr>
      <w:r>
        <w:t xml:space="preserve">Steward corrections skip re-validation against the metadata rules — steward approval is treated as authoritative.</w:t>
      </w:r>
    </w:p>
    <w:p>
      <w:pPr>
        <w:pStyle w:val="ListParagraph"/>
        <w:numPr>
          <w:ilvl w:val="0"/>
          <w:numId w:val="2"/>
        </w:numPr>
        <w:spacing w:after="90"/>
      </w:pPr>
      <w:r>
        <w:t xml:space="preserve">Real-time reprocessing's match step compares against each golden record's current survivor values, not every historical non-survivor source in that group.</w:t>
      </w:r>
    </w:p>
    <w:p>
      <w:pPr>
        <w:pStyle w:val="ListParagraph"/>
        <w:numPr>
          <w:ilvl w:val="0"/>
          <w:numId w:val="2"/>
        </w:numPr>
        <w:spacing w:after="90"/>
      </w:pPr>
      <w:r>
        <w:t xml:space="preserve">New golden IDs from real-time reprocessing increment the current max, which can diverge from what a full dbt run would assign from scratch.</w:t>
      </w:r>
    </w:p>
    <w:p>
      <w:pPr>
        <w:pStyle w:val="ListParagraph"/>
        <w:numPr>
          <w:ilvl w:val="0"/>
          <w:numId w:val="2"/>
        </w:numPr>
        <w:spacing w:after="90"/>
      </w:pPr>
      <w:r>
        <w:t xml:space="preserve">The rules engine interprets column_rules.csv via explicit SQL rather than a fully dynamic rule interpreter.</w:t>
      </w:r>
    </w:p>
    <w:p>
      <w:pPr>
        <w:pStyle w:val="ListParagraph"/>
        <w:numPr>
          <w:ilvl w:val="0"/>
          <w:numId w:val="2"/>
        </w:numPr>
        <w:spacing w:after="90"/>
      </w:pPr>
      <w:r>
        <w:t xml:space="preserve">The lineage graph is statically seeded metadata, not derived from live pipeline execution.</w:t>
      </w:r>
    </w:p>
    <w:p>
      <w:pPr>
        <w:pStyle w:val="ListParagraph"/>
        <w:numPr>
          <w:ilvl w:val="0"/>
          <w:numId w:val="2"/>
        </w:numPr>
        <w:spacing w:after="90"/>
      </w:pPr>
      <w:r>
        <w:t xml:space="preserve">Auth is sized for a demo: no MFA, no refresh tokens, single local DuckDB file.</w:t>
      </w:r>
    </w:p>
    <w:p>
      <w:pPr>
        <w:spacing w:after="160"/>
      </w:pPr>
      <w:r>
        <w:t xml:space="preserve">A companion assessment, “Enterprise Readiness Assessment,” expands on what each of these would require to become production/enterprise-grade.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70"/>
        <w:sz w:val="18"/>
        <w:szCs w:val="18"/>
      </w:rPr>
      <w:t xml:space="preserve">Page </w:t>
    </w:r>
    <w:r>
      <w:rPr>
        <w:color w:val="5B677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pPr>
    <w:r>
      <w:rPr>
        <w:color w:val="5B6770"/>
        <w:sz w:val="16"/>
        <w:szCs w:val="16"/>
      </w:rPr>
      <w:t xml:space="preserve">MDM Medallion Architecture Demo — Design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300"/>
      </w:pPr>
    </w:lvl>
  </w:abstractNum>
  <w:abstractNum w:abstractNumId="3" w15:restartNumberingAfterBreak="0">
    <w:multiLevelType w:val="hybridMultilevel"/>
    <w:lvl w:ilvl="0" w15:tentative="1">
      <w:start w:val="1"/>
      <w:numFmt w:val="decimal"/>
      <w:lvlText w:val="%1."/>
      <w:lvlJc w:val="left"/>
      <w:pPr>
        <w:ind w:left="560" w:hanging="300"/>
      </w:pPr>
    </w:lvl>
  </w:abstractNum>
  <w:abstractNum w:abstractNumId="4" w15:restartNumberingAfterBreak="0">
    <w:multiLevelType w:val="hybridMultilevel"/>
    <w:lvl w:ilvl="0" w15:tentative="1">
      <w:start w:val="1"/>
      <w:numFmt w:val="decimal"/>
      <w:lvlText w:val="%1."/>
      <w:lvlJc w:val="left"/>
      <w:pPr>
        <w:ind w:left="560" w:hanging="300"/>
      </w:pPr>
    </w:lvl>
  </w:abstractNum>
  <w:abstractNum w:abstractNumId="5" w15:restartNumberingAfterBreak="0">
    <w:multiLevelType w:val="hybridMultilevel"/>
    <w:lvl w:ilvl="0" w15:tentative="1">
      <w:start w:val="1"/>
      <w:numFmt w:val="decimal"/>
      <w:lvlText w:val="%1."/>
      <w:lvlJc w:val="left"/>
      <w:pPr>
        <w:ind w:left="560" w:hanging="300"/>
      </w:pPr>
    </w:lvl>
  </w:abstractNum>
  <w:abstractNum w:abstractNumId="6" w15:restartNumberingAfterBreak="0">
    <w:multiLevelType w:val="hybridMultilevel"/>
    <w:lvl w:ilvl="0" w15:tentative="1">
      <w:start w:val="1"/>
      <w:numFmt w:val="decimal"/>
      <w:lvlText w:val="%1."/>
      <w:lvlJc w:val="left"/>
      <w:pPr>
        <w:ind w:left="560" w:hanging="300"/>
      </w:pPr>
    </w:lvl>
  </w:abstractNum>
  <w:abstractNum w:abstractNumId="7" w15:restartNumberingAfterBreak="0">
    <w:multiLevelType w:val="hybridMultilevel"/>
    <w:lvl w:ilvl="0" w15:tentative="1">
      <w:start w:val="1"/>
      <w:numFmt w:val="decimal"/>
      <w:lvlText w:val="%1."/>
      <w:lvlJc w:val="left"/>
      <w:pPr>
        <w:ind w:left="560" w:hanging="300"/>
      </w:pPr>
    </w:lvl>
  </w:abstractNum>
  <w:abstractNum w:abstractNumId="8" w15:restartNumberingAfterBreak="0">
    <w:multiLevelType w:val="hybridMultilevel"/>
    <w:lvl w:ilvl="0" w15:tentative="1">
      <w:start w:val="1"/>
      <w:numFmt w:val="decimal"/>
      <w:lvlText w:val="%1."/>
      <w:lvlJc w:val="left"/>
      <w:pPr>
        <w:ind w:left="560" w:hanging="300"/>
      </w:pPr>
    </w:lvl>
  </w:abstractNum>
  <w:abstractNum w:abstractNumId="9" w15:restartNumberingAfterBreak="0">
    <w:multiLevelType w:val="hybridMultilevel"/>
    <w:lvl w:ilvl="0" w15:tentative="1">
      <w:start w:val="1"/>
      <w:numFmt w:val="decimal"/>
      <w:lvlText w:val="%1."/>
      <w:lvlJc w:val="left"/>
      <w:pPr>
        <w:ind w:left="560" w:hanging="300"/>
      </w:pPr>
    </w:lvl>
  </w:abstractNum>
  <w:abstractNum w:abstractNumId="10" w15:restartNumberingAfterBreak="0">
    <w:multiLevelType w:val="hybridMultilevel"/>
    <w:lvl w:ilvl="0" w15:tentative="1">
      <w:start w:val="1"/>
      <w:numFmt w:val="decimal"/>
      <w:lvlText w:val="%1."/>
      <w:lvlJc w:val="left"/>
      <w:pPr>
        <w:ind w:left="560" w:hanging="300"/>
      </w:pPr>
    </w:lvl>
  </w:abstractNum>
  <w:abstractNum w:abstractNumId="11" w15:restartNumberingAfterBreak="0">
    <w:multiLevelType w:val="hybridMultilevel"/>
    <w:lvl w:ilvl="0" w15:tentative="1">
      <w:start w:val="1"/>
      <w:numFmt w:val="decimal"/>
      <w:lvlText w:val="%1."/>
      <w:lvlJc w:val="left"/>
      <w:pPr>
        <w:ind w:left="560" w:hanging="300"/>
      </w:pPr>
    </w:lvl>
  </w:abstractNum>
  <w:abstractNum w:abstractNumId="12" w15:restartNumberingAfterBreak="0">
    <w:multiLevelType w:val="hybridMultilevel"/>
    <w:lvl w:ilvl="0" w15:tentative="1">
      <w:start w:val="1"/>
      <w:numFmt w:val="decimal"/>
      <w:lvlText w:val="%1."/>
      <w:lvlJc w:val="left"/>
      <w:pPr>
        <w:ind w:left="560" w:hanging="300"/>
      </w:pPr>
    </w:lvl>
  </w:abstractNum>
  <w:abstractNum w:abstractNumId="13" w15:restartNumberingAfterBreak="0">
    <w:multiLevelType w:val="hybridMultilevel"/>
    <w:lvl w:ilvl="0" w15:tentative="1">
      <w:start w:val="1"/>
      <w:numFmt w:val="decimal"/>
      <w:lvlText w:val="%1."/>
      <w:lvlJc w:val="left"/>
      <w:pPr>
        <w:ind w:left="560" w:hanging="300"/>
      </w:pPr>
    </w:lvl>
  </w:abstractNum>
  <w:abstractNum w:abstractNumId="14" w15:restartNumberingAfterBreak="0">
    <w:multiLevelType w:val="hybridMultilevel"/>
    <w:lvl w:ilvl="0" w15:tentative="1">
      <w:start w:val="1"/>
      <w:numFmt w:val="decimal"/>
      <w:lvlText w:val="%1."/>
      <w:lvlJc w:val="left"/>
      <w:pPr>
        <w:ind w:left="560" w:hanging="300"/>
      </w:pPr>
    </w:lvl>
  </w:abstractNum>
  <w:abstractNum w:abstractNumId="15" w15:restartNumberingAfterBreak="0">
    <w:multiLevelType w:val="hybridMultilevel"/>
    <w:lvl w:ilvl="0" w15:tentative="1">
      <w:start w:val="1"/>
      <w:numFmt w:val="decimal"/>
      <w:lvlText w:val="%1."/>
      <w:lvlJc w:val="left"/>
      <w:pPr>
        <w:ind w:left="560" w:hanging="300"/>
      </w:pPr>
    </w:lvl>
  </w:abstractNum>
  <w:abstractNum w:abstractNumId="16" w15:restartNumberingAfterBreak="0">
    <w:multiLevelType w:val="hybridMultilevel"/>
    <w:lvl w:ilvl="0" w15:tentative="1">
      <w:start w:val="1"/>
      <w:numFmt w:val="decimal"/>
      <w:lvlText w:val="%1."/>
      <w:lvlJc w:val="left"/>
      <w:pPr>
        <w:ind w:left="560" w:hanging="300"/>
      </w:pPr>
    </w:lvl>
  </w:abstractNum>
  <w:abstractNum w:abstractNumId="17" w15:restartNumberingAfterBreak="0">
    <w:multiLevelType w:val="hybridMultilevel"/>
    <w:lvl w:ilvl="0" w15:tentative="1">
      <w:start w:val="1"/>
      <w:numFmt w:val="decimal"/>
      <w:lvlText w:val="%1."/>
      <w:lvlJc w:val="left"/>
      <w:pPr>
        <w:ind w:left="560" w:hanging="300"/>
      </w:pPr>
    </w:lvl>
  </w:abstractNum>
  <w:abstractNum w:abstractNumId="18" w15:restartNumberingAfterBreak="0">
    <w:multiLevelType w:val="hybridMultilevel"/>
    <w:lvl w:ilvl="0" w15:tentative="1">
      <w:start w:val="1"/>
      <w:numFmt w:val="decimal"/>
      <w:lvlText w:val="%1."/>
      <w:lvlJc w:val="left"/>
      <w:pPr>
        <w:ind w:left="560" w:hanging="300"/>
      </w:pPr>
    </w:lvl>
  </w:abstractNum>
  <w:abstractNum w:abstractNumId="19" w15:restartNumberingAfterBreak="0">
    <w:multiLevelType w:val="hybridMultilevel"/>
    <w:lvl w:ilvl="0" w15:tentative="1">
      <w:start w:val="1"/>
      <w:numFmt w:val="decimal"/>
      <w:lvlText w:val="%1."/>
      <w:lvlJc w:val="left"/>
      <w:pPr>
        <w:ind w:left="560" w:hanging="300"/>
      </w:pPr>
    </w:lvl>
  </w:abstractNum>
  <w:abstractNum w:abstractNumId="20" w15:restartNumberingAfterBreak="0">
    <w:multiLevelType w:val="hybridMultilevel"/>
    <w:lvl w:ilvl="0" w15:tentative="1">
      <w:start w:val="1"/>
      <w:numFmt w:val="decimal"/>
      <w:lvlText w:val="%1."/>
      <w:lvlJc w:val="left"/>
      <w:pPr>
        <w:ind w:left="560" w:hanging="300"/>
      </w:pPr>
    </w:lvl>
  </w:abstractNum>
  <w:abstractNum w:abstractNumId="21" w15:restartNumberingAfterBreak="0">
    <w:multiLevelType w:val="hybridMultilevel"/>
    <w:lvl w:ilvl="0" w15:tentative="1">
      <w:start w:val="1"/>
      <w:numFmt w:val="decimal"/>
      <w:lvlText w:val="%1."/>
      <w:lvlJc w:val="left"/>
      <w:pPr>
        <w:ind w:left="560" w:hanging="300"/>
      </w:pPr>
    </w:lvl>
  </w:abstractNum>
  <w:abstractNum w:abstractNumId="22" w15:restartNumberingAfterBreak="0">
    <w:multiLevelType w:val="hybridMultilevel"/>
    <w:lvl w:ilvl="0" w15:tentative="1">
      <w:start w:val="1"/>
      <w:numFmt w:val="decimal"/>
      <w:lvlText w:val="%1."/>
      <w:lvlJc w:val="left"/>
      <w:pPr>
        <w:ind w:left="560" w:hanging="300"/>
      </w:pPr>
    </w:lvl>
  </w:abstractNum>
  <w:abstractNum w:abstractNumId="23" w15:restartNumberingAfterBreak="0">
    <w:multiLevelType w:val="hybridMultilevel"/>
    <w:lvl w:ilvl="0" w15:tentative="1">
      <w:start w:val="1"/>
      <w:numFmt w:val="decimal"/>
      <w:lvlText w:val="%1."/>
      <w:lvlJc w:val="left"/>
      <w:pPr>
        <w:ind w:left="56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5F" w:sz="6" w:space="4"/>
      </w:pBdr>
      <w:spacing w:after="180" w:before="320"/>
      <w:outlineLvl w:val="0"/>
    </w:pPr>
    <w:rPr>
      <w:rFonts w:ascii="Arial" w:cs="Arial" w:eastAsia="Arial" w:hAnsi="Arial"/>
      <w:b/>
      <w:bCs/>
      <w:color w:val="1F4E5F"/>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1F4E5F"/>
      <w:sz w:val="24"/>
      <w:szCs w:val="24"/>
    </w:rPr>
  </w:style>
  <w:style w:type="paragraph" w:styleId="Heading3">
    <w:name w:val="Heading 3"/>
    <w:basedOn w:val="Normal"/>
    <w:next w:val="Normal"/>
    <w:qFormat/>
    <w:pPr>
      <w:spacing w:after="100" w:before="160"/>
      <w:outlineLvl w:val="2"/>
    </w:pPr>
    <w:rPr>
      <w:rFonts w:ascii="Arial" w:cs="Arial" w:eastAsia="Arial" w:hAnsi="Arial"/>
      <w:b/>
      <w:bCs/>
      <w:color w:val="334A5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2026-07-08T17:11:59.681Z</dcterms:created>
  <dcterms:modified xsi:type="dcterms:W3CDTF">2026-07-08T17:11:59.685Z</dcterms:modified>
</cp:coreProperties>
</file>

<file path=docProps/custom.xml><?xml version="1.0" encoding="utf-8"?>
<Properties xmlns="http://schemas.openxmlformats.org/officeDocument/2006/custom-properties" xmlns:vt="http://schemas.openxmlformats.org/officeDocument/2006/docPropsVTypes"/>
</file>