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5F"/>
          <w:sz w:val="44"/>
          <w:szCs w:val="44"/>
        </w:rPr>
        <w:t xml:space="preserve">MDM Medallion Architecture Demo</w:t>
      </w:r>
    </w:p>
    <w:p>
      <w:pPr>
        <w:spacing w:after="400"/>
        <w:jc w:val="center"/>
      </w:pPr>
      <w:r>
        <w:rPr>
          <w:color w:val="5B6770"/>
          <w:sz w:val="30"/>
          <w:szCs w:val="30"/>
        </w:rPr>
        <w:t xml:space="preserve">Enterprise Readiness Assessment</w:t>
      </w:r>
    </w:p>
    <w:p>
      <w:pPr>
        <w:spacing w:after="80"/>
        <w:jc w:val="center"/>
      </w:pPr>
      <w:r>
        <w:rPr>
          <w:i/>
          <w:iCs/>
          <w:sz w:val="22"/>
          <w:szCs w:val="22"/>
        </w:rPr>
        <w:t xml:space="preserve">Gap Analysis &amp; Phased Roadmap for Enterprise-Grade Conversion</w:t>
      </w:r>
    </w:p>
    <w:p>
      <w:pPr>
        <w:spacing w:before="800"/>
        <w:jc w:val="center"/>
      </w:pPr>
      <w:r>
        <w:rPr>
          <w:sz w:val="22"/>
          <w:szCs w:val="22"/>
        </w:rPr>
        <w:t xml:space="preserve">Prepared by Balram</w:t>
      </w:r>
    </w:p>
    <w:p>
      <w:pPr>
        <w:spacing w:after="2000"/>
        <w:jc w:val="center"/>
      </w:pPr>
      <w:r>
        <w:rPr>
          <w:color w:val="5B6770"/>
          <w:sz w:val="22"/>
          <w:szCs w:val="22"/>
        </w:rPr>
        <w:t xml:space="preserve">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pPr>
      <w:r>
        <w:t xml:space="preserve">The MDM Medallion Architecture Demo is a working, single-user, zero-cost portfolio build that genuinely demonstrates the core mechanics of a medallion-architecture MDM platform: metadata-driven validation, hybrid deterministic + embedding-similarity match/merge, survivorship, a stewardship workflow with AI-assisted remediation, and lineage/impact analysis. Every simplification in it was a deliberate, documented trade-off to keep the project runnable locally in a short timeframe.</w:t>
      </w:r>
    </w:p>
    <w:p>
      <w:pPr>
        <w:spacing w:after="160"/>
      </w:pPr>
      <w:r>
        <w:t xml:space="preserve">Converting it into an enterprise application means revisiting nearly every one of those trade-offs. This assessment groups the required changes into seven areas — architecture and platform, MDM core functionality, data quality and governance, security and identity, API and integration, reliability and operations, and organizational process — and closes with a suggested three-phase roadmap for sequencing the work.</w:t>
      </w:r>
    </w:p>
    <w:p>
      <w:pPr>
        <w:pStyle w:val="Heading1"/>
      </w:pPr>
      <w:r>
        <w:t xml:space="preserve">1. Architecture &amp; Platform</w:t>
      </w:r>
    </w:p>
    <w:p>
      <w:pPr>
        <w:spacing w:after="160"/>
      </w:pPr>
      <w:r>
        <w:rPr>
          <w:i/>
          <w:iCs/>
          <w:color w:val="5B6770"/>
        </w:rPr>
        <w:t xml:space="preserve">The demo runs entirely on a single local DuckDB file with no environment separation, containerization, or deployment pipeline — deliberate choices for a zero-cost, zero-infrastructure portfolio build. An enterprise deployment needs a real data platform underneath it.</w:t>
      </w:r>
    </w:p>
    <w:p>
      <w:pPr>
        <w:pStyle w:val="ListParagraph"/>
        <w:numPr>
          <w:ilvl w:val="0"/>
          <w:numId w:val="2"/>
        </w:numPr>
        <w:spacing w:after="100"/>
      </w:pPr>
      <w:r>
        <w:t xml:space="preserve">Replace the single-file DuckDB store with a warehouse/lakehouse that supports concurrent multi-writer access at scale (Snowflake, Databricks, BigQuery, or Postgres for the transactional auth/stewardship tables).</w:t>
      </w:r>
    </w:p>
    <w:p>
      <w:pPr>
        <w:pStyle w:val="ListParagraph"/>
        <w:numPr>
          <w:ilvl w:val="0"/>
          <w:numId w:val="2"/>
        </w:numPr>
        <w:spacing w:after="100"/>
      </w:pPr>
      <w:r>
        <w:t xml:space="preserve">Introduce environment separation — dev, test, and prod dbt targets and schemas — with a formal promotion path instead of one shared database file.</w:t>
      </w:r>
    </w:p>
    <w:p>
      <w:pPr>
        <w:pStyle w:val="ListParagraph"/>
        <w:numPr>
          <w:ilvl w:val="0"/>
          <w:numId w:val="2"/>
        </w:numPr>
        <w:spacing w:after="100"/>
      </w:pPr>
      <w:r>
        <w:t xml:space="preserve">Containerize the API and pipeline (Docker/Kubernetes or managed equivalents) and manage infrastructure as code (Terraform/CloudFormation) instead of a local venv + uvicorn process.</w:t>
      </w:r>
    </w:p>
    <w:p>
      <w:pPr>
        <w:pStyle w:val="ListParagraph"/>
        <w:numPr>
          <w:ilvl w:val="0"/>
          <w:numId w:val="2"/>
        </w:numPr>
        <w:spacing w:after="100"/>
      </w:pPr>
      <w:r>
        <w:t xml:space="preserve">Build a CI/CD pipeline (GitHub Actions, Jenkins, Azure DevOps) that runs dbt build + test, API tests, and linting on every change — none of this exists today.</w:t>
      </w:r>
    </w:p>
    <w:p>
      <w:pPr>
        <w:pStyle w:val="ListParagraph"/>
        <w:numPr>
          <w:ilvl w:val="0"/>
          <w:numId w:val="2"/>
        </w:numPr>
        <w:spacing w:after="100"/>
      </w:pPr>
      <w:r>
        <w:t xml:space="preserve">Remove the single global connection lock in db.py, which serializes all reads and writes; an enterprise system needs a connection pool and a database engine built for concurrency.</w:t>
      </w:r>
    </w:p>
    <w:p>
      <w:pPr>
        <w:pStyle w:val="Heading1"/>
      </w:pPr>
      <w:r>
        <w:t xml:space="preserve">2. MDM Core Functionality Gaps</w:t>
      </w:r>
    </w:p>
    <w:p>
      <w:pPr>
        <w:spacing w:after="160"/>
      </w:pPr>
      <w:r>
        <w:rPr>
          <w:i/>
          <w:iCs/>
          <w:color w:val="5B6770"/>
        </w:rPr>
        <w:t xml:space="preserve">These are the most consequential gaps for an actual MDM platform — they go to the heart of what match/merge/survivorship needs to do at enterprise scale.</w:t>
      </w:r>
    </w:p>
    <w:p>
      <w:pPr>
        <w:pStyle w:val="ListParagraph"/>
        <w:numPr>
          <w:ilvl w:val="0"/>
          <w:numId w:val="2"/>
        </w:numPr>
        <w:spacing w:after="100"/>
      </w:pPr>
      <w:r>
        <w:t xml:space="preserve">Upgrade matching from deterministic exact-match on email/phone to probabilistic/fuzzy matching (name and address similarity scoring, phonetic algorithms, configurable match weights and confidence tiers, or an ML-based matching model).</w:t>
      </w:r>
    </w:p>
    <w:p>
      <w:pPr>
        <w:spacing w:after="160"/>
      </w:pPr>
      <w:r>
        <w:rPr>
          <w:i/>
          <w:iCs/>
          <w:color w:val="5B6770"/>
        </w:rPr>
        <w:t xml:space="preserve">Update (July 2026): matching now has a fuzzy tier — TF-IDF character n-gram embedding similarity over name/address text, blocked by state, with high-confidence matches auto-merging and borderline ones routed to a new Match Review queue for a steward to confirm or reject (see the Design Document, Section 3.3.1). This closes the "no fuzzy matching at all" gap, but it is a lightweight, deliberately non-neural technique with a single similarity signal — the harder items below (phonetic algorithms, configurable per-field match weights, an ML-based/learned confidence model) remain open requirements for enterprise-scale matching.</w:t>
      </w:r>
    </w:p>
    <w:p>
      <w:pPr>
        <w:pStyle w:val="ListParagraph"/>
        <w:numPr>
          <w:ilvl w:val="0"/>
          <w:numId w:val="2"/>
        </w:numPr>
        <w:spacing w:after="100"/>
      </w:pPr>
      <w:r>
        <w:t xml:space="preserve">Move survivorship from whole-record (“most recent source wins”) to attribute-level survivorship, with per-column trust and precedence rules — the current design overwrites good data in non-winning fields.</w:t>
      </w:r>
    </w:p>
    <w:p>
      <w:pPr>
        <w:pStyle w:val="ListParagraph"/>
        <w:numPr>
          <w:ilvl w:val="0"/>
          <w:numId w:val="2"/>
        </w:numPr>
        <w:spacing w:after="100"/>
      </w:pPr>
      <w:r>
        <w:t xml:space="preserve">Add merge/unmerge (split) capability so stewards can reverse an incorrect automatic merge, which the current design has no path to undo.</w:t>
      </w:r>
    </w:p>
    <w:p>
      <w:pPr>
        <w:pStyle w:val="ListParagraph"/>
        <w:numPr>
          <w:ilvl w:val="0"/>
          <w:numId w:val="2"/>
        </w:numPr>
        <w:spacing w:after="100"/>
      </w:pPr>
      <w:r>
        <w:t xml:space="preserve">Guarantee stable golden IDs across batch and real-time paths; today, IDs generated by real-time reprocessing can diverge from what a full dbt run would assign, which breaks the assumption that a golden ID is a durable key for downstream systems. Real-time reprocessing also still only runs the deterministic tier — it does not run the fuzzy embedding-similarity tier at all, so a correction that would only be caught by fuzzy matching won't be found until the next batch rebuild.</w:t>
      </w:r>
    </w:p>
    <w:p>
      <w:pPr>
        <w:pStyle w:val="ListParagraph"/>
        <w:numPr>
          <w:ilvl w:val="0"/>
          <w:numId w:val="2"/>
        </w:numPr>
        <w:spacing w:after="100"/>
      </w:pPr>
      <w:r>
        <w:t xml:space="preserve">Log rule-override status on steward corrections; corrections currently skip re-validation entirely (an intentional human-in-the-loop demo shortcut), but an enterprise audit trail should still record when an approved correction violates a standing data quality rule.</w:t>
      </w:r>
    </w:p>
    <w:p>
      <w:pPr>
        <w:pStyle w:val="ListParagraph"/>
        <w:numPr>
          <w:ilvl w:val="0"/>
          <w:numId w:val="2"/>
        </w:numPr>
        <w:spacing w:after="100"/>
      </w:pPr>
      <w:r>
        <w:t xml:space="preserve">Derive the lineage graph from actual pipeline execution metadata rather than statically seeded CSVs, which can silently drift from what the pipeline really does (already happened once with wildcard lineage nodes).</w:t>
      </w:r>
    </w:p>
    <w:p>
      <w:pPr>
        <w:pStyle w:val="Heading1"/>
      </w:pPr>
      <w:r>
        <w:t xml:space="preserve">3. Data Quality &amp; Governance</w:t>
      </w:r>
    </w:p>
    <w:p>
      <w:pPr>
        <w:spacing w:after="160"/>
      </w:pPr>
      <w:r>
        <w:rPr>
          <w:i/>
          <w:iCs/>
          <w:color w:val="5B6770"/>
        </w:rPr>
        <w:t xml:space="preserve">The rules engine and lineage graph are good conceptual scaffolding, but both are simplified to fit a demo’s scope and would need real tooling behind them.</w:t>
      </w:r>
    </w:p>
    <w:p>
      <w:pPr>
        <w:pStyle w:val="ListParagraph"/>
        <w:numPr>
          <w:ilvl w:val="0"/>
          <w:numId w:val="2"/>
        </w:numPr>
        <w:spacing w:after="100"/>
      </w:pPr>
      <w:r>
        <w:t xml:space="preserve">Replace the hardcoded SQL interpretation of column_rules.csv with a pluggable, versioned rule-execution framework (e.g., Great Expectations, Soda, or a custom rules DSL) supporting rollback and change history.</w:t>
      </w:r>
    </w:p>
    <w:p>
      <w:pPr>
        <w:pStyle w:val="ListParagraph"/>
        <w:numPr>
          <w:ilvl w:val="0"/>
          <w:numId w:val="2"/>
        </w:numPr>
        <w:spacing w:after="100"/>
      </w:pPr>
      <w:r>
        <w:t xml:space="preserve">Add data quality scorecards and SLA tracking — validation pass rate, match rate, duplicate rate — trended over time, not just a point-in-time exception queue.</w:t>
      </w:r>
    </w:p>
    <w:p>
      <w:pPr>
        <w:pStyle w:val="ListParagraph"/>
        <w:numPr>
          <w:ilvl w:val="0"/>
          <w:numId w:val="2"/>
        </w:numPr>
        <w:spacing w:after="100"/>
      </w:pPr>
      <w:r>
        <w:t xml:space="preserve">Federate lineage and business glossary metadata into an enterprise catalog (Collibra, Alation, or an open-source equivalent) instead of keeping it local to this application.</w:t>
      </w:r>
    </w:p>
    <w:p>
      <w:pPr>
        <w:pStyle w:val="ListParagraph"/>
        <w:numPr>
          <w:ilvl w:val="0"/>
          <w:numId w:val="2"/>
        </w:numPr>
        <w:spacing w:after="100"/>
      </w:pPr>
      <w:r>
        <w:t xml:space="preserve">Add data retention, archival, and right-to-be-forgotten workflows (GDPR/CCPA) — soft-delete, anonymization, and purge are not implemented for source or golden records.</w:t>
      </w:r>
    </w:p>
    <w:p>
      <w:pPr>
        <w:pStyle w:val="Heading1"/>
      </w:pPr>
      <w:r>
        <w:t xml:space="preserve">4. Security &amp; Identity</w:t>
      </w:r>
    </w:p>
    <w:p>
      <w:pPr>
        <w:spacing w:after="160"/>
      </w:pPr>
      <w:r>
        <w:rPr>
          <w:i/>
          <w:iCs/>
          <w:color w:val="5B6770"/>
        </w:rPr>
        <w:t xml:space="preserve">Authentication is a from-scratch, demo-scoped implementation by design. None of it is wrong for a portfolio project, but every item below is a hard requirement before this could hold real customer data.</w:t>
      </w:r>
    </w:p>
    <w:p>
      <w:pPr>
        <w:spacing w:after="160"/>
      </w:pPr>
      <w:r>
        <w:rPr>
          <w:i/>
          <w:iCs/>
          <w:color w:val="5B6770"/>
        </w:rPr>
        <w:t xml:space="preserve">Update (July 2026): the Data Stewardship Console was previously unauthenticated; it now requires sign-in and enforces the dataSteward/dataOwner role check (see the Design Document, Sections 4.1 and 7.2), sharing a browser-side session token with the Portal so a user signs in once per browser session rather than twice. This closes that specific internal gap, but it is lightweight app-level session sharing, not the enterprise SSO/SAML/OIDC federation called for below, which remains an open requirement.</w:t>
      </w:r>
    </w:p>
    <w:p>
      <w:pPr>
        <w:pStyle w:val="ListParagraph"/>
        <w:numPr>
          <w:ilvl w:val="0"/>
          <w:numId w:val="2"/>
        </w:numPr>
        <w:spacing w:after="100"/>
      </w:pPr>
      <w:r>
        <w:t xml:space="preserve">Replace bcrypt + bearer tokens with enterprise SSO/SAML/OIDC via an identity provider (Okta, Azure AD, PingFederate), plus MFA and short-lived access tokens with refresh tokens instead of a flat 8-hour session.</w:t>
      </w:r>
    </w:p>
    <w:p>
      <w:pPr>
        <w:pStyle w:val="ListParagraph"/>
        <w:numPr>
          <w:ilvl w:val="0"/>
          <w:numId w:val="2"/>
        </w:numPr>
        <w:spacing w:after="100"/>
      </w:pPr>
      <w:r>
        <w:t xml:space="preserve">Add field-level masking and attribute-based access control — the current read/read_write/none gold_access flag is coarse; PII fields (SSN, DOB, etc.) typically need masking independent of general read access, especially with four distinct roles now in play.</w:t>
      </w:r>
    </w:p>
    <w:p>
      <w:pPr>
        <w:pStyle w:val="ListParagraph"/>
        <w:numPr>
          <w:ilvl w:val="0"/>
          <w:numId w:val="2"/>
        </w:numPr>
        <w:spacing w:after="100"/>
      </w:pPr>
      <w:r>
        <w:t xml:space="preserve">Log who viewed sensitive records, not just who edited them — required for SOX/GDPR/HIPAA-style compliance depending on the data domain.</w:t>
      </w:r>
    </w:p>
    <w:p>
      <w:pPr>
        <w:pStyle w:val="ListParagraph"/>
        <w:numPr>
          <w:ilvl w:val="0"/>
          <w:numId w:val="2"/>
        </w:numPr>
        <w:spacing w:after="100"/>
      </w:pPr>
      <w:r>
        <w:t xml:space="preserve">Move secrets (e.g., ANTHROPIC_API_KEY) out of plain environment variables and into a secrets manager (Vault, AWS Secrets Manager, Azure Key Vault).</w:t>
      </w:r>
    </w:p>
    <w:p>
      <w:pPr>
        <w:pStyle w:val="ListParagraph"/>
        <w:numPr>
          <w:ilvl w:val="0"/>
          <w:numId w:val="2"/>
        </w:numPr>
        <w:spacing w:after="100"/>
      </w:pPr>
      <w:r>
        <w:t xml:space="preserve">Add rate limiting, a WAF, and systematic input validation hardening at the API layer.</w:t>
      </w:r>
    </w:p>
    <w:p>
      <w:pPr>
        <w:pStyle w:val="Heading1"/>
      </w:pPr>
      <w:r>
        <w:t xml:space="preserve">5. API &amp; Integration</w:t>
      </w:r>
    </w:p>
    <w:p>
      <w:pPr>
        <w:spacing w:after="160"/>
      </w:pPr>
      <w:r>
        <w:rPr>
          <w:i/>
          <w:iCs/>
          <w:color w:val="5B6770"/>
        </w:rPr>
        <w:t xml:space="preserve">The REST API is a clean, well-documented surface for a demo, but enterprise consumers need more than point-in-time CRUD over HTTP.</w:t>
      </w:r>
    </w:p>
    <w:p>
      <w:pPr>
        <w:pStyle w:val="ListParagraph"/>
        <w:numPr>
          <w:ilvl w:val="0"/>
          <w:numId w:val="2"/>
        </w:numPr>
        <w:spacing w:after="100"/>
      </w:pPr>
      <w:r>
        <w:t xml:space="preserve">Adopt a formal API versioning and deprecation policy beyond the /v1 URL prefix convention, backed by contract tests.</w:t>
      </w:r>
    </w:p>
    <w:p>
      <w:pPr>
        <w:pStyle w:val="ListParagraph"/>
        <w:numPr>
          <w:ilvl w:val="0"/>
          <w:numId w:val="2"/>
        </w:numPr>
        <w:spacing w:after="100"/>
      </w:pPr>
      <w:r>
        <w:t xml:space="preserve">Add event-driven integration (Kafka or an equivalent event bus) so downstream systems can subscribe to golden-record change events instead of polling REST endpoints.</w:t>
      </w:r>
    </w:p>
    <w:p>
      <w:pPr>
        <w:pStyle w:val="ListParagraph"/>
        <w:numPr>
          <w:ilvl w:val="0"/>
          <w:numId w:val="2"/>
        </w:numPr>
        <w:spacing w:after="100"/>
      </w:pPr>
      <w:r>
        <w:t xml:space="preserve">Add bulk import/export endpoints — enterprise consumers frequently need batch operations, not just row-by-row calls.</w:t>
      </w:r>
    </w:p>
    <w:p>
      <w:pPr>
        <w:pStyle w:val="ListParagraph"/>
        <w:numPr>
          <w:ilvl w:val="0"/>
          <w:numId w:val="2"/>
        </w:numPr>
        <w:spacing w:after="100"/>
      </w:pPr>
      <w:r>
        <w:t xml:space="preserve">Add idempotency keys on write endpoints so retried PUT/POST calls can’t cause duplicate processing in a distributed deployment.</w:t>
      </w:r>
    </w:p>
    <w:p>
      <w:pPr>
        <w:pStyle w:val="Heading1"/>
      </w:pPr>
      <w:r>
        <w:t xml:space="preserve">6. Reliability &amp; Operations</w:t>
      </w:r>
    </w:p>
    <w:p>
      <w:pPr>
        <w:spacing w:after="160"/>
      </w:pPr>
      <w:r>
        <w:rPr>
          <w:i/>
          <w:iCs/>
          <w:color w:val="5B6770"/>
        </w:rPr>
        <w:t xml:space="preserve">There is currently no automated testing, monitoring, or disaster recovery story — acceptable for a local demo, disqualifying for production.</w:t>
      </w:r>
    </w:p>
    <w:p>
      <w:pPr>
        <w:pStyle w:val="ListParagraph"/>
        <w:numPr>
          <w:ilvl w:val="0"/>
          <w:numId w:val="2"/>
        </w:numPr>
        <w:spacing w:after="100"/>
      </w:pPr>
      <w:r>
        <w:t xml:space="preserve">Add automated tests: dbt schema tests (unique, not_null, relationships) on the silver/gold models — currently only the bronze sources have a schema.yml — plus a pytest suite for the API.</w:t>
      </w:r>
    </w:p>
    <w:p>
      <w:pPr>
        <w:pStyle w:val="ListParagraph"/>
        <w:numPr>
          <w:ilvl w:val="0"/>
          <w:numId w:val="2"/>
        </w:numPr>
        <w:spacing w:after="100"/>
      </w:pPr>
      <w:r>
        <w:t xml:space="preserve">Add structured logging, metrics (Prometheus/Datadog), and alerting; today, failures only surface in a local console.</w:t>
      </w:r>
    </w:p>
    <w:p>
      <w:pPr>
        <w:pStyle w:val="ListParagraph"/>
        <w:numPr>
          <w:ilvl w:val="0"/>
          <w:numId w:val="2"/>
        </w:numPr>
        <w:spacing w:after="100"/>
      </w:pPr>
      <w:r>
        <w:t xml:space="preserve">Add a backup and disaster recovery plan (replication, point-in-time recovery, failover) — a single .duckdb file has none of this.</w:t>
      </w:r>
    </w:p>
    <w:p>
      <w:pPr>
        <w:pStyle w:val="ListParagraph"/>
        <w:numPr>
          <w:ilvl w:val="0"/>
          <w:numId w:val="2"/>
        </w:numPr>
        <w:spacing w:after="100"/>
      </w:pPr>
      <w:r>
        <w:t xml:space="preserve">Run load and performance testing against realistic enterprise data volumes; the synthetic demo dataset is intentionally small.</w:t>
      </w:r>
    </w:p>
    <w:p>
      <w:pPr>
        <w:pStyle w:val="ListParagraph"/>
        <w:numPr>
          <w:ilvl w:val="0"/>
          <w:numId w:val="2"/>
        </w:numPr>
        <w:spacing w:after="100"/>
      </w:pPr>
      <w:r>
        <w:t xml:space="preserve">Pin and vulnerability-scan all dependencies (pandas, numpy, scikit-learn, faker, fastapi, uvicorn, anthropic, and pydantic are currently unpinned in requirements.txt) using Dependabot, Snyk, or equivalent.</w:t>
      </w:r>
    </w:p>
    <w:p>
      <w:pPr>
        <w:pStyle w:val="Heading1"/>
      </w:pPr>
      <w:r>
        <w:t xml:space="preserve">7. Organizational &amp; Process Considerations</w:t>
      </w:r>
    </w:p>
    <w:p>
      <w:pPr>
        <w:spacing w:after="160"/>
      </w:pPr>
      <w:r>
        <w:rPr>
          <w:i/>
          <w:iCs/>
          <w:color w:val="5B6770"/>
        </w:rPr>
        <w:t xml:space="preserve">Technology changes alone aren’t sufficient — enterprise MDM programs typically succeed or fail on governance process, not code.</w:t>
      </w:r>
    </w:p>
    <w:p>
      <w:pPr>
        <w:pStyle w:val="ListParagraph"/>
        <w:numPr>
          <w:ilvl w:val="0"/>
          <w:numId w:val="2"/>
        </w:numPr>
        <w:spacing w:after="100"/>
      </w:pPr>
      <w:r>
        <w:t xml:space="preserve">Define a data stewardship RACI and SLA process — who approves what, escalation paths, and queue-aging targets — rather than a single flat exception queue.</w:t>
      </w:r>
    </w:p>
    <w:p>
      <w:pPr>
        <w:pStyle w:val="ListParagraph"/>
        <w:numPr>
          <w:ilvl w:val="0"/>
          <w:numId w:val="2"/>
        </w:numPr>
        <w:spacing w:after="100"/>
      </w:pPr>
      <w:r>
        <w:t xml:space="preserve">Introduce change management for metadata changes; editing column_rules.csv or lineage_edges.csv today is a direct file edit with no review, approval, or version history.</w:t>
      </w:r>
    </w:p>
    <w:p>
      <w:pPr>
        <w:pStyle w:val="ListParagraph"/>
        <w:numPr>
          <w:ilvl w:val="0"/>
          <w:numId w:val="2"/>
        </w:numPr>
        <w:spacing w:after="100"/>
      </w:pPr>
      <w:r>
        <w:t xml:space="preserve">Add model governance around the AI-assisted remediation feature — prompt versioning, output validation, and bias/accuracy monitoring over time — building on the human-in-the-loop approval step that already exists.</w:t>
      </w:r>
    </w:p>
    <w:p>
      <w:pPr>
        <w:pStyle w:val="Heading1"/>
      </w:pPr>
      <w:r>
        <w:t xml:space="preserve">Suggested Phased Roadmap</w:t>
      </w:r>
    </w:p>
    <w:p>
      <w:pPr>
        <w:spacing w:after="160"/>
      </w:pPr>
      <w:r>
        <w:rPr>
          <w:i/>
          <w:iCs/>
          <w:color w:val="5B6770"/>
        </w:rPr>
        <w:t xml:space="preserve">A rough sequencing for the work above — platform and security first, since core MDM uplift and governance both depend on having a real multi-user data platform underneath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2"/>
              <w:left w:val="single" w:color="CCCCCC" w:sz="2"/>
              <w:bottom w:val="single" w:color="CCCCCC" w:sz="2"/>
              <w:right w:val="single" w:color="CCCCCC" w:sz="2"/>
            </w:tcBorders>
            <w:shd w:fill="1F4E5F" w:val="clear"/>
            <w:tcMar>
              <w:top w:type="dxa" w:w="100"/>
              <w:left w:type="dxa" w:w="120"/>
              <w:bottom w:type="dxa" w:w="100"/>
              <w:right w:type="dxa" w:w="120"/>
            </w:tcMar>
            <w:vAlign w:val="center"/>
          </w:tcPr>
          <w:p>
            <w:r>
              <w:rPr>
                <w:b/>
                <w:bCs/>
                <w:color w:val="FFFFFF"/>
                <w:sz w:val="20"/>
                <w:szCs w:val="20"/>
              </w:rPr>
              <w:t xml:space="preserve">Phase</w:t>
            </w:r>
          </w:p>
        </w:tc>
        <w:tc>
          <w:tcPr>
            <w:tcW w:type="dxa" w:w="2400"/>
            <w:tcBorders>
              <w:top w:val="single" w:color="CCCCCC" w:sz="2"/>
              <w:left w:val="single" w:color="CCCCCC" w:sz="2"/>
              <w:bottom w:val="single" w:color="CCCCCC" w:sz="2"/>
              <w:right w:val="single" w:color="CCCCCC" w:sz="2"/>
            </w:tcBorders>
            <w:shd w:fill="1F4E5F" w:val="clear"/>
            <w:tcMar>
              <w:top w:type="dxa" w:w="100"/>
              <w:left w:type="dxa" w:w="120"/>
              <w:bottom w:type="dxa" w:w="100"/>
              <w:right w:type="dxa" w:w="120"/>
            </w:tcMar>
            <w:vAlign w:val="center"/>
          </w:tcPr>
          <w:p>
            <w:r>
              <w:rPr>
                <w:b/>
                <w:bCs/>
                <w:color w:val="FFFFFF"/>
                <w:sz w:val="20"/>
                <w:szCs w:val="20"/>
              </w:rPr>
              <w:t xml:space="preserve">Focus</w:t>
            </w:r>
          </w:p>
        </w:tc>
        <w:tc>
          <w:tcPr>
            <w:tcW w:type="dxa" w:w="4760"/>
            <w:tcBorders>
              <w:top w:val="single" w:color="CCCCCC" w:sz="2"/>
              <w:left w:val="single" w:color="CCCCCC" w:sz="2"/>
              <w:bottom w:val="single" w:color="CCCCCC" w:sz="2"/>
              <w:right w:val="single" w:color="CCCCCC" w:sz="2"/>
            </w:tcBorders>
            <w:shd w:fill="1F4E5F" w:val="clear"/>
            <w:tcMar>
              <w:top w:type="dxa" w:w="100"/>
              <w:left w:type="dxa" w:w="120"/>
              <w:bottom w:type="dxa" w:w="100"/>
              <w:right w:type="dxa" w:w="120"/>
            </w:tcMar>
            <w:vAlign w:val="center"/>
          </w:tcPr>
          <w:p>
            <w:r>
              <w:rPr>
                <w:b/>
                <w:bCs/>
                <w:color w:val="FFFFFF"/>
                <w:sz w:val="20"/>
                <w:szCs w:val="20"/>
              </w:rPr>
              <w:t xml:space="preserve">Representative work</w:t>
            </w:r>
          </w:p>
        </w:tc>
      </w:tr>
      <w:tr>
        <w:tc>
          <w:tcPr>
            <w:tcW w:type="dxa" w:w="220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bCs/>
                <w:sz w:val="20"/>
                <w:szCs w:val="20"/>
              </w:rPr>
              <w:t xml:space="preserve">Phase 1 — Foundation</w:t>
            </w:r>
          </w:p>
        </w:tc>
        <w:tc>
          <w:tcPr>
            <w:tcW w:type="dxa" w:w="240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val="false"/>
                <w:bCs w:val="false"/>
                <w:sz w:val="20"/>
                <w:szCs w:val="20"/>
              </w:rPr>
              <w:t xml:space="preserve">Platform &amp; security baseline</w:t>
            </w:r>
          </w:p>
        </w:tc>
        <w:tc>
          <w:tcPr>
            <w:tcW w:type="dxa" w:w="476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val="false"/>
                <w:bCs w:val="false"/>
                <w:sz w:val="20"/>
                <w:szCs w:val="20"/>
              </w:rPr>
              <w:t xml:space="preserve">Migrate off single-file DuckDB, add CI/CD, containerize, adopt enterprise SSO/MFA, pin dependencies</w:t>
            </w:r>
          </w:p>
        </w:tc>
      </w:tr>
      <w:tr>
        <w:tc>
          <w:tcPr>
            <w:tcW w:type="dxa" w:w="2200"/>
            <w:tcBorders>
              <w:top w:val="single" w:color="CCCCCC" w:sz="2"/>
              <w:left w:val="single" w:color="CCCCCC" w:sz="2"/>
              <w:bottom w:val="single" w:color="CCCCCC" w:sz="2"/>
              <w:right w:val="single" w:color="CCCCCC" w:sz="2"/>
            </w:tcBorders>
            <w:shd w:fill="DCEAF0" w:val="clear"/>
            <w:tcMar>
              <w:top w:type="dxa" w:w="90"/>
              <w:left w:type="dxa" w:w="120"/>
              <w:bottom w:type="dxa" w:w="90"/>
              <w:right w:type="dxa" w:w="120"/>
            </w:tcMar>
            <w:vAlign w:val="center"/>
          </w:tcPr>
          <w:p>
            <w:r>
              <w:rPr>
                <w:b/>
                <w:bCs/>
                <w:sz w:val="20"/>
                <w:szCs w:val="20"/>
              </w:rPr>
              <w:t xml:space="preserve">Phase 2 — Core MDM Uplift</w:t>
            </w:r>
          </w:p>
        </w:tc>
        <w:tc>
          <w:tcPr>
            <w:tcW w:type="dxa" w:w="2400"/>
            <w:tcBorders>
              <w:top w:val="single" w:color="CCCCCC" w:sz="2"/>
              <w:left w:val="single" w:color="CCCCCC" w:sz="2"/>
              <w:bottom w:val="single" w:color="CCCCCC" w:sz="2"/>
              <w:right w:val="single" w:color="CCCCCC" w:sz="2"/>
            </w:tcBorders>
            <w:shd w:fill="DCEAF0" w:val="clear"/>
            <w:tcMar>
              <w:top w:type="dxa" w:w="90"/>
              <w:left w:type="dxa" w:w="120"/>
              <w:bottom w:type="dxa" w:w="90"/>
              <w:right w:type="dxa" w:w="120"/>
            </w:tcMar>
            <w:vAlign w:val="center"/>
          </w:tcPr>
          <w:p>
            <w:r>
              <w:rPr>
                <w:b w:val="false"/>
                <w:bCs w:val="false"/>
                <w:sz w:val="20"/>
                <w:szCs w:val="20"/>
              </w:rPr>
              <w:t xml:space="preserve">Match/merge/survivorship</w:t>
            </w:r>
          </w:p>
        </w:tc>
        <w:tc>
          <w:tcPr>
            <w:tcW w:type="dxa" w:w="4760"/>
            <w:tcBorders>
              <w:top w:val="single" w:color="CCCCCC" w:sz="2"/>
              <w:left w:val="single" w:color="CCCCCC" w:sz="2"/>
              <w:bottom w:val="single" w:color="CCCCCC" w:sz="2"/>
              <w:right w:val="single" w:color="CCCCCC" w:sz="2"/>
            </w:tcBorders>
            <w:shd w:fill="DCEAF0" w:val="clear"/>
            <w:tcMar>
              <w:top w:type="dxa" w:w="90"/>
              <w:left w:type="dxa" w:w="120"/>
              <w:bottom w:type="dxa" w:w="90"/>
              <w:right w:type="dxa" w:w="120"/>
            </w:tcMar>
            <w:vAlign w:val="center"/>
          </w:tcPr>
          <w:p>
            <w:r>
              <w:rPr>
                <w:b w:val="false"/>
                <w:bCs w:val="false"/>
                <w:sz w:val="20"/>
                <w:szCs w:val="20"/>
              </w:rPr>
              <w:t xml:space="preserve">Advanced probabilistic/ML matching (phonetic algorithms, learned per-field weights) beyond the basic embedding-similarity tier now in place, attribute-level survivorship, merge/unmerge, stable golden IDs</w:t>
            </w:r>
          </w:p>
        </w:tc>
      </w:tr>
      <w:tr>
        <w:tc>
          <w:tcPr>
            <w:tcW w:type="dxa" w:w="220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bCs/>
                <w:sz w:val="20"/>
                <w:szCs w:val="20"/>
              </w:rPr>
              <w:t xml:space="preserve">Phase 3 — Governance &amp; Scale</w:t>
            </w:r>
          </w:p>
        </w:tc>
        <w:tc>
          <w:tcPr>
            <w:tcW w:type="dxa" w:w="240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val="false"/>
                <w:bCs w:val="false"/>
                <w:sz w:val="20"/>
                <w:szCs w:val="20"/>
              </w:rPr>
              <w:t xml:space="preserve">Enterprise governance &amp; operations</w:t>
            </w:r>
          </w:p>
        </w:tc>
        <w:tc>
          <w:tcPr>
            <w:tcW w:type="dxa" w:w="4760"/>
            <w:tcBorders>
              <w:top w:val="single" w:color="CCCCCC" w:sz="2"/>
              <w:left w:val="single" w:color="CCCCCC" w:sz="2"/>
              <w:bottom w:val="single" w:color="CCCCCC" w:sz="2"/>
              <w:right w:val="single" w:color="CCCCCC" w:sz="2"/>
            </w:tcBorders>
            <w:tcMar>
              <w:top w:type="dxa" w:w="90"/>
              <w:left w:type="dxa" w:w="120"/>
              <w:bottom w:type="dxa" w:w="90"/>
              <w:right w:type="dxa" w:w="120"/>
            </w:tcMar>
            <w:vAlign w:val="center"/>
          </w:tcPr>
          <w:p>
            <w:r>
              <w:rPr>
                <w:b w:val="false"/>
                <w:bCs w:val="false"/>
                <w:sz w:val="20"/>
                <w:szCs w:val="20"/>
              </w:rPr>
              <w:t xml:space="preserve">Catalog integration, DQ scorecards, event-driven integration, monitoring/DR, stewardship SLAs</w:t>
            </w:r>
          </w:p>
        </w:tc>
      </w:tr>
    </w:tbl>
    <w:p>
      <w:pPr>
        <w:spacing w:before="300"/>
      </w:pPr>
      <w:r>
        <w:br w:type="page"/>
      </w:r>
    </w:p>
    <w:p>
      <w:pPr>
        <w:pStyle w:val="Heading1"/>
      </w:pPr>
      <w:r>
        <w:t xml:space="preserve">Conclusion</w:t>
      </w:r>
    </w:p>
    <w:p>
      <w:pPr>
        <w:spacing w:after="160"/>
      </w:pPr>
      <w:r>
        <w:t xml:space="preserve">None of the gaps above are criticisms of the demo as it stands — they are the expected distance between a well-built local proof of concept and a production, multi-tenant, regulated enterprise system. The most valuable next step is Phase 1: without a real concurrent-write data platform and enterprise identity underneath it, the more MDM-specific improvements in Phase 2 (matching, survivorship, merge/unmerge) can’t be safely tested or operated at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B6770"/>
        <w:sz w:val="16"/>
        <w:szCs w:val="16"/>
      </w:rPr>
      <w:t xml:space="preserve">MDM Medallion Architecture Demo — Enterprise Readiness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8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2026-07-08T16:47:04.810Z</dcterms:created>
  <dcterms:modified xsi:type="dcterms:W3CDTF">2026-07-08T16:47:04.811Z</dcterms:modified>
</cp:coreProperties>
</file>

<file path=docProps/custom.xml><?xml version="1.0" encoding="utf-8"?>
<Properties xmlns="http://schemas.openxmlformats.org/officeDocument/2006/custom-properties" xmlns:vt="http://schemas.openxmlformats.org/officeDocument/2006/docPropsVTypes"/>
</file>