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0DE9" w14:textId="77777777" w:rsidR="005C6DD3" w:rsidRPr="00103F77" w:rsidRDefault="00E70926">
      <w:pPr>
        <w:rPr>
          <w:lang w:val="ru-RU"/>
        </w:rPr>
      </w:pPr>
      <w:r w:rsidRPr="00103F77">
        <w:rPr>
          <w:lang w:val="ru-RU"/>
        </w:rPr>
        <w:t>УДК 330.131.7:004.8</w:t>
      </w:r>
    </w:p>
    <w:p w14:paraId="1D077398" w14:textId="77777777" w:rsidR="005C6DD3" w:rsidRPr="00103F77" w:rsidRDefault="00E70926">
      <w:pPr>
        <w:rPr>
          <w:lang w:val="ru-RU"/>
        </w:rPr>
      </w:pPr>
      <w:r w:rsidRPr="00103F77">
        <w:rPr>
          <w:b/>
          <w:lang w:val="ru-RU"/>
        </w:rPr>
        <w:t>Эволюция подходов к предынвестиционному анализу в современной экосистеме венчурного финансирования</w:t>
      </w:r>
    </w:p>
    <w:p w14:paraId="41EA60CA" w14:textId="77777777" w:rsidR="005C6DD3" w:rsidRPr="00103F77" w:rsidRDefault="00E70926">
      <w:pPr>
        <w:rPr>
          <w:lang w:val="ru-RU"/>
        </w:rPr>
      </w:pPr>
      <w:proofErr w:type="spellStart"/>
      <w:r w:rsidRPr="00103F77">
        <w:rPr>
          <w:lang w:val="ru-RU"/>
        </w:rPr>
        <w:t>Балтян</w:t>
      </w:r>
      <w:proofErr w:type="spellEnd"/>
      <w:r w:rsidRPr="00103F77">
        <w:rPr>
          <w:lang w:val="ru-RU"/>
        </w:rPr>
        <w:t xml:space="preserve"> М. А., Галкин З. В., студенты 3 курса кафедры ИБМ7</w:t>
      </w:r>
    </w:p>
    <w:p w14:paraId="579005AA" w14:textId="77777777" w:rsidR="005C6DD3" w:rsidRPr="00103F77" w:rsidRDefault="00E70926">
      <w:pPr>
        <w:ind w:firstLine="709"/>
        <w:jc w:val="both"/>
        <w:rPr>
          <w:lang w:val="ru-RU"/>
        </w:rPr>
      </w:pPr>
      <w:r w:rsidRPr="00103F77">
        <w:rPr>
          <w:lang w:val="ru-RU"/>
        </w:rPr>
        <w:t>Современная российская экосистема венчурного финансирования проходит стадию глубокой структурной трансформации. Уход международных инвестиционных фондов и переориентация капитала на внутренний рынок привели к консолидации отрасли. Наблюдается парадоксальная ситуация: при общем снижении количества посевных сделок средний объем инвестиций кратно возрастает. Инвесторы концентрируют капитал на более зрелых проектах с понятной бизнес-моделью, стремясь минимизировать риски в условиях макроэкономической неопределе</w:t>
      </w:r>
      <w:r w:rsidRPr="00103F77">
        <w:rPr>
          <w:lang w:val="ru-RU"/>
        </w:rPr>
        <w:t>нности [1]. В такой конфигурации экосистемы цена управленческой ошибки становится критической, что предъявляет принципиально новые требования к качеству отбора инновационных проектов.</w:t>
      </w:r>
    </w:p>
    <w:p w14:paraId="4B363442" w14:textId="77777777" w:rsidR="005C6DD3" w:rsidRPr="00103F77" w:rsidRDefault="00E70926">
      <w:pPr>
        <w:ind w:firstLine="709"/>
        <w:jc w:val="both"/>
        <w:rPr>
          <w:lang w:val="ru-RU"/>
        </w:rPr>
      </w:pPr>
      <w:r w:rsidRPr="00103F77">
        <w:rPr>
          <w:lang w:val="ru-RU"/>
        </w:rPr>
        <w:t>Традиционная архитектура предынвестиционного анализа (</w:t>
      </w:r>
      <w:r>
        <w:t>due</w:t>
      </w:r>
      <w:r w:rsidRPr="00103F77">
        <w:rPr>
          <w:lang w:val="ru-RU"/>
        </w:rPr>
        <w:t xml:space="preserve"> </w:t>
      </w:r>
      <w:r>
        <w:t>diligence</w:t>
      </w:r>
      <w:r w:rsidRPr="00103F77">
        <w:rPr>
          <w:lang w:val="ru-RU"/>
        </w:rPr>
        <w:t>) опирается на ручной экспертный труд. Венчурные фонды и синдикаты бизнес-ангелов привлекают профильных аналитиков для оценки технологической реализуемости, рыночного потенциала и финансовой устойчивости стартапа. Данный процесс характеризуется высокой степенью субъективности, занимает от нескольких недель до месяцев и требует значительных финансовых издержек. В результате возникает аналитическое «бутылочное горлышко»: инвесторы физически не способны качественно проанализировать тысячи проектов, генерируемы</w:t>
      </w:r>
      <w:r w:rsidRPr="00103F77">
        <w:rPr>
          <w:lang w:val="ru-RU"/>
        </w:rPr>
        <w:t>х университетскими акселераторами и государственными инновационными хабами [2]. Существующие на рынке цифровые решения преимущественно выполняют функцию витрин или агрегаторов юридических лиц, не предоставляя предиктивной аналитики.</w:t>
      </w:r>
    </w:p>
    <w:p w14:paraId="797F9839" w14:textId="77777777" w:rsidR="005C6DD3" w:rsidRPr="00103F77" w:rsidRDefault="00E70926">
      <w:pPr>
        <w:ind w:firstLine="709"/>
        <w:jc w:val="both"/>
        <w:rPr>
          <w:lang w:val="ru-RU"/>
        </w:rPr>
      </w:pPr>
      <w:r w:rsidRPr="00103F77">
        <w:rPr>
          <w:lang w:val="ru-RU"/>
        </w:rPr>
        <w:t>Для преодоления этого барьера необходим переход от ручного скрининга к интеллектуальному скаутингу на основе объективных данных. Разрабатываемая авторами система автоматизированной оценки (</w:t>
      </w:r>
      <w:proofErr w:type="spellStart"/>
      <w:r>
        <w:t>AutoScoutBot</w:t>
      </w:r>
      <w:proofErr w:type="spellEnd"/>
      <w:r w:rsidRPr="00103F77">
        <w:rPr>
          <w:lang w:val="ru-RU"/>
        </w:rPr>
        <w:t>) предлагает новую парадигму анализа внутри венчурной экосистемы. Архитектура решения базируется на интеграции открытых государственных реестров (ЕГРЮЛ, БФО ФНС) и алгоритмов машинного обучения.</w:t>
      </w:r>
    </w:p>
    <w:p w14:paraId="2EFFB127" w14:textId="77777777" w:rsidR="005C6DD3" w:rsidRPr="00103F77" w:rsidRDefault="00E70926">
      <w:pPr>
        <w:ind w:firstLine="709"/>
        <w:jc w:val="both"/>
        <w:rPr>
          <w:lang w:val="ru-RU"/>
        </w:rPr>
      </w:pPr>
      <w:r w:rsidRPr="00103F77">
        <w:rPr>
          <w:lang w:val="ru-RU"/>
        </w:rPr>
        <w:t xml:space="preserve">В отличие от классического консалтинга, система в режиме реального времени агрегирует финансовую отчетность стартапа и рассчитывает комплекс метрик: от базовых коэффициентов ликвидности до многофакторных моделей прогнозирования вероятности банкротства (например, </w:t>
      </w:r>
      <w:r>
        <w:t>Z</w:t>
      </w:r>
      <w:r w:rsidRPr="00103F77">
        <w:rPr>
          <w:lang w:val="ru-RU"/>
        </w:rPr>
        <w:t xml:space="preserve">-модель Альтмана). Параллельно алгоритмы градиентного </w:t>
      </w:r>
      <w:proofErr w:type="spellStart"/>
      <w:r w:rsidRPr="00103F77">
        <w:rPr>
          <w:lang w:val="ru-RU"/>
        </w:rPr>
        <w:t>бустинга</w:t>
      </w:r>
      <w:proofErr w:type="spellEnd"/>
      <w:r w:rsidRPr="00103F77">
        <w:rPr>
          <w:lang w:val="ru-RU"/>
        </w:rPr>
        <w:t xml:space="preserve"> анализируют нефинансовые параметры проекта, в частности, уровни технологической, инвестиционной и коммерческой готовности (</w:t>
      </w:r>
      <w:r>
        <w:t>TRL</w:t>
      </w:r>
      <w:r w:rsidRPr="00103F77">
        <w:rPr>
          <w:lang w:val="ru-RU"/>
        </w:rPr>
        <w:t xml:space="preserve">, </w:t>
      </w:r>
      <w:r>
        <w:t>IRL</w:t>
      </w:r>
      <w:r w:rsidRPr="00103F77">
        <w:rPr>
          <w:lang w:val="ru-RU"/>
        </w:rPr>
        <w:t xml:space="preserve">, </w:t>
      </w:r>
      <w:r>
        <w:t>CRL</w:t>
      </w:r>
      <w:r w:rsidRPr="00103F77">
        <w:rPr>
          <w:lang w:val="ru-RU"/>
        </w:rPr>
        <w:t>). Применение методов интерпретируемого машинного обучения позволяет не просто выдать бинарный результат, но и сформировать прозрачную карту риск-факторов для инвестора [3].</w:t>
      </w:r>
    </w:p>
    <w:p w14:paraId="223BF51E" w14:textId="77777777" w:rsidR="005C6DD3" w:rsidRPr="00103F77" w:rsidRDefault="00E70926">
      <w:pPr>
        <w:ind w:firstLine="709"/>
        <w:jc w:val="both"/>
        <w:rPr>
          <w:lang w:val="ru-RU"/>
        </w:rPr>
      </w:pPr>
      <w:r w:rsidRPr="00103F77">
        <w:rPr>
          <w:lang w:val="ru-RU"/>
        </w:rPr>
        <w:t>Фундаментом аналитического ядра выступает постоянно пополняемая база данных оцененных стартапов. Накопление исторических сведений о привлеченных раундах, изменениях финансовых показателей и закрытиях проектов позволяет модели непрерывно самообучаться. Система отслеживает траекторию развития кейсов в динамике, автоматически калибруя веса различных метрик при изменении макроэкономической конъюнктуры или отраслевых трендов.</w:t>
      </w:r>
    </w:p>
    <w:p w14:paraId="71375277" w14:textId="77777777" w:rsidR="005C6DD3" w:rsidRPr="00103F77" w:rsidRDefault="00E70926">
      <w:pPr>
        <w:ind w:firstLine="709"/>
        <w:jc w:val="both"/>
        <w:rPr>
          <w:lang w:val="ru-RU"/>
        </w:rPr>
      </w:pPr>
      <w:r w:rsidRPr="00103F77">
        <w:rPr>
          <w:lang w:val="ru-RU"/>
        </w:rPr>
        <w:t xml:space="preserve">Внедрение подобных автоматизированных систем радикально меняет ландшафт венчурной экосистемы. Снижение транзакционных издержек на первичный анализ проектов позволяет инвесторам расширить воронку рассматриваемых стартапов, а самим технологическим предпринимателям — получить объективную обратную связь о слабых местах своего бизнеса до выхода на инвестиционный комитет. Таким образом, </w:t>
      </w:r>
      <w:r w:rsidRPr="00103F77">
        <w:rPr>
          <w:lang w:val="ru-RU"/>
        </w:rPr>
        <w:lastRenderedPageBreak/>
        <w:t>интеллектуальный скаутинг становится не просто инструментом локальной оптимизации, а драйвером повышения эффективности всей национальной инновационной инфраструктуры.</w:t>
      </w:r>
    </w:p>
    <w:p w14:paraId="0998DB7E" w14:textId="77777777" w:rsidR="00103F77" w:rsidRDefault="00103F77">
      <w:pPr>
        <w:jc w:val="center"/>
        <w:rPr>
          <w:b/>
          <w:bCs/>
          <w:lang w:val="ru-RU"/>
        </w:rPr>
      </w:pPr>
    </w:p>
    <w:p w14:paraId="7263A5E0" w14:textId="711D3C22" w:rsidR="005C6DD3" w:rsidRPr="00103F77" w:rsidRDefault="00E70926">
      <w:pPr>
        <w:jc w:val="center"/>
        <w:rPr>
          <w:b/>
          <w:bCs/>
          <w:lang w:val="ru-RU"/>
        </w:rPr>
      </w:pPr>
      <w:r w:rsidRPr="00103F77">
        <w:rPr>
          <w:b/>
          <w:bCs/>
          <w:lang w:val="ru-RU"/>
        </w:rPr>
        <w:t>Список литературы</w:t>
      </w:r>
    </w:p>
    <w:p w14:paraId="73DF6BF2" w14:textId="77777777" w:rsidR="005C6DD3" w:rsidRPr="00103F77" w:rsidRDefault="00E70926">
      <w:pPr>
        <w:ind w:firstLine="709"/>
        <w:jc w:val="both"/>
        <w:rPr>
          <w:lang w:val="ru-RU"/>
        </w:rPr>
      </w:pPr>
      <w:r w:rsidRPr="00103F77">
        <w:rPr>
          <w:lang w:val="ru-RU"/>
        </w:rPr>
        <w:t xml:space="preserve">1. Каширин, А. И. Венчурное инвестирование в России / А. И. Каширин, А. С. Семенов. – </w:t>
      </w:r>
      <w:proofErr w:type="gramStart"/>
      <w:r w:rsidRPr="00103F77">
        <w:rPr>
          <w:lang w:val="ru-RU"/>
        </w:rPr>
        <w:t>Москва :</w:t>
      </w:r>
      <w:proofErr w:type="gramEnd"/>
      <w:r w:rsidRPr="00103F77">
        <w:rPr>
          <w:lang w:val="ru-RU"/>
        </w:rPr>
        <w:t xml:space="preserve"> Вершина, 2020. – 320 с.</w:t>
      </w:r>
    </w:p>
    <w:p w14:paraId="5D3D2091" w14:textId="77777777" w:rsidR="005C6DD3" w:rsidRPr="00103F77" w:rsidRDefault="00E70926">
      <w:pPr>
        <w:ind w:firstLine="709"/>
        <w:jc w:val="both"/>
        <w:rPr>
          <w:lang w:val="ru-RU"/>
        </w:rPr>
      </w:pPr>
      <w:r w:rsidRPr="00103F77">
        <w:rPr>
          <w:lang w:val="ru-RU"/>
        </w:rPr>
        <w:t xml:space="preserve">2. Рогова, Е. М. Венчурный </w:t>
      </w:r>
      <w:proofErr w:type="gramStart"/>
      <w:r w:rsidRPr="00103F77">
        <w:rPr>
          <w:lang w:val="ru-RU"/>
        </w:rPr>
        <w:t>менеджмент :</w:t>
      </w:r>
      <w:proofErr w:type="gramEnd"/>
      <w:r w:rsidRPr="00103F77">
        <w:rPr>
          <w:lang w:val="ru-RU"/>
        </w:rPr>
        <w:t xml:space="preserve"> учебник для вузов / Е. М. Рогова, Е. А. Ткаченко, Э. А. </w:t>
      </w:r>
      <w:proofErr w:type="spellStart"/>
      <w:r w:rsidRPr="00103F77">
        <w:rPr>
          <w:lang w:val="ru-RU"/>
        </w:rPr>
        <w:t>Фияксель</w:t>
      </w:r>
      <w:proofErr w:type="spellEnd"/>
      <w:r w:rsidRPr="00103F77">
        <w:rPr>
          <w:lang w:val="ru-RU"/>
        </w:rPr>
        <w:t xml:space="preserve">. – </w:t>
      </w:r>
      <w:proofErr w:type="gramStart"/>
      <w:r w:rsidRPr="00103F77">
        <w:rPr>
          <w:lang w:val="ru-RU"/>
        </w:rPr>
        <w:t>Москва :</w:t>
      </w:r>
      <w:proofErr w:type="gramEnd"/>
      <w:r w:rsidRPr="00103F77">
        <w:rPr>
          <w:lang w:val="ru-RU"/>
        </w:rPr>
        <w:t xml:space="preserve"> Издательство </w:t>
      </w:r>
      <w:proofErr w:type="spellStart"/>
      <w:r w:rsidRPr="00103F77">
        <w:rPr>
          <w:lang w:val="ru-RU"/>
        </w:rPr>
        <w:t>Юрайт</w:t>
      </w:r>
      <w:proofErr w:type="spellEnd"/>
      <w:r w:rsidRPr="00103F77">
        <w:rPr>
          <w:lang w:val="ru-RU"/>
        </w:rPr>
        <w:t>, 2024. – 440 с.</w:t>
      </w:r>
    </w:p>
    <w:p w14:paraId="0D174C0C" w14:textId="77777777" w:rsidR="005C6DD3" w:rsidRDefault="00E70926">
      <w:pPr>
        <w:ind w:firstLine="709"/>
        <w:jc w:val="both"/>
      </w:pPr>
      <w:r>
        <w:t>3. Altman, E. I. Financial distress prediction in an international context: A review and empirical analysis of Altman's Z-score model / E. I. Altman, M. Iwanicz-Drozdowska, E. K. Laitinen, A. Suvas // Journal of International Financial Markets, Institutions and Money. – 2017. – Vol. 51. – P. 131-171.</w:t>
      </w:r>
    </w:p>
    <w:sectPr w:rsidR="005C6DD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969429">
    <w:abstractNumId w:val="8"/>
  </w:num>
  <w:num w:numId="2" w16cid:durableId="1640762287">
    <w:abstractNumId w:val="6"/>
  </w:num>
  <w:num w:numId="3" w16cid:durableId="754402691">
    <w:abstractNumId w:val="5"/>
  </w:num>
  <w:num w:numId="4" w16cid:durableId="521865524">
    <w:abstractNumId w:val="4"/>
  </w:num>
  <w:num w:numId="5" w16cid:durableId="217517364">
    <w:abstractNumId w:val="7"/>
  </w:num>
  <w:num w:numId="6" w16cid:durableId="111363305">
    <w:abstractNumId w:val="3"/>
  </w:num>
  <w:num w:numId="7" w16cid:durableId="1585453981">
    <w:abstractNumId w:val="2"/>
  </w:num>
  <w:num w:numId="8" w16cid:durableId="521675245">
    <w:abstractNumId w:val="1"/>
  </w:num>
  <w:num w:numId="9" w16cid:durableId="4091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F77"/>
    <w:rsid w:val="0015074B"/>
    <w:rsid w:val="0029639D"/>
    <w:rsid w:val="00326F90"/>
    <w:rsid w:val="005C6DD3"/>
    <w:rsid w:val="00AA1D8D"/>
    <w:rsid w:val="00AA4242"/>
    <w:rsid w:val="00B47730"/>
    <w:rsid w:val="00CB0664"/>
    <w:rsid w:val="00E70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6897150-7CA3-42D7-BF6F-6C280DD9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Б.</cp:lastModifiedBy>
  <cp:revision>2</cp:revision>
  <dcterms:created xsi:type="dcterms:W3CDTF">2013-12-23T23:15:00Z</dcterms:created>
  <dcterms:modified xsi:type="dcterms:W3CDTF">2026-04-06T06:58:00Z</dcterms:modified>
  <cp:category/>
</cp:coreProperties>
</file>