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Transaction and Fraud Dashboard Report</w:t>
      </w:r>
    </w:p>
    <w:p>
      <w:pPr>
        <w:spacing w:after="240"/>
      </w:pPr>
      <w:r>
        <w:rPr>
          <w:b/>
          <w:color w:val="007C91"/>
          <w:sz w:val="22"/>
        </w:rPr>
        <w:t>Power BI KPI page review</w:t>
      </w:r>
    </w:p>
    <w:p>
      <w:pPr>
        <w:pStyle w:val="Heading1"/>
      </w:pPr>
      <w:r>
        <w:t>Executive summary</w:t>
      </w:r>
    </w:p>
    <w:p>
      <w:r>
        <w:t>The dashboard presents a high-level view of transaction volume and value, account balances, flagged transactions, and alert categories. It displays 1,323,234 total transactions, a total transaction amount of 153.48bn, 10K accounts, and 1,719 fraudulent transactions. The visuals show that transactions labeled “False” dominate the fraud split, while the time-series line remains mostly within a narrow band after an initial lower point. These are descriptive readings of the displayed page; the screenshot does not provide definitions, a reporting period, or record-level data needed to validate or explain the figures.</w:t>
      </w:r>
    </w:p>
    <w:p>
      <w:pPr>
        <w:pStyle w:val="Heading1"/>
      </w:pPr>
      <w:r>
        <w:t>Dashboard overview</w:t>
      </w:r>
    </w:p>
    <w:p>
      <w:r>
        <w:t>The screenshot shows the “KPI” report page in Power BI, with additional tabs named “Interactive Dashboard” and “Page 1.” The visible page combines six KPI cards with four charts. The fields pane lists accounts, alerts, and transactions, suggesting the dashboard draws on those three subject areas. No slicer selections or filter details are visible.</w:t>
      </w:r>
    </w:p>
    <w:p>
      <w:pPr>
        <w:pStyle w:val="Heading1"/>
      </w:pPr>
      <w:r>
        <w:t>KPI cards</w:t>
      </w:r>
    </w:p>
    <w:tbl>
      <w:tblPr>
        <w:tblW w:type="auto" w:w="0"/>
        <w:jc w:val="center"/>
        <w:tblLayout w:type="fixed"/>
        <w:tblLook w:firstColumn="1" w:firstRow="1" w:lastColumn="0" w:lastRow="0" w:noHBand="0" w:noVBand="1" w:val="04A0"/>
      </w:tblPr>
      <w:tblGrid>
        <w:gridCol w:w="3600"/>
        <w:gridCol w:w="6624"/>
      </w:tblGrid>
      <w:tr>
        <w:tc>
          <w:tcPr>
            <w:tcW w:type="dxa" w:w="4968"/>
            <w:vAlign w:val="center"/>
            <w:shd w:fill="153B5B"/>
          </w:tcPr>
          <w:p>
            <w:pPr>
              <w:spacing w:after="20"/>
            </w:pPr>
            <w:r/>
            <w:r>
              <w:rPr>
                <w:rFonts w:ascii="Aptos" w:hAnsi="Aptos"/>
                <w:b/>
                <w:color w:val="FFFFFF"/>
                <w:sz w:val="19"/>
              </w:rPr>
              <w:t>Metric shown</w:t>
            </w:r>
          </w:p>
        </w:tc>
        <w:tc>
          <w:tcPr>
            <w:tcW w:type="dxa" w:w="4968"/>
            <w:vAlign w:val="center"/>
            <w:shd w:fill="153B5B"/>
          </w:tcPr>
          <w:p>
            <w:pPr>
              <w:spacing w:after="20"/>
            </w:pPr>
            <w:r/>
            <w:r>
              <w:rPr>
                <w:rFonts w:ascii="Aptos" w:hAnsi="Aptos"/>
                <w:b/>
                <w:color w:val="FFFFFF"/>
                <w:sz w:val="19"/>
              </w:rPr>
              <w:t>Displayed value</w:t>
            </w:r>
          </w:p>
        </w:tc>
      </w:tr>
      <w:tr>
        <w:tc>
          <w:tcPr>
            <w:tcW w:type="dxa" w:w="3600"/>
            <w:shd w:fill="F1F6F8"/>
            <w:vAlign w:val="center"/>
          </w:tcPr>
          <w:p>
            <w:pPr>
              <w:spacing w:after="20"/>
            </w:pPr>
            <w:r/>
            <w:r>
              <w:rPr>
                <w:rFonts w:ascii="Aptos" w:hAnsi="Aptos"/>
                <w:b/>
                <w:sz w:val="19"/>
              </w:rPr>
              <w:t>Average Transaction Amount</w:t>
            </w:r>
          </w:p>
        </w:tc>
        <w:tc>
          <w:tcPr>
            <w:tcW w:type="dxa" w:w="6624"/>
            <w:shd w:fill="F1F6F8"/>
            <w:vAlign w:val="center"/>
          </w:tcPr>
          <w:p>
            <w:pPr>
              <w:spacing w:after="20"/>
            </w:pPr>
            <w:r/>
            <w:r>
              <w:rPr>
                <w:rFonts w:ascii="Aptos" w:hAnsi="Aptos"/>
                <w:b w:val="0"/>
                <w:sz w:val="19"/>
              </w:rPr>
              <w:t>115.99K</w:t>
            </w:r>
          </w:p>
        </w:tc>
      </w:tr>
      <w:tr>
        <w:tc>
          <w:tcPr>
            <w:tcW w:type="dxa" w:w="3600"/>
            <w:shd w:fill="FFFFFF"/>
            <w:vAlign w:val="center"/>
          </w:tcPr>
          <w:p>
            <w:pPr>
              <w:spacing w:after="20"/>
            </w:pPr>
            <w:r/>
            <w:r>
              <w:rPr>
                <w:rFonts w:ascii="Aptos" w:hAnsi="Aptos"/>
                <w:b/>
                <w:sz w:val="19"/>
              </w:rPr>
              <w:t>Fraudulent Transactions</w:t>
            </w:r>
          </w:p>
        </w:tc>
        <w:tc>
          <w:tcPr>
            <w:tcW w:type="dxa" w:w="6624"/>
            <w:shd w:fill="FFFFFF"/>
            <w:vAlign w:val="center"/>
          </w:tcPr>
          <w:p>
            <w:pPr>
              <w:spacing w:after="20"/>
            </w:pPr>
            <w:r/>
            <w:r>
              <w:rPr>
                <w:rFonts w:ascii="Aptos" w:hAnsi="Aptos"/>
                <w:b w:val="0"/>
                <w:sz w:val="19"/>
              </w:rPr>
              <w:t>1719.00</w:t>
            </w:r>
          </w:p>
        </w:tc>
      </w:tr>
      <w:tr>
        <w:tc>
          <w:tcPr>
            <w:tcW w:type="dxa" w:w="3600"/>
            <w:shd w:fill="F1F6F8"/>
            <w:vAlign w:val="center"/>
          </w:tcPr>
          <w:p>
            <w:pPr>
              <w:spacing w:after="20"/>
            </w:pPr>
            <w:r/>
            <w:r>
              <w:rPr>
                <w:rFonts w:ascii="Aptos" w:hAnsi="Aptos"/>
                <w:b/>
                <w:sz w:val="19"/>
              </w:rPr>
              <w:t>Total Initial Balance</w:t>
            </w:r>
          </w:p>
        </w:tc>
        <w:tc>
          <w:tcPr>
            <w:tcW w:type="dxa" w:w="6624"/>
            <w:shd w:fill="F1F6F8"/>
            <w:vAlign w:val="center"/>
          </w:tcPr>
          <w:p>
            <w:pPr>
              <w:spacing w:after="20"/>
            </w:pPr>
            <w:r/>
            <w:r>
              <w:rPr>
                <w:rFonts w:ascii="Aptos" w:hAnsi="Aptos"/>
                <w:b w:val="0"/>
                <w:sz w:val="19"/>
              </w:rPr>
              <w:t>2.80M</w:t>
            </w:r>
          </w:p>
        </w:tc>
      </w:tr>
      <w:tr>
        <w:tc>
          <w:tcPr>
            <w:tcW w:type="dxa" w:w="3600"/>
            <w:shd w:fill="FFFFFF"/>
            <w:vAlign w:val="center"/>
          </w:tcPr>
          <w:p>
            <w:pPr>
              <w:spacing w:after="20"/>
            </w:pPr>
            <w:r/>
            <w:r>
              <w:rPr>
                <w:rFonts w:ascii="Aptos" w:hAnsi="Aptos"/>
                <w:b/>
                <w:sz w:val="19"/>
              </w:rPr>
              <w:t>Total Accounts</w:t>
            </w:r>
          </w:p>
        </w:tc>
        <w:tc>
          <w:tcPr>
            <w:tcW w:type="dxa" w:w="6624"/>
            <w:shd w:fill="FFFFFF"/>
            <w:vAlign w:val="center"/>
          </w:tcPr>
          <w:p>
            <w:pPr>
              <w:spacing w:after="20"/>
            </w:pPr>
            <w:r/>
            <w:r>
              <w:rPr>
                <w:rFonts w:ascii="Aptos" w:hAnsi="Aptos"/>
                <w:b w:val="0"/>
                <w:sz w:val="19"/>
              </w:rPr>
              <w:t>10K</w:t>
            </w:r>
          </w:p>
        </w:tc>
      </w:tr>
      <w:tr>
        <w:tc>
          <w:tcPr>
            <w:tcW w:type="dxa" w:w="3600"/>
            <w:shd w:fill="F1F6F8"/>
            <w:vAlign w:val="center"/>
          </w:tcPr>
          <w:p>
            <w:pPr>
              <w:spacing w:after="20"/>
            </w:pPr>
            <w:r/>
            <w:r>
              <w:rPr>
                <w:rFonts w:ascii="Aptos" w:hAnsi="Aptos"/>
                <w:b/>
                <w:sz w:val="19"/>
              </w:rPr>
              <w:t>Total Transaction Amount</w:t>
            </w:r>
          </w:p>
        </w:tc>
        <w:tc>
          <w:tcPr>
            <w:tcW w:type="dxa" w:w="6624"/>
            <w:shd w:fill="F1F6F8"/>
            <w:vAlign w:val="center"/>
          </w:tcPr>
          <w:p>
            <w:pPr>
              <w:spacing w:after="20"/>
            </w:pPr>
            <w:r/>
            <w:r>
              <w:rPr>
                <w:rFonts w:ascii="Aptos" w:hAnsi="Aptos"/>
                <w:b w:val="0"/>
                <w:sz w:val="19"/>
              </w:rPr>
              <w:t>153.48bn</w:t>
            </w:r>
          </w:p>
        </w:tc>
      </w:tr>
      <w:tr>
        <w:tc>
          <w:tcPr>
            <w:tcW w:type="dxa" w:w="3600"/>
            <w:shd w:fill="FFFFFF"/>
            <w:vAlign w:val="center"/>
          </w:tcPr>
          <w:p>
            <w:pPr>
              <w:spacing w:after="20"/>
            </w:pPr>
            <w:r/>
            <w:r>
              <w:rPr>
                <w:rFonts w:ascii="Aptos" w:hAnsi="Aptos"/>
                <w:b/>
                <w:sz w:val="19"/>
              </w:rPr>
              <w:t>Total Transactions</w:t>
            </w:r>
          </w:p>
        </w:tc>
        <w:tc>
          <w:tcPr>
            <w:tcW w:type="dxa" w:w="6624"/>
            <w:shd w:fill="FFFFFF"/>
            <w:vAlign w:val="center"/>
          </w:tcPr>
          <w:p>
            <w:pPr>
              <w:spacing w:after="20"/>
            </w:pPr>
            <w:r/>
            <w:r>
              <w:rPr>
                <w:rFonts w:ascii="Aptos" w:hAnsi="Aptos"/>
                <w:b w:val="0"/>
                <w:sz w:val="19"/>
              </w:rPr>
              <w:t>1323234.00</w:t>
            </w:r>
          </w:p>
        </w:tc>
      </w:tr>
    </w:tbl>
    <w:p>
      <w:r>
        <w:t>The cards summarize scale and selected financial or fraud measures. Their displayed precision varies: some use abbreviated units (K, M, bn), while transaction counts and the fraud count include decimal places. The screenshot does not show currency, unit definitions, or whether amounts are rounded.</w:t>
      </w:r>
    </w:p>
    <w:p>
      <w:pPr>
        <w:pStyle w:val="Heading1"/>
      </w:pPr>
      <w:r>
        <w:t>Visualizations</w:t>
      </w:r>
    </w:p>
    <w:p>
      <w:pPr>
        <w:pStyle w:val="Heading2"/>
      </w:pPr>
      <w:r>
        <w:t>Alert count by alert type</w:t>
      </w:r>
    </w:p>
    <w:p>
      <w:r>
        <w:t>A horizontal bar chart titled “Count of ALERT_ID by ALERT_TYPE” compares the categories “cycle” and “fan_in.” The cycle bar is longer. Based on the 0, 500, and 1,000 axis marks, the two counts appear to be in the several-hundred range, with cycle near 900 and fan_in near 800; exact values are not printed and should not be treated as precise.</w:t>
      </w:r>
    </w:p>
    <w:p>
      <w:pPr>
        <w:pStyle w:val="Heading2"/>
      </w:pPr>
      <w:r>
        <w:t>Transactions by fraud label</w:t>
      </w:r>
    </w:p>
    <w:p>
      <w:r>
        <w:t>A doughnut chart and a column chart both compare Total Transactions by IS_FRAUD. In both, the “False” category accounts for nearly all of the displayed total, while “True” is a very small share. The doughnut labels show a total near 1M and a true share around 0.13%; the chart’s rounded labels do not reconcile visibly to the more precise total transaction card. The separate Fraudulent Transactions card displays 1,719. These measures may use different definitions or filters, which cannot be determined from the screenshot.</w:t>
      </w:r>
    </w:p>
    <w:p>
      <w:pPr>
        <w:pStyle w:val="Heading2"/>
      </w:pPr>
      <w:r>
        <w:t>Transactions over the displayed sequence</w:t>
      </w:r>
    </w:p>
    <w:p>
      <w:r>
        <w:t>A line chart titled “Total Transactions by TIMESTAMP” plots roughly 200 sequential positions. After starting near 5K, the line rises quickly and then fluctuates mostly between about 6K and 7K. The horizontal axis is rendered as an index-like sequence rather than readable dates, so the chart does not establish a calendar trend, seasonality, or the period covered.</w:t>
      </w:r>
    </w:p>
    <w:p>
      <w:pPr>
        <w:pStyle w:val="Heading1"/>
      </w:pPr>
      <w:r>
        <w:t>Key observations</w:t>
      </w:r>
    </w:p>
    <w:p>
      <w:pPr>
        <w:pStyle w:val="ListBullet"/>
        <w:spacing w:after="60"/>
      </w:pPr>
      <w:r>
        <w:t>The report indicates substantial transaction activity: 1,323,234 transactions and 153.48bn in total transaction amount are shown.</w:t>
      </w:r>
    </w:p>
    <w:p>
      <w:pPr>
        <w:pStyle w:val="ListBullet"/>
        <w:spacing w:after="60"/>
      </w:pPr>
      <w:r>
        <w:t>The displayed fraud count is 1,719. In the transaction split, “False” visually dominates “True,” but the screenshot alone does not establish that the card and chart share the same denominator or filters.</w:t>
      </w:r>
    </w:p>
    <w:p>
      <w:pPr>
        <w:pStyle w:val="ListBullet"/>
        <w:spacing w:after="60"/>
      </w:pPr>
      <w:r>
        <w:t>The cycle alert category appears more frequent than fan_in in the visible alert chart; exact category counts are not labeled.</w:t>
      </w:r>
    </w:p>
    <w:p>
      <w:pPr>
        <w:pStyle w:val="ListBullet"/>
        <w:spacing w:after="60"/>
      </w:pPr>
      <w:r>
        <w:t>The time-series values appear comparatively steady after an initial rise, but the unlabeled date context prevents interpretation as a dated trend.</w:t>
      </w:r>
    </w:p>
    <w:p>
      <w:pPr>
        <w:pStyle w:val="ListBullet"/>
        <w:spacing w:after="60"/>
      </w:pPr>
      <w:r>
        <w:t>The dashboard includes account measures (10K total accounts and 2.80M total initial balance), though no account-level breakdown is visible.</w:t>
      </w:r>
    </w:p>
    <w:p>
      <w:pPr>
        <w:pStyle w:val="Heading1"/>
      </w:pPr>
      <w:r>
        <w:t>Limitations</w:t>
      </w:r>
    </w:p>
    <w:p>
      <w:r>
        <w:t>This review is based on one screenshot of a dashboard, not the underlying Power BI model or dataset. The reporting period, data refresh time, currency, units, metric definitions, filters, and treatment of missing or duplicate records are not visible. Several chart values are approximate because labels are rounded or absent. The screenshot also does not show drill-downs, tooltips, interaction states, or a methodology for identifying fraud and generating alerts. Consequently, the report describes displayed patterns but cannot verify accuracy, causation, fraud rates, or operational performance.</w:t>
      </w:r>
    </w:p>
    <w:p>
      <w:pPr>
        <w:pStyle w:val="Heading1"/>
      </w:pPr>
      <w:r>
        <w:t>Conclusion</w:t>
      </w:r>
    </w:p>
    <w:p>
      <w:r>
        <w:t>The KPI page offers a compact overview of transaction scale, account totals, fraud labeling, and alert categories. Its clearest visual pattern is the strong dominance of transactions labeled “False,” alongside a smaller displayed fraudulent-transaction count and a higher visible cycle-alert bar than fan_in. Before using these figures for decisions or comparison, the dashboard should be accompanied by definitions, a date range, units or currency, filter context, and access to exact chart values.</w:t>
      </w:r>
    </w:p>
    <w:p>
      <w:pPr>
        <w:pStyle w:val="Caption"/>
      </w:pPr>
      <w:r>
        <w:t>Source: Power BI dashboard screenshot supplied with the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B5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7C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53B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and Fraud Dashboard Report</dc:title>
  <dc:subject>Description and interpretation of a Power BI KPI dashboard screenshot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