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1A365D"/>
          <w:sz w:val="48"/>
        </w:rPr>
        <w:t>MUNICIPAL TENDER WATCHDOG</w:t>
      </w:r>
    </w:p>
    <w:p>
      <w:pPr>
        <w:spacing w:after="240"/>
        <w:jc w:val="center"/>
      </w:pPr>
      <w:r>
        <w:rPr>
          <w:rFonts w:ascii="Segoe UI" w:hAnsi="Segoe UI"/>
          <w:color w:val="2B6CB0"/>
          <w:sz w:val="26"/>
        </w:rPr>
        <w:t>AI-Augmented Civic Accountability Co-Pilot for Urban Solid Waste Procurement</w:t>
      </w:r>
    </w:p>
    <w:tbl>
      <w:tblPr>
        <w:tblW w:type="auto" w:w="0"/>
        <w:jc w:val="center"/>
        <w:tblLook w:firstColumn="1" w:firstRow="1" w:lastColumn="0" w:lastRow="0" w:noHBand="0" w:noVBand="1" w:val="04A0"/>
      </w:tblPr>
      <w:tblGrid>
        <w:gridCol w:w="4968"/>
        <w:gridCol w:w="4968"/>
      </w:tblGrid>
      <w:tr>
        <w:tc>
          <w:tcPr>
            <w:tcW w:type="dxa" w:w="4968"/>
            <w:shd w:fill="F7FAFC"/>
            <w:tcMar>
              <w:top w:w="80" w:type="dxa"/>
              <w:bottom w:w="80" w:type="dxa"/>
              <w:left w:w="120" w:type="dxa"/>
              <w:right w:w="120" w:type="dxa"/>
            </w:tcMar>
          </w:tcPr>
          <w:p>
            <w:pPr>
              <w:spacing w:after="0"/>
            </w:pPr>
            <w:r>
              <w:rPr>
                <w:b/>
                <w:color w:val="1A365D"/>
                <w:sz w:val="19"/>
              </w:rPr>
              <w:t xml:space="preserve">Track / Domain: </w:t>
            </w:r>
            <w:r>
              <w:rPr>
                <w:color w:val="2D3748"/>
                <w:sz w:val="19"/>
              </w:rPr>
              <w:t>Smart Cities / Transparent Gov-Tech / Civic AI</w:t>
            </w:r>
          </w:p>
        </w:tc>
        <w:tc>
          <w:tcPr>
            <w:tcW w:type="dxa" w:w="4968"/>
            <w:shd w:fill="F7FAFC"/>
            <w:tcMar>
              <w:top w:w="80" w:type="dxa"/>
              <w:bottom w:w="80" w:type="dxa"/>
              <w:left w:w="120" w:type="dxa"/>
              <w:right w:w="120" w:type="dxa"/>
            </w:tcMar>
          </w:tcPr>
          <w:p>
            <w:pPr>
              <w:spacing w:after="0"/>
            </w:pPr>
            <w:r>
              <w:rPr>
                <w:b/>
                <w:color w:val="1A365D"/>
                <w:sz w:val="19"/>
              </w:rPr>
              <w:t xml:space="preserve">Focus Geography: </w:t>
            </w:r>
            <w:r>
              <w:rPr>
                <w:color w:val="2D3748"/>
                <w:sz w:val="19"/>
              </w:rPr>
              <w:t>Coimbatore Urban Local Bodies (CCMC &amp; Town Panchayats)</w:t>
            </w:r>
          </w:p>
        </w:tc>
      </w:tr>
      <w:tr>
        <w:tc>
          <w:tcPr>
            <w:tcW w:type="dxa" w:w="4968"/>
            <w:shd w:fill="F7FAFC"/>
            <w:tcMar>
              <w:top w:w="80" w:type="dxa"/>
              <w:bottom w:w="80" w:type="dxa"/>
              <w:left w:w="120" w:type="dxa"/>
              <w:right w:w="120" w:type="dxa"/>
            </w:tcMar>
          </w:tcPr>
          <w:p>
            <w:pPr>
              <w:spacing w:after="0"/>
            </w:pPr>
            <w:r>
              <w:rPr>
                <w:b/>
                <w:color w:val="1A365D"/>
                <w:sz w:val="19"/>
              </w:rPr>
              <w:t xml:space="preserve">Primary Target System: </w:t>
            </w:r>
            <w:r>
              <w:rPr>
                <w:color w:val="2D3748"/>
                <w:sz w:val="19"/>
              </w:rPr>
              <w:t>TN e-Procurement Portal (tntenders.gov.in)</w:t>
            </w:r>
          </w:p>
        </w:tc>
        <w:tc>
          <w:tcPr>
            <w:tcW w:type="dxa" w:w="4968"/>
            <w:shd w:fill="F7FAFC"/>
            <w:tcMar>
              <w:top w:w="80" w:type="dxa"/>
              <w:bottom w:w="80" w:type="dxa"/>
              <w:left w:w="120" w:type="dxa"/>
              <w:right w:w="120" w:type="dxa"/>
            </w:tcMar>
          </w:tcPr>
          <w:p>
            <w:pPr>
              <w:spacing w:after="0"/>
            </w:pPr>
            <w:r>
              <w:rPr>
                <w:b/>
                <w:color w:val="1A365D"/>
                <w:sz w:val="19"/>
              </w:rPr>
              <w:t xml:space="preserve">Evaluation Document: </w:t>
            </w:r>
            <w:r>
              <w:rPr>
                <w:color w:val="2D3748"/>
                <w:sz w:val="19"/>
              </w:rPr>
              <w:t>Hackathon Master Project Dossier &amp; Review Guide</w:t>
            </w:r>
          </w:p>
        </w:tc>
      </w:tr>
    </w:tbl>
    <w:p/>
    <w:p>
      <w:pPr>
        <w:keepNext/>
        <w:spacing w:before="320" w:after="120"/>
      </w:pPr>
      <w:r>
        <w:rPr>
          <w:rFonts w:ascii="Segoe UI" w:hAnsi="Segoe UI"/>
          <w:b/>
          <w:color w:val="1A365D"/>
          <w:sz w:val="32"/>
        </w:rPr>
        <w:t>1. Executive Summary</w:t>
      </w:r>
    </w:p>
    <w:p>
      <w:pPr>
        <w:spacing w:after="100" w:line="276" w:lineRule="auto"/>
      </w:pPr>
      <w:r>
        <w:rPr>
          <w:rFonts w:ascii="Segoe UI" w:hAnsi="Segoe UI"/>
          <w:i w:val="0"/>
          <w:color w:val="2D3748"/>
          <w:sz w:val="20"/>
        </w:rPr>
        <w:t>Public municipal procurement in India handles lakhs of crores annually. In Tamil Nadu, urban local bodies (Municipal Corporations, Municipalities, and Town Panchayats) issue hundreds of tenders every month for Solid Waste Management (SWM)—ranging from Micro Composting Centres, windrow composting sheds, and shredders to waste collection vehicles and dump-yard biomining.</w:t>
      </w:r>
    </w:p>
    <w:p>
      <w:pPr>
        <w:spacing w:after="100" w:line="276" w:lineRule="auto"/>
      </w:pPr>
      <w:r>
        <w:rPr>
          <w:rFonts w:ascii="Segoe UI" w:hAnsi="Segoe UI"/>
          <w:i w:val="0"/>
          <w:color w:val="2D3748"/>
          <w:sz w:val="20"/>
        </w:rPr>
        <w:t>Despite the availability of the official government e-Procurement portal (tntenders.gov.in), meaningful citizen oversight is virtually non-existent because government portals act merely as transactional bulletin boards rather than accountability engines. They do not link new tenders to historical contracts in the same ward, and once a contract's work period expires, proactive proof of completion (such as completion certificates or Measurement Book entries) is rarely published.</w:t>
      </w:r>
    </w:p>
    <w:tbl>
      <w:tblPr>
        <w:tblW w:type="auto" w:w="0"/>
        <w:jc w:val="center"/>
        <w:tblLook w:firstColumn="1" w:firstRow="1" w:lastColumn="0" w:lastRow="0" w:noHBand="0" w:noVBand="1" w:val="04A0"/>
      </w:tblPr>
      <w:tblGrid>
        <w:gridCol w:w="9936"/>
      </w:tblGrid>
      <w:tr>
        <w:tc>
          <w:tcPr>
            <w:tcW w:type="dxa" w:w="9936"/>
            <w:shd w:fill="EBF8FF"/>
            <w:tcMar>
              <w:top w:w="140" w:type="dxa"/>
              <w:bottom w:w="140" w:type="dxa"/>
              <w:left w:w="200" w:type="dxa"/>
              <w:right w:w="200" w:type="dxa"/>
            </w:tcMar>
            <w:tcBorders>
              <w:left w:val="single" w:sz="24" w:space="0" w:color="3182CE"/>
              <w:top w:val="none"/>
              <w:right w:val="none"/>
              <w:bottom w:val="none"/>
            </w:tcBorders>
          </w:tcPr>
          <w:p>
            <w:pPr>
              <w:spacing w:before="40" w:after="80"/>
            </w:pPr>
            <w:r>
              <w:rPr>
                <w:rFonts w:ascii="Segoe UI" w:hAnsi="Segoe UI"/>
                <w:b/>
                <w:color w:val="2B6CB0"/>
                <w:sz w:val="21"/>
              </w:rPr>
              <w:t>📌 THE CORE INNOVATION</w:t>
              <w:br/>
            </w:r>
            <w:r>
              <w:rPr>
                <w:rFonts w:ascii="Segoe UI" w:hAnsi="Segoe UI"/>
                <w:color w:val="2D3748"/>
                <w:sz w:val="20"/>
              </w:rPr>
              <w:t>Municipal Tender Watchdog provides a browser-native Chrome Extension (Manifest V3) that passively detects live tenders on tntenders.gov.in, extracts structured attributes using Gemini Flash + offline regex fallback, evaluates 18-month historical records in SQLite using deterministic civic heuristics, displays 4-tier accountability badges (GREEN/ORANGE/RED/INFO), and auto-generates Section 6(1) RTI applications for one-click citizen action.</w:t>
            </w:r>
          </w:p>
        </w:tc>
      </w:tr>
    </w:tbl>
    <w:p/>
    <w:p>
      <w:pPr>
        <w:keepNext/>
        <w:spacing w:before="320" w:after="120"/>
      </w:pPr>
      <w:r>
        <w:rPr>
          <w:rFonts w:ascii="Segoe UI" w:hAnsi="Segoe UI"/>
          <w:b/>
          <w:color w:val="1A365D"/>
          <w:sz w:val="32"/>
        </w:rPr>
        <w:t>2. Deep Problem Statement Analysis</w:t>
      </w:r>
    </w:p>
    <w:p>
      <w:pPr>
        <w:spacing w:after="100" w:line="276" w:lineRule="auto"/>
      </w:pPr>
      <w:r>
        <w:rPr>
          <w:rFonts w:ascii="Segoe UI" w:hAnsi="Segoe UI"/>
          <w:i w:val="0"/>
          <w:color w:val="2D3748"/>
          <w:sz w:val="20"/>
        </w:rPr>
        <w:t>Under the Solid Waste Management Rules (2016) and Swachh Bharat Mission Urban (SBM-U 2.0), municipal bodies receive substantial funding for decentralized solid waste processing infrastructure. However, systemic opacity leads to three critical civic failures:</w:t>
      </w:r>
    </w:p>
    <w:tbl>
      <w:tblPr>
        <w:tblW w:type="auto" w:w="0"/>
        <w:jc w:val="center"/>
        <w:tblLook w:firstColumn="1" w:firstRow="1" w:lastColumn="0" w:lastRow="0" w:noHBand="0" w:noVBand="1" w:val="04A0"/>
      </w:tblPr>
      <w:tblGrid>
        <w:gridCol w:w="4968"/>
        <w:gridCol w:w="4968"/>
      </w:tblGrid>
      <w:tr>
        <w:tc>
          <w:tcPr>
            <w:tcW w:type="dxa" w:w="4968"/>
            <w:shd w:fill="1A365D"/>
            <w:tcMar>
              <w:top w:w="100" w:type="dxa"/>
              <w:bottom w:w="100" w:type="dxa"/>
              <w:left w:w="120" w:type="dxa"/>
              <w:right w:w="120" w:type="dxa"/>
            </w:tcMar>
          </w:tcPr>
          <w:p>
            <w:pPr>
              <w:jc w:val="left"/>
            </w:pPr>
            <w:r>
              <w:rPr>
                <w:b/>
                <w:color w:val="FFFFFF"/>
                <w:sz w:val="20"/>
              </w:rPr>
              <w:t>Systemic Governance Problem</w:t>
            </w:r>
          </w:p>
        </w:tc>
        <w:tc>
          <w:tcPr>
            <w:tcW w:type="dxa" w:w="4968"/>
            <w:shd w:fill="1A365D"/>
            <w:tcMar>
              <w:top w:w="100" w:type="dxa"/>
              <w:bottom w:w="100" w:type="dxa"/>
              <w:left w:w="120" w:type="dxa"/>
              <w:right w:w="120" w:type="dxa"/>
            </w:tcMar>
          </w:tcPr>
          <w:p>
            <w:pPr>
              <w:jc w:val="left"/>
            </w:pPr>
            <w:r>
              <w:rPr>
                <w:b/>
                <w:color w:val="FFFFFF"/>
                <w:sz w:val="20"/>
              </w:rPr>
              <w:t>Impact on Citizens &amp; Public Funds</w:t>
            </w:r>
          </w:p>
        </w:tc>
      </w:tr>
      <w:tr>
        <w:tc>
          <w:tcPr>
            <w:tcW w:type="dxa" w:w="4968"/>
            <w:shd w:fill="FFFFFF"/>
            <w:tcMar>
              <w:top w:w="80" w:type="dxa"/>
              <w:bottom w:w="80" w:type="dxa"/>
              <w:left w:w="100" w:type="dxa"/>
              <w:right w:w="100" w:type="dxa"/>
            </w:tcMar>
          </w:tcPr>
          <w:p>
            <w:r>
              <w:rPr>
                <w:color w:val="2D3748"/>
                <w:sz w:val="19"/>
              </w:rPr>
              <w:t>1. Information Fragmentation &amp; Transactional Silos</w:t>
            </w:r>
          </w:p>
        </w:tc>
        <w:tc>
          <w:tcPr>
            <w:tcW w:type="dxa" w:w="4968"/>
            <w:shd w:fill="FFFFFF"/>
            <w:tcMar>
              <w:top w:w="80" w:type="dxa"/>
              <w:bottom w:w="80" w:type="dxa"/>
              <w:left w:w="100" w:type="dxa"/>
              <w:right w:w="100" w:type="dxa"/>
            </w:tcMar>
          </w:tcPr>
          <w:p>
            <w:r>
              <w:rPr>
                <w:color w:val="2D3748"/>
                <w:sz w:val="19"/>
              </w:rPr>
              <w:t>Government portals index tenders individually. Connecting a new tender to past contracts in the same ward requires manual searching through tens of thousands of PDF notices.</w:t>
            </w:r>
          </w:p>
        </w:tc>
      </w:tr>
      <w:tr>
        <w:tc>
          <w:tcPr>
            <w:tcW w:type="dxa" w:w="4968"/>
            <w:shd w:fill="F7FAFC"/>
            <w:tcMar>
              <w:top w:w="80" w:type="dxa"/>
              <w:bottom w:w="80" w:type="dxa"/>
              <w:left w:w="100" w:type="dxa"/>
              <w:right w:w="100" w:type="dxa"/>
            </w:tcMar>
          </w:tcPr>
          <w:p>
            <w:r>
              <w:rPr>
                <w:color w:val="2D3748"/>
                <w:sz w:val="19"/>
              </w:rPr>
              <w:t>2. Duplicate Procurement Loop (Ghost Tenders)</w:t>
            </w:r>
          </w:p>
        </w:tc>
        <w:tc>
          <w:tcPr>
            <w:tcW w:type="dxa" w:w="4968"/>
            <w:shd w:fill="F7FAFC"/>
            <w:tcMar>
              <w:top w:w="80" w:type="dxa"/>
              <w:bottom w:w="80" w:type="dxa"/>
              <w:left w:w="100" w:type="dxa"/>
              <w:right w:w="100" w:type="dxa"/>
            </w:tcMar>
          </w:tcPr>
          <w:p>
            <w:r>
              <w:rPr>
                <w:color w:val="2D3748"/>
                <w:sz w:val="19"/>
              </w:rPr>
              <w:t>Assets such as windrow sheds, perimeter fencing, or shredding machines are tendered, and within 12–18 months, an identical tender is published for the same site without explanation.</w:t>
            </w:r>
          </w:p>
        </w:tc>
      </w:tr>
      <w:tr>
        <w:tc>
          <w:tcPr>
            <w:tcW w:type="dxa" w:w="4968"/>
            <w:shd w:fill="FFFFFF"/>
            <w:tcMar>
              <w:top w:w="80" w:type="dxa"/>
              <w:bottom w:w="80" w:type="dxa"/>
              <w:left w:w="100" w:type="dxa"/>
              <w:right w:w="100" w:type="dxa"/>
            </w:tcMar>
          </w:tcPr>
          <w:p>
            <w:r>
              <w:rPr>
                <w:color w:val="2D3748"/>
                <w:sz w:val="19"/>
              </w:rPr>
              <w:t>3. Completion Evidence Silence Gap</w:t>
            </w:r>
          </w:p>
        </w:tc>
        <w:tc>
          <w:tcPr>
            <w:tcW w:type="dxa" w:w="4968"/>
            <w:shd w:fill="FFFFFF"/>
            <w:tcMar>
              <w:top w:w="80" w:type="dxa"/>
              <w:bottom w:w="80" w:type="dxa"/>
              <w:left w:w="100" w:type="dxa"/>
              <w:right w:w="100" w:type="dxa"/>
            </w:tcMar>
          </w:tcPr>
          <w:p>
            <w:r>
              <w:rPr>
                <w:color w:val="2D3748"/>
                <w:sz w:val="19"/>
              </w:rPr>
              <w:t>Contracts specify 60-day or 90-day timelines, but when deadlines pass, no completion certificates or physical inspection proofs are uploaded to the public domain.</w:t>
            </w:r>
          </w:p>
        </w:tc>
      </w:tr>
      <w:tr>
        <w:tc>
          <w:tcPr>
            <w:tcW w:type="dxa" w:w="4968"/>
            <w:shd w:fill="F7FAFC"/>
            <w:tcMar>
              <w:top w:w="80" w:type="dxa"/>
              <w:bottom w:w="80" w:type="dxa"/>
              <w:left w:w="100" w:type="dxa"/>
              <w:right w:w="100" w:type="dxa"/>
            </w:tcMar>
          </w:tcPr>
          <w:p>
            <w:r>
              <w:rPr>
                <w:color w:val="2D3748"/>
                <w:sz w:val="19"/>
              </w:rPr>
              <w:t>4. High Civic Friction for RTI Scrutiny</w:t>
            </w:r>
          </w:p>
        </w:tc>
        <w:tc>
          <w:tcPr>
            <w:tcW w:type="dxa" w:w="4968"/>
            <w:shd w:fill="F7FAFC"/>
            <w:tcMar>
              <w:top w:w="80" w:type="dxa"/>
              <w:bottom w:w="80" w:type="dxa"/>
              <w:left w:w="100" w:type="dxa"/>
              <w:right w:w="100" w:type="dxa"/>
            </w:tcMar>
          </w:tcPr>
          <w:p>
            <w:r>
              <w:rPr>
                <w:color w:val="2D3748"/>
                <w:sz w:val="19"/>
              </w:rPr>
              <w:t>Drafting a formal query under the Right to Information Act (2005) requires legal references, administrative knowledge, and specific tender citations that ordinary citizens do not have.</w:t>
            </w:r>
          </w:p>
        </w:tc>
      </w:tr>
    </w:tbl>
    <w:p/>
    <w:p>
      <w:pPr>
        <w:keepNext/>
        <w:spacing w:before="320" w:after="120"/>
      </w:pPr>
      <w:r>
        <w:rPr>
          <w:rFonts w:ascii="Segoe UI" w:hAnsi="Segoe UI"/>
          <w:b/>
          <w:color w:val="1A365D"/>
          <w:sz w:val="32"/>
        </w:rPr>
        <w:t>3. The Solution &amp; System Architecture</w:t>
      </w:r>
    </w:p>
    <w:p>
      <w:pPr>
        <w:spacing w:after="100" w:line="276" w:lineRule="auto"/>
      </w:pPr>
      <w:r>
        <w:rPr>
          <w:rFonts w:ascii="Segoe UI" w:hAnsi="Segoe UI"/>
          <w:i w:val="0"/>
          <w:color w:val="2D3748"/>
          <w:sz w:val="20"/>
        </w:rPr>
        <w:t>Municipal Tender Watchdog bridges the gap between massive government procurement systems and everyday citizen oversight through a 4-stage hybrid civic-tech architecture:</w:t>
      </w:r>
    </w:p>
    <w:p>
      <w:pPr>
        <w:pStyle w:val="ListBullet"/>
        <w:spacing w:after="60" w:line="276" w:lineRule="auto"/>
      </w:pPr>
      <w:r>
        <w:rPr>
          <w:rFonts w:ascii="Segoe UI" w:hAnsi="Segoe UI"/>
          <w:b/>
          <w:color w:val="2D3748"/>
          <w:sz w:val="20"/>
        </w:rPr>
        <w:t>Stage 1 - Browser Content Detection (Chrome Manifest V3):</w:t>
      </w:r>
      <w:r>
        <w:rPr>
          <w:rFonts w:ascii="Segoe UI" w:hAnsi="Segoe UI"/>
          <w:color w:val="2D3748"/>
          <w:sz w:val="20"/>
        </w:rPr>
        <w:t xml:space="preserve"> Scrapes visible DOM &amp; text directly from live tender pages on tntenders.gov.in (and offline demo environment).</w:t>
      </w:r>
    </w:p>
    <w:p>
      <w:pPr>
        <w:pStyle w:val="ListBullet"/>
        <w:spacing w:after="60" w:line="276" w:lineRule="auto"/>
      </w:pPr>
      <w:r>
        <w:rPr>
          <w:rFonts w:ascii="Segoe UI" w:hAnsi="Segoe UI"/>
          <w:b/>
          <w:color w:val="2D3748"/>
          <w:sz w:val="20"/>
        </w:rPr>
        <w:t>Stage 2 - Hybrid Dual-Engine Extraction (FastAPI):</w:t>
      </w:r>
      <w:r>
        <w:rPr>
          <w:rFonts w:ascii="Segoe UI" w:hAnsi="Segoe UI"/>
          <w:color w:val="2D3748"/>
          <w:sz w:val="20"/>
        </w:rPr>
        <w:t xml:space="preserve"> Google Gemini Flash parses messy procurement text into structured parameters, backed by a 100% offline regex fallback.</w:t>
      </w:r>
    </w:p>
    <w:p>
      <w:pPr>
        <w:pStyle w:val="ListBullet"/>
        <w:spacing w:after="60" w:line="276" w:lineRule="auto"/>
      </w:pPr>
      <w:r>
        <w:rPr>
          <w:rFonts w:ascii="Segoe UI" w:hAnsi="Segoe UI"/>
          <w:b/>
          <w:color w:val="2D3748"/>
          <w:sz w:val="20"/>
        </w:rPr>
        <w:t>Stage 3 - Deterministic Accountability Engine (Python):</w:t>
      </w:r>
      <w:r>
        <w:rPr>
          <w:rFonts w:ascii="Segoe UI" w:hAnsi="Segoe UI"/>
          <w:color w:val="2D3748"/>
          <w:sz w:val="20"/>
        </w:rPr>
        <w:t xml:space="preserve"> Enforces scope gatekeepers, 18-month historical lookback, Ward/Locality matching, Jaccard acronym similarity (&gt;= 0.50), and strict work-order completion timing.</w:t>
      </w:r>
    </w:p>
    <w:p>
      <w:pPr>
        <w:pStyle w:val="ListBullet"/>
        <w:spacing w:after="60" w:line="276" w:lineRule="auto"/>
      </w:pPr>
      <w:r>
        <w:rPr>
          <w:rFonts w:ascii="Segoe UI" w:hAnsi="Segoe UI"/>
          <w:b/>
          <w:color w:val="2D3748"/>
          <w:sz w:val="20"/>
        </w:rPr>
        <w:t>Stage 4 - Citizen Empowerment &amp; RTI Action:</w:t>
      </w:r>
      <w:r>
        <w:rPr>
          <w:rFonts w:ascii="Segoe UI" w:hAnsi="Segoe UI"/>
          <w:color w:val="2D3748"/>
          <w:sz w:val="20"/>
        </w:rPr>
        <w:t xml:space="preserve"> Renders 4-tier visual badges (GREEN, ORANGE, RED, INFO), evidence comparison cards with official URLs, and auto-generates legal RTI drafts.</w:t>
      </w:r>
    </w:p>
    <w:p/>
    <w:p>
      <w:pPr>
        <w:keepNext/>
        <w:spacing w:before="240" w:after="80"/>
      </w:pPr>
      <w:r>
        <w:rPr>
          <w:rFonts w:ascii="Segoe UI" w:hAnsi="Segoe UI"/>
          <w:b/>
          <w:color w:val="2B6CB0"/>
          <w:sz w:val="25"/>
        </w:rPr>
        <w:t>The 4-Tier Accountability Signal Badges</w:t>
      </w:r>
    </w:p>
    <w:tbl>
      <w:tblPr>
        <w:tblW w:type="auto" w:w="0"/>
        <w:jc w:val="center"/>
        <w:tblLook w:firstColumn="1" w:firstRow="1" w:lastColumn="0" w:lastRow="0" w:noHBand="0" w:noVBand="1" w:val="04A0"/>
      </w:tblPr>
      <w:tblGrid>
        <w:gridCol w:w="3312"/>
        <w:gridCol w:w="3312"/>
        <w:gridCol w:w="3312"/>
      </w:tblGrid>
      <w:tr>
        <w:tc>
          <w:tcPr>
            <w:tcW w:type="dxa" w:w="3312"/>
            <w:shd w:fill="1A365D"/>
            <w:tcMar>
              <w:top w:w="100" w:type="dxa"/>
              <w:bottom w:w="100" w:type="dxa"/>
              <w:left w:w="120" w:type="dxa"/>
              <w:right w:w="120" w:type="dxa"/>
            </w:tcMar>
          </w:tcPr>
          <w:p>
            <w:r>
              <w:rPr>
                <w:b/>
                <w:color w:val="FFFFFF"/>
                <w:sz w:val="20"/>
              </w:rPr>
              <w:t>Badge / Status</w:t>
            </w:r>
          </w:p>
        </w:tc>
        <w:tc>
          <w:tcPr>
            <w:tcW w:type="dxa" w:w="3312"/>
            <w:shd w:fill="1A365D"/>
            <w:tcMar>
              <w:top w:w="100" w:type="dxa"/>
              <w:bottom w:w="100" w:type="dxa"/>
              <w:left w:w="120" w:type="dxa"/>
              <w:right w:w="120" w:type="dxa"/>
            </w:tcMar>
          </w:tcPr>
          <w:p>
            <w:r>
              <w:rPr>
                <w:b/>
                <w:color w:val="FFFFFF"/>
                <w:sz w:val="20"/>
              </w:rPr>
              <w:t>Trigger Conditions</w:t>
            </w:r>
          </w:p>
        </w:tc>
        <w:tc>
          <w:tcPr>
            <w:tcW w:type="dxa" w:w="3312"/>
            <w:shd w:fill="1A365D"/>
            <w:tcMar>
              <w:top w:w="100" w:type="dxa"/>
              <w:bottom w:w="100" w:type="dxa"/>
              <w:left w:w="120" w:type="dxa"/>
              <w:right w:w="120" w:type="dxa"/>
            </w:tcMar>
          </w:tcPr>
          <w:p>
            <w:r>
              <w:rPr>
                <w:b/>
                <w:color w:val="FFFFFF"/>
                <w:sz w:val="20"/>
              </w:rPr>
              <w:t>Citizen Meaning &amp; Action</w:t>
            </w:r>
          </w:p>
        </w:tc>
      </w:tr>
      <w:tr>
        <w:tc>
          <w:tcPr>
            <w:tcW w:type="dxa" w:w="3312"/>
            <w:shd w:fill="F0FFF4"/>
            <w:tcMar>
              <w:top w:w="80" w:type="dxa"/>
              <w:bottom w:w="80" w:type="dxa"/>
              <w:left w:w="100" w:type="dxa"/>
              <w:right w:w="100" w:type="dxa"/>
            </w:tcMar>
          </w:tcPr>
          <w:p>
            <w:r>
              <w:rPr>
                <w:color w:val="2D3748"/>
                <w:sz w:val="19"/>
              </w:rPr>
              <w:t>🟢 GREEN (Clean)</w:t>
            </w:r>
          </w:p>
        </w:tc>
        <w:tc>
          <w:tcPr>
            <w:tcW w:type="dxa" w:w="3312"/>
            <w:shd w:fill="FFFFFF"/>
            <w:tcMar>
              <w:top w:w="80" w:type="dxa"/>
              <w:bottom w:w="80" w:type="dxa"/>
              <w:left w:w="100" w:type="dxa"/>
              <w:right w:w="100" w:type="dxa"/>
            </w:tcMar>
          </w:tcPr>
          <w:p>
            <w:r>
              <w:rPr>
                <w:color w:val="2D3748"/>
                <w:sz w:val="19"/>
              </w:rPr>
              <w:t>Supported urban SWM tender; no matching repetitive procurement within 18 months; work period currently active.</w:t>
            </w:r>
          </w:p>
        </w:tc>
        <w:tc>
          <w:tcPr>
            <w:tcW w:type="dxa" w:w="3312"/>
            <w:shd w:fill="FFFFFF"/>
            <w:tcMar>
              <w:top w:w="80" w:type="dxa"/>
              <w:bottom w:w="80" w:type="dxa"/>
              <w:left w:w="100" w:type="dxa"/>
              <w:right w:w="100" w:type="dxa"/>
            </w:tcMar>
          </w:tcPr>
          <w:p>
            <w:r>
              <w:rPr>
                <w:color w:val="2D3748"/>
                <w:sz w:val="19"/>
              </w:rPr>
              <w:t>Clean procurement cycle. No accountability anomalies detected.</w:t>
            </w:r>
          </w:p>
        </w:tc>
      </w:tr>
      <w:tr>
        <w:tc>
          <w:tcPr>
            <w:tcW w:type="dxa" w:w="3312"/>
            <w:shd w:fill="FFFAF0"/>
            <w:tcMar>
              <w:top w:w="80" w:type="dxa"/>
              <w:bottom w:w="80" w:type="dxa"/>
              <w:left w:w="100" w:type="dxa"/>
              <w:right w:w="100" w:type="dxa"/>
            </w:tcMar>
          </w:tcPr>
          <w:p>
            <w:r>
              <w:rPr>
                <w:color w:val="2D3748"/>
                <w:sz w:val="19"/>
              </w:rPr>
              <w:t>🟠 ORANGE (Silence Gap)</w:t>
            </w:r>
          </w:p>
        </w:tc>
        <w:tc>
          <w:tcPr>
            <w:tcW w:type="dxa" w:w="3312"/>
            <w:shd w:fill="F7FAFC"/>
            <w:tcMar>
              <w:top w:w="80" w:type="dxa"/>
              <w:bottom w:w="80" w:type="dxa"/>
              <w:left w:w="100" w:type="dxa"/>
              <w:right w:w="100" w:type="dxa"/>
            </w:tcMar>
          </w:tcPr>
          <w:p>
            <w:r>
              <w:rPr>
                <w:color w:val="2D3748"/>
                <w:sz w:val="19"/>
              </w:rPr>
              <w:t>Supported urban SWM tender; work order date + work period has expired; zero completion evidence in public dataset.</w:t>
            </w:r>
          </w:p>
        </w:tc>
        <w:tc>
          <w:tcPr>
            <w:tcW w:type="dxa" w:w="3312"/>
            <w:shd w:fill="F7FAFC"/>
            <w:tcMar>
              <w:top w:w="80" w:type="dxa"/>
              <w:bottom w:w="80" w:type="dxa"/>
              <w:left w:w="100" w:type="dxa"/>
              <w:right w:w="100" w:type="dxa"/>
            </w:tcMar>
          </w:tcPr>
          <w:p>
            <w:r>
              <w:rPr>
                <w:color w:val="2D3748"/>
                <w:sz w:val="19"/>
              </w:rPr>
              <w:t>Completion Evidence Gap. The work period has lapsed without verified completion certificates uploaded.</w:t>
            </w:r>
          </w:p>
        </w:tc>
      </w:tr>
      <w:tr>
        <w:tc>
          <w:tcPr>
            <w:tcW w:type="dxa" w:w="3312"/>
            <w:shd w:fill="FFF5F5"/>
            <w:tcMar>
              <w:top w:w="80" w:type="dxa"/>
              <w:bottom w:w="80" w:type="dxa"/>
              <w:left w:w="100" w:type="dxa"/>
              <w:right w:w="100" w:type="dxa"/>
            </w:tcMar>
          </w:tcPr>
          <w:p>
            <w:r>
              <w:rPr>
                <w:color w:val="2D3748"/>
                <w:sz w:val="19"/>
              </w:rPr>
              <w:t>🔴 RED (Repetition)</w:t>
            </w:r>
          </w:p>
        </w:tc>
        <w:tc>
          <w:tcPr>
            <w:tcW w:type="dxa" w:w="3312"/>
            <w:shd w:fill="FFFFFF"/>
            <w:tcMar>
              <w:top w:w="80" w:type="dxa"/>
              <w:bottom w:w="80" w:type="dxa"/>
              <w:left w:w="100" w:type="dxa"/>
              <w:right w:w="100" w:type="dxa"/>
            </w:tcMar>
          </w:tcPr>
          <w:p>
            <w:r>
              <w:rPr>
                <w:color w:val="2D3748"/>
                <w:sz w:val="19"/>
              </w:rPr>
              <w:t>Supported urban SWM tender; identical or highly similar work (similarity &gt;= 0.50) tendered in the same Ward/Locality within 18 months.</w:t>
            </w:r>
          </w:p>
        </w:tc>
        <w:tc>
          <w:tcPr>
            <w:tcW w:type="dxa" w:w="3312"/>
            <w:shd w:fill="FFFFFF"/>
            <w:tcMar>
              <w:top w:w="80" w:type="dxa"/>
              <w:bottom w:w="80" w:type="dxa"/>
              <w:left w:w="100" w:type="dxa"/>
              <w:right w:w="100" w:type="dxa"/>
            </w:tcMar>
          </w:tcPr>
          <w:p>
            <w:r>
              <w:rPr>
                <w:color w:val="2D3748"/>
                <w:sz w:val="19"/>
              </w:rPr>
              <w:t>Repeated Procurement Detected. Similar work was recently tendered for this location; requires verification of past execution.</w:t>
            </w:r>
          </w:p>
        </w:tc>
      </w:tr>
      <w:tr>
        <w:tc>
          <w:tcPr>
            <w:tcW w:type="dxa" w:w="3312"/>
            <w:shd w:fill="EDF2F7"/>
            <w:tcMar>
              <w:top w:w="80" w:type="dxa"/>
              <w:bottom w:w="80" w:type="dxa"/>
              <w:left w:w="100" w:type="dxa"/>
              <w:right w:w="100" w:type="dxa"/>
            </w:tcMar>
          </w:tcPr>
          <w:p>
            <w:r>
              <w:rPr>
                <w:color w:val="2D3748"/>
                <w:sz w:val="19"/>
              </w:rPr>
              <w:t>ℹ️ INFO (Outside Scope)</w:t>
            </w:r>
          </w:p>
        </w:tc>
        <w:tc>
          <w:tcPr>
            <w:tcW w:type="dxa" w:w="3312"/>
            <w:shd w:fill="F7FAFC"/>
            <w:tcMar>
              <w:top w:w="80" w:type="dxa"/>
              <w:bottom w:w="80" w:type="dxa"/>
              <w:left w:w="100" w:type="dxa"/>
              <w:right w:w="100" w:type="dxa"/>
            </w:tcMar>
          </w:tcPr>
          <w:p>
            <w:r>
              <w:rPr>
                <w:color w:val="2D3748"/>
                <w:sz w:val="19"/>
              </w:rPr>
              <w:t>Tender is from an unsupported authority (e.g. Rural Village Panchayat, TNSTC) or is non-SWM civil work (borewell, depot floor).</w:t>
            </w:r>
          </w:p>
        </w:tc>
        <w:tc>
          <w:tcPr>
            <w:tcW w:type="dxa" w:w="3312"/>
            <w:shd w:fill="F7FAFC"/>
            <w:tcMar>
              <w:top w:w="80" w:type="dxa"/>
              <w:bottom w:w="80" w:type="dxa"/>
              <w:left w:w="100" w:type="dxa"/>
              <w:right w:w="100" w:type="dxa"/>
            </w:tcMar>
          </w:tcPr>
          <w:p>
            <w:r>
              <w:rPr>
                <w:color w:val="2D3748"/>
                <w:sz w:val="19"/>
              </w:rPr>
              <w:t>Outside Supported SWM Scope. Verified government record, but excluded from solid-waste accountability scoring.</w:t>
            </w:r>
          </w:p>
        </w:tc>
      </w:tr>
    </w:tbl>
    <w:p/>
    <w:p>
      <w:pPr>
        <w:keepNext/>
        <w:spacing w:before="320" w:after="120"/>
      </w:pPr>
      <w:r>
        <w:rPr>
          <w:rFonts w:ascii="Segoe UI" w:hAnsi="Segoe UI"/>
          <w:b/>
          <w:color w:val="1A365D"/>
          <w:sz w:val="32"/>
        </w:rPr>
        <w:t>4. Technical Deep Dive: What We Did &amp; Why</w:t>
      </w:r>
    </w:p>
    <w:p>
      <w:pPr>
        <w:keepNext/>
        <w:spacing w:before="240" w:after="80"/>
      </w:pPr>
      <w:r>
        <w:rPr>
          <w:rFonts w:ascii="Segoe UI" w:hAnsi="Segoe UI"/>
          <w:b/>
          <w:color w:val="2B6CB0"/>
          <w:sz w:val="25"/>
        </w:rPr>
        <w:t>1. Live-Portal-First Workflow (Not Just a Mock Page)</w:t>
      </w:r>
    </w:p>
    <w:p>
      <w:pPr>
        <w:spacing w:after="100" w:line="276" w:lineRule="auto"/>
      </w:pPr>
      <w:r>
        <w:rPr>
          <w:rFonts w:ascii="Segoe UI" w:hAnsi="Segoe UI"/>
          <w:i w:val="0"/>
          <w:color w:val="2D3748"/>
          <w:sz w:val="20"/>
        </w:rPr>
        <w:t>Why: Most hackathon projects only work on localhost mockup HTML files. Municipal Tender Watchdog works directly on live Tamil Nadu Government e-Procurement pages (tntenders.gov.in). The extension passively detects live tender URLs (FrontEndTenderDetails / FrontEndViewTender) and extracts live DOM content, while preserving a built-in 4-scenario local demo page for offline evaluations.</w:t>
      </w:r>
    </w:p>
    <w:p>
      <w:pPr>
        <w:keepNext/>
        <w:spacing w:before="240" w:after="80"/>
      </w:pPr>
      <w:r>
        <w:rPr>
          <w:rFonts w:ascii="Segoe UI" w:hAnsi="Segoe UI"/>
          <w:b/>
          <w:color w:val="2B6CB0"/>
          <w:sz w:val="25"/>
        </w:rPr>
        <w:t>2. Dual-Engine Extraction (Gemini LLM + Deterministic Regex)</w:t>
      </w:r>
    </w:p>
    <w:p>
      <w:pPr>
        <w:spacing w:after="100" w:line="276" w:lineRule="auto"/>
      </w:pPr>
      <w:r>
        <w:rPr>
          <w:rFonts w:ascii="Segoe UI" w:hAnsi="Segoe UI"/>
          <w:i w:val="0"/>
          <w:color w:val="2D3748"/>
          <w:sz w:val="20"/>
        </w:rPr>
        <w:t>Why: Civic tools must never crash in the field due to cloud quota limits, API key expirations, or intermittent internet. When an API key is present, Google Gemini Flash extracts structured parameters from unstructured text. If Gemini encounters a 503 surge or the API key is absent, the system automatically falls back to a deterministic regex parser with 100% reliability.</w:t>
      </w:r>
    </w:p>
    <w:p>
      <w:pPr>
        <w:keepNext/>
        <w:spacing w:before="240" w:after="80"/>
      </w:pPr>
      <w:r>
        <w:rPr>
          <w:rFonts w:ascii="Segoe UI" w:hAnsi="Segoe UI"/>
          <w:b/>
          <w:color w:val="2B6CB0"/>
          <w:sz w:val="25"/>
        </w:rPr>
        <w:t>3. Deterministic Decision Engine (No LLM Guesswork for Flags)</w:t>
      </w:r>
    </w:p>
    <w:p>
      <w:pPr>
        <w:spacing w:after="100" w:line="276" w:lineRule="auto"/>
      </w:pPr>
      <w:r>
        <w:rPr>
          <w:rFonts w:ascii="Segoe UI" w:hAnsi="Segoe UI"/>
          <w:i w:val="0"/>
          <w:color w:val="2D3748"/>
          <w:sz w:val="20"/>
        </w:rPr>
        <w:t>Why: Assigning a RED or ORANGE flag has legal, administrative, and ethical consequences. An LLM might hallucinate or misidentify a ward. Our accountability logic is 100% mathematical code: token Jaccard similarity augmented with SWM domain acronyms (MCC, RRP, SWM, MT), strict 18-month timestamp math, and administrative matching (Ward -&gt; Zone -&gt; Locality).</w:t>
      </w:r>
    </w:p>
    <w:p>
      <w:pPr>
        <w:keepNext/>
        <w:spacing w:before="240" w:after="80"/>
      </w:pPr>
      <w:r>
        <w:rPr>
          <w:rFonts w:ascii="Segoe UI" w:hAnsi="Segoe UI"/>
          <w:b/>
          <w:color w:val="2B6CB0"/>
          <w:sz w:val="25"/>
        </w:rPr>
        <w:t>4. Accurate Completion-Evidence Timing Logic</w:t>
      </w:r>
    </w:p>
    <w:p>
      <w:pPr>
        <w:spacing w:after="100" w:line="276" w:lineRule="auto"/>
      </w:pPr>
      <w:r>
        <w:rPr>
          <w:rFonts w:ascii="Segoe UI" w:hAnsi="Segoe UI"/>
          <w:i w:val="0"/>
          <w:color w:val="2D3748"/>
          <w:sz w:val="20"/>
        </w:rPr>
        <w:t>Why: In government procurement, tenders can be published months before technical evaluation, financial opening, and council approval take place. Calculating completion from the publication date creates false alarms. Our system enforces: expected_completion = work_order_date + work_period_days. If work_order_date is missing, expected completion is NOT calculated and never triggers false ORANGE alarms.</w:t>
      </w:r>
    </w:p>
    <w:p>
      <w:pPr>
        <w:keepNext/>
        <w:spacing w:before="240" w:after="80"/>
      </w:pPr>
      <w:r>
        <w:rPr>
          <w:rFonts w:ascii="Segoe UI" w:hAnsi="Segoe UI"/>
          <w:b/>
          <w:color w:val="2B6CB0"/>
          <w:sz w:val="25"/>
        </w:rPr>
        <w:t>5. Zero-Accusation, Defamation-Proof AI Explanations</w:t>
      </w:r>
    </w:p>
    <w:p>
      <w:pPr>
        <w:spacing w:after="100" w:line="276" w:lineRule="auto"/>
      </w:pPr>
      <w:r>
        <w:rPr>
          <w:rFonts w:ascii="Segoe UI" w:hAnsi="Segoe UI"/>
          <w:i w:val="0"/>
          <w:color w:val="2D3748"/>
          <w:sz w:val="20"/>
        </w:rPr>
        <w:t>Why: Civic technology must protect public interest while treating authorities fairly. Sensationalist accusations expose users to legal liabilities. Our GenAI summarization prompt enforces strict guardrails: no accusations of corruption, clear disclaimers that absence of evidence in dataset is not proof of wrongdoing, and recommendations for formal RTI verification.</w:t>
      </w:r>
    </w:p>
    <w:p>
      <w:pPr>
        <w:keepNext/>
        <w:spacing w:before="240" w:after="80"/>
      </w:pPr>
      <w:r>
        <w:rPr>
          <w:rFonts w:ascii="Segoe UI" w:hAnsi="Segoe UI"/>
          <w:b/>
          <w:color w:val="2B6CB0"/>
          <w:sz w:val="25"/>
        </w:rPr>
        <w:t>6. Evidence Provenance &amp; One-Click Section 6(1) RTI Generator</w:t>
      </w:r>
    </w:p>
    <w:p>
      <w:pPr>
        <w:spacing w:after="100" w:line="276" w:lineRule="auto"/>
      </w:pPr>
      <w:r>
        <w:rPr>
          <w:rFonts w:ascii="Segoe UI" w:hAnsi="Segoe UI"/>
          <w:i w:val="0"/>
          <w:color w:val="2D3748"/>
          <w:sz w:val="20"/>
        </w:rPr>
        <w:t>Why: Every evidence item retains its own verified source URL pointing directly to the official government portal. Furthermore, our RTI generator automatically formulates 7 precise legal questions under Section 6(1) of the RTI Act 2005 (demanding administrative approvals, Measurement Book entries, and completion certificates) ready to copy and submit.</w:t>
      </w:r>
    </w:p>
    <w:p>
      <w:pPr>
        <w:keepNext/>
        <w:spacing w:before="320" w:after="120"/>
      </w:pPr>
      <w:r>
        <w:rPr>
          <w:rFonts w:ascii="Segoe UI" w:hAnsi="Segoe UI"/>
          <w:b/>
          <w:color w:val="1A365D"/>
          <w:sz w:val="32"/>
        </w:rPr>
        <w:t>5. Complete Feature Matrix (Built &amp; Tested)</w:t>
      </w:r>
    </w:p>
    <w:tbl>
      <w:tblPr>
        <w:tblW w:type="auto" w:w="0"/>
        <w:jc w:val="center"/>
        <w:tblLook w:firstColumn="1" w:firstRow="1" w:lastColumn="0" w:lastRow="0" w:noHBand="0" w:noVBand="1" w:val="04A0"/>
      </w:tblPr>
      <w:tblGrid>
        <w:gridCol w:w="3312"/>
        <w:gridCol w:w="3312"/>
        <w:gridCol w:w="3312"/>
      </w:tblGrid>
      <w:tr>
        <w:tc>
          <w:tcPr>
            <w:tcW w:type="dxa" w:w="3312"/>
            <w:shd w:fill="1A365D"/>
            <w:tcMar>
              <w:top w:w="80" w:type="dxa"/>
              <w:bottom w:w="80" w:type="dxa"/>
              <w:left w:w="100" w:type="dxa"/>
              <w:right w:w="100" w:type="dxa"/>
            </w:tcMar>
          </w:tcPr>
          <w:p>
            <w:r>
              <w:rPr>
                <w:b/>
                <w:color w:val="FFFFFF"/>
                <w:sz w:val="19"/>
              </w:rPr>
              <w:t>#</w:t>
            </w:r>
          </w:p>
        </w:tc>
        <w:tc>
          <w:tcPr>
            <w:tcW w:type="dxa" w:w="3312"/>
            <w:shd w:fill="1A365D"/>
            <w:tcMar>
              <w:top w:w="80" w:type="dxa"/>
              <w:bottom w:w="80" w:type="dxa"/>
              <w:left w:w="100" w:type="dxa"/>
              <w:right w:w="100" w:type="dxa"/>
            </w:tcMar>
          </w:tcPr>
          <w:p>
            <w:r>
              <w:rPr>
                <w:b/>
                <w:color w:val="FFFFFF"/>
                <w:sz w:val="19"/>
              </w:rPr>
              <w:t>Feature Area &amp; Capability</w:t>
            </w:r>
          </w:p>
        </w:tc>
        <w:tc>
          <w:tcPr>
            <w:tcW w:type="dxa" w:w="3312"/>
            <w:shd w:fill="1A365D"/>
            <w:tcMar>
              <w:top w:w="80" w:type="dxa"/>
              <w:bottom w:w="80" w:type="dxa"/>
              <w:left w:w="100" w:type="dxa"/>
              <w:right w:w="100" w:type="dxa"/>
            </w:tcMar>
          </w:tcPr>
          <w:p>
            <w:r>
              <w:rPr>
                <w:b/>
                <w:color w:val="FFFFFF"/>
                <w:sz w:val="19"/>
              </w:rPr>
              <w:t>Status &amp; Verification</w:t>
            </w:r>
          </w:p>
        </w:tc>
      </w:tr>
      <w:tr>
        <w:tc>
          <w:tcPr>
            <w:tcW w:type="dxa" w:w="3312"/>
            <w:shd w:fill="FFFFFF"/>
            <w:tcMar>
              <w:top w:w="60" w:type="dxa"/>
              <w:bottom w:w="60" w:type="dxa"/>
              <w:left w:w="80" w:type="dxa"/>
              <w:right w:w="80" w:type="dxa"/>
            </w:tcMar>
          </w:tcPr>
          <w:p>
            <w:pPr>
              <w:jc w:val="center"/>
            </w:pPr>
            <w:r>
              <w:rPr>
                <w:color w:val="2D3748"/>
                <w:sz w:val="18"/>
              </w:rPr>
              <w:t>1</w:t>
            </w:r>
          </w:p>
        </w:tc>
        <w:tc>
          <w:tcPr>
            <w:tcW w:type="dxa" w:w="3312"/>
            <w:shd w:fill="FFFFFF"/>
            <w:tcMar>
              <w:top w:w="60" w:type="dxa"/>
              <w:bottom w:w="60" w:type="dxa"/>
              <w:left w:w="80" w:type="dxa"/>
              <w:right w:w="80" w:type="dxa"/>
            </w:tcMar>
          </w:tcPr>
          <w:p>
            <w:r>
              <w:rPr>
                <w:color w:val="2D3748"/>
                <w:sz w:val="18"/>
              </w:rPr>
              <w:t>Manifest V3 Chrome Extension (Zero-tracking, responsive popup, background polling)</w:t>
            </w:r>
          </w:p>
        </w:tc>
        <w:tc>
          <w:tcPr>
            <w:tcW w:type="dxa" w:w="3312"/>
            <w:shd w:fill="FFFFFF"/>
            <w:tcMar>
              <w:top w:w="60" w:type="dxa"/>
              <w:bottom w:w="60" w:type="dxa"/>
              <w:left w:w="80" w:type="dxa"/>
              <w:right w:w="80" w:type="dxa"/>
            </w:tcMar>
          </w:tcPr>
          <w:p>
            <w:r>
              <w:rPr>
                <w:color w:val="2D3748"/>
                <w:sz w:val="18"/>
              </w:rPr>
              <w:t>✅ Built &amp; Verified</w:t>
            </w:r>
          </w:p>
        </w:tc>
      </w:tr>
      <w:tr>
        <w:tc>
          <w:tcPr>
            <w:tcW w:type="dxa" w:w="3312"/>
            <w:shd w:fill="F7FAFC"/>
            <w:tcMar>
              <w:top w:w="60" w:type="dxa"/>
              <w:bottom w:w="60" w:type="dxa"/>
              <w:left w:w="80" w:type="dxa"/>
              <w:right w:w="80" w:type="dxa"/>
            </w:tcMar>
          </w:tcPr>
          <w:p>
            <w:pPr>
              <w:jc w:val="center"/>
            </w:pPr>
            <w:r>
              <w:rPr>
                <w:color w:val="2D3748"/>
                <w:sz w:val="18"/>
              </w:rPr>
              <w:t>2</w:t>
            </w:r>
          </w:p>
        </w:tc>
        <w:tc>
          <w:tcPr>
            <w:tcW w:type="dxa" w:w="3312"/>
            <w:shd w:fill="F7FAFC"/>
            <w:tcMar>
              <w:top w:w="60" w:type="dxa"/>
              <w:bottom w:w="60" w:type="dxa"/>
              <w:left w:w="80" w:type="dxa"/>
              <w:right w:w="80" w:type="dxa"/>
            </w:tcMar>
          </w:tcPr>
          <w:p>
            <w:r>
              <w:rPr>
                <w:color w:val="2D3748"/>
                <w:sz w:val="18"/>
              </w:rPr>
              <w:t>Live Portal Tender Auto-Detection (tntenders.gov.in FrontEnd URLs)</w:t>
            </w:r>
          </w:p>
        </w:tc>
        <w:tc>
          <w:tcPr>
            <w:tcW w:type="dxa" w:w="3312"/>
            <w:shd w:fill="F7FAFC"/>
            <w:tcMar>
              <w:top w:w="60" w:type="dxa"/>
              <w:bottom w:w="60" w:type="dxa"/>
              <w:left w:w="80" w:type="dxa"/>
              <w:right w:w="80" w:type="dxa"/>
            </w:tcMar>
          </w:tcPr>
          <w:p>
            <w:r>
              <w:rPr>
                <w:color w:val="2D3748"/>
                <w:sz w:val="18"/>
              </w:rPr>
              <w:t>✅ Built &amp; Verified</w:t>
            </w:r>
          </w:p>
        </w:tc>
      </w:tr>
      <w:tr>
        <w:tc>
          <w:tcPr>
            <w:tcW w:type="dxa" w:w="3312"/>
            <w:shd w:fill="FFFFFF"/>
            <w:tcMar>
              <w:top w:w="60" w:type="dxa"/>
              <w:bottom w:w="60" w:type="dxa"/>
              <w:left w:w="80" w:type="dxa"/>
              <w:right w:w="80" w:type="dxa"/>
            </w:tcMar>
          </w:tcPr>
          <w:p>
            <w:pPr>
              <w:jc w:val="center"/>
            </w:pPr>
            <w:r>
              <w:rPr>
                <w:color w:val="2D3748"/>
                <w:sz w:val="18"/>
              </w:rPr>
              <w:t>3</w:t>
            </w:r>
          </w:p>
        </w:tc>
        <w:tc>
          <w:tcPr>
            <w:tcW w:type="dxa" w:w="3312"/>
            <w:shd w:fill="FFFFFF"/>
            <w:tcMar>
              <w:top w:w="60" w:type="dxa"/>
              <w:bottom w:w="60" w:type="dxa"/>
              <w:left w:w="80" w:type="dxa"/>
              <w:right w:w="80" w:type="dxa"/>
            </w:tcMar>
          </w:tcPr>
          <w:p>
            <w:r>
              <w:rPr>
                <w:color w:val="2D3748"/>
                <w:sz w:val="18"/>
              </w:rPr>
              <w:t>Offline Demo Environment (demo/tender.html with 4 judging scenarios)</w:t>
            </w:r>
          </w:p>
        </w:tc>
        <w:tc>
          <w:tcPr>
            <w:tcW w:type="dxa" w:w="3312"/>
            <w:shd w:fill="FFFFFF"/>
            <w:tcMar>
              <w:top w:w="60" w:type="dxa"/>
              <w:bottom w:w="60" w:type="dxa"/>
              <w:left w:w="80" w:type="dxa"/>
              <w:right w:w="80" w:type="dxa"/>
            </w:tcMar>
          </w:tcPr>
          <w:p>
            <w:r>
              <w:rPr>
                <w:color w:val="2D3748"/>
                <w:sz w:val="18"/>
              </w:rPr>
              <w:t>✅ Built &amp; Verified</w:t>
            </w:r>
          </w:p>
        </w:tc>
      </w:tr>
      <w:tr>
        <w:tc>
          <w:tcPr>
            <w:tcW w:type="dxa" w:w="3312"/>
            <w:shd w:fill="F7FAFC"/>
            <w:tcMar>
              <w:top w:w="60" w:type="dxa"/>
              <w:bottom w:w="60" w:type="dxa"/>
              <w:left w:w="80" w:type="dxa"/>
              <w:right w:w="80" w:type="dxa"/>
            </w:tcMar>
          </w:tcPr>
          <w:p>
            <w:pPr>
              <w:jc w:val="center"/>
            </w:pPr>
            <w:r>
              <w:rPr>
                <w:color w:val="2D3748"/>
                <w:sz w:val="18"/>
              </w:rPr>
              <w:t>4</w:t>
            </w:r>
          </w:p>
        </w:tc>
        <w:tc>
          <w:tcPr>
            <w:tcW w:type="dxa" w:w="3312"/>
            <w:shd w:fill="F7FAFC"/>
            <w:tcMar>
              <w:top w:w="60" w:type="dxa"/>
              <w:bottom w:w="60" w:type="dxa"/>
              <w:left w:w="80" w:type="dxa"/>
              <w:right w:w="80" w:type="dxa"/>
            </w:tcMar>
          </w:tcPr>
          <w:p>
            <w:r>
              <w:rPr>
                <w:color w:val="2D3748"/>
                <w:sz w:val="18"/>
              </w:rPr>
              <w:t>Google Gemini Flash Structured Parameter Extraction</w:t>
            </w:r>
          </w:p>
        </w:tc>
        <w:tc>
          <w:tcPr>
            <w:tcW w:type="dxa" w:w="3312"/>
            <w:shd w:fill="F7FAFC"/>
            <w:tcMar>
              <w:top w:w="60" w:type="dxa"/>
              <w:bottom w:w="60" w:type="dxa"/>
              <w:left w:w="80" w:type="dxa"/>
              <w:right w:w="80" w:type="dxa"/>
            </w:tcMar>
          </w:tcPr>
          <w:p>
            <w:r>
              <w:rPr>
                <w:color w:val="2D3748"/>
                <w:sz w:val="18"/>
              </w:rPr>
              <w:t>✅ Built &amp; Verified</w:t>
            </w:r>
          </w:p>
        </w:tc>
      </w:tr>
      <w:tr>
        <w:tc>
          <w:tcPr>
            <w:tcW w:type="dxa" w:w="3312"/>
            <w:shd w:fill="FFFFFF"/>
            <w:tcMar>
              <w:top w:w="60" w:type="dxa"/>
              <w:bottom w:w="60" w:type="dxa"/>
              <w:left w:w="80" w:type="dxa"/>
              <w:right w:w="80" w:type="dxa"/>
            </w:tcMar>
          </w:tcPr>
          <w:p>
            <w:pPr>
              <w:jc w:val="center"/>
            </w:pPr>
            <w:r>
              <w:rPr>
                <w:color w:val="2D3748"/>
                <w:sz w:val="18"/>
              </w:rPr>
              <w:t>5</w:t>
            </w:r>
          </w:p>
        </w:tc>
        <w:tc>
          <w:tcPr>
            <w:tcW w:type="dxa" w:w="3312"/>
            <w:shd w:fill="FFFFFF"/>
            <w:tcMar>
              <w:top w:w="60" w:type="dxa"/>
              <w:bottom w:w="60" w:type="dxa"/>
              <w:left w:w="80" w:type="dxa"/>
              <w:right w:w="80" w:type="dxa"/>
            </w:tcMar>
          </w:tcPr>
          <w:p>
            <w:r>
              <w:rPr>
                <w:color w:val="2D3748"/>
                <w:sz w:val="18"/>
              </w:rPr>
              <w:t>Deterministic Regex Fallback Extractor (100% offline &amp; zero-API safe)</w:t>
            </w:r>
          </w:p>
        </w:tc>
        <w:tc>
          <w:tcPr>
            <w:tcW w:type="dxa" w:w="3312"/>
            <w:shd w:fill="FFFFFF"/>
            <w:tcMar>
              <w:top w:w="60" w:type="dxa"/>
              <w:bottom w:w="60" w:type="dxa"/>
              <w:left w:w="80" w:type="dxa"/>
              <w:right w:w="80" w:type="dxa"/>
            </w:tcMar>
          </w:tcPr>
          <w:p>
            <w:r>
              <w:rPr>
                <w:color w:val="2D3748"/>
                <w:sz w:val="18"/>
              </w:rPr>
              <w:t>✅ Built &amp; Verified</w:t>
            </w:r>
          </w:p>
        </w:tc>
      </w:tr>
      <w:tr>
        <w:tc>
          <w:tcPr>
            <w:tcW w:type="dxa" w:w="3312"/>
            <w:shd w:fill="F7FAFC"/>
            <w:tcMar>
              <w:top w:w="60" w:type="dxa"/>
              <w:bottom w:w="60" w:type="dxa"/>
              <w:left w:w="80" w:type="dxa"/>
              <w:right w:w="80" w:type="dxa"/>
            </w:tcMar>
          </w:tcPr>
          <w:p>
            <w:pPr>
              <w:jc w:val="center"/>
            </w:pPr>
            <w:r>
              <w:rPr>
                <w:color w:val="2D3748"/>
                <w:sz w:val="18"/>
              </w:rPr>
              <w:t>6</w:t>
            </w:r>
          </w:p>
        </w:tc>
        <w:tc>
          <w:tcPr>
            <w:tcW w:type="dxa" w:w="3312"/>
            <w:shd w:fill="F7FAFC"/>
            <w:tcMar>
              <w:top w:w="60" w:type="dxa"/>
              <w:bottom w:w="60" w:type="dxa"/>
              <w:left w:w="80" w:type="dxa"/>
              <w:right w:w="80" w:type="dxa"/>
            </w:tcMar>
          </w:tcPr>
          <w:p>
            <w:r>
              <w:rPr>
                <w:color w:val="2D3748"/>
                <w:sz w:val="18"/>
              </w:rPr>
              <w:t>Two-Stage Scope Gatekeeper (Urban Body Filter + SWM Topic Filter)</w:t>
            </w:r>
          </w:p>
        </w:tc>
        <w:tc>
          <w:tcPr>
            <w:tcW w:type="dxa" w:w="3312"/>
            <w:shd w:fill="F7FAFC"/>
            <w:tcMar>
              <w:top w:w="60" w:type="dxa"/>
              <w:bottom w:w="60" w:type="dxa"/>
              <w:left w:w="80" w:type="dxa"/>
              <w:right w:w="80" w:type="dxa"/>
            </w:tcMar>
          </w:tcPr>
          <w:p>
            <w:r>
              <w:rPr>
                <w:color w:val="2D3748"/>
                <w:sz w:val="18"/>
              </w:rPr>
              <w:t>✅ Built &amp; Verified</w:t>
            </w:r>
          </w:p>
        </w:tc>
      </w:tr>
      <w:tr>
        <w:tc>
          <w:tcPr>
            <w:tcW w:type="dxa" w:w="3312"/>
            <w:shd w:fill="FFFFFF"/>
            <w:tcMar>
              <w:top w:w="60" w:type="dxa"/>
              <w:bottom w:w="60" w:type="dxa"/>
              <w:left w:w="80" w:type="dxa"/>
              <w:right w:w="80" w:type="dxa"/>
            </w:tcMar>
          </w:tcPr>
          <w:p>
            <w:pPr>
              <w:jc w:val="center"/>
            </w:pPr>
            <w:r>
              <w:rPr>
                <w:color w:val="2D3748"/>
                <w:sz w:val="18"/>
              </w:rPr>
              <w:t>7</w:t>
            </w:r>
          </w:p>
        </w:tc>
        <w:tc>
          <w:tcPr>
            <w:tcW w:type="dxa" w:w="3312"/>
            <w:shd w:fill="FFFFFF"/>
            <w:tcMar>
              <w:top w:w="60" w:type="dxa"/>
              <w:bottom w:w="60" w:type="dxa"/>
              <w:left w:w="80" w:type="dxa"/>
              <w:right w:w="80" w:type="dxa"/>
            </w:tcMar>
          </w:tcPr>
          <w:p>
            <w:r>
              <w:rPr>
                <w:color w:val="2D3748"/>
                <w:sz w:val="18"/>
              </w:rPr>
              <w:t>SQLite Historical Cache (20 verified records imported from Excel dataset)</w:t>
            </w:r>
          </w:p>
        </w:tc>
        <w:tc>
          <w:tcPr>
            <w:tcW w:type="dxa" w:w="3312"/>
            <w:shd w:fill="FFFFFF"/>
            <w:tcMar>
              <w:top w:w="60" w:type="dxa"/>
              <w:bottom w:w="60" w:type="dxa"/>
              <w:left w:w="80" w:type="dxa"/>
              <w:right w:w="80" w:type="dxa"/>
            </w:tcMar>
          </w:tcPr>
          <w:p>
            <w:r>
              <w:rPr>
                <w:color w:val="2D3748"/>
                <w:sz w:val="18"/>
              </w:rPr>
              <w:t>✅ Built &amp; Verified</w:t>
            </w:r>
          </w:p>
        </w:tc>
      </w:tr>
      <w:tr>
        <w:tc>
          <w:tcPr>
            <w:tcW w:type="dxa" w:w="3312"/>
            <w:shd w:fill="F7FAFC"/>
            <w:tcMar>
              <w:top w:w="60" w:type="dxa"/>
              <w:bottom w:w="60" w:type="dxa"/>
              <w:left w:w="80" w:type="dxa"/>
              <w:right w:w="80" w:type="dxa"/>
            </w:tcMar>
          </w:tcPr>
          <w:p>
            <w:pPr>
              <w:jc w:val="center"/>
            </w:pPr>
            <w:r>
              <w:rPr>
                <w:color w:val="2D3748"/>
                <w:sz w:val="18"/>
              </w:rPr>
              <w:t>8</w:t>
            </w:r>
          </w:p>
        </w:tc>
        <w:tc>
          <w:tcPr>
            <w:tcW w:type="dxa" w:w="3312"/>
            <w:shd w:fill="F7FAFC"/>
            <w:tcMar>
              <w:top w:w="60" w:type="dxa"/>
              <w:bottom w:w="60" w:type="dxa"/>
              <w:left w:w="80" w:type="dxa"/>
              <w:right w:w="80" w:type="dxa"/>
            </w:tcMar>
          </w:tcPr>
          <w:p>
            <w:r>
              <w:rPr>
                <w:color w:val="2D3748"/>
                <w:sz w:val="18"/>
              </w:rPr>
              <w:t>Administrative Hierarchy Matching (Ward -&gt; Zone -&gt; Town Panchayat Locality)</w:t>
            </w:r>
          </w:p>
        </w:tc>
        <w:tc>
          <w:tcPr>
            <w:tcW w:type="dxa" w:w="3312"/>
            <w:shd w:fill="F7FAFC"/>
            <w:tcMar>
              <w:top w:w="60" w:type="dxa"/>
              <w:bottom w:w="60" w:type="dxa"/>
              <w:left w:w="80" w:type="dxa"/>
              <w:right w:w="80" w:type="dxa"/>
            </w:tcMar>
          </w:tcPr>
          <w:p>
            <w:r>
              <w:rPr>
                <w:color w:val="2D3748"/>
                <w:sz w:val="18"/>
              </w:rPr>
              <w:t>✅ Built &amp; Verified</w:t>
            </w:r>
          </w:p>
        </w:tc>
      </w:tr>
      <w:tr>
        <w:tc>
          <w:tcPr>
            <w:tcW w:type="dxa" w:w="3312"/>
            <w:shd w:fill="FFFFFF"/>
            <w:tcMar>
              <w:top w:w="60" w:type="dxa"/>
              <w:bottom w:w="60" w:type="dxa"/>
              <w:left w:w="80" w:type="dxa"/>
              <w:right w:w="80" w:type="dxa"/>
            </w:tcMar>
          </w:tcPr>
          <w:p>
            <w:pPr>
              <w:jc w:val="center"/>
            </w:pPr>
            <w:r>
              <w:rPr>
                <w:color w:val="2D3748"/>
                <w:sz w:val="18"/>
              </w:rPr>
              <w:t>9</w:t>
            </w:r>
          </w:p>
        </w:tc>
        <w:tc>
          <w:tcPr>
            <w:tcW w:type="dxa" w:w="3312"/>
            <w:shd w:fill="FFFFFF"/>
            <w:tcMar>
              <w:top w:w="60" w:type="dxa"/>
              <w:bottom w:w="60" w:type="dxa"/>
              <w:left w:w="80" w:type="dxa"/>
              <w:right w:w="80" w:type="dxa"/>
            </w:tcMar>
          </w:tcPr>
          <w:p>
            <w:r>
              <w:rPr>
                <w:color w:val="2D3748"/>
                <w:sz w:val="18"/>
              </w:rPr>
              <w:t>Repetition Engine (Token similarity + SWM acronym expansion over 18 months)</w:t>
            </w:r>
          </w:p>
        </w:tc>
        <w:tc>
          <w:tcPr>
            <w:tcW w:type="dxa" w:w="3312"/>
            <w:shd w:fill="FFFFFF"/>
            <w:tcMar>
              <w:top w:w="60" w:type="dxa"/>
              <w:bottom w:w="60" w:type="dxa"/>
              <w:left w:w="80" w:type="dxa"/>
              <w:right w:w="80" w:type="dxa"/>
            </w:tcMar>
          </w:tcPr>
          <w:p>
            <w:r>
              <w:rPr>
                <w:color w:val="2D3748"/>
                <w:sz w:val="18"/>
              </w:rPr>
              <w:t>✅ Built &amp; Verified</w:t>
            </w:r>
          </w:p>
        </w:tc>
      </w:tr>
      <w:tr>
        <w:tc>
          <w:tcPr>
            <w:tcW w:type="dxa" w:w="3312"/>
            <w:shd w:fill="F7FAFC"/>
            <w:tcMar>
              <w:top w:w="60" w:type="dxa"/>
              <w:bottom w:w="60" w:type="dxa"/>
              <w:left w:w="80" w:type="dxa"/>
              <w:right w:w="80" w:type="dxa"/>
            </w:tcMar>
          </w:tcPr>
          <w:p>
            <w:pPr>
              <w:jc w:val="center"/>
            </w:pPr>
            <w:r>
              <w:rPr>
                <w:color w:val="2D3748"/>
                <w:sz w:val="18"/>
              </w:rPr>
              <w:t>10</w:t>
            </w:r>
          </w:p>
        </w:tc>
        <w:tc>
          <w:tcPr>
            <w:tcW w:type="dxa" w:w="3312"/>
            <w:shd w:fill="F7FAFC"/>
            <w:tcMar>
              <w:top w:w="60" w:type="dxa"/>
              <w:bottom w:w="60" w:type="dxa"/>
              <w:left w:w="80" w:type="dxa"/>
              <w:right w:w="80" w:type="dxa"/>
            </w:tcMar>
          </w:tcPr>
          <w:p>
            <w:r>
              <w:rPr>
                <w:color w:val="2D3748"/>
                <w:sz w:val="18"/>
              </w:rPr>
              <w:t>Accurate Silence Timing (work_order_date + work_period_days vs reference date)</w:t>
            </w:r>
          </w:p>
        </w:tc>
        <w:tc>
          <w:tcPr>
            <w:tcW w:type="dxa" w:w="3312"/>
            <w:shd w:fill="F7FAFC"/>
            <w:tcMar>
              <w:top w:w="60" w:type="dxa"/>
              <w:bottom w:w="60" w:type="dxa"/>
              <w:left w:w="80" w:type="dxa"/>
              <w:right w:w="80" w:type="dxa"/>
            </w:tcMar>
          </w:tcPr>
          <w:p>
            <w:r>
              <w:rPr>
                <w:color w:val="2D3748"/>
                <w:sz w:val="18"/>
              </w:rPr>
              <w:t>✅ Built &amp; Verified</w:t>
            </w:r>
          </w:p>
        </w:tc>
      </w:tr>
      <w:tr>
        <w:tc>
          <w:tcPr>
            <w:tcW w:type="dxa" w:w="3312"/>
            <w:shd w:fill="FFFFFF"/>
            <w:tcMar>
              <w:top w:w="60" w:type="dxa"/>
              <w:bottom w:w="60" w:type="dxa"/>
              <w:left w:w="80" w:type="dxa"/>
              <w:right w:w="80" w:type="dxa"/>
            </w:tcMar>
          </w:tcPr>
          <w:p>
            <w:pPr>
              <w:jc w:val="center"/>
            </w:pPr>
            <w:r>
              <w:rPr>
                <w:color w:val="2D3748"/>
                <w:sz w:val="18"/>
              </w:rPr>
              <w:t>11</w:t>
            </w:r>
          </w:p>
        </w:tc>
        <w:tc>
          <w:tcPr>
            <w:tcW w:type="dxa" w:w="3312"/>
            <w:shd w:fill="FFFFFF"/>
            <w:tcMar>
              <w:top w:w="60" w:type="dxa"/>
              <w:bottom w:w="60" w:type="dxa"/>
              <w:left w:w="80" w:type="dxa"/>
              <w:right w:w="80" w:type="dxa"/>
            </w:tcMar>
          </w:tcPr>
          <w:p>
            <w:r>
              <w:rPr>
                <w:color w:val="2D3748"/>
                <w:sz w:val="18"/>
              </w:rPr>
              <w:t>4-Tier Color Badge Signals (GREEN, ORANGE, RED, INFO)</w:t>
            </w:r>
          </w:p>
        </w:tc>
        <w:tc>
          <w:tcPr>
            <w:tcW w:type="dxa" w:w="3312"/>
            <w:shd w:fill="FFFFFF"/>
            <w:tcMar>
              <w:top w:w="60" w:type="dxa"/>
              <w:bottom w:w="60" w:type="dxa"/>
              <w:left w:w="80" w:type="dxa"/>
              <w:right w:w="80" w:type="dxa"/>
            </w:tcMar>
          </w:tcPr>
          <w:p>
            <w:r>
              <w:rPr>
                <w:color w:val="2D3748"/>
                <w:sz w:val="18"/>
              </w:rPr>
              <w:t>✅ Built &amp; Verified</w:t>
            </w:r>
          </w:p>
        </w:tc>
      </w:tr>
      <w:tr>
        <w:tc>
          <w:tcPr>
            <w:tcW w:type="dxa" w:w="3312"/>
            <w:shd w:fill="F7FAFC"/>
            <w:tcMar>
              <w:top w:w="60" w:type="dxa"/>
              <w:bottom w:w="60" w:type="dxa"/>
              <w:left w:w="80" w:type="dxa"/>
              <w:right w:w="80" w:type="dxa"/>
            </w:tcMar>
          </w:tcPr>
          <w:p>
            <w:pPr>
              <w:jc w:val="center"/>
            </w:pPr>
            <w:r>
              <w:rPr>
                <w:color w:val="2D3748"/>
                <w:sz w:val="18"/>
              </w:rPr>
              <w:t>12</w:t>
            </w:r>
          </w:p>
        </w:tc>
        <w:tc>
          <w:tcPr>
            <w:tcW w:type="dxa" w:w="3312"/>
            <w:shd w:fill="F7FAFC"/>
            <w:tcMar>
              <w:top w:w="60" w:type="dxa"/>
              <w:bottom w:w="60" w:type="dxa"/>
              <w:left w:w="80" w:type="dxa"/>
              <w:right w:w="80" w:type="dxa"/>
            </w:tcMar>
          </w:tcPr>
          <w:p>
            <w:r>
              <w:rPr>
                <w:color w:val="2D3748"/>
                <w:sz w:val="18"/>
              </w:rPr>
              <w:t>Objective, Zero-Accusation Citizen Explanation Agent</w:t>
            </w:r>
          </w:p>
        </w:tc>
        <w:tc>
          <w:tcPr>
            <w:tcW w:type="dxa" w:w="3312"/>
            <w:shd w:fill="F7FAFC"/>
            <w:tcMar>
              <w:top w:w="60" w:type="dxa"/>
              <w:bottom w:w="60" w:type="dxa"/>
              <w:left w:w="80" w:type="dxa"/>
              <w:right w:w="80" w:type="dxa"/>
            </w:tcMar>
          </w:tcPr>
          <w:p>
            <w:r>
              <w:rPr>
                <w:color w:val="2D3748"/>
                <w:sz w:val="18"/>
              </w:rPr>
              <w:t>✅ Built &amp; Verified</w:t>
            </w:r>
          </w:p>
        </w:tc>
      </w:tr>
      <w:tr>
        <w:tc>
          <w:tcPr>
            <w:tcW w:type="dxa" w:w="3312"/>
            <w:shd w:fill="FFFFFF"/>
            <w:tcMar>
              <w:top w:w="60" w:type="dxa"/>
              <w:bottom w:w="60" w:type="dxa"/>
              <w:left w:w="80" w:type="dxa"/>
              <w:right w:w="80" w:type="dxa"/>
            </w:tcMar>
          </w:tcPr>
          <w:p>
            <w:pPr>
              <w:jc w:val="center"/>
            </w:pPr>
            <w:r>
              <w:rPr>
                <w:color w:val="2D3748"/>
                <w:sz w:val="18"/>
              </w:rPr>
              <w:t>13</w:t>
            </w:r>
          </w:p>
        </w:tc>
        <w:tc>
          <w:tcPr>
            <w:tcW w:type="dxa" w:w="3312"/>
            <w:shd w:fill="FFFFFF"/>
            <w:tcMar>
              <w:top w:w="60" w:type="dxa"/>
              <w:bottom w:w="60" w:type="dxa"/>
              <w:left w:w="80" w:type="dxa"/>
              <w:right w:w="80" w:type="dxa"/>
            </w:tcMar>
          </w:tcPr>
          <w:p>
            <w:r>
              <w:rPr>
                <w:color w:val="2D3748"/>
                <w:sz w:val="18"/>
              </w:rPr>
              <w:t>Evidence Audit Cards with Distinct Official Source URLs</w:t>
            </w:r>
          </w:p>
        </w:tc>
        <w:tc>
          <w:tcPr>
            <w:tcW w:type="dxa" w:w="3312"/>
            <w:shd w:fill="FFFFFF"/>
            <w:tcMar>
              <w:top w:w="60" w:type="dxa"/>
              <w:bottom w:w="60" w:type="dxa"/>
              <w:left w:w="80" w:type="dxa"/>
              <w:right w:w="80" w:type="dxa"/>
            </w:tcMar>
          </w:tcPr>
          <w:p>
            <w:r>
              <w:rPr>
                <w:color w:val="2D3748"/>
                <w:sz w:val="18"/>
              </w:rPr>
              <w:t>✅ Built &amp; Verified</w:t>
            </w:r>
          </w:p>
        </w:tc>
      </w:tr>
      <w:tr>
        <w:tc>
          <w:tcPr>
            <w:tcW w:type="dxa" w:w="3312"/>
            <w:shd w:fill="F7FAFC"/>
            <w:tcMar>
              <w:top w:w="60" w:type="dxa"/>
              <w:bottom w:w="60" w:type="dxa"/>
              <w:left w:w="80" w:type="dxa"/>
              <w:right w:w="80" w:type="dxa"/>
            </w:tcMar>
          </w:tcPr>
          <w:p>
            <w:pPr>
              <w:jc w:val="center"/>
            </w:pPr>
            <w:r>
              <w:rPr>
                <w:color w:val="2D3748"/>
                <w:sz w:val="18"/>
              </w:rPr>
              <w:t>14</w:t>
            </w:r>
          </w:p>
        </w:tc>
        <w:tc>
          <w:tcPr>
            <w:tcW w:type="dxa" w:w="3312"/>
            <w:shd w:fill="F7FAFC"/>
            <w:tcMar>
              <w:top w:w="60" w:type="dxa"/>
              <w:bottom w:w="60" w:type="dxa"/>
              <w:left w:w="80" w:type="dxa"/>
              <w:right w:w="80" w:type="dxa"/>
            </w:tcMar>
          </w:tcPr>
          <w:p>
            <w:r>
              <w:rPr>
                <w:color w:val="2D3748"/>
                <w:sz w:val="18"/>
              </w:rPr>
              <w:t>Section 6(1) RTI Application Draft Generator (7 tailored legal questions)</w:t>
            </w:r>
          </w:p>
        </w:tc>
        <w:tc>
          <w:tcPr>
            <w:tcW w:type="dxa" w:w="3312"/>
            <w:shd w:fill="F7FAFC"/>
            <w:tcMar>
              <w:top w:w="60" w:type="dxa"/>
              <w:bottom w:w="60" w:type="dxa"/>
              <w:left w:w="80" w:type="dxa"/>
              <w:right w:w="80" w:type="dxa"/>
            </w:tcMar>
          </w:tcPr>
          <w:p>
            <w:r>
              <w:rPr>
                <w:color w:val="2D3748"/>
                <w:sz w:val="18"/>
              </w:rPr>
              <w:t>✅ Built &amp; Verified</w:t>
            </w:r>
          </w:p>
        </w:tc>
      </w:tr>
      <w:tr>
        <w:tc>
          <w:tcPr>
            <w:tcW w:type="dxa" w:w="3312"/>
            <w:shd w:fill="FFFFFF"/>
            <w:tcMar>
              <w:top w:w="60" w:type="dxa"/>
              <w:bottom w:w="60" w:type="dxa"/>
              <w:left w:w="80" w:type="dxa"/>
              <w:right w:w="80" w:type="dxa"/>
            </w:tcMar>
          </w:tcPr>
          <w:p>
            <w:pPr>
              <w:jc w:val="center"/>
            </w:pPr>
            <w:r>
              <w:rPr>
                <w:color w:val="2D3748"/>
                <w:sz w:val="18"/>
              </w:rPr>
              <w:t>15</w:t>
            </w:r>
          </w:p>
        </w:tc>
        <w:tc>
          <w:tcPr>
            <w:tcW w:type="dxa" w:w="3312"/>
            <w:shd w:fill="FFFFFF"/>
            <w:tcMar>
              <w:top w:w="60" w:type="dxa"/>
              <w:bottom w:w="60" w:type="dxa"/>
              <w:left w:w="80" w:type="dxa"/>
              <w:right w:w="80" w:type="dxa"/>
            </w:tcMar>
          </w:tcPr>
          <w:p>
            <w:r>
              <w:rPr>
                <w:color w:val="2D3748"/>
                <w:sz w:val="18"/>
              </w:rPr>
              <w:t>Automated End-to-End Test Suite (test_pipeline.py &amp; test_live_portal_pipeline.py)</w:t>
            </w:r>
          </w:p>
        </w:tc>
        <w:tc>
          <w:tcPr>
            <w:tcW w:type="dxa" w:w="3312"/>
            <w:shd w:fill="FFFFFF"/>
            <w:tcMar>
              <w:top w:w="60" w:type="dxa"/>
              <w:bottom w:w="60" w:type="dxa"/>
              <w:left w:w="80" w:type="dxa"/>
              <w:right w:w="80" w:type="dxa"/>
            </w:tcMar>
          </w:tcPr>
          <w:p>
            <w:r>
              <w:rPr>
                <w:color w:val="2D3748"/>
                <w:sz w:val="18"/>
              </w:rPr>
              <w:t>✅ 100% Pass Rate</w:t>
            </w:r>
          </w:p>
        </w:tc>
      </w:tr>
    </w:tbl>
    <w:p/>
    <w:p>
      <w:pPr>
        <w:keepNext/>
        <w:spacing w:before="320" w:after="120"/>
      </w:pPr>
      <w:r>
        <w:rPr>
          <w:rFonts w:ascii="Segoe UI" w:hAnsi="Segoe UI"/>
          <w:b/>
          <w:color w:val="1A365D"/>
          <w:sz w:val="32"/>
        </w:rPr>
        <w:t>6. Next-Generation Roadmap (Bonus for Hackathon Review)</w:t>
      </w:r>
    </w:p>
    <w:p>
      <w:pPr>
        <w:spacing w:after="100" w:line="276" w:lineRule="auto"/>
      </w:pPr>
      <w:r>
        <w:rPr>
          <w:rFonts w:ascii="Segoe UI" w:hAnsi="Segoe UI"/>
          <w:i w:val="0"/>
          <w:color w:val="2D3748"/>
          <w:sz w:val="20"/>
        </w:rPr>
        <w:t>To demonstrate scalability and forward-thinking engineering to the hackathon judges, highlight these 6 high-impact roadmap features planned for Version 2.0:</w:t>
      </w:r>
    </w:p>
    <w:p>
      <w:pPr>
        <w:pStyle w:val="ListBullet"/>
        <w:spacing w:after="60" w:line="276" w:lineRule="auto"/>
      </w:pPr>
      <w:r>
        <w:rPr>
          <w:rFonts w:ascii="Segoe UI" w:hAnsi="Segoe UI"/>
          <w:b/>
          <w:color w:val="2D3748"/>
          <w:sz w:val="20"/>
        </w:rPr>
        <w:t>1. 📍 Crowdsourced Geo-Tagged Photo Verification:</w:t>
      </w:r>
      <w:r>
        <w:rPr>
          <w:rFonts w:ascii="Segoe UI" w:hAnsi="Segoe UI"/>
          <w:color w:val="2D3748"/>
          <w:sz w:val="20"/>
        </w:rPr>
        <w:t xml:space="preserve"> Allow local residents to take a photo of the composting shed. The app verifies GPS coordinates against tender specs.</w:t>
      </w:r>
    </w:p>
    <w:p>
      <w:pPr>
        <w:pStyle w:val="ListBullet"/>
        <w:spacing w:after="60" w:line="276" w:lineRule="auto"/>
      </w:pPr>
      <w:r>
        <w:rPr>
          <w:rFonts w:ascii="Segoe UI" w:hAnsi="Segoe UI"/>
          <w:b/>
          <w:color w:val="2D3748"/>
          <w:sz w:val="20"/>
        </w:rPr>
        <w:t>2. 🕸️ Contractor Collusion &amp; Cartel Graph Analysis:</w:t>
      </w:r>
      <w:r>
        <w:rPr>
          <w:rFonts w:ascii="Segoe UI" w:hAnsi="Segoe UI"/>
          <w:color w:val="2D3748"/>
          <w:sz w:val="20"/>
        </w:rPr>
        <w:t xml:space="preserve"> Graph analysis connecting bidding contractors across tenders to uncover cartel networks and rotational bidding.</w:t>
      </w:r>
    </w:p>
    <w:p>
      <w:pPr>
        <w:pStyle w:val="ListBullet"/>
        <w:spacing w:after="60" w:line="276" w:lineRule="auto"/>
      </w:pPr>
      <w:r>
        <w:rPr>
          <w:rFonts w:ascii="Segoe UI" w:hAnsi="Segoe UI"/>
          <w:b/>
          <w:color w:val="2D3748"/>
          <w:sz w:val="20"/>
        </w:rPr>
        <w:t>3. 📱 Citizen WhatsApp &amp; Telegram Ward Alerts:</w:t>
      </w:r>
      <w:r>
        <w:rPr>
          <w:rFonts w:ascii="Segoe UI" w:hAnsi="Segoe UI"/>
          <w:color w:val="2D3748"/>
          <w:sz w:val="20"/>
        </w:rPr>
        <w:t xml:space="preserve"> Citizens subscribe to their Ward (e.g. Ward 24 CCMC) to receive automated 2-line alerts when contracts are issued or expire.</w:t>
      </w:r>
    </w:p>
    <w:p>
      <w:pPr>
        <w:pStyle w:val="ListBullet"/>
        <w:spacing w:after="60" w:line="276" w:lineRule="auto"/>
      </w:pPr>
      <w:r>
        <w:rPr>
          <w:rFonts w:ascii="Segoe UI" w:hAnsi="Segoe UI"/>
          <w:b/>
          <w:color w:val="2D3748"/>
          <w:sz w:val="20"/>
        </w:rPr>
        <w:t>4. 🇮🇳 Multilingual Tamil Voice &amp; Text Summaries:</w:t>
      </w:r>
      <w:r>
        <w:rPr>
          <w:rFonts w:ascii="Segoe UI" w:hAnsi="Segoe UI"/>
          <w:color w:val="2D3748"/>
          <w:sz w:val="20"/>
        </w:rPr>
        <w:t xml:space="preserve"> Generates citizen summaries in everyday spoken Tamil with voice playback for sanitation workers and resident welfare groups.</w:t>
      </w:r>
    </w:p>
    <w:p>
      <w:pPr>
        <w:pStyle w:val="ListBullet"/>
        <w:spacing w:after="60" w:line="276" w:lineRule="auto"/>
      </w:pPr>
      <w:r>
        <w:rPr>
          <w:rFonts w:ascii="Segoe UI" w:hAnsi="Segoe UI"/>
          <w:b/>
          <w:color w:val="2D3748"/>
          <w:sz w:val="20"/>
        </w:rPr>
        <w:t>5. 🛰️ Satellite &amp; Drone Verification:</w:t>
      </w:r>
      <w:r>
        <w:rPr>
          <w:rFonts w:ascii="Segoe UI" w:hAnsi="Segoe UI"/>
          <w:color w:val="2D3748"/>
          <w:sz w:val="20"/>
        </w:rPr>
        <w:t xml:space="preserve"> Integrates open satellite data (ISRO Bhuvan / Sentinel) to detect physical construction progress at designated coordinates.</w:t>
      </w:r>
    </w:p>
    <w:p>
      <w:pPr>
        <w:pStyle w:val="ListBullet"/>
        <w:spacing w:after="60" w:line="276" w:lineRule="auto"/>
      </w:pPr>
      <w:r>
        <w:rPr>
          <w:rFonts w:ascii="Segoe UI" w:hAnsi="Segoe UI"/>
          <w:b/>
          <w:color w:val="2D3748"/>
          <w:sz w:val="20"/>
        </w:rPr>
        <w:t>6. ⚡ Direct RTI e-Filing Integration:</w:t>
      </w:r>
      <w:r>
        <w:rPr>
          <w:rFonts w:ascii="Segoe UI" w:hAnsi="Segoe UI"/>
          <w:color w:val="2D3748"/>
          <w:sz w:val="20"/>
        </w:rPr>
        <w:t xml:space="preserve"> Connects directly with the Tamil Nadu RTI Online Portal (rtionline.tn.gov.in) API for 1-click filing and fee payment.</w:t>
      </w:r>
    </w:p>
    <w:p/>
    <w:p>
      <w:pPr>
        <w:keepNext/>
        <w:spacing w:before="320" w:after="120"/>
      </w:pPr>
      <w:r>
        <w:rPr>
          <w:rFonts w:ascii="Segoe UI" w:hAnsi="Segoe UI"/>
          <w:b/>
          <w:color w:val="1A365D"/>
          <w:sz w:val="32"/>
        </w:rPr>
        <w:t>7. Hackathon Live Presentation &amp; Demo Walkthrough</w:t>
      </w:r>
    </w:p>
    <w:p>
      <w:pPr>
        <w:keepNext/>
        <w:spacing w:before="240" w:after="80"/>
      </w:pPr>
      <w:r>
        <w:rPr>
          <w:rFonts w:ascii="Segoe UI" w:hAnsi="Segoe UI"/>
          <w:b/>
          <w:color w:val="2B6CB0"/>
          <w:sz w:val="25"/>
        </w:rPr>
        <w:t>3-Minute Presentation Pitch Script</w:t>
      </w:r>
    </w:p>
    <w:p>
      <w:pPr>
        <w:spacing w:after="100" w:line="276" w:lineRule="auto"/>
      </w:pPr>
      <w:r>
        <w:rPr>
          <w:rFonts w:ascii="Segoe UI" w:hAnsi="Segoe UI"/>
          <w:i/>
          <w:color w:val="2D3748"/>
          <w:sz w:val="20"/>
        </w:rPr>
        <w:t>"Good morning/afternoon, judges. Every year, municipal bodies spend hundreds of crores of taxpayer money on Solid Waste Management—constructing composting sheds, buying collection vehicles, and setting up processing units.</w:t>
        <w:br/>
        <w:br/>
        <w:t>Yet, government procurement portals like tntenders.gov.in are static transactional bulletin boards. They do not answer 3 vital civic questions:</w:t>
        <w:br/>
        <w:t>1. Was this exact same work already tendered and paid for in the same ward 12 months ago?</w:t>
        <w:br/>
        <w:t>2. Once the 60-day contract period expired, did the contractor actually finish the work, or is there a complete silence of evidence?</w:t>
        <w:br/>
        <w:t>3. How can an ordinary citizen hold the administration accountable without hiring a lawyer?</w:t>
        <w:br/>
        <w:br/>
        <w:t>Today, we introduce Municipal Tender Watchdog—an AI-powered civic accountability co-pilot that lives right inside the citizen's browser."</w:t>
      </w:r>
    </w:p>
    <w:p>
      <w:pPr>
        <w:keepNext/>
        <w:spacing w:before="240" w:after="80"/>
      </w:pPr>
      <w:r>
        <w:rPr>
          <w:rFonts w:ascii="Segoe UI" w:hAnsi="Segoe UI"/>
          <w:b/>
          <w:color w:val="2B6CB0"/>
          <w:sz w:val="25"/>
        </w:rPr>
        <w:t>Live Demo Walkthrough Steps</w:t>
      </w:r>
    </w:p>
    <w:p>
      <w:pPr>
        <w:pStyle w:val="ListBullet"/>
        <w:spacing w:after="60" w:line="276" w:lineRule="auto"/>
      </w:pPr>
      <w:r>
        <w:rPr>
          <w:rFonts w:ascii="Segoe UI" w:hAnsi="Segoe UI"/>
          <w:b/>
          <w:color w:val="2D3748"/>
          <w:sz w:val="20"/>
        </w:rPr>
        <w:t>Step 1 - Live Detection:</w:t>
      </w:r>
      <w:r>
        <w:rPr>
          <w:rFonts w:ascii="Segoe UI" w:hAnsi="Segoe UI"/>
          <w:color w:val="2D3748"/>
          <w:sz w:val="20"/>
        </w:rPr>
        <w:t xml:space="preserve"> Open a tender on tntenders.gov.in or demo/tender.html. Show the extension banner: 'LIVE TENDER DETECTED'.</w:t>
      </w:r>
    </w:p>
    <w:p>
      <w:pPr>
        <w:pStyle w:val="ListBullet"/>
        <w:spacing w:after="60" w:line="276" w:lineRule="auto"/>
      </w:pPr>
      <w:r>
        <w:rPr>
          <w:rFonts w:ascii="Segoe UI" w:hAnsi="Segoe UI"/>
          <w:b/>
          <w:color w:val="2D3748"/>
          <w:sz w:val="20"/>
        </w:rPr>
        <w:t>Step 2 - One-Click Analysis:</w:t>
      </w:r>
      <w:r>
        <w:rPr>
          <w:rFonts w:ascii="Segoe UI" w:hAnsi="Segoe UI"/>
          <w:color w:val="2D3748"/>
          <w:sz w:val="20"/>
        </w:rPr>
        <w:t xml:space="preserve"> Click 'ANALYZE LIVE TENDER'. Gemini Flash extracts parameters, cross-referencing 18 months of historical records.</w:t>
      </w:r>
    </w:p>
    <w:p>
      <w:pPr>
        <w:pStyle w:val="ListBullet"/>
        <w:spacing w:after="60" w:line="276" w:lineRule="auto"/>
      </w:pPr>
      <w:r>
        <w:rPr>
          <w:rFonts w:ascii="Segoe UI" w:hAnsi="Segoe UI"/>
          <w:b/>
          <w:color w:val="2D3748"/>
          <w:sz w:val="20"/>
        </w:rPr>
        <w:t>Step 3 - Clean Tender:</w:t>
      </w:r>
      <w:r>
        <w:rPr>
          <w:rFonts w:ascii="Segoe UI" w:hAnsi="Segoe UI"/>
          <w:color w:val="2D3748"/>
          <w:sz w:val="20"/>
        </w:rPr>
        <w:t xml:space="preserve"> Demonstrate Scenario 1 (Active CCMC East Zone tender) -&gt; 🟢 GREEN (Clean).</w:t>
      </w:r>
    </w:p>
    <w:p>
      <w:pPr>
        <w:pStyle w:val="ListBullet"/>
        <w:spacing w:after="60" w:line="276" w:lineRule="auto"/>
      </w:pPr>
      <w:r>
        <w:rPr>
          <w:rFonts w:ascii="Segoe UI" w:hAnsi="Segoe UI"/>
          <w:b/>
          <w:color w:val="2D3748"/>
          <w:sz w:val="20"/>
        </w:rPr>
        <w:t>Step 4 - Silence Gap:</w:t>
      </w:r>
      <w:r>
        <w:rPr>
          <w:rFonts w:ascii="Segoe UI" w:hAnsi="Segoe UI"/>
          <w:color w:val="2D3748"/>
          <w:sz w:val="20"/>
        </w:rPr>
        <w:t xml:space="preserve"> Demonstrate Scenario 2 (Pooluvapatti Shed, expired 60-day period) -&gt; 🟠 ORANGE (Completion Silence Gap).</w:t>
      </w:r>
    </w:p>
    <w:p>
      <w:pPr>
        <w:pStyle w:val="ListBullet"/>
        <w:spacing w:after="60" w:line="276" w:lineRule="auto"/>
      </w:pPr>
      <w:r>
        <w:rPr>
          <w:rFonts w:ascii="Segoe UI" w:hAnsi="Segoe UI"/>
          <w:b/>
          <w:color w:val="2D3748"/>
          <w:sz w:val="20"/>
        </w:rPr>
        <w:t>Step 5 - Repetition Loop:</w:t>
      </w:r>
      <w:r>
        <w:rPr>
          <w:rFonts w:ascii="Segoe UI" w:hAnsi="Segoe UI"/>
          <w:color w:val="2D3748"/>
          <w:sz w:val="20"/>
        </w:rPr>
        <w:t xml:space="preserve"> Demonstrate Scenario 3 (Ettimadai Windrow Pad, duplicate of 2025 contract) -&gt; 🔴 RED (Repeated Procurement).</w:t>
      </w:r>
    </w:p>
    <w:p>
      <w:pPr>
        <w:pStyle w:val="ListBullet"/>
        <w:spacing w:after="60" w:line="276" w:lineRule="auto"/>
      </w:pPr>
      <w:r>
        <w:rPr>
          <w:rFonts w:ascii="Segoe UI" w:hAnsi="Segoe UI"/>
          <w:b/>
          <w:color w:val="2D3748"/>
          <w:sz w:val="20"/>
        </w:rPr>
        <w:t>Step 6 - Civic Action:</w:t>
      </w:r>
      <w:r>
        <w:rPr>
          <w:rFonts w:ascii="Segoe UI" w:hAnsi="Segoe UI"/>
          <w:color w:val="2D3748"/>
          <w:sz w:val="20"/>
        </w:rPr>
        <w:t xml:space="preserve"> Click 'Generate RTI'. Show the auto-generated Section 6(1) RTI draft containing 7 legally sound questions ready to copy.</w:t>
      </w:r>
    </w:p>
    <w:p/>
    <w:p>
      <w:pPr>
        <w:keepNext/>
        <w:spacing w:before="320" w:after="120"/>
      </w:pPr>
      <w:r>
        <w:rPr>
          <w:rFonts w:ascii="Segoe UI" w:hAnsi="Segoe UI"/>
          <w:b/>
          <w:color w:val="1A365D"/>
          <w:sz w:val="32"/>
        </w:rPr>
        <w:t>8. Top Hackathon Judge Q&amp;A Defense Guide</w:t>
      </w:r>
    </w:p>
    <w:p>
      <w:pPr>
        <w:spacing w:after="100" w:line="276" w:lineRule="auto"/>
      </w:pPr>
      <w:r>
        <w:rPr>
          <w:rFonts w:ascii="Segoe UI" w:hAnsi="Segoe UI"/>
          <w:b/>
          <w:color w:val="2D3748"/>
          <w:sz w:val="20"/>
        </w:rPr>
        <w:t xml:space="preserve">🔷 </w:t>
      </w:r>
      <w:r>
        <w:rPr>
          <w:rFonts w:ascii="Segoe UI" w:hAnsi="Segoe UI"/>
          <w:i w:val="0"/>
          <w:color w:val="2D3748"/>
          <w:sz w:val="20"/>
        </w:rPr>
        <w:t>Q1: Why did you use Gemini if your decision logic is deterministic code?</w:t>
      </w:r>
    </w:p>
    <w:p>
      <w:pPr>
        <w:spacing w:after="100" w:line="276" w:lineRule="auto"/>
      </w:pPr>
      <w:r>
        <w:rPr>
          <w:rFonts w:ascii="Segoe UI" w:hAnsi="Segoe UI"/>
          <w:i w:val="0"/>
          <w:color w:val="2D3748"/>
          <w:sz w:val="20"/>
        </w:rPr>
        <w:t>Answer: Government tender pages have messy, unpredictable layouts. Gemini Flash excels at extracting unstructured text into clean JSON parameters and generating neutral citizen explanations. But assigning RED or ORANGE flags carries legal and ethical weight; that decision must remain 100% deterministic, explainable, and auditable code.</w:t>
      </w:r>
    </w:p>
    <w:p/>
    <w:p>
      <w:pPr>
        <w:spacing w:after="100" w:line="276" w:lineRule="auto"/>
      </w:pPr>
      <w:r>
        <w:rPr>
          <w:rFonts w:ascii="Segoe UI" w:hAnsi="Segoe UI"/>
          <w:b/>
          <w:color w:val="2D3748"/>
          <w:sz w:val="20"/>
        </w:rPr>
        <w:t xml:space="preserve">🔷 </w:t>
      </w:r>
      <w:r>
        <w:rPr>
          <w:rFonts w:ascii="Segoe UI" w:hAnsi="Segoe UI"/>
          <w:i w:val="0"/>
          <w:color w:val="2D3748"/>
          <w:sz w:val="20"/>
        </w:rPr>
        <w:t>Q2: How do you handle CAPTCHA on the government portal (tntenders.gov.in)?</w:t>
      </w:r>
    </w:p>
    <w:p>
      <w:pPr>
        <w:spacing w:after="100" w:line="276" w:lineRule="auto"/>
      </w:pPr>
      <w:r>
        <w:rPr>
          <w:rFonts w:ascii="Segoe UI" w:hAnsi="Segoe UI"/>
          <w:i w:val="0"/>
          <w:color w:val="2D3748"/>
          <w:sz w:val="20"/>
        </w:rPr>
        <w:t>Answer: We do not run automated scraping bots that bypass CAPTCHAs. Our Chrome extension operates inside the citizen's active browser session. Tender details pages do not require CAPTCHA. For historical comparisons, our backend references a curated, verified SQLite cache.</w:t>
      </w:r>
    </w:p>
    <w:p/>
    <w:p>
      <w:pPr>
        <w:spacing w:after="100" w:line="276" w:lineRule="auto"/>
      </w:pPr>
      <w:r>
        <w:rPr>
          <w:rFonts w:ascii="Segoe UI" w:hAnsi="Segoe UI"/>
          <w:b/>
          <w:color w:val="2D3748"/>
          <w:sz w:val="20"/>
        </w:rPr>
        <w:t xml:space="preserve">🔷 </w:t>
      </w:r>
      <w:r>
        <w:rPr>
          <w:rFonts w:ascii="Segoe UI" w:hAnsi="Segoe UI"/>
          <w:i w:val="0"/>
          <w:color w:val="2D3748"/>
          <w:sz w:val="20"/>
        </w:rPr>
        <w:t>Q3: What if there is a legitimate reason to repeat a tender (e.g. Phase 2 expansion)?</w:t>
      </w:r>
    </w:p>
    <w:p>
      <w:pPr>
        <w:spacing w:after="100" w:line="276" w:lineRule="auto"/>
      </w:pPr>
      <w:r>
        <w:rPr>
          <w:rFonts w:ascii="Segoe UI" w:hAnsi="Segoe UI"/>
          <w:i w:val="0"/>
          <w:color w:val="2D3748"/>
          <w:sz w:val="20"/>
        </w:rPr>
        <w:t>Answer: That is why our system follows a strict Zero-Accusation policy. We do not accuse anyone of corruption. We inform the citizen that an identical contract was issued recently, and provide an RTI draft so the citizen can ask the municipal administration for official clarification.</w:t>
      </w:r>
    </w:p>
    <w:p/>
    <w:p>
      <w:pPr>
        <w:spacing w:after="100" w:line="276" w:lineRule="auto"/>
      </w:pPr>
      <w:r>
        <w:rPr>
          <w:rFonts w:ascii="Segoe UI" w:hAnsi="Segoe UI"/>
          <w:b/>
          <w:color w:val="2D3748"/>
          <w:sz w:val="20"/>
        </w:rPr>
        <w:t xml:space="preserve">🔷 </w:t>
      </w:r>
      <w:r>
        <w:rPr>
          <w:rFonts w:ascii="Segoe UI" w:hAnsi="Segoe UI"/>
          <w:i w:val="0"/>
          <w:color w:val="2D3748"/>
          <w:sz w:val="20"/>
        </w:rPr>
        <w:t>Q4: Why did you calculate completion strictly from the Work Order date?</w:t>
      </w:r>
    </w:p>
    <w:p>
      <w:pPr>
        <w:spacing w:after="100" w:line="276" w:lineRule="auto"/>
      </w:pPr>
      <w:r>
        <w:rPr>
          <w:rFonts w:ascii="Segoe UI" w:hAnsi="Segoe UI"/>
          <w:i w:val="0"/>
          <w:color w:val="2D3748"/>
          <w:sz w:val="20"/>
        </w:rPr>
        <w:t>Answer: Tenders can sit open for months during bidding and evaluation before a contract is awarded. Calculating completion from the publish date creates false alarms. Our system only triggers an ORANGE gap if an actual Work Order was issued and its work period expired without public proof.</w:t>
      </w:r>
    </w:p>
    <w:p/>
    <w:p>
      <w:pPr>
        <w:spacing w:after="100" w:line="276" w:lineRule="auto"/>
      </w:pPr>
      <w:r>
        <w:rPr>
          <w:rFonts w:ascii="Segoe UI" w:hAnsi="Segoe UI"/>
          <w:b/>
          <w:color w:val="2D3748"/>
          <w:sz w:val="20"/>
        </w:rPr>
        <w:t xml:space="preserve">🔷 </w:t>
      </w:r>
      <w:r>
        <w:rPr>
          <w:rFonts w:ascii="Segoe UI" w:hAnsi="Segoe UI"/>
          <w:i w:val="0"/>
          <w:color w:val="2D3748"/>
          <w:sz w:val="20"/>
        </w:rPr>
        <w:t>Q5: Is this system scalable across Tamil Nadu and other Indian states?</w:t>
      </w:r>
    </w:p>
    <w:p>
      <w:pPr>
        <w:spacing w:after="100" w:line="276" w:lineRule="auto"/>
      </w:pPr>
      <w:r>
        <w:rPr>
          <w:rFonts w:ascii="Segoe UI" w:hAnsi="Segoe UI"/>
          <w:i w:val="0"/>
          <w:color w:val="2D3748"/>
          <w:sz w:val="20"/>
        </w:rPr>
        <w:t>Answer: Yes. Most Indian states use the National Informatics Centre (NIC) GePNIC portal engine (e.g., eproc.karnataka.gov.in, mahatenders.gov.in). Our DOM extractors and civic heuristics are directly portable to any NIC-based procurement portal across India.</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