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Montserrat" w:cs="Montserrat" w:eastAsia="Montserrat" w:hAnsi="Montserrat"/>
          <w:b w:val="1"/>
          <w:bCs w:val="1"/>
          <w:i w:val="1"/>
          <w:iCs w:val="1"/>
        </w:rPr>
      </w:pPr>
      <w:bookmarkStart w:colFirst="0" w:colLast="0" w:name="_3jcc5vue8ts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Live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Welcome to the live session on the ‘Introduction to Azure - II’ module. </w:t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 Medium" w:cs="Montserrat Medium" w:eastAsia="Montserrat Medium" w:hAnsi="Montserrat Medium"/>
          <w:i w:val="1"/>
          <w:iCs w:val="1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 this session, learners will gain an in-depth understanding of Azure Resource Management, Networking, Security, and Disaster Recovery. They will explore the deployment and automation of infrastructure using ARM templates and Bicep, secure multi-tier applications with NSGs and ASGs, configure Azure DNS for scalable domain management, and implement disaster recovery strategies with Azure Traffic Manager and Site Recovery. A short doubt-clearing session will be conducted at the end.</w:t>
      </w:r>
    </w:p>
    <w:p w:rsidR="00000000" w:rsidDel="00000000" w:rsidP="00000000" w:rsidRDefault="00000000" w:rsidRPr="00000000" w14:paraId="00000008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 Medium" w:cs="Montserrat Medium" w:eastAsia="Montserrat Medium" w:hAnsi="Montserrat Medium"/>
          <w:i w:val="1"/>
          <w:iCs w:val="1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Part-I: Introduction (10 mins)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Part-II: Use Cases (100 mins)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Part-III: Summary and Doubt Resolution (10 mins)</w:t>
      </w:r>
    </w:p>
    <w:p w:rsidR="00000000" w:rsidDel="00000000" w:rsidP="00000000" w:rsidRDefault="00000000" w:rsidRPr="00000000" w14:paraId="0000000E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3465"/>
        <w:tblGridChange w:id="0">
          <w:tblGrid>
            <w:gridCol w:w="3465"/>
            <w:gridCol w:w="34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Montserrat Medium" w:cs="Montserrat Medium" w:eastAsia="Montserrat Medium" w:hAnsi="Montserrat Medium"/>
                <w:color w:val="ffffff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ffffff"/>
                <w:rtl w:val="0"/>
              </w:rPr>
              <w:t xml:space="preserve">Element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Montserrat Medium" w:cs="Montserrat Medium" w:eastAsia="Montserrat Medium" w:hAnsi="Montserrat Medium"/>
                <w:color w:val="ffffff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ffffff"/>
                <w:rtl w:val="0"/>
              </w:rPr>
              <w:t xml:space="preserve">Colour Code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Doubt Resolution/P2P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Focused Teaching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Personalised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Career Guidance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Flip Classroom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Miscellaneous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Montserrat Medium" w:cs="Montserrat Medium" w:eastAsia="Montserrat Medium" w:hAnsi="Montserrat Medium"/>
          <w:color w:val="0e10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 Medium" w:cs="Montserrat Medium" w:eastAsia="Montserrat Medium" w:hAnsi="Montserrat Medium"/>
          <w:color w:val="0e10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Note for the Instructor: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rFonts w:ascii="Montserrat Medium" w:cs="Montserrat Medium" w:eastAsia="Montserrat Medium" w:hAnsi="Montserrat Medium"/>
          <w:color w:val="0e101a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Please make sure to test run your codes/queries prior to the session to avoid any hick-up during the session. 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rFonts w:ascii="Montserrat Medium" w:cs="Montserrat Medium" w:eastAsia="Montserrat Medium" w:hAnsi="Montserrat Medium"/>
          <w:color w:val="0e101a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During the hands-on as the learners are supposed to code parallelly, make sure to explain the steps clearly and keep track of the student's progress.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80.0" w:type="dxa"/>
        <w:jc w:val="left"/>
        <w:tblInd w:w="-13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5265"/>
        <w:gridCol w:w="1485"/>
        <w:gridCol w:w="2940"/>
        <w:tblGridChange w:id="0">
          <w:tblGrid>
            <w:gridCol w:w="2190"/>
            <w:gridCol w:w="5265"/>
            <w:gridCol w:w="1485"/>
            <w:gridCol w:w="29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Montserrat Medium" w:cs="Montserrat Medium" w:eastAsia="Montserrat Medium" w:hAnsi="Montserrat Medium"/>
                <w:color w:val="ffffff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ffffff"/>
                <w:rtl w:val="0"/>
              </w:rPr>
              <w:t xml:space="preserve">Component 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Montserrat Medium" w:cs="Montserrat Medium" w:eastAsia="Montserrat Medium" w:hAnsi="Montserrat Medium"/>
                <w:color w:val="ffffff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ffffff"/>
                <w:rtl w:val="0"/>
              </w:rPr>
              <w:t xml:space="preserve">Instruction Task/Learner Task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Montserrat Medium" w:cs="Montserrat Medium" w:eastAsia="Montserrat Medium" w:hAnsi="Montserrat Medium"/>
                <w:color w:val="ffffff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ffffff"/>
                <w:rtl w:val="0"/>
              </w:rPr>
              <w:t xml:space="preserve">Time (mins)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Montserrat Medium" w:cs="Montserrat Medium" w:eastAsia="Montserrat Medium" w:hAnsi="Montserrat Medium"/>
                <w:color w:val="ffffff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ffffff"/>
                <w:rtl w:val="0"/>
              </w:rPr>
              <w:t xml:space="preserve">Element of Engagement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Part-I: Introduction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Introduce yourself and welcome the learners for their journey in the course.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Provide a brief overview of the session.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Social Support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Part-II: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Virtual Networks and Security in Azure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keepNext w:val="0"/>
              <w:keepLines w:val="0"/>
              <w:spacing w:after="8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bookmarkStart w:colFirst="0" w:colLast="0" w:name="_dbwhvw1vsjrv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  <w:rtl w:val="0"/>
              </w:rPr>
              <w:t xml:space="preserve">Case Study 1: Enterprise-Grade Infrastructure Deployment with ARM Templates and Bicep</w:t>
            </w:r>
          </w:p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before="28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l6erehh06e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Scenario: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 multinational insurance firm,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SecureInsure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, is modernizing its IT infrastructure by automating resource provisioning. They aim to deploy 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highly available, scalable web application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across two Azure regions while maintaining infrastructure consistency.</w:t>
            </w:r>
          </w:p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before="28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vagxjfrpq1cu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Design a multi-region deployment strategy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using ARM templates. Ensure that Virtual Machines (VMs), Virtual Networks (VNets), and Network Security Groups (NSGs) are deployed in both regions.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ARM templates with modular components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(parameterized templates) to allow easy modifications for different environments (dev, staging, production).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Convert the ARM template to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Azure Bicep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, demonstrating the advantages of Bicep's simpler syntax and dependency resolution.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Deploy and validate resources using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Azure CLI or PowerShell in Cloud Shell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before="28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cquj4xlutw0b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Learning Outcomes: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Creating modular ARM templates with parameter files.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Understanding infrastructure deployment at an enterprise scale.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Using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Bicep for declarative resource provisioning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Managing cross-region failover and high availability.</w:t>
            </w:r>
          </w:p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2"/>
              <w:keepNext w:val="0"/>
              <w:keepLines w:val="0"/>
              <w:spacing w:after="8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bookmarkStart w:colFirst="0" w:colLast="0" w:name="_vwan9z4q6x3u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  <w:rtl w:val="0"/>
              </w:rPr>
              <w:t xml:space="preserve">Case Study 2: Securing a Multi-Tier Application with NSGs, ASGs, and Custom Routing</w:t>
            </w:r>
          </w:p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before="28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txk30s8uf73h" w:id="6"/>
            <w:bookmarkEnd w:id="6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Scenario: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 financial services provider,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FinTrust Bank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, is migrating a core banking application to Azure. Due to strict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compliance and security regulations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, they must enforce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network segmentation, traffic filtering, and custom routing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before="28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m6de5drbs1u" w:id="7"/>
            <w:bookmarkEnd w:id="7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Design a three-tier network architecture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with separate subnets for the Web, App, and Database layers.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Apply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NSGs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to restrict inbound and outbound traffic between layers (e.g., only allow the App subnet to communicate with the Database subnet).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Implement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Application Security Groups (ASGs)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to dynamically control VM communication without relying on static IP addresses.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Configure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custom routing with User Defined Routes (UDRs)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to ensure all traffic from the Web Tier is routed through an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Azure Firewall or a third-party Network Virtual Appliance (NVA)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Validate security by simulating 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penetration test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using Azure CLI commands to check open ports.</w:t>
              <w:br w:type="textWrapping"/>
            </w:r>
          </w:p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before="28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7c91qnmes1d" w:id="8"/>
            <w:bookmarkEnd w:id="8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Learning Outcomes: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Implementing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advanced security and segmentation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using NSGs and ASGs.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Configuring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custom routing with UDRs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for secure communication.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Understanding how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Azure Firewall or NVAs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enhance security.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Ensuring regulatory compliance through strict network controls.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Focused Teaching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Part-IV: Summary and Doubt Resolution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Clear the doubts that the learners might have.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Provide a brief summary of the concepts.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i w:val="1"/>
                <w:iCs w:val="1"/>
                <w:rtl w:val="0"/>
              </w:rPr>
              <w:t xml:space="preserve">Don’t spend too much time on unnecessary or vaguely-constructed doubts.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Doubt Resolution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