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120" w:before="0"/>
        <w:jc w:val="center"/>
      </w:pPr>
      <w:r>
        <w:rPr>
          <w:rFonts w:ascii="Times New Roman" w:hAnsi="Times New Roman" w:eastAsia="Times New Roman"/>
          <w:b/>
          <w:i w:val="0"/>
          <w:sz w:val="32"/>
        </w:rPr>
        <w:t>A Knowledge-Based Early-Warning System for Entrepreneurial Failure during Digital Transformation</w:t>
      </w:r>
    </w:p>
    <w:p>
      <w:pPr>
        <w:spacing w:line="480" w:lineRule="auto" w:after="0" w:before="0"/>
        <w:jc w:val="center"/>
      </w:pPr>
      <w:r>
        <w:rPr>
          <w:rFonts w:ascii="Times New Roman" w:hAnsi="Times New Roman" w:eastAsia="Times New Roman"/>
          <w:b w:val="0"/>
          <w:i/>
          <w:sz w:val="24"/>
        </w:rPr>
        <w:t>Short Communication</w:t>
      </w:r>
    </w:p>
    <w:p>
      <w:pPr>
        <w:spacing w:line="480" w:lineRule="auto" w:after="0" w:before="0"/>
        <w:jc w:val="center"/>
      </w:pPr>
      <w:r>
        <w:rPr>
          <w:rFonts w:ascii="Times New Roman" w:hAnsi="Times New Roman" w:eastAsia="Times New Roman"/>
          <w:b/>
          <w:i w:val="0"/>
          <w:sz w:val="24"/>
        </w:rPr>
        <w:t>Balavaraprasad Reddy Yenugula</w:t>
      </w:r>
    </w:p>
    <w:p>
      <w:pPr>
        <w:spacing w:line="480" w:lineRule="auto" w:after="240" w:before="0"/>
        <w:jc w:val="center"/>
      </w:pPr>
      <w:r>
        <w:rPr>
          <w:rFonts w:ascii="Times New Roman" w:hAnsi="Times New Roman" w:eastAsia="Times New Roman"/>
          <w:b w:val="0"/>
          <w:i/>
          <w:sz w:val="24"/>
        </w:rPr>
        <w:t>Doctor of Business Administration candidate</w:t>
      </w:r>
    </w:p>
    <w:p>
      <w:pPr>
        <w:spacing w:line="480" w:lineRule="auto" w:after="240" w:before="0"/>
        <w:jc w:val="center"/>
      </w:pPr>
      <w:r>
        <w:rPr>
          <w:rFonts w:ascii="Times New Roman" w:hAnsi="Times New Roman" w:eastAsia="Times New Roman"/>
          <w:b w:val="0"/>
          <w:i/>
          <w:sz w:val="22"/>
        </w:rPr>
        <w:t>Submitted to Knowledge-Based Systems (Elsevier). Article type: Short Communication.</w:t>
      </w:r>
    </w:p>
    <w:p>
      <w:pPr>
        <w:spacing w:line="480" w:lineRule="auto" w:after="120" w:before="0"/>
      </w:pPr>
      <w:r>
        <w:rPr>
          <w:rFonts w:ascii="Times New Roman" w:hAnsi="Times New Roman" w:eastAsia="Times New Roman"/>
          <w:b/>
          <w:i w:val="0"/>
          <w:sz w:val="28"/>
        </w:rPr>
        <w:t>Abstract</w:t>
      </w:r>
    </w:p>
    <w:p>
      <w:pPr>
        <w:spacing w:line="480" w:lineRule="auto" w:after="0" w:before="0"/>
      </w:pPr>
      <w:r>
        <w:rPr>
          <w:rFonts w:ascii="Times New Roman" w:hAnsi="Times New Roman" w:eastAsia="Times New Roman"/>
          <w:b w:val="0"/>
          <w:i w:val="0"/>
          <w:sz w:val="24"/>
        </w:rPr>
        <w:t>Screening a digital venture at its first priced round is a different problem from explaining, after the fact, how much capital it raised. Totals, later rounds, and the date of the last round keep moving until the firm closes, so a model that uses them partly rediscovers the outcome. This Short Communication presents KB-EWS, a knowledge-based early-warning system that scores closure from signals available at that first round and attaches the certainty-factor rules that fired. Seven rules were written before estimation. A rule is kept only when, on ventures first funded in 2006–2010, its mean strength is at least 0.02 higher in the class it was written to support. Four rules survive. On 737 digitally oriented ventures first funded in 2012–2013, the pre-specified depth-3 gradient booster reached a ROC area of 0.740 (95% bootstrap interval 0.704–0.776). Reviewing the highest-scoring 30% gave precision 0.760 (0.706–0.824) against a base rate of 0.510 and recovered 44.7% of later closures. Paired tests do not separate the booster from logistic regression (ROC-area difference 0.005, p = 0.61). The retained rules alone reached 0.618. Stacking their certainty factor onto the booster lowered the ROC area by 0.004 (p = 0.045). KB-EWS is the implemented warning tool. Under a fixed review budget it returns a closure probability and the rules whose strength reached 0.5, so a person can both rank the queue and see the mechanism. That is the decision-support claim. It is not a causal estimate of a digital-transformation program, and the rules do not replace the statistical rank.</w:t>
      </w:r>
    </w:p>
    <w:p>
      <w:pPr>
        <w:spacing w:line="480" w:lineRule="auto" w:after="0" w:before="0"/>
      </w:pPr>
      <w:r>
        <w:rPr>
          <w:rFonts w:ascii="Times New Roman" w:hAnsi="Times New Roman" w:eastAsia="Times New Roman"/>
          <w:b/>
          <w:i w:val="0"/>
          <w:sz w:val="24"/>
        </w:rPr>
        <w:t xml:space="preserve">Keywords: </w:t>
      </w:r>
      <w:r>
        <w:rPr>
          <w:rFonts w:ascii="Times New Roman" w:hAnsi="Times New Roman" w:eastAsia="Times New Roman"/>
          <w:b w:val="0"/>
          <w:i/>
          <w:sz w:val="24"/>
        </w:rPr>
        <w:t>knowledge-based systems; intelligent decision support; prediction and warning systems; knowledge engineering; artificial intelligence; data-driven prediction; digital transformation; entrepreneurship; certainty factors</w:t>
      </w:r>
    </w:p>
    <w:p>
      <w:pPr>
        <w:spacing w:line="480" w:lineRule="auto" w:after="120" w:before="0"/>
      </w:pPr>
      <w:r>
        <w:rPr>
          <w:rFonts w:ascii="Times New Roman" w:hAnsi="Times New Roman" w:eastAsia="Times New Roman"/>
          <w:b/>
          <w:i w:val="0"/>
          <w:sz w:val="28"/>
        </w:rPr>
        <w:t>Highlights</w:t>
      </w:r>
    </w:p>
    <w:p>
      <w:pPr>
        <w:spacing w:line="480" w:lineRule="auto" w:after="0" w:before="0"/>
      </w:pPr>
      <w:r>
        <w:rPr>
          <w:rFonts w:ascii="Times New Roman" w:hAnsi="Times New Roman" w:eastAsia="Times New Roman"/>
          <w:b w:val="0"/>
          <w:i w:val="0"/>
          <w:sz w:val="24"/>
        </w:rPr>
        <w:t>• Scores closure from the first priced round and blocks lifetime funding fields.</w:t>
      </w:r>
    </w:p>
    <w:p>
      <w:pPr>
        <w:spacing w:line="480" w:lineRule="auto" w:after="0" w:before="0"/>
      </w:pPr>
      <w:r>
        <w:rPr>
          <w:rFonts w:ascii="Times New Roman" w:hAnsi="Times New Roman" w:eastAsia="Times New Roman"/>
          <w:b w:val="0"/>
          <w:i w:val="0"/>
          <w:sz w:val="24"/>
        </w:rPr>
        <w:t>• Four of seven certainty-factor rules survive a pre-test retention check.</w:t>
      </w:r>
    </w:p>
    <w:p>
      <w:pPr>
        <w:spacing w:line="480" w:lineRule="auto" w:after="0" w:before="0"/>
      </w:pPr>
      <w:r>
        <w:rPr>
          <w:rFonts w:ascii="Times New Roman" w:hAnsi="Times New Roman" w:eastAsia="Times New Roman"/>
          <w:b w:val="0"/>
          <w:i w:val="0"/>
          <w:sz w:val="24"/>
        </w:rPr>
        <w:t>• Top 30% of booster scores: precision 0.760 against a base rate of 0.510.</w:t>
      </w:r>
    </w:p>
    <w:p>
      <w:pPr>
        <w:spacing w:line="480" w:lineRule="auto" w:after="0" w:before="0"/>
      </w:pPr>
      <w:r>
        <w:rPr>
          <w:rFonts w:ascii="Times New Roman" w:hAnsi="Times New Roman" w:eastAsia="Times New Roman"/>
          <w:b w:val="0"/>
          <w:i w:val="0"/>
          <w:sz w:val="24"/>
        </w:rPr>
        <w:t>• Logistic regression matches the booster; stacking does not lift the queue.</w:t>
      </w:r>
    </w:p>
    <w:p>
      <w:pPr>
        <w:spacing w:line="480" w:lineRule="auto" w:after="0" w:before="0"/>
      </w:pPr>
      <w:r>
        <w:rPr>
          <w:rFonts w:ascii="Times New Roman" w:hAnsi="Times New Roman" w:eastAsia="Times New Roman"/>
          <w:b w:val="0"/>
          <w:i w:val="0"/>
          <w:sz w:val="24"/>
        </w:rPr>
        <w:t>• Fired rules stay on the warning card and do not enter the probability.</w:t>
      </w:r>
    </w:p>
    <w:p>
      <w:pPr>
        <w:spacing w:line="480" w:lineRule="auto" w:after="120" w:before="0"/>
      </w:pPr>
      <w:r>
        <w:rPr>
          <w:rFonts w:ascii="Times New Roman" w:hAnsi="Times New Roman" w:eastAsia="Times New Roman"/>
          <w:b/>
          <w:i w:val="0"/>
          <w:sz w:val="28"/>
        </w:rPr>
        <w:t>1. Introduction</w:t>
      </w:r>
    </w:p>
    <w:p>
      <w:pPr>
        <w:spacing w:line="480" w:lineRule="auto" w:after="0" w:before="0"/>
      </w:pPr>
      <w:r>
        <w:rPr>
          <w:rFonts w:ascii="Times New Roman" w:hAnsi="Times New Roman" w:eastAsia="Times New Roman"/>
          <w:b w:val="0"/>
          <w:i w:val="0"/>
          <w:sz w:val="24"/>
        </w:rPr>
        <w:t>Closure, a change of ownership, and insolvency are different events, and survival studies often mix them [1]. Failure also leaves a process for the founder that a status field does not record [2,3]. For a digital venture the screening decision arrives at the first priced financing, not at the post-mortem. Digital entrepreneurship builds the offer, the channel, and the operating system together [4], and digitization is changing where entrepreneurial opportunity is formed [5]. Digital transformation renews the business model over time rather than in a single installation [6,7]. Innovativeness is not, by itself, a survival advantage at the start [8]. Conditions present at founding can still be visible in exit rates years later [9]. A warning that uses the last round cannot serve the first-round decision.</w:t>
      </w:r>
    </w:p>
    <w:p>
      <w:pPr>
        <w:spacing w:line="480" w:lineRule="auto" w:after="0" w:before="0"/>
      </w:pPr>
      <w:r>
        <w:rPr>
          <w:rFonts w:ascii="Times New Roman" w:hAnsi="Times New Roman" w:eastAsia="Times New Roman"/>
          <w:b w:val="0"/>
          <w:i w:val="0"/>
          <w:sz w:val="24"/>
        </w:rPr>
        <w:t>Credit scoring has a long early-warning tradition that uses only what is known when the decision is made [10–13]. For a young firm, early financial indicators are one buffer against the liability of newness [14]. Venture classifiers often leave that discipline. Cumulative capital, the round count, and the recency of the last round are larger because the firm lived long enough to raise again, and they stop when it dies. Using those fields is leakage: the target has already entered the predictors [15]. Crunchbase-style extracts are common in management research and carry known limits of coverage and outcome coding [16]. The first priced round is still a real financing event, and venture capital is associated with later growth [17]. The count of nearby digital ventures is an ecosystem signal, not a substitute for the firm’s own first round [18]. Without a fixed decision time the extract rewards hindsight.</w:t>
      </w:r>
    </w:p>
    <w:p>
      <w:pPr>
        <w:spacing w:line="480" w:lineRule="auto" w:after="0" w:before="0"/>
      </w:pPr>
      <w:r>
        <w:rPr>
          <w:rFonts w:ascii="Times New Roman" w:hAnsi="Times New Roman" w:eastAsia="Times New Roman"/>
          <w:b w:val="0"/>
          <w:i w:val="0"/>
          <w:sz w:val="24"/>
        </w:rPr>
        <w:t>Reviewers also speak in rules. A thin first round together with a broad category list is a different statement from a one-unit change in log capital. Certainty factors were built so a short rule base could accumulate graded evidence and stay readable [19]. The memberships that feed those rules are fuzzy degrees, not crisp thresholds [20]. A certainty factor is not itself a probability [21]. Building the rule base, and then withdrawing rules that contradict their own mechanism, is knowledge engineering rather than a post-hoc explanation [22]. The screen is a decision-support tool for a person who still chooses which ventures to review [23]. KB-EWS places that rule base beside a statistical score and then tests, on a later year, whether merging the two improves ranking.</w:t>
      </w:r>
    </w:p>
    <w:p>
      <w:pPr>
        <w:spacing w:line="480" w:lineRule="auto" w:after="0" w:before="0"/>
      </w:pPr>
      <w:r>
        <w:rPr>
          <w:rFonts w:ascii="Times New Roman" w:hAnsi="Times New Roman" w:eastAsia="Times New Roman"/>
          <w:b w:val="0"/>
          <w:i w:val="0"/>
          <w:sz w:val="24"/>
        </w:rPr>
        <w:t>The contribution is threefold: (i) a decision-time formulation that admits only first-round signals and refuses lifetime funding fields in code; (ii) a seven-rule certainty-factor layer whose retention test withdraws any rule that points against its own mechanism on the training years; and (iii) a year-split benchmark with baselines, a fixed review budget, paired bootstrap tests, and a stacking test that is allowed to fail. The last item is part of the result. A warning system has to show when the rules should stay on the card and out of the probability.</w:t>
      </w:r>
    </w:p>
    <w:p>
      <w:pPr>
        <w:spacing w:line="480" w:lineRule="auto" w:after="0" w:before="0"/>
      </w:pPr>
      <w:r>
        <w:rPr>
          <w:rFonts w:ascii="Times New Roman" w:hAnsi="Times New Roman" w:eastAsia="Times New Roman"/>
          <w:b w:val="0"/>
          <w:i w:val="0"/>
          <w:sz w:val="24"/>
        </w:rPr>
        <w:t>The human decision is which first-round ventures to review. KB-EWS supports that prediction with two computed fields: a calibrated probability that ranks a fixed share of the cohort, and the retained production rules whose strength reached 0.5. Knowledge engineering is the retention step. The business setting is the first priced round. The machine-learning layer supplies the rank. The experiment decides which layer is allowed to move the decision.</w:t>
      </w:r>
    </w:p>
    <w:p>
      <w:pPr>
        <w:spacing w:line="480" w:lineRule="auto" w:after="120" w:before="0"/>
      </w:pPr>
      <w:r>
        <w:rPr>
          <w:rFonts w:ascii="Times New Roman" w:hAnsi="Times New Roman" w:eastAsia="Times New Roman"/>
          <w:b/>
          <w:i w:val="0"/>
          <w:sz w:val="28"/>
        </w:rPr>
        <w:t>2. Proposed KB-EWS Framework</w:t>
      </w:r>
    </w:p>
    <w:p>
      <w:pPr>
        <w:spacing w:line="480" w:lineRule="auto" w:after="0" w:before="0"/>
      </w:pPr>
      <w:r>
        <w:rPr>
          <w:rFonts w:ascii="Times New Roman" w:hAnsi="Times New Roman" w:eastAsia="Times New Roman"/>
          <w:b/>
          <w:i/>
          <w:sz w:val="24"/>
        </w:rPr>
        <w:t>2.1 Decision time, cohort, and label</w:t>
      </w:r>
    </w:p>
    <w:p>
      <w:pPr>
        <w:spacing w:line="480" w:lineRule="auto" w:after="0" w:before="0"/>
      </w:pPr>
      <w:r>
        <w:rPr>
          <w:rFonts w:ascii="Times New Roman" w:hAnsi="Times New Roman" w:eastAsia="Times New Roman"/>
          <w:b w:val="0"/>
          <w:i w:val="0"/>
          <w:sz w:val="24"/>
        </w:rPr>
        <w:t>The decision time is the earliest funding round with a positive disclosed amount. A venture enters if one of its categories is in a fixed digital lexicon (software, mobile, e-commerce, analytics, cloud, and the related labels in the program), both dates parse, and the first priced round falls within ten years of founding.</w:t>
      </w:r>
    </w:p>
    <w:p>
      <w:pPr>
        <w:spacing w:line="480" w:lineRule="auto" w:after="0" w:before="0"/>
      </w:pPr>
      <w:r>
        <w:rPr>
          <w:rFonts w:ascii="Times New Roman" w:hAnsi="Times New Roman" w:eastAsia="Times New Roman"/>
          <w:b w:val="0"/>
          <w:i w:val="0"/>
          <w:sz w:val="24"/>
        </w:rPr>
        <w:t>The signal vector holds the log first-round amount, the log of one plus days from founding, the category count, digital depth (the share of categories in the lexicon), the log of one plus a trailing ecosystem count, round type, and country. The ecosystem count is the number of other digital ventures in the same region first funded in the previous three calendar years, excluding the focal year [18]. Country uses the eight most common training countries, with the United States as the reference. Round type uses a venture round as the reference. Total capital, lifetime round count, last-round date, and status are banned [15]. The program stops if any of them enters the design matrix.</w:t>
      </w:r>
    </w:p>
    <w:p>
      <w:pPr>
        <w:spacing w:line="480" w:lineRule="auto" w:after="0" w:before="0"/>
      </w:pPr>
      <w:r>
        <w:rPr>
          <w:rFonts w:ascii="Times New Roman" w:hAnsi="Times New Roman" w:eastAsia="Times New Roman"/>
          <w:b w:val="0"/>
          <w:i w:val="0"/>
          <w:sz w:val="24"/>
        </w:rPr>
        <w:t>The label is 1 when the recorded status is closed and 0 when it is acquired or an initial public offering. Ventures still operating on the export date are dropped. Some acquisitions are distress sales; the file does not say which [1]. The label is closure versus a recorded exit among ventures that had reached one of those states.</w:t>
      </w:r>
    </w:p>
    <w:p>
      <w:pPr>
        <w:spacing w:line="480" w:lineRule="auto" w:after="0" w:before="0"/>
      </w:pPr>
      <w:r>
        <w:rPr>
          <w:rFonts w:ascii="Times New Roman" w:hAnsi="Times New Roman" w:eastAsia="Times New Roman"/>
          <w:b/>
          <w:i/>
          <w:sz w:val="24"/>
        </w:rPr>
        <w:t>2.2 Knowledge-rule layer</w:t>
      </w:r>
    </w:p>
    <w:p>
      <w:pPr>
        <w:spacing w:line="480" w:lineRule="auto" w:after="0" w:before="0"/>
      </w:pPr>
      <w:r>
        <w:rPr>
          <w:rFonts w:ascii="Times New Roman" w:hAnsi="Times New Roman" w:eastAsia="Times New Roman"/>
          <w:b w:val="0"/>
          <w:i w:val="0"/>
          <w:sz w:val="24"/>
        </w:rPr>
        <w:t>Conditions are memberships on [0, 1]. For a low concept with cuts ℓ &lt; h, the membership is given by Eq. (1):</w:t>
      </w:r>
    </w:p>
    <w:p>
      <w:pPr>
        <w:spacing w:line="480" w:lineRule="auto" w:after="0" w:before="0"/>
      </w:pPr>
      <w:r>
        <w:rPr>
          <w:rFonts w:ascii="Times New Roman" w:hAnsi="Times New Roman" w:eastAsia="Times New Roman"/>
          <w:b w:val="0"/>
          <w:i w:val="0"/>
          <w:sz w:val="24"/>
        </w:rPr>
        <w:t>μ_low(x) = clip((h − x) / (h − ℓ), 0, 1) (1)</w:t>
      </w:r>
    </w:p>
    <w:p>
      <w:pPr>
        <w:spacing w:line="480" w:lineRule="auto" w:after="0" w:before="0"/>
      </w:pPr>
      <w:r>
        <w:rPr>
          <w:rFonts w:ascii="Times New Roman" w:hAnsi="Times New Roman" w:eastAsia="Times New Roman"/>
          <w:b w:val="0"/>
          <w:i w:val="0"/>
          <w:sz w:val="24"/>
        </w:rPr>
        <w:t>A high concept ramps the other way. Rule strength is the fuzzy conjunction in Eq. (2):</w:t>
      </w:r>
    </w:p>
    <w:p>
      <w:pPr>
        <w:spacing w:line="480" w:lineRule="auto" w:after="0" w:before="0"/>
      </w:pPr>
      <w:r>
        <w:rPr>
          <w:rFonts w:ascii="Times New Roman" w:hAnsi="Times New Roman" w:eastAsia="Times New Roman"/>
          <w:b w:val="0"/>
          <w:i w:val="0"/>
          <w:sz w:val="24"/>
        </w:rPr>
        <w:t>s_r = min_j μ_j (2)</w:t>
      </w:r>
    </w:p>
    <w:p>
      <w:pPr>
        <w:spacing w:line="480" w:lineRule="auto" w:after="0" w:before="0"/>
      </w:pPr>
      <w:r>
        <w:rPr>
          <w:rFonts w:ascii="Times New Roman" w:hAnsi="Times New Roman" w:eastAsia="Times New Roman"/>
          <w:b w:val="0"/>
          <w:i w:val="0"/>
          <w:sz w:val="24"/>
        </w:rPr>
        <w:t>Training-year cuts, fixed before the test years are read, are as follows. Thin capital ramps from the 25th to the 60th percentile of log first-round amount, about $475,000 to $2.8 million. Slow funding ramps from the 40th to the 75th percentile of log days since founding, about 314 to 1,088 days. Broad scope ramps from 2 to 4 categories. Thin ecosystem ramps from about 11 to about 98 earlier peers in the region. Shallow digital depth uses the band 0.40–0.80, and deep digital depth uses 0.50–0.90. The complementary memberships define adequate capital, timely funding, narrow scope, and a dense ecosystem.</w:t>
      </w:r>
    </w:p>
    <w:p>
      <w:pPr>
        <w:spacing w:line="480" w:lineRule="auto" w:after="0" w:before="0"/>
      </w:pPr>
      <w:r>
        <w:rPr>
          <w:rFonts w:ascii="Times New Roman" w:hAnsi="Times New Roman" w:eastAsia="Times New Roman"/>
          <w:b w:val="0"/>
          <w:i w:val="0"/>
          <w:sz w:val="24"/>
        </w:rPr>
        <w:t>Seven rules were specified with fixed certainty factors c_r. Evidence e_r = c_r s_r is pooled by the Shortliffe–Buchanan rule [19], inputs clipped to [−0.99, 0.99], in the order R1 to R7. The combination is given by Eq. (3):</w:t>
      </w:r>
    </w:p>
    <w:p>
      <w:pPr>
        <w:spacing w:line="480" w:lineRule="auto" w:after="0" w:before="0"/>
      </w:pPr>
      <w:r>
        <w:rPr>
          <w:rFonts w:ascii="Times New Roman" w:hAnsi="Times New Roman" w:eastAsia="Times New Roman"/>
          <w:b w:val="0"/>
          <w:i w:val="0"/>
          <w:sz w:val="24"/>
        </w:rPr>
        <w:t>CF(a, b) = a + b(1 − a) if a ≥ 0 and b ≥ 0; a + b(1 + a) if a ≤ 0 and b ≤ 0; (a + b) / (1 − min(|a|, |b|)) otherwise (3)</w:t>
      </w:r>
    </w:p>
    <w:p>
      <w:pPr>
        <w:spacing w:line="480" w:lineRule="auto" w:after="0" w:before="0"/>
      </w:pPr>
      <w:r>
        <w:rPr>
          <w:rFonts w:ascii="Times New Roman" w:hAnsi="Times New Roman" w:eastAsia="Times New Roman"/>
          <w:b w:val="0"/>
          <w:i w:val="0"/>
          <w:sz w:val="24"/>
        </w:rPr>
        <w:t>The implementation checks CF(0.50, 0.40) = 0.70 and CF(−0.20, −0.30) = −0.44.</w:t>
      </w:r>
    </w:p>
    <w:p>
      <w:pPr>
        <w:spacing w:line="480" w:lineRule="auto" w:after="0" w:before="0"/>
      </w:pPr>
      <w:r>
        <w:rPr>
          <w:rFonts w:ascii="Times New Roman" w:hAnsi="Times New Roman" w:eastAsia="Times New Roman"/>
          <w:b w:val="0"/>
          <w:i w:val="0"/>
          <w:sz w:val="24"/>
        </w:rPr>
        <w:t>The rules are: R1 resource strain (c = +0.55), thin capital and slow funding; R2 unfunded scope (+0.45), thin capital and broad scope; R3 shallow digital base (+0.35), thin capital and shallow digital depth; R4 isolated entry (+0.30), thin ecosystem and slow funding; R5 unfocused entry (+0.25), broad scope and shallow digital depth; R6 resourced focus (−0.50), adequate capital, narrow scope, and deep digital depth; R7 embedded start (−0.30), dense ecosystem and timely funding. A positive factor is evidence for later closure.</w:t>
      </w:r>
    </w:p>
    <w:p>
      <w:pPr>
        <w:spacing w:line="480" w:lineRule="auto" w:after="0" w:before="0"/>
      </w:pPr>
      <w:r>
        <w:rPr>
          <w:rFonts w:ascii="Times New Roman" w:hAnsi="Times New Roman" w:eastAsia="Times New Roman"/>
          <w:b w:val="0"/>
          <w:i w:val="0"/>
          <w:sz w:val="24"/>
        </w:rPr>
        <w:t>Retention uses 2006–2010 only. A rule is kept when its mean strength is at least 0.02 higher in the class named by its sign. R1, R2, R3, and R6 meet that bar (training means 0.132 versus 0.096, 0.282 versus 0.158, 0.322 versus 0.168, and, for the protective rule R6, higher among exits). R4 and R5 are stronger among exits, which is the wrong direction for a closure rule, and are withdrawn. R7 differs by less than 0.02 and is withdrawn. The retained base is therefore R1–R3 and R6.</w:t>
      </w:r>
    </w:p>
    <w:p>
      <w:pPr>
        <w:spacing w:line="480" w:lineRule="auto" w:after="0" w:before="0"/>
      </w:pPr>
      <w:r>
        <w:rPr>
          <w:rFonts w:ascii="Times New Roman" w:hAnsi="Times New Roman" w:eastAsia="Times New Roman"/>
          <w:b/>
          <w:i/>
          <w:sz w:val="24"/>
        </w:rPr>
        <w:t>2.3 Score, calibration, and stacking</w:t>
      </w:r>
    </w:p>
    <w:p>
      <w:pPr>
        <w:spacing w:line="480" w:lineRule="auto" w:after="0" w:before="0"/>
      </w:pPr>
      <w:r>
        <w:rPr>
          <w:rFonts w:ascii="Times New Roman" w:hAnsi="Times New Roman" w:eastAsia="Times New Roman"/>
          <w:b w:val="0"/>
          <w:i w:val="0"/>
          <w:sz w:val="24"/>
        </w:rPr>
        <w:t>Logistic regression, a tree of depth at most 4 with at least 40 ventures per leaf [24], and a histogram gradient booster are fit on 2006–2010 [25,26]. The booster uses depth 3, learning rate 0.06, an L2 penalty of 0.1, balanced class weights, and early stopping on an internal 15% of the training years, which selected 84 trees. The 2011 year does not grow the trees. Logistic regression and the tree also use balanced class weights. Logistic regression is scaled with a scaler fit on the training years.</w:t>
      </w:r>
    </w:p>
    <w:p>
      <w:pPr>
        <w:spacing w:line="480" w:lineRule="auto" w:after="0" w:before="0"/>
      </w:pPr>
      <w:r>
        <w:rPr>
          <w:rFonts w:ascii="Times New Roman" w:hAnsi="Times New Roman" w:eastAsia="Times New Roman"/>
          <w:b w:val="0"/>
          <w:i w:val="0"/>
          <w:sz w:val="24"/>
        </w:rPr>
        <w:t>Each score, including the retained certainty factor, is mapped to a probability by a one-variable logistic fit on 2011 [27,28]. Stacked fusion is a further logistic regression on that same year, given by Eq. (4):</w:t>
      </w:r>
    </w:p>
    <w:p>
      <w:pPr>
        <w:spacing w:line="480" w:lineRule="auto" w:after="0" w:before="0"/>
      </w:pPr>
      <w:r>
        <w:rPr>
          <w:rFonts w:ascii="Times New Roman" w:hAnsi="Times New Roman" w:eastAsia="Times New Roman"/>
          <w:b w:val="0"/>
          <w:i w:val="0"/>
          <w:sz w:val="24"/>
        </w:rPr>
        <w:t>η = β0 + β1 logit(p_boost) + β2 CF (4)</w:t>
      </w:r>
    </w:p>
    <w:p>
      <w:pPr>
        <w:spacing w:line="480" w:lineRule="auto" w:after="0" w:before="0"/>
      </w:pPr>
      <w:r>
        <w:rPr>
          <w:rFonts w:ascii="Times New Roman" w:hAnsi="Times New Roman" w:eastAsia="Times New Roman"/>
          <w:b w:val="0"/>
          <w:i w:val="0"/>
          <w:sz w:val="24"/>
        </w:rPr>
        <w:t>with the booster probability clipped away from 0 and 1. The coefficient on CF is free. The pre-specified issued probability is the calibrated booster. Equation (4) asks whether the audit trail should also move the probability.</w:t>
      </w:r>
    </w:p>
    <w:p>
      <w:pPr>
        <w:spacing w:line="480" w:lineRule="auto" w:after="0" w:before="0"/>
      </w:pPr>
      <w:r>
        <w:rPr>
          <w:rFonts w:ascii="Times New Roman" w:hAnsi="Times New Roman" w:eastAsia="Times New Roman"/>
          <w:b w:val="0"/>
          <w:i w:val="0"/>
          <w:sz w:val="24"/>
        </w:rPr>
        <w:t>Algorithm 1. KB-EWS</w:t>
      </w:r>
    </w:p>
    <w:p>
      <w:pPr>
        <w:spacing w:line="480" w:lineRule="auto" w:after="0" w:before="0"/>
      </w:pPr>
      <w:r>
        <w:rPr>
          <w:rFonts w:ascii="Times New Roman" w:hAnsi="Times New Roman" w:eastAsia="Times New Roman"/>
          <w:b w:val="0"/>
          <w:i w:val="0"/>
          <w:sz w:val="24"/>
        </w:rPr>
        <w:t>Input: company file, round file, digital lexicon, year split 2006–2010 / 2011 / 2012–2013</w:t>
      </w:r>
    </w:p>
    <w:p>
      <w:pPr>
        <w:spacing w:line="480" w:lineRule="auto" w:after="0" w:before="0"/>
      </w:pPr>
      <w:r>
        <w:rPr>
          <w:rFonts w:ascii="Times New Roman" w:hAnsi="Times New Roman" w:eastAsia="Times New Roman"/>
          <w:b w:val="0"/>
          <w:i w:val="0"/>
          <w:sz w:val="24"/>
        </w:rPr>
        <w:t>Output: for each test venture, a closure probability and the retained rules that fired</w:t>
      </w:r>
    </w:p>
    <w:p>
      <w:pPr>
        <w:spacing w:line="480" w:lineRule="auto" w:after="0" w:before="0"/>
      </w:pPr>
      <w:r>
        <w:rPr>
          <w:rFonts w:ascii="Times New Roman" w:hAnsi="Times New Roman" w:eastAsia="Times New Roman"/>
          <w:b w:val="0"/>
          <w:i w:val="0"/>
          <w:sz w:val="24"/>
        </w:rPr>
        <w:t>1: Form the first priced round. Exclude total capital, lifetime round count, last-round date, and status.</w:t>
      </w:r>
    </w:p>
    <w:p>
      <w:pPr>
        <w:spacing w:line="480" w:lineRule="auto" w:after="0" w:before="0"/>
      </w:pPr>
      <w:r>
        <w:rPr>
          <w:rFonts w:ascii="Times New Roman" w:hAnsi="Times New Roman" w:eastAsia="Times New Roman"/>
          <w:b w:val="0"/>
          <w:i w:val="0"/>
          <w:sz w:val="24"/>
        </w:rPr>
        <w:t>2: Keep digital ventures funded within ten years of founding. Compute the trailing ecosystem from earlier years only.</w:t>
      </w:r>
    </w:p>
    <w:p>
      <w:pPr>
        <w:spacing w:line="480" w:lineRule="auto" w:after="0" w:before="0"/>
      </w:pPr>
      <w:r>
        <w:rPr>
          <w:rFonts w:ascii="Times New Roman" w:hAnsi="Times New Roman" w:eastAsia="Times New Roman"/>
          <w:b w:val="0"/>
          <w:i w:val="0"/>
          <w:sz w:val="24"/>
        </w:rPr>
        <w:t>3: Label closure against acquisition or IPO. Drop ventures still operating.</w:t>
      </w:r>
    </w:p>
    <w:p>
      <w:pPr>
        <w:spacing w:line="480" w:lineRule="auto" w:after="0" w:before="0"/>
      </w:pPr>
      <w:r>
        <w:rPr>
          <w:rFonts w:ascii="Times New Roman" w:hAnsi="Times New Roman" w:eastAsia="Times New Roman"/>
          <w:b w:val="0"/>
          <w:i w:val="0"/>
          <w:sz w:val="24"/>
        </w:rPr>
        <w:t>4: Fit the membership cuts on 2006–2010. Retain R1–R7 only when the training direction agrees by at least 0.02.</w:t>
      </w:r>
    </w:p>
    <w:p>
      <w:pPr>
        <w:spacing w:line="480" w:lineRule="auto" w:after="0" w:before="0"/>
      </w:pPr>
      <w:r>
        <w:rPr>
          <w:rFonts w:ascii="Times New Roman" w:hAnsi="Times New Roman" w:eastAsia="Times New Roman"/>
          <w:b w:val="0"/>
          <w:i w:val="0"/>
          <w:sz w:val="24"/>
        </w:rPr>
        <w:t>5: Fit logistic regression, the tree, and the depth-3 booster on 2006–2010.</w:t>
      </w:r>
    </w:p>
    <w:p>
      <w:pPr>
        <w:spacing w:line="480" w:lineRule="auto" w:after="0" w:before="0"/>
      </w:pPr>
      <w:r>
        <w:rPr>
          <w:rFonts w:ascii="Times New Roman" w:hAnsi="Times New Roman" w:eastAsia="Times New Roman"/>
          <w:b w:val="0"/>
          <w:i w:val="0"/>
          <w:sz w:val="24"/>
        </w:rPr>
        <w:t>6: Fit a Platt map for each score on 2011, and fit Eq. (4) on 2011.</w:t>
      </w:r>
    </w:p>
    <w:p>
      <w:pPr>
        <w:spacing w:line="480" w:lineRule="auto" w:after="0" w:before="0"/>
      </w:pPr>
      <w:r>
        <w:rPr>
          <w:rFonts w:ascii="Times New Roman" w:hAnsi="Times New Roman" w:eastAsia="Times New Roman"/>
          <w:b w:val="0"/>
          <w:i w:val="0"/>
          <w:sz w:val="24"/>
        </w:rPr>
        <w:t>7: On 2012–2013, issue the calibrated booster probability and every retained rule with strength at least 0.5.</w:t>
      </w:r>
    </w:p>
    <w:p>
      <w:pPr>
        <w:spacing w:line="480" w:lineRule="auto" w:after="0" w:before="0"/>
      </w:pPr>
      <w:r>
        <w:rPr>
          <w:rFonts w:ascii="Times New Roman" w:hAnsi="Times New Roman" w:eastAsia="Times New Roman"/>
          <w:b w:val="0"/>
          <w:i w:val="0"/>
          <w:sz w:val="24"/>
        </w:rPr>
        <w:t>8: Evaluate precision and recall inside pre-set review budgets of 20% and 30%. Do not choose the budget on the test labels.</w:t>
      </w:r>
    </w:p>
    <w:p>
      <w:pPr>
        <w:spacing w:line="480" w:lineRule="auto" w:after="0" w:before="0"/>
      </w:pPr>
      <w:r>
        <w:rPr>
          <w:rFonts w:ascii="Times New Roman" w:hAnsi="Times New Roman" w:eastAsia="Times New Roman"/>
          <w:b w:val="0"/>
          <w:i w:val="0"/>
          <w:sz w:val="24"/>
        </w:rPr>
        <w:t>Algorithm 1 summarizes this procedure. An initial knowledge base is revised on the training years, the statistical scores are fit only on those years, and 2011 is used only to calibrate probabilities and to estimate Eq. (4). On the later cohort the program writes one warning card per venture. The two fields a reviewer would see are the calibrated closure probability and the retained rules whose strength reached 0.5. Ranking those probabilities and reviewing the highest-scoring 30% is the action. Table 1 and Table 2 test that action, and they test the alternative in which the certainty factor is allowed to change the probability. The system is the program kbews.py. For each of the 737 ventures first funded in 2012–2013 it writes one row of outputs/warning_cards.csv. The file stores the later closure beside the card so the action can be checked. That label is not an input, and it would not be on the card at the first round.</w:t>
      </w:r>
    </w:p>
    <w:p>
      <w:pPr>
        <w:spacing w:line="480" w:lineRule="auto" w:after="120" w:before="0"/>
      </w:pPr>
      <w:r>
        <w:rPr>
          <w:rFonts w:ascii="Times New Roman" w:hAnsi="Times New Roman" w:eastAsia="Times New Roman"/>
          <w:b/>
          <w:i w:val="0"/>
          <w:sz w:val="28"/>
        </w:rPr>
        <w:t>3. Experimental Design</w:t>
      </w:r>
    </w:p>
    <w:p>
      <w:pPr>
        <w:spacing w:line="480" w:lineRule="auto" w:after="0" w:before="0"/>
      </w:pPr>
      <w:r>
        <w:rPr>
          <w:rFonts w:ascii="Times New Roman" w:hAnsi="Times New Roman" w:eastAsia="Times New Roman"/>
          <w:b w:val="0"/>
          <w:i w:val="0"/>
          <w:sz w:val="24"/>
        </w:rPr>
        <w:t>The source is the Crunchbase export of 4 December 2015, redistributed as CSV by Tripp (notpeter/crunchbase-data, commit be8711fd) under CC BY-NC 4.0. Commercial use of the extract requires a Crunchbase licence. The code downloads the files when it runs and does not store them in the repository. Fixed seeds ensure that the cohort, the retention decision, the five scores, both tables, and Figures 1–3 can be regenerated from the provided code.</w:t>
      </w:r>
    </w:p>
    <w:p>
      <w:pPr>
        <w:spacing w:line="480" w:lineRule="auto" w:after="0" w:before="0"/>
      </w:pPr>
      <w:r>
        <w:rPr>
          <w:rFonts w:ascii="Times New Roman" w:hAnsi="Times New Roman" w:eastAsia="Times New Roman"/>
          <w:b w:val="0"/>
          <w:i w:val="0"/>
          <w:sz w:val="24"/>
        </w:rPr>
        <w:t>Of 66,368 companies and 114,949 rounds, 53,583 have a priced first round and 28,482 also match the lexicon. Dates and the ten-year window leave 21,407 ventures; 4,290 of them had a resolved status. The analysis sample is the 3,150 resolved ventures first funded in 2006–2013: 1,901 for training (closure share 0.426), 512 for 2011 (0.525), and 737 for test (0.510, of which 376 closed). Median first-round size is $1.65 million in training and $750,000 on the test years.</w:t>
      </w:r>
    </w:p>
    <w:p>
      <w:pPr>
        <w:spacing w:line="480" w:lineRule="auto" w:after="0" w:before="0"/>
      </w:pPr>
      <w:r>
        <w:rPr>
          <w:rFonts w:ascii="Times New Roman" w:hAnsi="Times New Roman" w:eastAsia="Times New Roman"/>
          <w:b w:val="0"/>
          <w:i w:val="0"/>
          <w:sz w:val="24"/>
        </w:rPr>
        <w:t>Five systems were evaluated on those same 737 test ventures: the retained knowledge base, logistic regression, a depth-limited decision tree, the pre-specified depth-3 gradient booster, and the stacked fusion of booster and certainty factor. Ranking is reported as the ROC area [29] and the precision-recall area [30]. Probability error is reported as the Brier score [31]. Uncertainty for a single system is a 1,000-draw bootstrap interval [32]. Paired differences use 2,000 matched draws. The two-sided p-value is twice the smaller tail around zero. If no draw changes sign, p is reported as &lt;0.001. The seed is 7. The 30% budget reviews the 221 highest scores.</w:t>
      </w:r>
    </w:p>
    <w:p>
      <w:pPr>
        <w:spacing w:line="480" w:lineRule="auto" w:after="0" w:before="0"/>
      </w:pPr>
      <w:r>
        <w:rPr>
          <w:rFonts w:ascii="Times New Roman" w:hAnsi="Times New Roman" w:eastAsia="Times New Roman"/>
          <w:b w:val="0"/>
          <w:i w:val="0"/>
          <w:sz w:val="24"/>
        </w:rPr>
        <w:t>Table 1. Held-out comparison on 737 ventures first funded in 2012–2013.</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E7EEF5" w:val="clear"/>
          </w:tcPr>
          <w:p>
            <w:pPr>
              <w:spacing w:after="0"/>
            </w:pPr>
            <w:r/>
            <w:r>
              <w:rPr>
                <w:rFonts w:ascii="Times New Roman" w:hAnsi="Times New Roman" w:eastAsia="Times New Roman"/>
                <w:b/>
                <w:i w:val="0"/>
                <w:sz w:val="18"/>
              </w:rPr>
              <w:t>System</w:t>
            </w:r>
          </w:p>
        </w:tc>
        <w:tc>
          <w:tcPr>
            <w:tcW w:type="dxa" w:w="1560"/>
            <w:shd w:fill="E7EEF5" w:val="clear"/>
          </w:tcPr>
          <w:p>
            <w:pPr>
              <w:spacing w:after="0"/>
            </w:pPr>
            <w:r/>
            <w:r>
              <w:rPr>
                <w:rFonts w:ascii="Times New Roman" w:hAnsi="Times New Roman" w:eastAsia="Times New Roman"/>
                <w:b/>
                <w:i w:val="0"/>
                <w:sz w:val="18"/>
              </w:rPr>
              <w:t>ROC-AUC</w:t>
            </w:r>
          </w:p>
        </w:tc>
        <w:tc>
          <w:tcPr>
            <w:tcW w:type="dxa" w:w="1560"/>
            <w:shd w:fill="E7EEF5" w:val="clear"/>
          </w:tcPr>
          <w:p>
            <w:pPr>
              <w:spacing w:after="0"/>
            </w:pPr>
            <w:r/>
            <w:r>
              <w:rPr>
                <w:rFonts w:ascii="Times New Roman" w:hAnsi="Times New Roman" w:eastAsia="Times New Roman"/>
                <w:b/>
                <w:i w:val="0"/>
                <w:sz w:val="18"/>
              </w:rPr>
              <w:t>PR-AUC</w:t>
            </w:r>
          </w:p>
        </w:tc>
        <w:tc>
          <w:tcPr>
            <w:tcW w:type="dxa" w:w="1560"/>
            <w:shd w:fill="E7EEF5" w:val="clear"/>
          </w:tcPr>
          <w:p>
            <w:pPr>
              <w:spacing w:after="0"/>
            </w:pPr>
            <w:r/>
            <w:r>
              <w:rPr>
                <w:rFonts w:ascii="Times New Roman" w:hAnsi="Times New Roman" w:eastAsia="Times New Roman"/>
                <w:b/>
                <w:i w:val="0"/>
                <w:sz w:val="18"/>
              </w:rPr>
              <w:t>Brier</w:t>
            </w:r>
          </w:p>
        </w:tc>
        <w:tc>
          <w:tcPr>
            <w:tcW w:type="dxa" w:w="1560"/>
            <w:shd w:fill="E7EEF5" w:val="clear"/>
          </w:tcPr>
          <w:p>
            <w:pPr>
              <w:spacing w:after="0"/>
            </w:pPr>
            <w:r/>
            <w:r>
              <w:rPr>
                <w:rFonts w:ascii="Times New Roman" w:hAnsi="Times New Roman" w:eastAsia="Times New Roman"/>
                <w:b/>
                <w:i w:val="0"/>
                <w:sz w:val="18"/>
              </w:rPr>
              <w:t>Precision at 30%</w:t>
            </w:r>
          </w:p>
        </w:tc>
        <w:tc>
          <w:tcPr>
            <w:tcW w:type="dxa" w:w="1560"/>
            <w:shd w:fill="E7EEF5" w:val="clear"/>
          </w:tcPr>
          <w:p>
            <w:pPr>
              <w:spacing w:after="0"/>
            </w:pPr>
            <w:r/>
            <w:r>
              <w:rPr>
                <w:rFonts w:ascii="Times New Roman" w:hAnsi="Times New Roman" w:eastAsia="Times New Roman"/>
                <w:b/>
                <w:i w:val="0"/>
                <w:sz w:val="18"/>
              </w:rPr>
              <w:t>Recall at 30%</w:t>
            </w:r>
          </w:p>
        </w:tc>
      </w:tr>
      <w:tr>
        <w:tc>
          <w:tcPr>
            <w:tcW w:type="dxa" w:w="1560"/>
          </w:tcPr>
          <w:p>
            <w:pPr>
              <w:spacing w:after="0"/>
            </w:pPr>
            <w:r/>
            <w:r>
              <w:rPr>
                <w:rFonts w:ascii="Times New Roman" w:hAnsi="Times New Roman" w:eastAsia="Times New Roman"/>
                <w:b w:val="0"/>
                <w:i w:val="0"/>
                <w:sz w:val="18"/>
              </w:rPr>
              <w:t>Retained knowledge base</w:t>
            </w:r>
          </w:p>
        </w:tc>
        <w:tc>
          <w:tcPr>
            <w:tcW w:type="dxa" w:w="1560"/>
          </w:tcPr>
          <w:p>
            <w:pPr>
              <w:spacing w:after="0"/>
            </w:pPr>
            <w:r/>
            <w:r>
              <w:rPr>
                <w:rFonts w:ascii="Times New Roman" w:hAnsi="Times New Roman" w:eastAsia="Times New Roman"/>
                <w:b w:val="0"/>
                <w:i w:val="0"/>
                <w:sz w:val="18"/>
              </w:rPr>
              <w:t>0.618 (0.576–0.657)</w:t>
            </w:r>
          </w:p>
        </w:tc>
        <w:tc>
          <w:tcPr>
            <w:tcW w:type="dxa" w:w="1560"/>
          </w:tcPr>
          <w:p>
            <w:pPr>
              <w:spacing w:after="0"/>
            </w:pPr>
            <w:r/>
            <w:r>
              <w:rPr>
                <w:rFonts w:ascii="Times New Roman" w:hAnsi="Times New Roman" w:eastAsia="Times New Roman"/>
                <w:b w:val="0"/>
                <w:i w:val="0"/>
                <w:sz w:val="18"/>
              </w:rPr>
              <w:t>0.601</w:t>
            </w:r>
          </w:p>
        </w:tc>
        <w:tc>
          <w:tcPr>
            <w:tcW w:type="dxa" w:w="1560"/>
          </w:tcPr>
          <w:p>
            <w:pPr>
              <w:spacing w:after="0"/>
            </w:pPr>
            <w:r/>
            <w:r>
              <w:rPr>
                <w:rFonts w:ascii="Times New Roman" w:hAnsi="Times New Roman" w:eastAsia="Times New Roman"/>
                <w:b w:val="0"/>
                <w:i w:val="0"/>
                <w:sz w:val="18"/>
              </w:rPr>
              <w:t>0.242</w:t>
            </w:r>
          </w:p>
        </w:tc>
        <w:tc>
          <w:tcPr>
            <w:tcW w:type="dxa" w:w="1560"/>
          </w:tcPr>
          <w:p>
            <w:pPr>
              <w:spacing w:after="0"/>
            </w:pPr>
            <w:r/>
            <w:r>
              <w:rPr>
                <w:rFonts w:ascii="Times New Roman" w:hAnsi="Times New Roman" w:eastAsia="Times New Roman"/>
                <w:b w:val="0"/>
                <w:i w:val="0"/>
                <w:sz w:val="18"/>
              </w:rPr>
              <w:t>0.633 (0.575–0.701)</w:t>
            </w:r>
          </w:p>
        </w:tc>
        <w:tc>
          <w:tcPr>
            <w:tcW w:type="dxa" w:w="1560"/>
          </w:tcPr>
          <w:p>
            <w:pPr>
              <w:spacing w:after="0"/>
            </w:pPr>
            <w:r/>
            <w:r>
              <w:rPr>
                <w:rFonts w:ascii="Times New Roman" w:hAnsi="Times New Roman" w:eastAsia="Times New Roman"/>
                <w:b w:val="0"/>
                <w:i w:val="0"/>
                <w:sz w:val="18"/>
              </w:rPr>
              <w:t>0.372</w:t>
            </w:r>
          </w:p>
        </w:tc>
      </w:tr>
      <w:tr>
        <w:tc>
          <w:tcPr>
            <w:tcW w:type="dxa" w:w="1560"/>
          </w:tcPr>
          <w:p>
            <w:pPr>
              <w:spacing w:after="0"/>
            </w:pPr>
            <w:r/>
            <w:r>
              <w:rPr>
                <w:rFonts w:ascii="Times New Roman" w:hAnsi="Times New Roman" w:eastAsia="Times New Roman"/>
                <w:b w:val="0"/>
                <w:i w:val="0"/>
                <w:sz w:val="18"/>
              </w:rPr>
              <w:t>Logistic regression</w:t>
            </w:r>
          </w:p>
        </w:tc>
        <w:tc>
          <w:tcPr>
            <w:tcW w:type="dxa" w:w="1560"/>
          </w:tcPr>
          <w:p>
            <w:pPr>
              <w:spacing w:after="0"/>
            </w:pPr>
            <w:r/>
            <w:r>
              <w:rPr>
                <w:rFonts w:ascii="Times New Roman" w:hAnsi="Times New Roman" w:eastAsia="Times New Roman"/>
                <w:b w:val="0"/>
                <w:i w:val="0"/>
                <w:sz w:val="18"/>
              </w:rPr>
              <w:t>0.735 (0.698–0.771)</w:t>
            </w:r>
          </w:p>
        </w:tc>
        <w:tc>
          <w:tcPr>
            <w:tcW w:type="dxa" w:w="1560"/>
          </w:tcPr>
          <w:p>
            <w:pPr>
              <w:spacing w:after="0"/>
            </w:pPr>
            <w:r/>
            <w:r>
              <w:rPr>
                <w:rFonts w:ascii="Times New Roman" w:hAnsi="Times New Roman" w:eastAsia="Times New Roman"/>
                <w:b w:val="0"/>
                <w:i w:val="0"/>
                <w:sz w:val="18"/>
              </w:rPr>
              <w:t>0.743</w:t>
            </w:r>
          </w:p>
        </w:tc>
        <w:tc>
          <w:tcPr>
            <w:tcW w:type="dxa" w:w="1560"/>
          </w:tcPr>
          <w:p>
            <w:pPr>
              <w:spacing w:after="0"/>
            </w:pPr>
            <w:r/>
            <w:r>
              <w:rPr>
                <w:rFonts w:ascii="Times New Roman" w:hAnsi="Times New Roman" w:eastAsia="Times New Roman"/>
                <w:b w:val="0"/>
                <w:i w:val="0"/>
                <w:sz w:val="18"/>
              </w:rPr>
              <w:t>0.209</w:t>
            </w:r>
          </w:p>
        </w:tc>
        <w:tc>
          <w:tcPr>
            <w:tcW w:type="dxa" w:w="1560"/>
          </w:tcPr>
          <w:p>
            <w:pPr>
              <w:spacing w:after="0"/>
            </w:pPr>
            <w:r/>
            <w:r>
              <w:rPr>
                <w:rFonts w:ascii="Times New Roman" w:hAnsi="Times New Roman" w:eastAsia="Times New Roman"/>
                <w:b w:val="0"/>
                <w:i w:val="0"/>
                <w:sz w:val="18"/>
              </w:rPr>
              <w:t>0.751 (0.692–0.810)</w:t>
            </w:r>
          </w:p>
        </w:tc>
        <w:tc>
          <w:tcPr>
            <w:tcW w:type="dxa" w:w="1560"/>
          </w:tcPr>
          <w:p>
            <w:pPr>
              <w:spacing w:after="0"/>
            </w:pPr>
            <w:r/>
            <w:r>
              <w:rPr>
                <w:rFonts w:ascii="Times New Roman" w:hAnsi="Times New Roman" w:eastAsia="Times New Roman"/>
                <w:b w:val="0"/>
                <w:i w:val="0"/>
                <w:sz w:val="18"/>
              </w:rPr>
              <w:t>0.441</w:t>
            </w:r>
          </w:p>
        </w:tc>
      </w:tr>
      <w:tr>
        <w:tc>
          <w:tcPr>
            <w:tcW w:type="dxa" w:w="1560"/>
          </w:tcPr>
          <w:p>
            <w:pPr>
              <w:spacing w:after="0"/>
            </w:pPr>
            <w:r/>
            <w:r>
              <w:rPr>
                <w:rFonts w:ascii="Times New Roman" w:hAnsi="Times New Roman" w:eastAsia="Times New Roman"/>
                <w:b w:val="0"/>
                <w:i w:val="0"/>
                <w:sz w:val="18"/>
              </w:rPr>
              <w:t>Decision tree</w:t>
            </w:r>
          </w:p>
        </w:tc>
        <w:tc>
          <w:tcPr>
            <w:tcW w:type="dxa" w:w="1560"/>
          </w:tcPr>
          <w:p>
            <w:pPr>
              <w:spacing w:after="0"/>
            </w:pPr>
            <w:r/>
            <w:r>
              <w:rPr>
                <w:rFonts w:ascii="Times New Roman" w:hAnsi="Times New Roman" w:eastAsia="Times New Roman"/>
                <w:b w:val="0"/>
                <w:i w:val="0"/>
                <w:sz w:val="18"/>
              </w:rPr>
              <w:t>0.729 (0.691–0.764)</w:t>
            </w:r>
          </w:p>
        </w:tc>
        <w:tc>
          <w:tcPr>
            <w:tcW w:type="dxa" w:w="1560"/>
          </w:tcPr>
          <w:p>
            <w:pPr>
              <w:spacing w:after="0"/>
            </w:pPr>
            <w:r/>
            <w:r>
              <w:rPr>
                <w:rFonts w:ascii="Times New Roman" w:hAnsi="Times New Roman" w:eastAsia="Times New Roman"/>
                <w:b w:val="0"/>
                <w:i w:val="0"/>
                <w:sz w:val="18"/>
              </w:rPr>
              <w:t>0.702</w:t>
            </w:r>
          </w:p>
        </w:tc>
        <w:tc>
          <w:tcPr>
            <w:tcW w:type="dxa" w:w="1560"/>
          </w:tcPr>
          <w:p>
            <w:pPr>
              <w:spacing w:after="0"/>
            </w:pPr>
            <w:r/>
            <w:r>
              <w:rPr>
                <w:rFonts w:ascii="Times New Roman" w:hAnsi="Times New Roman" w:eastAsia="Times New Roman"/>
                <w:b w:val="0"/>
                <w:i w:val="0"/>
                <w:sz w:val="18"/>
              </w:rPr>
              <w:t>0.212</w:t>
            </w:r>
          </w:p>
        </w:tc>
        <w:tc>
          <w:tcPr>
            <w:tcW w:type="dxa" w:w="1560"/>
          </w:tcPr>
          <w:p>
            <w:pPr>
              <w:spacing w:after="0"/>
            </w:pPr>
            <w:r/>
            <w:r>
              <w:rPr>
                <w:rFonts w:ascii="Times New Roman" w:hAnsi="Times New Roman" w:eastAsia="Times New Roman"/>
                <w:b w:val="0"/>
                <w:i w:val="0"/>
                <w:sz w:val="18"/>
              </w:rPr>
              <w:t>0.751 (0.697–0.810)</w:t>
            </w:r>
          </w:p>
        </w:tc>
        <w:tc>
          <w:tcPr>
            <w:tcW w:type="dxa" w:w="1560"/>
          </w:tcPr>
          <w:p>
            <w:pPr>
              <w:spacing w:after="0"/>
            </w:pPr>
            <w:r/>
            <w:r>
              <w:rPr>
                <w:rFonts w:ascii="Times New Roman" w:hAnsi="Times New Roman" w:eastAsia="Times New Roman"/>
                <w:b w:val="0"/>
                <w:i w:val="0"/>
                <w:sz w:val="18"/>
              </w:rPr>
              <w:t>0.441</w:t>
            </w:r>
          </w:p>
        </w:tc>
      </w:tr>
      <w:tr>
        <w:tc>
          <w:tcPr>
            <w:tcW w:type="dxa" w:w="1560"/>
          </w:tcPr>
          <w:p>
            <w:pPr>
              <w:spacing w:after="0"/>
            </w:pPr>
            <w:r/>
            <w:r>
              <w:rPr>
                <w:rFonts w:ascii="Times New Roman" w:hAnsi="Times New Roman" w:eastAsia="Times New Roman"/>
                <w:b w:val="0"/>
                <w:i w:val="0"/>
                <w:sz w:val="18"/>
              </w:rPr>
              <w:t>Gradient boosting</w:t>
            </w:r>
          </w:p>
        </w:tc>
        <w:tc>
          <w:tcPr>
            <w:tcW w:type="dxa" w:w="1560"/>
          </w:tcPr>
          <w:p>
            <w:pPr>
              <w:spacing w:after="0"/>
            </w:pPr>
            <w:r/>
            <w:r>
              <w:rPr>
                <w:rFonts w:ascii="Times New Roman" w:hAnsi="Times New Roman" w:eastAsia="Times New Roman"/>
                <w:b w:val="0"/>
                <w:i w:val="0"/>
                <w:sz w:val="18"/>
              </w:rPr>
              <w:t>0.740 (0.704–0.776)</w:t>
            </w:r>
          </w:p>
        </w:tc>
        <w:tc>
          <w:tcPr>
            <w:tcW w:type="dxa" w:w="1560"/>
          </w:tcPr>
          <w:p>
            <w:pPr>
              <w:spacing w:after="0"/>
            </w:pPr>
            <w:r/>
            <w:r>
              <w:rPr>
                <w:rFonts w:ascii="Times New Roman" w:hAnsi="Times New Roman" w:eastAsia="Times New Roman"/>
                <w:b w:val="0"/>
                <w:i w:val="0"/>
                <w:sz w:val="18"/>
              </w:rPr>
              <w:t>0.745</w:t>
            </w:r>
          </w:p>
        </w:tc>
        <w:tc>
          <w:tcPr>
            <w:tcW w:type="dxa" w:w="1560"/>
          </w:tcPr>
          <w:p>
            <w:pPr>
              <w:spacing w:after="0"/>
            </w:pPr>
            <w:r/>
            <w:r>
              <w:rPr>
                <w:rFonts w:ascii="Times New Roman" w:hAnsi="Times New Roman" w:eastAsia="Times New Roman"/>
                <w:b w:val="0"/>
                <w:i w:val="0"/>
                <w:sz w:val="18"/>
              </w:rPr>
              <w:t>0.207</w:t>
            </w:r>
          </w:p>
        </w:tc>
        <w:tc>
          <w:tcPr>
            <w:tcW w:type="dxa" w:w="1560"/>
          </w:tcPr>
          <w:p>
            <w:pPr>
              <w:spacing w:after="0"/>
            </w:pPr>
            <w:r/>
            <w:r>
              <w:rPr>
                <w:rFonts w:ascii="Times New Roman" w:hAnsi="Times New Roman" w:eastAsia="Times New Roman"/>
                <w:b w:val="0"/>
                <w:i w:val="0"/>
                <w:sz w:val="18"/>
              </w:rPr>
              <w:t>0.760 (0.706–0.824)</w:t>
            </w:r>
          </w:p>
        </w:tc>
        <w:tc>
          <w:tcPr>
            <w:tcW w:type="dxa" w:w="1560"/>
          </w:tcPr>
          <w:p>
            <w:pPr>
              <w:spacing w:after="0"/>
            </w:pPr>
            <w:r/>
            <w:r>
              <w:rPr>
                <w:rFonts w:ascii="Times New Roman" w:hAnsi="Times New Roman" w:eastAsia="Times New Roman"/>
                <w:b w:val="0"/>
                <w:i w:val="0"/>
                <w:sz w:val="18"/>
              </w:rPr>
              <w:t>0.447</w:t>
            </w:r>
          </w:p>
        </w:tc>
      </w:tr>
      <w:tr>
        <w:tc>
          <w:tcPr>
            <w:tcW w:type="dxa" w:w="1560"/>
          </w:tcPr>
          <w:p>
            <w:pPr>
              <w:spacing w:after="0"/>
            </w:pPr>
            <w:r/>
            <w:r>
              <w:rPr>
                <w:rFonts w:ascii="Times New Roman" w:hAnsi="Times New Roman" w:eastAsia="Times New Roman"/>
                <w:b w:val="0"/>
                <w:i w:val="0"/>
                <w:sz w:val="18"/>
              </w:rPr>
              <w:t>Stacked fusion</w:t>
            </w:r>
          </w:p>
        </w:tc>
        <w:tc>
          <w:tcPr>
            <w:tcW w:type="dxa" w:w="1560"/>
          </w:tcPr>
          <w:p>
            <w:pPr>
              <w:spacing w:after="0"/>
            </w:pPr>
            <w:r/>
            <w:r>
              <w:rPr>
                <w:rFonts w:ascii="Times New Roman" w:hAnsi="Times New Roman" w:eastAsia="Times New Roman"/>
                <w:b w:val="0"/>
                <w:i w:val="0"/>
                <w:sz w:val="18"/>
              </w:rPr>
              <w:t>0.736 (0.699–0.771)</w:t>
            </w:r>
          </w:p>
        </w:tc>
        <w:tc>
          <w:tcPr>
            <w:tcW w:type="dxa" w:w="1560"/>
          </w:tcPr>
          <w:p>
            <w:pPr>
              <w:spacing w:after="0"/>
            </w:pPr>
            <w:r/>
            <w:r>
              <w:rPr>
                <w:rFonts w:ascii="Times New Roman" w:hAnsi="Times New Roman" w:eastAsia="Times New Roman"/>
                <w:b w:val="0"/>
                <w:i w:val="0"/>
                <w:sz w:val="18"/>
              </w:rPr>
              <w:t>0.743</w:t>
            </w:r>
          </w:p>
        </w:tc>
        <w:tc>
          <w:tcPr>
            <w:tcW w:type="dxa" w:w="1560"/>
          </w:tcPr>
          <w:p>
            <w:pPr>
              <w:spacing w:after="0"/>
            </w:pPr>
            <w:r/>
            <w:r>
              <w:rPr>
                <w:rFonts w:ascii="Times New Roman" w:hAnsi="Times New Roman" w:eastAsia="Times New Roman"/>
                <w:b w:val="0"/>
                <w:i w:val="0"/>
                <w:sz w:val="18"/>
              </w:rPr>
              <w:t>0.208</w:t>
            </w:r>
          </w:p>
        </w:tc>
        <w:tc>
          <w:tcPr>
            <w:tcW w:type="dxa" w:w="1560"/>
          </w:tcPr>
          <w:p>
            <w:pPr>
              <w:spacing w:after="0"/>
            </w:pPr>
            <w:r/>
            <w:r>
              <w:rPr>
                <w:rFonts w:ascii="Times New Roman" w:hAnsi="Times New Roman" w:eastAsia="Times New Roman"/>
                <w:b w:val="0"/>
                <w:i w:val="0"/>
                <w:sz w:val="18"/>
              </w:rPr>
              <w:t>0.769 (0.715–0.828)</w:t>
            </w:r>
          </w:p>
        </w:tc>
        <w:tc>
          <w:tcPr>
            <w:tcW w:type="dxa" w:w="1560"/>
          </w:tcPr>
          <w:p>
            <w:pPr>
              <w:spacing w:after="0"/>
            </w:pPr>
            <w:r/>
            <w:r>
              <w:rPr>
                <w:rFonts w:ascii="Times New Roman" w:hAnsi="Times New Roman" w:eastAsia="Times New Roman"/>
                <w:b w:val="0"/>
                <w:i w:val="0"/>
                <w:sz w:val="18"/>
              </w:rPr>
              <w:t>0.452</w:t>
            </w:r>
          </w:p>
        </w:tc>
      </w:tr>
    </w:tbl>
    <w:p/>
    <w:p>
      <w:pPr>
        <w:spacing w:line="480" w:lineRule="auto" w:after="0" w:before="0"/>
      </w:pPr>
      <w:r>
        <w:rPr>
          <w:rFonts w:ascii="Times New Roman" w:hAnsi="Times New Roman" w:eastAsia="Times New Roman"/>
          <w:b w:val="0"/>
          <w:i w:val="0"/>
          <w:sz w:val="24"/>
        </w:rPr>
        <w:t>Intervals are 95% bootstrap percentiles. Lower Brier is better. Higher ROC-AUC, PR-AUC, precision, and recall are better.</w:t>
      </w:r>
    </w:p>
    <w:p>
      <w:pPr>
        <w:spacing w:line="480" w:lineRule="auto" w:after="0" w:before="0"/>
      </w:pPr>
      <w:r>
        <w:rPr>
          <w:rFonts w:ascii="Times New Roman" w:hAnsi="Times New Roman" w:eastAsia="Times New Roman"/>
          <w:b w:val="0"/>
          <w:i w:val="0"/>
          <w:sz w:val="24"/>
        </w:rPr>
        <w:t>Table 1 shows that the pre-specified depth-3 booster reached a ROC area of 0.740 (0.704–0.776) and precision 0.760 (0.706–0.824) when the highest-scoring 30% were reviewed. The booster’s top 30% contains 168 of 376 closures. Precision 0.760 is 1.49 times the test base rate of 0.510. Logistic regression reached 0.735 and precision 0.751. The tree reached 0.729 and the same precision, 0.751. The retained rules alone reached 0.618 and precision 0.633. Stacked fusion reached 0.736 and precision 0.769.</w:t>
      </w:r>
    </w:p>
    <w:p>
      <w:pPr>
        <w:spacing w:line="480" w:lineRule="auto" w:after="0" w:before="0"/>
      </w:pPr>
      <w:r>
        <w:rPr>
          <w:rFonts w:ascii="Times New Roman" w:hAnsi="Times New Roman" w:eastAsia="Times New Roman"/>
          <w:b w:val="0"/>
          <w:i w:val="0"/>
          <w:sz w:val="24"/>
        </w:rPr>
        <w:t>That concentration is a usable screen. It is not evidence that the booster beats a linear model. Table 2 puts the ROC gap against logistic regression at 0.005 (p = 0.61) and the precision gap at 0.009 (p = 0.55). The tree is likewise inside the noise (p = 0.28 and p = 0.61). Most of the separable signal is linear in the early signals. The depth-3 booster remains the pre-specified score because that choice was made before the test year was read.</w:t>
      </w:r>
    </w:p>
    <w:p>
      <w:pPr>
        <w:jc w:val="center"/>
      </w:pPr>
      <w:r>
        <w:drawing>
          <wp:inline xmlns:a="http://schemas.openxmlformats.org/drawingml/2006/main" xmlns:pic="http://schemas.openxmlformats.org/drawingml/2006/picture">
            <wp:extent cx="5669280" cy="4694872"/>
            <wp:docPr id="1" name="Picture 1"/>
            <wp:cNvGraphicFramePr>
              <a:graphicFrameLocks noChangeAspect="1"/>
            </wp:cNvGraphicFramePr>
            <a:graphic>
              <a:graphicData uri="http://schemas.openxmlformats.org/drawingml/2006/picture">
                <pic:pic>
                  <pic:nvPicPr>
                    <pic:cNvPr id="0" name="fig1_roc.png"/>
                    <pic:cNvPicPr/>
                  </pic:nvPicPr>
                  <pic:blipFill>
                    <a:blip r:embed="rId10"/>
                    <a:stretch>
                      <a:fillRect/>
                    </a:stretch>
                  </pic:blipFill>
                  <pic:spPr>
                    <a:xfrm>
                      <a:off x="0" y="0"/>
                      <a:ext cx="5669280" cy="4694872"/>
                    </a:xfrm>
                    <a:prstGeom prst="rect"/>
                  </pic:spPr>
                </pic:pic>
              </a:graphicData>
            </a:graphic>
          </wp:inline>
        </w:drawing>
      </w:r>
    </w:p>
    <w:p>
      <w:pPr>
        <w:spacing w:line="480" w:lineRule="auto" w:after="0" w:before="0"/>
      </w:pPr>
      <w:r>
        <w:rPr>
          <w:rFonts w:ascii="Times New Roman" w:hAnsi="Times New Roman" w:eastAsia="Times New Roman"/>
          <w:b w:val="0"/>
          <w:i w:val="0"/>
          <w:sz w:val="24"/>
        </w:rPr>
        <w:t>Figure 1. ROC curves for the 737 ventures first funded in 2012–2013. The solid navy curve is the pre-specified depth-3 booster. The diagonal is chance. The legend reports the ROC area of each score.</w:t>
      </w:r>
    </w:p>
    <w:p>
      <w:pPr>
        <w:spacing w:line="480" w:lineRule="auto" w:after="0" w:before="0"/>
      </w:pPr>
      <w:r>
        <w:rPr>
          <w:rFonts w:ascii="Times New Roman" w:hAnsi="Times New Roman" w:eastAsia="Times New Roman"/>
          <w:b w:val="0"/>
          <w:i w:val="0"/>
          <w:sz w:val="24"/>
        </w:rPr>
        <w:t>At a 10% review budget, logistic precision is 0.892 and the booster’s is 0.865. At 30% the two have met. At 50% the four statistical scores sit near 0.69–0.70, still above the base rate of 0.510 and above the rule base.</w:t>
      </w:r>
    </w:p>
    <w:p>
      <w:pPr>
        <w:jc w:val="center"/>
      </w:pPr>
      <w:r>
        <w:drawing>
          <wp:inline xmlns:a="http://schemas.openxmlformats.org/drawingml/2006/main" xmlns:pic="http://schemas.openxmlformats.org/drawingml/2006/picture">
            <wp:extent cx="5669280" cy="4123113"/>
            <wp:docPr id="2" name="Picture 2"/>
            <wp:cNvGraphicFramePr>
              <a:graphicFrameLocks noChangeAspect="1"/>
            </wp:cNvGraphicFramePr>
            <a:graphic>
              <a:graphicData uri="http://schemas.openxmlformats.org/drawingml/2006/picture">
                <pic:pic>
                  <pic:nvPicPr>
                    <pic:cNvPr id="0" name="fig2_budget.png"/>
                    <pic:cNvPicPr/>
                  </pic:nvPicPr>
                  <pic:blipFill>
                    <a:blip r:embed="rId11"/>
                    <a:stretch>
                      <a:fillRect/>
                    </a:stretch>
                  </pic:blipFill>
                  <pic:spPr>
                    <a:xfrm>
                      <a:off x="0" y="0"/>
                      <a:ext cx="5669280" cy="4123113"/>
                    </a:xfrm>
                    <a:prstGeom prst="rect"/>
                  </pic:spPr>
                </pic:pic>
              </a:graphicData>
            </a:graphic>
          </wp:inline>
        </w:drawing>
      </w:r>
    </w:p>
    <w:p>
      <w:pPr>
        <w:spacing w:line="480" w:lineRule="auto" w:after="0" w:before="0"/>
      </w:pPr>
      <w:r>
        <w:rPr>
          <w:rFonts w:ascii="Times New Roman" w:hAnsi="Times New Roman" w:eastAsia="Times New Roman"/>
          <w:b w:val="0"/>
          <w:i w:val="0"/>
          <w:sz w:val="24"/>
        </w:rPr>
        <w:t>Figure 2. Precision when a fixed share of the 737 test ventures is reviewed. The dotted line is the test base rate, 0.510. At a 10% budget the logistic regression is the sharpest screen; at 30% it meets the booster.</w:t>
      </w:r>
    </w:p>
    <w:p>
      <w:pPr>
        <w:spacing w:line="480" w:lineRule="auto" w:after="0" w:before="0"/>
      </w:pPr>
      <w:r>
        <w:rPr>
          <w:rFonts w:ascii="Times New Roman" w:hAnsi="Times New Roman" w:eastAsia="Times New Roman"/>
          <w:b w:val="0"/>
          <w:i w:val="0"/>
          <w:sz w:val="24"/>
        </w:rPr>
        <w:t>Table 2. Paired significance tests for the depth-3 booster versus the named alternative, on the same 737 ventures.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7EEF5" w:val="clear"/>
          </w:tcPr>
          <w:p>
            <w:pPr>
              <w:spacing w:after="0"/>
            </w:pPr>
            <w:r/>
            <w:r>
              <w:rPr>
                <w:rFonts w:ascii="Times New Roman" w:hAnsi="Times New Roman" w:eastAsia="Times New Roman"/>
                <w:b/>
                <w:i w:val="0"/>
                <w:sz w:val="18"/>
              </w:rPr>
              <w:t>Comparison</w:t>
            </w:r>
          </w:p>
        </w:tc>
        <w:tc>
          <w:tcPr>
            <w:tcW w:type="dxa" w:w="1872"/>
            <w:shd w:fill="E7EEF5" w:val="clear"/>
          </w:tcPr>
          <w:p>
            <w:pPr>
              <w:spacing w:after="0"/>
            </w:pPr>
            <w:r/>
            <w:r>
              <w:rPr>
                <w:rFonts w:ascii="Times New Roman" w:hAnsi="Times New Roman" w:eastAsia="Times New Roman"/>
                <w:b/>
                <w:i w:val="0"/>
                <w:sz w:val="18"/>
              </w:rPr>
              <w:t>Metric</w:t>
            </w:r>
          </w:p>
        </w:tc>
        <w:tc>
          <w:tcPr>
            <w:tcW w:type="dxa" w:w="1872"/>
            <w:shd w:fill="E7EEF5" w:val="clear"/>
          </w:tcPr>
          <w:p>
            <w:pPr>
              <w:spacing w:after="0"/>
            </w:pPr>
            <w:r/>
            <w:r>
              <w:rPr>
                <w:rFonts w:ascii="Times New Roman" w:hAnsi="Times New Roman" w:eastAsia="Times New Roman"/>
                <w:b/>
                <w:i w:val="0"/>
                <w:sz w:val="18"/>
              </w:rPr>
              <w:t>Difference</w:t>
            </w:r>
          </w:p>
        </w:tc>
        <w:tc>
          <w:tcPr>
            <w:tcW w:type="dxa" w:w="1872"/>
            <w:shd w:fill="E7EEF5" w:val="clear"/>
          </w:tcPr>
          <w:p>
            <w:pPr>
              <w:spacing w:after="0"/>
            </w:pPr>
            <w:r/>
            <w:r>
              <w:rPr>
                <w:rFonts w:ascii="Times New Roman" w:hAnsi="Times New Roman" w:eastAsia="Times New Roman"/>
                <w:b/>
                <w:i w:val="0"/>
                <w:sz w:val="18"/>
              </w:rPr>
              <w:t>95% interval</w:t>
            </w:r>
          </w:p>
        </w:tc>
        <w:tc>
          <w:tcPr>
            <w:tcW w:type="dxa" w:w="1872"/>
            <w:shd w:fill="E7EEF5" w:val="clear"/>
          </w:tcPr>
          <w:p>
            <w:pPr>
              <w:spacing w:after="0"/>
            </w:pPr>
            <w:r/>
            <w:r>
              <w:rPr>
                <w:rFonts w:ascii="Times New Roman" w:hAnsi="Times New Roman" w:eastAsia="Times New Roman"/>
                <w:b/>
                <w:i w:val="0"/>
                <w:sz w:val="18"/>
              </w:rPr>
              <w:t>p-value</w:t>
            </w:r>
          </w:p>
        </w:tc>
      </w:tr>
      <w:tr>
        <w:tc>
          <w:tcPr>
            <w:tcW w:type="dxa" w:w="1872"/>
          </w:tcPr>
          <w:p>
            <w:pPr>
              <w:spacing w:after="0"/>
            </w:pPr>
            <w:r/>
            <w:r>
              <w:rPr>
                <w:rFonts w:ascii="Times New Roman" w:hAnsi="Times New Roman" w:eastAsia="Times New Roman"/>
                <w:b w:val="0"/>
                <w:i w:val="0"/>
                <w:sz w:val="18"/>
              </w:rPr>
              <w:t>Booster vs knowledge base</w:t>
            </w:r>
          </w:p>
        </w:tc>
        <w:tc>
          <w:tcPr>
            <w:tcW w:type="dxa" w:w="1872"/>
          </w:tcPr>
          <w:p>
            <w:pPr>
              <w:spacing w:after="0"/>
            </w:pPr>
            <w:r/>
            <w:r>
              <w:rPr>
                <w:rFonts w:ascii="Times New Roman" w:hAnsi="Times New Roman" w:eastAsia="Times New Roman"/>
                <w:b w:val="0"/>
                <w:i w:val="0"/>
                <w:sz w:val="18"/>
              </w:rPr>
              <w:t>ROC-AUC</w:t>
            </w:r>
          </w:p>
        </w:tc>
        <w:tc>
          <w:tcPr>
            <w:tcW w:type="dxa" w:w="1872"/>
          </w:tcPr>
          <w:p>
            <w:pPr>
              <w:spacing w:after="0"/>
            </w:pPr>
            <w:r/>
            <w:r>
              <w:rPr>
                <w:rFonts w:ascii="Times New Roman" w:hAnsi="Times New Roman" w:eastAsia="Times New Roman"/>
                <w:b w:val="0"/>
                <w:i w:val="0"/>
                <w:sz w:val="18"/>
              </w:rPr>
              <w:t>+0.122</w:t>
            </w:r>
          </w:p>
        </w:tc>
        <w:tc>
          <w:tcPr>
            <w:tcW w:type="dxa" w:w="1872"/>
          </w:tcPr>
          <w:p>
            <w:pPr>
              <w:spacing w:after="0"/>
            </w:pPr>
            <w:r/>
            <w:r>
              <w:rPr>
                <w:rFonts w:ascii="Times New Roman" w:hAnsi="Times New Roman" w:eastAsia="Times New Roman"/>
                <w:b w:val="0"/>
                <w:i w:val="0"/>
                <w:sz w:val="18"/>
              </w:rPr>
              <w:t>0.078 to 0.166</w:t>
            </w:r>
          </w:p>
        </w:tc>
        <w:tc>
          <w:tcPr>
            <w:tcW w:type="dxa" w:w="1872"/>
          </w:tcPr>
          <w:p>
            <w:pPr>
              <w:spacing w:after="0"/>
            </w:pPr>
            <w:r/>
            <w:r>
              <w:rPr>
                <w:rFonts w:ascii="Times New Roman" w:hAnsi="Times New Roman" w:eastAsia="Times New Roman"/>
                <w:b w:val="0"/>
                <w:i w:val="0"/>
                <w:sz w:val="18"/>
              </w:rPr>
              <w:t>&lt;0.001</w:t>
            </w:r>
          </w:p>
        </w:tc>
      </w:tr>
      <w:tr>
        <w:tc>
          <w:tcPr>
            <w:tcW w:type="dxa" w:w="1872"/>
          </w:tcPr>
          <w:p>
            <w:pPr>
              <w:spacing w:after="0"/>
            </w:pPr>
            <w:r/>
            <w:r>
              <w:rPr>
                <w:rFonts w:ascii="Times New Roman" w:hAnsi="Times New Roman" w:eastAsia="Times New Roman"/>
                <w:b w:val="0"/>
                <w:i w:val="0"/>
                <w:sz w:val="18"/>
              </w:rPr>
              <w:t>Booster vs knowledge base</w:t>
            </w:r>
          </w:p>
        </w:tc>
        <w:tc>
          <w:tcPr>
            <w:tcW w:type="dxa" w:w="1872"/>
          </w:tcPr>
          <w:p>
            <w:pPr>
              <w:spacing w:after="0"/>
            </w:pPr>
            <w:r/>
            <w:r>
              <w:rPr>
                <w:rFonts w:ascii="Times New Roman" w:hAnsi="Times New Roman" w:eastAsia="Times New Roman"/>
                <w:b w:val="0"/>
                <w:i w:val="0"/>
                <w:sz w:val="18"/>
              </w:rPr>
              <w:t>Precision at 30%</w:t>
            </w:r>
          </w:p>
        </w:tc>
        <w:tc>
          <w:tcPr>
            <w:tcW w:type="dxa" w:w="1872"/>
          </w:tcPr>
          <w:p>
            <w:pPr>
              <w:spacing w:after="0"/>
            </w:pPr>
            <w:r/>
            <w:r>
              <w:rPr>
                <w:rFonts w:ascii="Times New Roman" w:hAnsi="Times New Roman" w:eastAsia="Times New Roman"/>
                <w:b w:val="0"/>
                <w:i w:val="0"/>
                <w:sz w:val="18"/>
              </w:rPr>
              <w:t>+0.127</w:t>
            </w:r>
          </w:p>
        </w:tc>
        <w:tc>
          <w:tcPr>
            <w:tcW w:type="dxa" w:w="1872"/>
          </w:tcPr>
          <w:p>
            <w:pPr>
              <w:spacing w:after="0"/>
            </w:pPr>
            <w:r/>
            <w:r>
              <w:rPr>
                <w:rFonts w:ascii="Times New Roman" w:hAnsi="Times New Roman" w:eastAsia="Times New Roman"/>
                <w:b w:val="0"/>
                <w:i w:val="0"/>
                <w:sz w:val="18"/>
              </w:rPr>
              <w:t>0.063 to 0.195</w:t>
            </w:r>
          </w:p>
        </w:tc>
        <w:tc>
          <w:tcPr>
            <w:tcW w:type="dxa" w:w="1872"/>
          </w:tcPr>
          <w:p>
            <w:pPr>
              <w:spacing w:after="0"/>
            </w:pPr>
            <w:r/>
            <w:r>
              <w:rPr>
                <w:rFonts w:ascii="Times New Roman" w:hAnsi="Times New Roman" w:eastAsia="Times New Roman"/>
                <w:b w:val="0"/>
                <w:i w:val="0"/>
                <w:sz w:val="18"/>
              </w:rPr>
              <w:t>&lt;0.001</w:t>
            </w:r>
          </w:p>
        </w:tc>
      </w:tr>
      <w:tr>
        <w:tc>
          <w:tcPr>
            <w:tcW w:type="dxa" w:w="1872"/>
          </w:tcPr>
          <w:p>
            <w:pPr>
              <w:spacing w:after="0"/>
            </w:pPr>
            <w:r/>
            <w:r>
              <w:rPr>
                <w:rFonts w:ascii="Times New Roman" w:hAnsi="Times New Roman" w:eastAsia="Times New Roman"/>
                <w:b w:val="0"/>
                <w:i w:val="0"/>
                <w:sz w:val="18"/>
              </w:rPr>
              <w:t>Booster vs logistic regression</w:t>
            </w:r>
          </w:p>
        </w:tc>
        <w:tc>
          <w:tcPr>
            <w:tcW w:type="dxa" w:w="1872"/>
          </w:tcPr>
          <w:p>
            <w:pPr>
              <w:spacing w:after="0"/>
            </w:pPr>
            <w:r/>
            <w:r>
              <w:rPr>
                <w:rFonts w:ascii="Times New Roman" w:hAnsi="Times New Roman" w:eastAsia="Times New Roman"/>
                <w:b w:val="0"/>
                <w:i w:val="0"/>
                <w:sz w:val="18"/>
              </w:rPr>
              <w:t>ROC-AUC</w:t>
            </w:r>
          </w:p>
        </w:tc>
        <w:tc>
          <w:tcPr>
            <w:tcW w:type="dxa" w:w="1872"/>
          </w:tcPr>
          <w:p>
            <w:pPr>
              <w:spacing w:after="0"/>
            </w:pPr>
            <w:r/>
            <w:r>
              <w:rPr>
                <w:rFonts w:ascii="Times New Roman" w:hAnsi="Times New Roman" w:eastAsia="Times New Roman"/>
                <w:b w:val="0"/>
                <w:i w:val="0"/>
                <w:sz w:val="18"/>
              </w:rPr>
              <w:t>+0.005</w:t>
            </w:r>
          </w:p>
        </w:tc>
        <w:tc>
          <w:tcPr>
            <w:tcW w:type="dxa" w:w="1872"/>
          </w:tcPr>
          <w:p>
            <w:pPr>
              <w:spacing w:after="0"/>
            </w:pPr>
            <w:r/>
            <w:r>
              <w:rPr>
                <w:rFonts w:ascii="Times New Roman" w:hAnsi="Times New Roman" w:eastAsia="Times New Roman"/>
                <w:b w:val="0"/>
                <w:i w:val="0"/>
                <w:sz w:val="18"/>
              </w:rPr>
              <w:t>−0.012 to 0.022</w:t>
            </w:r>
          </w:p>
        </w:tc>
        <w:tc>
          <w:tcPr>
            <w:tcW w:type="dxa" w:w="1872"/>
          </w:tcPr>
          <w:p>
            <w:pPr>
              <w:spacing w:after="0"/>
            </w:pPr>
            <w:r/>
            <w:r>
              <w:rPr>
                <w:rFonts w:ascii="Times New Roman" w:hAnsi="Times New Roman" w:eastAsia="Times New Roman"/>
                <w:b w:val="0"/>
                <w:i w:val="0"/>
                <w:sz w:val="18"/>
              </w:rPr>
              <w:t>0.61</w:t>
            </w:r>
          </w:p>
        </w:tc>
      </w:tr>
      <w:tr>
        <w:tc>
          <w:tcPr>
            <w:tcW w:type="dxa" w:w="1872"/>
          </w:tcPr>
          <w:p>
            <w:pPr>
              <w:spacing w:after="0"/>
            </w:pPr>
            <w:r/>
            <w:r>
              <w:rPr>
                <w:rFonts w:ascii="Times New Roman" w:hAnsi="Times New Roman" w:eastAsia="Times New Roman"/>
                <w:b w:val="0"/>
                <w:i w:val="0"/>
                <w:sz w:val="18"/>
              </w:rPr>
              <w:t>Booster vs logistic regression</w:t>
            </w:r>
          </w:p>
        </w:tc>
        <w:tc>
          <w:tcPr>
            <w:tcW w:type="dxa" w:w="1872"/>
          </w:tcPr>
          <w:p>
            <w:pPr>
              <w:spacing w:after="0"/>
            </w:pPr>
            <w:r/>
            <w:r>
              <w:rPr>
                <w:rFonts w:ascii="Times New Roman" w:hAnsi="Times New Roman" w:eastAsia="Times New Roman"/>
                <w:b w:val="0"/>
                <w:i w:val="0"/>
                <w:sz w:val="18"/>
              </w:rPr>
              <w:t>Precision at 30%</w:t>
            </w:r>
          </w:p>
        </w:tc>
        <w:tc>
          <w:tcPr>
            <w:tcW w:type="dxa" w:w="1872"/>
          </w:tcPr>
          <w:p>
            <w:pPr>
              <w:spacing w:after="0"/>
            </w:pPr>
            <w:r/>
            <w:r>
              <w:rPr>
                <w:rFonts w:ascii="Times New Roman" w:hAnsi="Times New Roman" w:eastAsia="Times New Roman"/>
                <w:b w:val="0"/>
                <w:i w:val="0"/>
                <w:sz w:val="18"/>
              </w:rPr>
              <w:t>+0.009</w:t>
            </w:r>
          </w:p>
        </w:tc>
        <w:tc>
          <w:tcPr>
            <w:tcW w:type="dxa" w:w="1872"/>
          </w:tcPr>
          <w:p>
            <w:pPr>
              <w:spacing w:after="0"/>
            </w:pPr>
            <w:r/>
            <w:r>
              <w:rPr>
                <w:rFonts w:ascii="Times New Roman" w:hAnsi="Times New Roman" w:eastAsia="Times New Roman"/>
                <w:b w:val="0"/>
                <w:i w:val="0"/>
                <w:sz w:val="18"/>
              </w:rPr>
              <w:t>−0.027 to 0.059</w:t>
            </w:r>
          </w:p>
        </w:tc>
        <w:tc>
          <w:tcPr>
            <w:tcW w:type="dxa" w:w="1872"/>
          </w:tcPr>
          <w:p>
            <w:pPr>
              <w:spacing w:after="0"/>
            </w:pPr>
            <w:r/>
            <w:r>
              <w:rPr>
                <w:rFonts w:ascii="Times New Roman" w:hAnsi="Times New Roman" w:eastAsia="Times New Roman"/>
                <w:b w:val="0"/>
                <w:i w:val="0"/>
                <w:sz w:val="18"/>
              </w:rPr>
              <w:t>0.55</w:t>
            </w:r>
          </w:p>
        </w:tc>
      </w:tr>
      <w:tr>
        <w:tc>
          <w:tcPr>
            <w:tcW w:type="dxa" w:w="1872"/>
          </w:tcPr>
          <w:p>
            <w:pPr>
              <w:spacing w:after="0"/>
            </w:pPr>
            <w:r/>
            <w:r>
              <w:rPr>
                <w:rFonts w:ascii="Times New Roman" w:hAnsi="Times New Roman" w:eastAsia="Times New Roman"/>
                <w:b w:val="0"/>
                <w:i w:val="0"/>
                <w:sz w:val="18"/>
              </w:rPr>
              <w:t>Booster vs decision tree</w:t>
            </w:r>
          </w:p>
        </w:tc>
        <w:tc>
          <w:tcPr>
            <w:tcW w:type="dxa" w:w="1872"/>
          </w:tcPr>
          <w:p>
            <w:pPr>
              <w:spacing w:after="0"/>
            </w:pPr>
            <w:r/>
            <w:r>
              <w:rPr>
                <w:rFonts w:ascii="Times New Roman" w:hAnsi="Times New Roman" w:eastAsia="Times New Roman"/>
                <w:b w:val="0"/>
                <w:i w:val="0"/>
                <w:sz w:val="18"/>
              </w:rPr>
              <w:t>ROC-AUC</w:t>
            </w:r>
          </w:p>
        </w:tc>
        <w:tc>
          <w:tcPr>
            <w:tcW w:type="dxa" w:w="1872"/>
          </w:tcPr>
          <w:p>
            <w:pPr>
              <w:spacing w:after="0"/>
            </w:pPr>
            <w:r/>
            <w:r>
              <w:rPr>
                <w:rFonts w:ascii="Times New Roman" w:hAnsi="Times New Roman" w:eastAsia="Times New Roman"/>
                <w:b w:val="0"/>
                <w:i w:val="0"/>
                <w:sz w:val="18"/>
              </w:rPr>
              <w:t>+0.011</w:t>
            </w:r>
          </w:p>
        </w:tc>
        <w:tc>
          <w:tcPr>
            <w:tcW w:type="dxa" w:w="1872"/>
          </w:tcPr>
          <w:p>
            <w:pPr>
              <w:spacing w:after="0"/>
            </w:pPr>
            <w:r/>
            <w:r>
              <w:rPr>
                <w:rFonts w:ascii="Times New Roman" w:hAnsi="Times New Roman" w:eastAsia="Times New Roman"/>
                <w:b w:val="0"/>
                <w:i w:val="0"/>
                <w:sz w:val="18"/>
              </w:rPr>
              <w:t>−0.009 to 0.031</w:t>
            </w:r>
          </w:p>
        </w:tc>
        <w:tc>
          <w:tcPr>
            <w:tcW w:type="dxa" w:w="1872"/>
          </w:tcPr>
          <w:p>
            <w:pPr>
              <w:spacing w:after="0"/>
            </w:pPr>
            <w:r/>
            <w:r>
              <w:rPr>
                <w:rFonts w:ascii="Times New Roman" w:hAnsi="Times New Roman" w:eastAsia="Times New Roman"/>
                <w:b w:val="0"/>
                <w:i w:val="0"/>
                <w:sz w:val="18"/>
              </w:rPr>
              <w:t>0.28</w:t>
            </w:r>
          </w:p>
        </w:tc>
      </w:tr>
      <w:tr>
        <w:tc>
          <w:tcPr>
            <w:tcW w:type="dxa" w:w="1872"/>
          </w:tcPr>
          <w:p>
            <w:pPr>
              <w:spacing w:after="0"/>
            </w:pPr>
            <w:r/>
            <w:r>
              <w:rPr>
                <w:rFonts w:ascii="Times New Roman" w:hAnsi="Times New Roman" w:eastAsia="Times New Roman"/>
                <w:b w:val="0"/>
                <w:i w:val="0"/>
                <w:sz w:val="18"/>
              </w:rPr>
              <w:t>Booster vs decision tree</w:t>
            </w:r>
          </w:p>
        </w:tc>
        <w:tc>
          <w:tcPr>
            <w:tcW w:type="dxa" w:w="1872"/>
          </w:tcPr>
          <w:p>
            <w:pPr>
              <w:spacing w:after="0"/>
            </w:pPr>
            <w:r/>
            <w:r>
              <w:rPr>
                <w:rFonts w:ascii="Times New Roman" w:hAnsi="Times New Roman" w:eastAsia="Times New Roman"/>
                <w:b w:val="0"/>
                <w:i w:val="0"/>
                <w:sz w:val="18"/>
              </w:rPr>
              <w:t>Precision at 30%</w:t>
            </w:r>
          </w:p>
        </w:tc>
        <w:tc>
          <w:tcPr>
            <w:tcW w:type="dxa" w:w="1872"/>
          </w:tcPr>
          <w:p>
            <w:pPr>
              <w:spacing w:after="0"/>
            </w:pPr>
            <w:r/>
            <w:r>
              <w:rPr>
                <w:rFonts w:ascii="Times New Roman" w:hAnsi="Times New Roman" w:eastAsia="Times New Roman"/>
                <w:b w:val="0"/>
                <w:i w:val="0"/>
                <w:sz w:val="18"/>
              </w:rPr>
              <w:t>+0.009</w:t>
            </w:r>
          </w:p>
        </w:tc>
        <w:tc>
          <w:tcPr>
            <w:tcW w:type="dxa" w:w="1872"/>
          </w:tcPr>
          <w:p>
            <w:pPr>
              <w:spacing w:after="0"/>
            </w:pPr>
            <w:r/>
            <w:r>
              <w:rPr>
                <w:rFonts w:ascii="Times New Roman" w:hAnsi="Times New Roman" w:eastAsia="Times New Roman"/>
                <w:b w:val="0"/>
                <w:i w:val="0"/>
                <w:sz w:val="18"/>
              </w:rPr>
              <w:t>−0.032 to 0.063</w:t>
            </w:r>
          </w:p>
        </w:tc>
        <w:tc>
          <w:tcPr>
            <w:tcW w:type="dxa" w:w="1872"/>
          </w:tcPr>
          <w:p>
            <w:pPr>
              <w:spacing w:after="0"/>
            </w:pPr>
            <w:r/>
            <w:r>
              <w:rPr>
                <w:rFonts w:ascii="Times New Roman" w:hAnsi="Times New Roman" w:eastAsia="Times New Roman"/>
                <w:b w:val="0"/>
                <w:i w:val="0"/>
                <w:sz w:val="18"/>
              </w:rPr>
              <w:t>0.61</w:t>
            </w:r>
          </w:p>
        </w:tc>
      </w:tr>
      <w:tr>
        <w:tc>
          <w:tcPr>
            <w:tcW w:type="dxa" w:w="1872"/>
          </w:tcPr>
          <w:p>
            <w:pPr>
              <w:spacing w:after="0"/>
            </w:pPr>
            <w:r/>
            <w:r>
              <w:rPr>
                <w:rFonts w:ascii="Times New Roman" w:hAnsi="Times New Roman" w:eastAsia="Times New Roman"/>
                <w:b w:val="0"/>
                <w:i w:val="0"/>
                <w:sz w:val="18"/>
              </w:rPr>
              <w:t>Booster vs stacked fusion</w:t>
            </w:r>
          </w:p>
        </w:tc>
        <w:tc>
          <w:tcPr>
            <w:tcW w:type="dxa" w:w="1872"/>
          </w:tcPr>
          <w:p>
            <w:pPr>
              <w:spacing w:after="0"/>
            </w:pPr>
            <w:r/>
            <w:r>
              <w:rPr>
                <w:rFonts w:ascii="Times New Roman" w:hAnsi="Times New Roman" w:eastAsia="Times New Roman"/>
                <w:b w:val="0"/>
                <w:i w:val="0"/>
                <w:sz w:val="18"/>
              </w:rPr>
              <w:t>ROC-AUC</w:t>
            </w:r>
          </w:p>
        </w:tc>
        <w:tc>
          <w:tcPr>
            <w:tcW w:type="dxa" w:w="1872"/>
          </w:tcPr>
          <w:p>
            <w:pPr>
              <w:spacing w:after="0"/>
            </w:pPr>
            <w:r/>
            <w:r>
              <w:rPr>
                <w:rFonts w:ascii="Times New Roman" w:hAnsi="Times New Roman" w:eastAsia="Times New Roman"/>
                <w:b w:val="0"/>
                <w:i w:val="0"/>
                <w:sz w:val="18"/>
              </w:rPr>
              <w:t>+0.004</w:t>
            </w:r>
          </w:p>
        </w:tc>
        <w:tc>
          <w:tcPr>
            <w:tcW w:type="dxa" w:w="1872"/>
          </w:tcPr>
          <w:p>
            <w:pPr>
              <w:spacing w:after="0"/>
            </w:pPr>
            <w:r/>
            <w:r>
              <w:rPr>
                <w:rFonts w:ascii="Times New Roman" w:hAnsi="Times New Roman" w:eastAsia="Times New Roman"/>
                <w:b w:val="0"/>
                <w:i w:val="0"/>
                <w:sz w:val="18"/>
              </w:rPr>
              <w:t>0.0001 to 0.008</w:t>
            </w:r>
          </w:p>
        </w:tc>
        <w:tc>
          <w:tcPr>
            <w:tcW w:type="dxa" w:w="1872"/>
          </w:tcPr>
          <w:p>
            <w:pPr>
              <w:spacing w:after="0"/>
            </w:pPr>
            <w:r/>
            <w:r>
              <w:rPr>
                <w:rFonts w:ascii="Times New Roman" w:hAnsi="Times New Roman" w:eastAsia="Times New Roman"/>
                <w:b w:val="0"/>
                <w:i w:val="0"/>
                <w:sz w:val="18"/>
              </w:rPr>
              <w:t>0.045</w:t>
            </w:r>
          </w:p>
        </w:tc>
      </w:tr>
      <w:tr>
        <w:tc>
          <w:tcPr>
            <w:tcW w:type="dxa" w:w="1872"/>
          </w:tcPr>
          <w:p>
            <w:pPr>
              <w:spacing w:after="0"/>
            </w:pPr>
            <w:r/>
            <w:r>
              <w:rPr>
                <w:rFonts w:ascii="Times New Roman" w:hAnsi="Times New Roman" w:eastAsia="Times New Roman"/>
                <w:b w:val="0"/>
                <w:i w:val="0"/>
                <w:sz w:val="18"/>
              </w:rPr>
              <w:t>Booster vs stacked fusion</w:t>
            </w:r>
          </w:p>
        </w:tc>
        <w:tc>
          <w:tcPr>
            <w:tcW w:type="dxa" w:w="1872"/>
          </w:tcPr>
          <w:p>
            <w:pPr>
              <w:spacing w:after="0"/>
            </w:pPr>
            <w:r/>
            <w:r>
              <w:rPr>
                <w:rFonts w:ascii="Times New Roman" w:hAnsi="Times New Roman" w:eastAsia="Times New Roman"/>
                <w:b w:val="0"/>
                <w:i w:val="0"/>
                <w:sz w:val="18"/>
              </w:rPr>
              <w:t>Precision at 30%</w:t>
            </w:r>
          </w:p>
        </w:tc>
        <w:tc>
          <w:tcPr>
            <w:tcW w:type="dxa" w:w="1872"/>
          </w:tcPr>
          <w:p>
            <w:pPr>
              <w:spacing w:after="0"/>
            </w:pPr>
            <w:r/>
            <w:r>
              <w:rPr>
                <w:rFonts w:ascii="Times New Roman" w:hAnsi="Times New Roman" w:eastAsia="Times New Roman"/>
                <w:b w:val="0"/>
                <w:i w:val="0"/>
                <w:sz w:val="18"/>
              </w:rPr>
              <w:t>−0.009</w:t>
            </w:r>
          </w:p>
        </w:tc>
        <w:tc>
          <w:tcPr>
            <w:tcW w:type="dxa" w:w="1872"/>
          </w:tcPr>
          <w:p>
            <w:pPr>
              <w:spacing w:after="0"/>
            </w:pPr>
            <w:r/>
            <w:r>
              <w:rPr>
                <w:rFonts w:ascii="Times New Roman" w:hAnsi="Times New Roman" w:eastAsia="Times New Roman"/>
                <w:b w:val="0"/>
                <w:i w:val="0"/>
                <w:sz w:val="18"/>
              </w:rPr>
              <w:t>−0.023 to 0.014</w:t>
            </w:r>
          </w:p>
        </w:tc>
        <w:tc>
          <w:tcPr>
            <w:tcW w:type="dxa" w:w="1872"/>
          </w:tcPr>
          <w:p>
            <w:pPr>
              <w:spacing w:after="0"/>
            </w:pPr>
            <w:r/>
            <w:r>
              <w:rPr>
                <w:rFonts w:ascii="Times New Roman" w:hAnsi="Times New Roman" w:eastAsia="Times New Roman"/>
                <w:b w:val="0"/>
                <w:i w:val="0"/>
                <w:sz w:val="18"/>
              </w:rPr>
              <w:t>0.76</w:t>
            </w:r>
          </w:p>
        </w:tc>
      </w:tr>
    </w:tbl>
    <w:p/>
    <w:p>
      <w:pPr>
        <w:spacing w:line="480" w:lineRule="auto" w:after="0" w:before="0"/>
      </w:pPr>
      <w:r>
        <w:rPr>
          <w:rFonts w:ascii="Times New Roman" w:hAnsi="Times New Roman" w:eastAsia="Times New Roman"/>
          <w:b w:val="0"/>
          <w:i w:val="0"/>
          <w:sz w:val="24"/>
        </w:rPr>
        <w:t>Paired tests use 2,000 matched bootstrap draws of the same 737 ventures. The difference is booster minus alternative. Positive values favour the booster. ROC-AUC and precision at the 30% review budget are the decision-relevant metrics.</w:t>
      </w:r>
    </w:p>
    <w:p>
      <w:pPr>
        <w:spacing w:line="480" w:lineRule="auto" w:after="0" w:before="0"/>
      </w:pPr>
      <w:r>
        <w:rPr>
          <w:rFonts w:ascii="Times New Roman" w:hAnsi="Times New Roman" w:eastAsia="Times New Roman"/>
          <w:b w:val="0"/>
          <w:i w:val="0"/>
          <w:sz w:val="24"/>
        </w:rPr>
        <w:t>The knowledge base is the part a reviewer can read, and it is not the ranker. Its ROC area of 0.618 is above chance, and the paired gap to the booster is 0.122 (p &lt; 0.001). On the test years, which were not used to keep or drop rules, R2 fired for 47.9% of later closures and 29.9% of exits. R3 fired for 46.5% and 25.8%. R6, the protective rule, fired for 8.5% of closures and 18.8% of exits. R1 fired for 15.7% and 9.7%. The withdrawn rules do not separate the test outcomes in the direction originally written. Figure 3 shows that comparison for all seven rules. Raising the retention margin from 0.02 to 0.05 drops R1 and moves the rule-base ROC area from 0.618 to 0.608. A margin of 0.00 retains the same four rules as 0.02. The primary rule set is not an artefact of a knife-edge threshold.</w:t>
      </w:r>
    </w:p>
    <w:p>
      <w:pPr>
        <w:jc w:val="center"/>
      </w:pPr>
      <w:r>
        <w:drawing>
          <wp:inline xmlns:a="http://schemas.openxmlformats.org/drawingml/2006/main" xmlns:pic="http://schemas.openxmlformats.org/drawingml/2006/picture">
            <wp:extent cx="5669280" cy="3983818"/>
            <wp:docPr id="3" name="Picture 3"/>
            <wp:cNvGraphicFramePr>
              <a:graphicFrameLocks noChangeAspect="1"/>
            </wp:cNvGraphicFramePr>
            <a:graphic>
              <a:graphicData uri="http://schemas.openxmlformats.org/drawingml/2006/picture">
                <pic:pic>
                  <pic:nvPicPr>
                    <pic:cNvPr id="0" name="fig3_rules.png"/>
                    <pic:cNvPicPr/>
                  </pic:nvPicPr>
                  <pic:blipFill>
                    <a:blip r:embed="rId12"/>
                    <a:stretch>
                      <a:fillRect/>
                    </a:stretch>
                  </pic:blipFill>
                  <pic:spPr>
                    <a:xfrm>
                      <a:off x="0" y="0"/>
                      <a:ext cx="5669280" cy="3983818"/>
                    </a:xfrm>
                    <a:prstGeom prst="rect"/>
                  </pic:spPr>
                </pic:pic>
              </a:graphicData>
            </a:graphic>
          </wp:inline>
        </w:drawing>
      </w:r>
    </w:p>
    <w:p>
      <w:pPr>
        <w:spacing w:line="480" w:lineRule="auto" w:after="0" w:before="0"/>
      </w:pPr>
      <w:r>
        <w:rPr>
          <w:rFonts w:ascii="Times New Roman" w:hAnsi="Times New Roman" w:eastAsia="Times New Roman"/>
          <w:b w:val="0"/>
          <w:i w:val="0"/>
          <w:sz w:val="24"/>
        </w:rPr>
        <w:t>Figure 3. Share of 2012–2013 ventures on which each rule reached strength 0.5. Navy bars are later closures (n = 376). Green bars are recorded exits (n = 361). Retention was fixed on 2006–2010 and was not revised on these years. R6 is protective, so a higher exit bar is the direction written into that rule. R4, R5, and R7 were withdrawn before the test years were scored.</w:t>
      </w:r>
    </w:p>
    <w:p>
      <w:pPr>
        <w:spacing w:line="480" w:lineRule="auto" w:after="0" w:before="0"/>
      </w:pPr>
      <w:r>
        <w:rPr>
          <w:rFonts w:ascii="Times New Roman" w:hAnsi="Times New Roman" w:eastAsia="Times New Roman"/>
          <w:b w:val="0"/>
          <w:i w:val="0"/>
          <w:sz w:val="24"/>
        </w:rPr>
        <w:t>The class-balanced training regression shows why conjunctions and main effects are not the same statement. One standard deviation more log first-round amount lowers closure log-odds by 0.511, and one standard deviation more log ecosystem size lowers them by 0.328. Angel and seed rounds, relative to a venture round, raise log-odds by 0.333 and 0.163. A longer wait for the first round lowers closure log-odds by 0.276 per standard deviation, and a longer category list lowers them by 0.154, while digital depth raises them by 0.132. R1 survives only as the conjunction of a small round and a long wait. R2 and R3 survive because thin capital, not breadth or depth alone, is doing the work. Round type, which the rules do not encode, is one reason the rule base lags the regression.</w:t>
      </w:r>
    </w:p>
    <w:p>
      <w:pPr>
        <w:spacing w:line="480" w:lineRule="auto" w:after="0" w:before="0"/>
      </w:pPr>
      <w:r>
        <w:rPr>
          <w:rFonts w:ascii="Times New Roman" w:hAnsi="Times New Roman" w:eastAsia="Times New Roman"/>
          <w:b w:val="0"/>
          <w:i w:val="0"/>
          <w:sz w:val="24"/>
        </w:rPr>
        <w:t>Stacked fusion estimates β1 = 1.034 on the booster logit and β2 = −0.233 on the certainty factor (intercept −0.128). Once the booster is known, a higher failure certainty factor slightly lowers the stacked probability. The ROC area falls by 0.004 (p = 0.045). Precision at 30% moves from 0.760 to 0.769, and that difference is compatible with noise (p = 0.76). The rules stay on the warning card. They do not enter the issued probability.</w:t>
      </w:r>
    </w:p>
    <w:p>
      <w:pPr>
        <w:spacing w:line="480" w:lineRule="auto" w:after="0" w:before="0"/>
      </w:pPr>
      <w:r>
        <w:rPr>
          <w:rFonts w:ascii="Times New Roman" w:hAnsi="Times New Roman" w:eastAsia="Times New Roman"/>
          <w:b w:val="0"/>
          <w:i w:val="0"/>
          <w:sz w:val="24"/>
        </w:rPr>
        <w:t>The two fields on the card are the decision-support result. The statistical layer ranks ventures inside a human review budget. The knowledge layer names which retained mechanism crossed 0.5. Explainability is that fired rule and its certainty factor, not a post-hoc importance score. Stacking the rule into the probability does not improve the rank the reviewer would act on.</w:t>
      </w:r>
    </w:p>
    <w:p>
      <w:pPr>
        <w:spacing w:line="480" w:lineRule="auto" w:after="120" w:before="0"/>
      </w:pPr>
      <w:r>
        <w:rPr>
          <w:rFonts w:ascii="Times New Roman" w:hAnsi="Times New Roman" w:eastAsia="Times New Roman"/>
          <w:b/>
          <w:i w:val="0"/>
          <w:sz w:val="28"/>
        </w:rPr>
        <w:t>4. Limitations</w:t>
      </w:r>
    </w:p>
    <w:p>
      <w:pPr>
        <w:spacing w:line="480" w:lineRule="auto" w:after="0" w:before="0"/>
      </w:pPr>
      <w:r>
        <w:rPr>
          <w:rFonts w:ascii="Times New Roman" w:hAnsi="Times New Roman" w:eastAsia="Times New Roman"/>
          <w:b w:val="0"/>
          <w:i w:val="0"/>
          <w:sz w:val="24"/>
        </w:rPr>
        <w:t>The association is not an effect of a digital-transformation program. The export records categories, a first round, and a later status. It does not record a transformation project inside the firm. Operating ventures are omitted, so 0.510 is not a population failure rate. Some acquisitions are failures under another name. Categories can be edited after founding. Ecosystem counts rise across the decade, and the test years sit in denser regions than the training years (median peers 59, then 124, then 156). The score uses only the first round. A later warning could be sharper and would answer a different question.</w:t>
      </w:r>
    </w:p>
    <w:p>
      <w:pPr>
        <w:spacing w:line="480" w:lineRule="auto" w:after="0" w:before="0"/>
      </w:pPr>
      <w:r>
        <w:rPr>
          <w:rFonts w:ascii="Times New Roman" w:hAnsi="Times New Roman" w:eastAsia="Times New Roman"/>
          <w:b w:val="0"/>
          <w:i w:val="0"/>
          <w:sz w:val="24"/>
        </w:rPr>
        <w:t>The booster was chosen as the primary score before the paired tests were read. Those tests then showed that logistic regression matches it. Reporting the booster as if it had won a significant comparison would overstate Table 2. The benchmark is one public extract with a December 2015 horizon. A second geography, a later extract, or a round-level file that supports a true survival time would be a different study. The retention margin of 0.02 was set as a small practical gap, and the sensitivity above is the check on that choice.</w:t>
      </w:r>
    </w:p>
    <w:p>
      <w:pPr>
        <w:spacing w:line="480" w:lineRule="auto" w:after="120" w:before="0"/>
      </w:pPr>
      <w:r>
        <w:rPr>
          <w:rFonts w:ascii="Times New Roman" w:hAnsi="Times New Roman" w:eastAsia="Times New Roman"/>
          <w:b/>
          <w:i w:val="0"/>
          <w:sz w:val="28"/>
        </w:rPr>
        <w:t>5. Conclusion</w:t>
      </w:r>
    </w:p>
    <w:p>
      <w:pPr>
        <w:spacing w:line="480" w:lineRule="auto" w:after="0" w:before="0"/>
      </w:pPr>
      <w:r>
        <w:rPr>
          <w:rFonts w:ascii="Times New Roman" w:hAnsi="Times New Roman" w:eastAsia="Times New Roman"/>
          <w:b w:val="0"/>
          <w:i w:val="0"/>
          <w:sz w:val="24"/>
        </w:rPr>
        <w:t>This Short Communication presented KB-EWS, a knowledge-based early-warning system for the first priced round of a digital venture. It returns a calibrated closure probability and the retained certainty-factor rules that fired, and a fixed budget turns that probability into a review queue.</w:t>
      </w:r>
    </w:p>
    <w:p>
      <w:pPr>
        <w:spacing w:line="480" w:lineRule="auto" w:after="0" w:before="0"/>
      </w:pPr>
      <w:r>
        <w:rPr>
          <w:rFonts w:ascii="Times New Roman" w:hAnsi="Times New Roman" w:eastAsia="Times New Roman"/>
          <w:b w:val="0"/>
          <w:i w:val="0"/>
          <w:sz w:val="24"/>
        </w:rPr>
        <w:t>On ventures first funded in 2012–2013, the top 30% of booster scores concentrate later closures from a base rate of 0.510 to a precision of 0.760. A logistic regression reaches the same standard, so either score can drive the queue. The rule base documents four mechanisms and does not match that rank. Stacking the rules into the probability does not improve the queue.</w:t>
      </w:r>
    </w:p>
    <w:p>
      <w:pPr>
        <w:spacing w:line="480" w:lineRule="auto" w:after="0" w:before="0"/>
      </w:pPr>
      <w:r>
        <w:rPr>
          <w:rFonts w:ascii="Times New Roman" w:hAnsi="Times New Roman" w:eastAsia="Times New Roman"/>
          <w:b w:val="0"/>
          <w:i w:val="0"/>
          <w:sz w:val="24"/>
        </w:rPr>
        <w:t>The system supports a human screening decision with an inspectable rule layer and a tested statistical rank. It is not a causal model of digital transformation, and it is not a substitute for information that arrives after the first round.</w:t>
      </w:r>
    </w:p>
    <w:p>
      <w:pPr>
        <w:spacing w:line="480" w:lineRule="auto" w:after="120" w:before="0"/>
      </w:pPr>
      <w:r>
        <w:rPr>
          <w:rFonts w:ascii="Times New Roman" w:hAnsi="Times New Roman" w:eastAsia="Times New Roman"/>
          <w:b/>
          <w:i w:val="0"/>
          <w:sz w:val="28"/>
        </w:rPr>
        <w:t>Data Availability</w:t>
      </w:r>
    </w:p>
    <w:p>
      <w:pPr>
        <w:spacing w:line="480" w:lineRule="auto" w:after="0" w:before="0"/>
      </w:pPr>
      <w:r>
        <w:rPr>
          <w:rFonts w:ascii="Times New Roman" w:hAnsi="Times New Roman" w:eastAsia="Times New Roman"/>
          <w:b w:val="0"/>
          <w:i w:val="0"/>
          <w:sz w:val="24"/>
        </w:rPr>
        <w:t>Running python kbews.py rebuilds the cohort, the retention decision, the five scores, the warning cards, Table 1, Table 2, and Figures 1–3 from the public export and a fixed seed. The numeric source for the tables is outputs/metrics.json. The per-venture cards are outputs/warning_cards.csv. The raw Crunchbase files are downloaded into a local cache and are not part of the repository.</w:t>
      </w:r>
    </w:p>
    <w:p>
      <w:pPr>
        <w:spacing w:line="480" w:lineRule="auto" w:after="120" w:before="0"/>
      </w:pPr>
      <w:r>
        <w:rPr>
          <w:rFonts w:ascii="Times New Roman" w:hAnsi="Times New Roman" w:eastAsia="Times New Roman"/>
          <w:b/>
          <w:i w:val="0"/>
          <w:sz w:val="28"/>
        </w:rPr>
        <w:t>Declaration of Competing Interest</w:t>
      </w:r>
    </w:p>
    <w:p>
      <w:pPr>
        <w:spacing w:line="480" w:lineRule="auto" w:after="0" w:before="0"/>
      </w:pPr>
      <w:r>
        <w:rPr>
          <w:rFonts w:ascii="Times New Roman" w:hAnsi="Times New Roman" w:eastAsia="Times New Roman"/>
          <w:b w:val="0"/>
          <w:i w:val="0"/>
          <w:sz w:val="24"/>
        </w:rPr>
        <w:t>The author declares that there are no known competing financial interests or personal relationships that could have appeared to influence the work reported in this manuscript.</w:t>
      </w:r>
    </w:p>
    <w:p>
      <w:pPr>
        <w:spacing w:line="480" w:lineRule="auto" w:after="120" w:before="0"/>
      </w:pPr>
      <w:r>
        <w:rPr>
          <w:rFonts w:ascii="Times New Roman" w:hAnsi="Times New Roman" w:eastAsia="Times New Roman"/>
          <w:b/>
          <w:i w:val="0"/>
          <w:sz w:val="28"/>
        </w:rPr>
        <w:t>Declaration of Generative AI and AI-Assisted Technologies</w:t>
      </w:r>
    </w:p>
    <w:p>
      <w:pPr>
        <w:spacing w:line="480" w:lineRule="auto" w:after="0" w:before="0"/>
      </w:pPr>
      <w:r>
        <w:rPr>
          <w:rFonts w:ascii="Times New Roman" w:hAnsi="Times New Roman" w:eastAsia="Times New Roman"/>
          <w:b w:val="0"/>
          <w:i w:val="0"/>
          <w:sz w:val="24"/>
        </w:rPr>
        <w:t>During preparation of this manuscript, AI-assisted tools were used for language drafting, editing, organization, and manuscript formatting support. The author reviewed and edited the content and takes full responsibility for the final manuscript. The experimental data, tables, and figures were generated from executable code.</w:t>
      </w:r>
    </w:p>
    <w:p>
      <w:pPr>
        <w:spacing w:line="480" w:lineRule="auto" w:after="120" w:before="0"/>
      </w:pPr>
      <w:r>
        <w:rPr>
          <w:rFonts w:ascii="Times New Roman" w:hAnsi="Times New Roman" w:eastAsia="Times New Roman"/>
          <w:b/>
          <w:i w:val="0"/>
          <w:sz w:val="28"/>
        </w:rPr>
        <w:t>Funding</w:t>
      </w:r>
    </w:p>
    <w:p>
      <w:pPr>
        <w:spacing w:line="480" w:lineRule="auto" w:after="0" w:before="0"/>
      </w:pPr>
      <w:r>
        <w:rPr>
          <w:rFonts w:ascii="Times New Roman" w:hAnsi="Times New Roman" w:eastAsia="Times New Roman"/>
          <w:b w:val="0"/>
          <w:i w:val="0"/>
          <w:sz w:val="24"/>
        </w:rPr>
        <w:t>This research received no specific grant from any funding agency in the public, commercial, or not-for-profit sectors.</w:t>
      </w:r>
    </w:p>
    <w:p>
      <w:pPr>
        <w:spacing w:line="480" w:lineRule="auto" w:after="120" w:before="0"/>
      </w:pPr>
      <w:r>
        <w:rPr>
          <w:rFonts w:ascii="Times New Roman" w:hAnsi="Times New Roman" w:eastAsia="Times New Roman"/>
          <w:b/>
          <w:i w:val="0"/>
          <w:sz w:val="28"/>
        </w:rPr>
        <w:t>CRediT Authorship Contribution Statement</w:t>
      </w:r>
    </w:p>
    <w:p>
      <w:pPr>
        <w:spacing w:line="480" w:lineRule="auto" w:after="0" w:before="0"/>
      </w:pPr>
      <w:r>
        <w:rPr>
          <w:rFonts w:ascii="Times New Roman" w:hAnsi="Times New Roman" w:eastAsia="Times New Roman"/>
          <w:b w:val="0"/>
          <w:i w:val="0"/>
          <w:sz w:val="24"/>
        </w:rPr>
        <w:t>Balavaraprasad Reddy Yenugula: Conceptualization, Methodology, Software, Validation, Formal analysis, Investigation, Data curation, Writing - original draft, Writing - review and editing, Visualization.</w:t>
      </w:r>
    </w:p>
    <w:p>
      <w:pPr>
        <w:spacing w:line="480" w:lineRule="auto" w:after="120" w:before="0"/>
      </w:pPr>
      <w:r>
        <w:rPr>
          <w:rFonts w:ascii="Times New Roman" w:hAnsi="Times New Roman" w:eastAsia="Times New Roman"/>
          <w:b/>
          <w:i w:val="0"/>
          <w:sz w:val="28"/>
        </w:rPr>
        <w:t>References</w:t>
      </w:r>
    </w:p>
    <w:p>
      <w:pPr>
        <w:spacing w:line="480" w:lineRule="auto" w:after="0" w:before="0"/>
      </w:pPr>
      <w:r>
        <w:rPr>
          <w:rFonts w:ascii="Times New Roman" w:hAnsi="Times New Roman" w:eastAsia="Times New Roman"/>
          <w:b w:val="0"/>
          <w:i w:val="0"/>
          <w:sz w:val="24"/>
        </w:rPr>
        <w:t>[1] Josefy, M. A., Harrison, J. S., Sirmon, D. G., &amp; Matz Carnes, C. (2017). Living and dying: synthesizing the literature on firm survival and failure across stages of development. Academy of Management Annals, 11(2), 770–799. https://doi.org/10.5465/annals.2015.0148</w:t>
      </w:r>
    </w:p>
    <w:p>
      <w:pPr>
        <w:spacing w:line="480" w:lineRule="auto" w:after="0" w:before="0"/>
      </w:pPr>
      <w:r>
        <w:rPr>
          <w:rFonts w:ascii="Times New Roman" w:hAnsi="Times New Roman" w:eastAsia="Times New Roman"/>
          <w:b w:val="0"/>
          <w:i w:val="0"/>
          <w:sz w:val="24"/>
        </w:rPr>
        <w:t>[2] Ucbasaran, D., Shepherd, D. A., Lockett, A., &amp; Lyon, S. J. (2013). Life after business failure: The process and consequences of business failure for entrepreneurs. Journal of Management, 39(1), 163–202. https://doi.org/10.1177/0149206312457823</w:t>
      </w:r>
    </w:p>
    <w:p>
      <w:pPr>
        <w:spacing w:line="480" w:lineRule="auto" w:after="0" w:before="0"/>
      </w:pPr>
      <w:r>
        <w:rPr>
          <w:rFonts w:ascii="Times New Roman" w:hAnsi="Times New Roman" w:eastAsia="Times New Roman"/>
          <w:b w:val="0"/>
          <w:i w:val="0"/>
          <w:sz w:val="24"/>
        </w:rPr>
        <w:t>[3] Shepherd, D. A. (2003). Learning from business failure: Propositions of grief recovery for the self-employed. Academy of Management Review, 28(2), 318–328. https://doi.org/10.5465/amr.2003.9416377</w:t>
      </w:r>
    </w:p>
    <w:p>
      <w:pPr>
        <w:spacing w:line="480" w:lineRule="auto" w:after="0" w:before="0"/>
      </w:pPr>
      <w:r>
        <w:rPr>
          <w:rFonts w:ascii="Times New Roman" w:hAnsi="Times New Roman" w:eastAsia="Times New Roman"/>
          <w:b w:val="0"/>
          <w:i w:val="0"/>
          <w:sz w:val="24"/>
        </w:rPr>
        <w:t>[4] Nambisan, S. (2017). Digital entrepreneurship: toward a digital technology perspective of entrepreneurship. Entrepreneurship Theory and Practice, 41(6), 1029–1055. https://doi.org/10.1111/etap.12254</w:t>
      </w:r>
    </w:p>
    <w:p>
      <w:pPr>
        <w:spacing w:line="480" w:lineRule="auto" w:after="0" w:before="0"/>
      </w:pPr>
      <w:r>
        <w:rPr>
          <w:rFonts w:ascii="Times New Roman" w:hAnsi="Times New Roman" w:eastAsia="Times New Roman"/>
          <w:b w:val="0"/>
          <w:i w:val="0"/>
          <w:sz w:val="24"/>
        </w:rPr>
        <w:t>[5] Nambisan, S., Wright, M., &amp; Feldman, M. (2019). The digital transformation of innovation and entrepreneurship: Progress, challenges and key themes. Research Policy, 48(8), 103773. https://doi.org/10.1016/j.respol.2019.03.018</w:t>
      </w:r>
    </w:p>
    <w:p>
      <w:pPr>
        <w:spacing w:line="480" w:lineRule="auto" w:after="0" w:before="0"/>
      </w:pPr>
      <w:r>
        <w:rPr>
          <w:rFonts w:ascii="Times New Roman" w:hAnsi="Times New Roman" w:eastAsia="Times New Roman"/>
          <w:b w:val="0"/>
          <w:i w:val="0"/>
          <w:sz w:val="24"/>
        </w:rPr>
        <w:t>[6] Vial, G. (2019). Understanding digital transformation: a review and a research agenda. Journal of Strategic Information Systems, 28(2), 118–144. https://doi.org/10.1016/j.jsis.2019.01.003</w:t>
      </w:r>
    </w:p>
    <w:p>
      <w:pPr>
        <w:spacing w:line="480" w:lineRule="auto" w:after="0" w:before="0"/>
      </w:pPr>
      <w:r>
        <w:rPr>
          <w:rFonts w:ascii="Times New Roman" w:hAnsi="Times New Roman" w:eastAsia="Times New Roman"/>
          <w:b w:val="0"/>
          <w:i w:val="0"/>
          <w:sz w:val="24"/>
        </w:rPr>
        <w:t>[7] Warner, K. S. R., &amp; Wäger, M. (2019). Building dynamic capabilities for digital transformation: an ongoing process of strategic renewal. Long Range Planning, 52(3), 326–349. https://doi.org/10.1016/j.lrp.2018.12.001</w:t>
      </w:r>
    </w:p>
    <w:p>
      <w:pPr>
        <w:spacing w:line="480" w:lineRule="auto" w:after="0" w:before="0"/>
      </w:pPr>
      <w:r>
        <w:rPr>
          <w:rFonts w:ascii="Times New Roman" w:hAnsi="Times New Roman" w:eastAsia="Times New Roman"/>
          <w:b w:val="0"/>
          <w:i w:val="0"/>
          <w:sz w:val="24"/>
        </w:rPr>
        <w:t>[8] Hyytinen, A., Pajarinen, M., &amp; Rouvinen, P. (2015). Does innovativeness reduce startup survival rates? Journal of Business Venturing, 30(4), 564–581. https://doi.org/10.1016/j.jbusvent.2014.10.001</w:t>
      </w:r>
    </w:p>
    <w:p>
      <w:pPr>
        <w:spacing w:line="480" w:lineRule="auto" w:after="0" w:before="0"/>
      </w:pPr>
      <w:r>
        <w:rPr>
          <w:rFonts w:ascii="Times New Roman" w:hAnsi="Times New Roman" w:eastAsia="Times New Roman"/>
          <w:b w:val="0"/>
          <w:i w:val="0"/>
          <w:sz w:val="24"/>
        </w:rPr>
        <w:t>[9] Geroski, P. A., Mata, J., &amp; Portugal, P. (2010). Founding conditions and the survival of new firms. Strategic Management Journal, 31(5), 510–529. https://doi.org/10.1002/smj.823</w:t>
      </w:r>
    </w:p>
    <w:p>
      <w:pPr>
        <w:spacing w:line="480" w:lineRule="auto" w:after="0" w:before="0"/>
      </w:pPr>
      <w:r>
        <w:rPr>
          <w:rFonts w:ascii="Times New Roman" w:hAnsi="Times New Roman" w:eastAsia="Times New Roman"/>
          <w:b w:val="0"/>
          <w:i w:val="0"/>
          <w:sz w:val="24"/>
        </w:rPr>
        <w:t>[10] Altman, E. I. (1968). Financial ratios, discriminant analysis and the prediction of corporate bankruptcy. Journal of Finance, 23(4), 589–609. https://doi.org/10.1111/j.1540-6261.1968.tb00843.x</w:t>
      </w:r>
    </w:p>
    <w:p>
      <w:pPr>
        <w:spacing w:line="480" w:lineRule="auto" w:after="0" w:before="0"/>
      </w:pPr>
      <w:r>
        <w:rPr>
          <w:rFonts w:ascii="Times New Roman" w:hAnsi="Times New Roman" w:eastAsia="Times New Roman"/>
          <w:b w:val="0"/>
          <w:i w:val="0"/>
          <w:sz w:val="24"/>
        </w:rPr>
        <w:t>[11] Beaver, W. H. (1966). Financial ratios as predictors of failure. Journal of Accounting Research, 4, 71–111. https://doi.org/10.2307/2490171</w:t>
      </w:r>
    </w:p>
    <w:p>
      <w:pPr>
        <w:spacing w:line="480" w:lineRule="auto" w:after="0" w:before="0"/>
      </w:pPr>
      <w:r>
        <w:rPr>
          <w:rFonts w:ascii="Times New Roman" w:hAnsi="Times New Roman" w:eastAsia="Times New Roman"/>
          <w:b w:val="0"/>
          <w:i w:val="0"/>
          <w:sz w:val="24"/>
        </w:rPr>
        <w:t>[12] Ohlson, J. A. (1980). Financial ratios and the probabilistic prediction of bankruptcy. Journal of Accounting Research, 18(1), 109–131. https://doi.org/10.2307/2490395</w:t>
      </w:r>
    </w:p>
    <w:p>
      <w:pPr>
        <w:spacing w:line="480" w:lineRule="auto" w:after="0" w:before="0"/>
      </w:pPr>
      <w:r>
        <w:rPr>
          <w:rFonts w:ascii="Times New Roman" w:hAnsi="Times New Roman" w:eastAsia="Times New Roman"/>
          <w:b w:val="0"/>
          <w:i w:val="0"/>
          <w:sz w:val="24"/>
        </w:rPr>
        <w:t>[13] Shumway, T. (2001). Forecasting bankruptcy more accurately: A simple hazard model. Journal of Business, 74(1), 101–124. https://doi.org/10.1086/209665</w:t>
      </w:r>
    </w:p>
    <w:p>
      <w:pPr>
        <w:spacing w:line="480" w:lineRule="auto" w:after="0" w:before="0"/>
      </w:pPr>
      <w:r>
        <w:rPr>
          <w:rFonts w:ascii="Times New Roman" w:hAnsi="Times New Roman" w:eastAsia="Times New Roman"/>
          <w:b w:val="0"/>
          <w:i w:val="0"/>
          <w:sz w:val="24"/>
        </w:rPr>
        <w:t>[14] Wiklund, J., Baker, T., &amp; Shepherd, D. (2010). The age-effect of financial indicators as buffers against the liability of newness. Journal of Business Venturing, 25(4), 423–437. https://doi.org/10.1016/j.jbusvent.2008.10.011</w:t>
      </w:r>
    </w:p>
    <w:p>
      <w:pPr>
        <w:spacing w:line="480" w:lineRule="auto" w:after="0" w:before="0"/>
      </w:pPr>
      <w:r>
        <w:rPr>
          <w:rFonts w:ascii="Times New Roman" w:hAnsi="Times New Roman" w:eastAsia="Times New Roman"/>
          <w:b w:val="0"/>
          <w:i w:val="0"/>
          <w:sz w:val="24"/>
        </w:rPr>
        <w:t>[15] Kaufman, S., Rosset, S., Perlich, C., &amp; Stitelman, O. (2012). Leakage in data mining: Formulation, detection, and avoidance. ACM Transactions on Knowledge Discovery from Data, 6(4), Article 15. https://doi.org/10.1145/2382577.2382579</w:t>
      </w:r>
    </w:p>
    <w:p>
      <w:pPr>
        <w:spacing w:line="480" w:lineRule="auto" w:after="0" w:before="0"/>
      </w:pPr>
      <w:r>
        <w:rPr>
          <w:rFonts w:ascii="Times New Roman" w:hAnsi="Times New Roman" w:eastAsia="Times New Roman"/>
          <w:b w:val="0"/>
          <w:i w:val="0"/>
          <w:sz w:val="24"/>
        </w:rPr>
        <w:t>[16] Dalle, J.-M., den Besten, M., &amp; Menon, C. (2017). Using Crunchbase for economic and managerial research. OECD Science, Technology and Industry Working Papers, 2017/08. https://doi.org/10.1787/6c418d60-en</w:t>
      </w:r>
    </w:p>
    <w:p>
      <w:pPr>
        <w:spacing w:line="480" w:lineRule="auto" w:after="0" w:before="0"/>
      </w:pPr>
      <w:r>
        <w:rPr>
          <w:rFonts w:ascii="Times New Roman" w:hAnsi="Times New Roman" w:eastAsia="Times New Roman"/>
          <w:b w:val="0"/>
          <w:i w:val="0"/>
          <w:sz w:val="24"/>
        </w:rPr>
        <w:t>[17] Davila, A., Foster, G., &amp; Gupta, M. (2003). Venture capital financing and the growth of startup firms. Journal of Business Venturing, 18(6), 689–708. https://doi.org/10.1016/S0883-9026(02)00127-1</w:t>
      </w:r>
    </w:p>
    <w:p>
      <w:pPr>
        <w:spacing w:line="480" w:lineRule="auto" w:after="0" w:before="0"/>
      </w:pPr>
      <w:r>
        <w:rPr>
          <w:rFonts w:ascii="Times New Roman" w:hAnsi="Times New Roman" w:eastAsia="Times New Roman"/>
          <w:b w:val="0"/>
          <w:i w:val="0"/>
          <w:sz w:val="24"/>
        </w:rPr>
        <w:t>[18] Autio, E., Nambisan, S., Thomas, L. D. W., &amp; Wright, M. (2018). Digital affordances, spatial affordances, and the genesis of entrepreneurial ecosystems. Strategic Entrepreneurship Journal, 12(1), 72–95. https://doi.org/10.1002/sej.1266</w:t>
      </w:r>
    </w:p>
    <w:p>
      <w:pPr>
        <w:spacing w:line="480" w:lineRule="auto" w:after="0" w:before="0"/>
      </w:pPr>
      <w:r>
        <w:rPr>
          <w:rFonts w:ascii="Times New Roman" w:hAnsi="Times New Roman" w:eastAsia="Times New Roman"/>
          <w:b w:val="0"/>
          <w:i w:val="0"/>
          <w:sz w:val="24"/>
        </w:rPr>
        <w:t>[19] Shortliffe, E. H., &amp; Buchanan, B. G. (1975). A model of inexact reasoning in medicine. Mathematical Biosciences, 23(3–4), 351–379. https://doi.org/10.1016/0025-5564(75)90047-4</w:t>
      </w:r>
    </w:p>
    <w:p>
      <w:pPr>
        <w:spacing w:line="480" w:lineRule="auto" w:after="0" w:before="0"/>
      </w:pPr>
      <w:r>
        <w:rPr>
          <w:rFonts w:ascii="Times New Roman" w:hAnsi="Times New Roman" w:eastAsia="Times New Roman"/>
          <w:b w:val="0"/>
          <w:i w:val="0"/>
          <w:sz w:val="24"/>
        </w:rPr>
        <w:t>[20] Zadeh, L. A. (1965). Fuzzy sets. Information and Control, 8(3), 338–353. https://doi.org/10.1016/S0019-9958(65)90241-X</w:t>
      </w:r>
    </w:p>
    <w:p>
      <w:pPr>
        <w:spacing w:line="480" w:lineRule="auto" w:after="0" w:before="0"/>
      </w:pPr>
      <w:r>
        <w:rPr>
          <w:rFonts w:ascii="Times New Roman" w:hAnsi="Times New Roman" w:eastAsia="Times New Roman"/>
          <w:b w:val="0"/>
          <w:i w:val="0"/>
          <w:sz w:val="24"/>
        </w:rPr>
        <w:t>[21] Heckerman, D. (1986). Probabilistic interpretations for MYCIN’s certainty factors. In L. N. Kanal &amp; J. F. Lemmer (Eds.), Uncertainty in Artificial Intelligence (pp. 167–196). North-Holland. https://doi.org/10.1016/B978-0-444-70058-2.50017-6</w:t>
      </w:r>
    </w:p>
    <w:p>
      <w:pPr>
        <w:spacing w:line="480" w:lineRule="auto" w:after="0" w:before="0"/>
      </w:pPr>
      <w:r>
        <w:rPr>
          <w:rFonts w:ascii="Times New Roman" w:hAnsi="Times New Roman" w:eastAsia="Times New Roman"/>
          <w:b w:val="0"/>
          <w:i w:val="0"/>
          <w:sz w:val="24"/>
        </w:rPr>
        <w:t>[22] Studer, R., Benjamins, V. R., &amp; Fensel, D. (1998). Knowledge engineering: Principles and methods. Data &amp; Knowledge Engineering, 25(1–2), 161–197. https://doi.org/10.1016/S0169-023X(97)00056-6</w:t>
      </w:r>
    </w:p>
    <w:p>
      <w:pPr>
        <w:spacing w:line="480" w:lineRule="auto" w:after="0" w:before="0"/>
      </w:pPr>
      <w:r>
        <w:rPr>
          <w:rFonts w:ascii="Times New Roman" w:hAnsi="Times New Roman" w:eastAsia="Times New Roman"/>
          <w:b w:val="0"/>
          <w:i w:val="0"/>
          <w:sz w:val="24"/>
        </w:rPr>
        <w:t>[23] Shim, J. P., Warkentin, M., Courtney, J. F., Power, D. J., Sharda, R., &amp; Carlsson, C. (2002). Past, present, and future of decision support technology. Decision Support Systems, 33(2), 111–126. https://doi.org/10.1016/S0167-9236(01)00139-7</w:t>
      </w:r>
    </w:p>
    <w:p>
      <w:pPr>
        <w:spacing w:line="480" w:lineRule="auto" w:after="0" w:before="0"/>
      </w:pPr>
      <w:r>
        <w:rPr>
          <w:rFonts w:ascii="Times New Roman" w:hAnsi="Times New Roman" w:eastAsia="Times New Roman"/>
          <w:b w:val="0"/>
          <w:i w:val="0"/>
          <w:sz w:val="24"/>
        </w:rPr>
        <w:t>[24] Breiman, L., Friedman, J. H., Olshen, R. A., &amp; Stone, C. J. (1984). Classification and Regression Trees. Wadsworth.</w:t>
      </w:r>
    </w:p>
    <w:p>
      <w:pPr>
        <w:spacing w:line="480" w:lineRule="auto" w:after="0" w:before="0"/>
      </w:pPr>
      <w:r>
        <w:rPr>
          <w:rFonts w:ascii="Times New Roman" w:hAnsi="Times New Roman" w:eastAsia="Times New Roman"/>
          <w:b w:val="0"/>
          <w:i w:val="0"/>
          <w:sz w:val="24"/>
        </w:rPr>
        <w:t>[25] Friedman, J. H. (2001). Greedy function approximation: a gradient boosting machine. Annals of Statistics, 29(5), 1189–1232. https://doi.org/10.1214/aos/1013203451</w:t>
      </w:r>
    </w:p>
    <w:p>
      <w:pPr>
        <w:spacing w:line="480" w:lineRule="auto" w:after="0" w:before="0"/>
      </w:pPr>
      <w:r>
        <w:rPr>
          <w:rFonts w:ascii="Times New Roman" w:hAnsi="Times New Roman" w:eastAsia="Times New Roman"/>
          <w:b w:val="0"/>
          <w:i w:val="0"/>
          <w:sz w:val="24"/>
        </w:rPr>
        <w:t>[26] Ke, G., Meng, Q., Finley, T., Wang, T., Chen, W., Ma, W., Ye, Q., &amp; Liu, T.-Y. (2017). LightGBM: A highly efficient gradient boosting decision tree. Advances in Neural Information Processing Systems, 30, 3146–3154.</w:t>
      </w:r>
    </w:p>
    <w:p>
      <w:pPr>
        <w:spacing w:line="480" w:lineRule="auto" w:after="0" w:before="0"/>
      </w:pPr>
      <w:r>
        <w:rPr>
          <w:rFonts w:ascii="Times New Roman" w:hAnsi="Times New Roman" w:eastAsia="Times New Roman"/>
          <w:b w:val="0"/>
          <w:i w:val="0"/>
          <w:sz w:val="24"/>
        </w:rPr>
        <w:t>[27] Platt, J. C. (1999). Probabilistic outputs for support vector machines and comparisons to regularized likelihood methods. In A. J. Smola, P. Bartlett, B. Schölkopf, &amp; D. Schuurmans (Eds.), Advances in Large Margin Classifiers (pp. 61–74). MIT Press.</w:t>
      </w:r>
    </w:p>
    <w:p>
      <w:pPr>
        <w:spacing w:line="480" w:lineRule="auto" w:after="0" w:before="0"/>
      </w:pPr>
      <w:r>
        <w:rPr>
          <w:rFonts w:ascii="Times New Roman" w:hAnsi="Times New Roman" w:eastAsia="Times New Roman"/>
          <w:b w:val="0"/>
          <w:i w:val="0"/>
          <w:sz w:val="24"/>
        </w:rPr>
        <w:t>[28] Niculescu-Mizil, A., &amp; Caruana, R. (2005). Predicting good probabilities with supervised learning. In Proceedings of the 22nd International Conference on Machine Learning (pp. 625–632). https://doi.org/10.1145/1102351.1102430</w:t>
      </w:r>
    </w:p>
    <w:p>
      <w:pPr>
        <w:spacing w:line="480" w:lineRule="auto" w:after="0" w:before="0"/>
      </w:pPr>
      <w:r>
        <w:rPr>
          <w:rFonts w:ascii="Times New Roman" w:hAnsi="Times New Roman" w:eastAsia="Times New Roman"/>
          <w:b w:val="0"/>
          <w:i w:val="0"/>
          <w:sz w:val="24"/>
        </w:rPr>
        <w:t>[29] Fawcett, T. (2006). An introduction to ROC analysis. Pattern Recognition Letters, 27(8), 861–874. https://doi.org/10.1016/j.patrec.2005.10.010</w:t>
      </w:r>
    </w:p>
    <w:p>
      <w:pPr>
        <w:spacing w:line="480" w:lineRule="auto" w:after="0" w:before="0"/>
      </w:pPr>
      <w:r>
        <w:rPr>
          <w:rFonts w:ascii="Times New Roman" w:hAnsi="Times New Roman" w:eastAsia="Times New Roman"/>
          <w:b w:val="0"/>
          <w:i w:val="0"/>
          <w:sz w:val="24"/>
        </w:rPr>
        <w:t>[30] Saito, T., &amp; Rehmsmeier, M. (2015). The precision-recall plot is more informative than the ROC plot when evaluating binary classifiers on imbalanced datasets. PLOS ONE, 10(3), e0118432. https://doi.org/10.1371/journal.pone.0118432</w:t>
      </w:r>
    </w:p>
    <w:p>
      <w:pPr>
        <w:spacing w:line="480" w:lineRule="auto" w:after="0" w:before="0"/>
      </w:pPr>
      <w:r>
        <w:rPr>
          <w:rFonts w:ascii="Times New Roman" w:hAnsi="Times New Roman" w:eastAsia="Times New Roman"/>
          <w:b w:val="0"/>
          <w:i w:val="0"/>
          <w:sz w:val="24"/>
        </w:rPr>
        <w:t>[31] Brier, G. W. (1950). Verification of forecasts expressed in terms of probability. Monthly Weather Review, 78(1), 1–3. https://doi.org/10.1175/1520-0493(1950)078&lt;0001:VOFEIT&gt;2.0.CO;2</w:t>
      </w:r>
    </w:p>
    <w:p>
      <w:pPr>
        <w:spacing w:line="480" w:lineRule="auto" w:after="0" w:before="0"/>
      </w:pPr>
      <w:r>
        <w:rPr>
          <w:rFonts w:ascii="Times New Roman" w:hAnsi="Times New Roman" w:eastAsia="Times New Roman"/>
          <w:b w:val="0"/>
          <w:i w:val="0"/>
          <w:sz w:val="24"/>
        </w:rPr>
        <w:t>[32] Efron, B. (1979). Bootstrap methods: Another look at the jackknife. Annals of Statistics, 7(1), 1–26. https://doi.org/10.1214/aos/1176344552</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KB-EWS short communication  |  Knowledge-Based Systems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