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240" w:before="0"/>
        <w:jc w:val="center"/>
      </w:pPr>
      <w:r>
        <w:rPr>
          <w:rFonts w:ascii="Times New Roman" w:hAnsi="Times New Roman" w:eastAsia="Times New Roman"/>
          <w:b/>
          <w:i w:val="0"/>
          <w:sz w:val="32"/>
        </w:rPr>
        <w:t>KB-EWS supplementary material</w:t>
      </w:r>
    </w:p>
    <w:p>
      <w:pPr>
        <w:spacing w:line="480" w:lineRule="auto" w:after="0" w:before="0"/>
      </w:pPr>
      <w:r>
        <w:rPr>
          <w:rFonts w:ascii="Times New Roman" w:hAnsi="Times New Roman" w:eastAsia="Times New Roman"/>
          <w:b w:val="0"/>
          <w:i w:val="0"/>
          <w:sz w:val="24"/>
        </w:rPr>
        <w:t>This file accompanies the short communication KB-EWS. It records the checks that are summarised in the main text and the files needed to rebuild them.</w:t>
      </w:r>
    </w:p>
    <w:p>
      <w:pPr>
        <w:spacing w:line="480" w:lineRule="auto" w:after="120" w:before="0"/>
      </w:pPr>
      <w:r>
        <w:rPr>
          <w:rFonts w:ascii="Times New Roman" w:hAnsi="Times New Roman" w:eastAsia="Times New Roman"/>
          <w:b/>
          <w:i w:val="0"/>
          <w:sz w:val="28"/>
        </w:rPr>
        <w:t>S1. Reproducibility</w:t>
      </w:r>
    </w:p>
    <w:p>
      <w:pPr>
        <w:spacing w:line="480" w:lineRule="auto" w:after="0" w:before="0"/>
      </w:pPr>
      <w:r>
        <w:rPr>
          <w:rFonts w:ascii="Times New Roman" w:hAnsi="Times New Roman" w:eastAsia="Times New Roman"/>
          <w:b w:val="0"/>
          <w:i w:val="0"/>
          <w:sz w:val="24"/>
        </w:rPr>
        <w:t>The program kbews.py, included in this supplement, downloads the public Crunchbase CSV conversion, rebuilds the cohort, revises the rule base, fits the five scores, and writes Table 1, Table 2, Figures 1–3, metrics.json, and warning_cards.csv. The random seed is 7. Raw Crunchbase files are not redistributed. Source: Crunchbase Data Export of 4 December 2015, CSV conversion by Peter Tripp, github.com/notpeter/crunchbase-data, commit be8711fd, licence CC BY-NC 4.0. Commercial use of the extract requires a Crunchbase licence.</w:t>
      </w:r>
    </w:p>
    <w:p>
      <w:pPr>
        <w:spacing w:line="480" w:lineRule="auto" w:after="120" w:before="0"/>
      </w:pPr>
      <w:r>
        <w:rPr>
          <w:rFonts w:ascii="Times New Roman" w:hAnsi="Times New Roman" w:eastAsia="Times New Roman"/>
          <w:b/>
          <w:i w:val="0"/>
          <w:sz w:val="28"/>
        </w:rPr>
        <w:t>S2. Retention-margin sensitivity</w:t>
      </w:r>
    </w:p>
    <w:p>
      <w:pPr>
        <w:spacing w:line="480" w:lineRule="auto" w:after="0" w:before="0"/>
      </w:pPr>
      <w:r>
        <w:rPr>
          <w:rFonts w:ascii="Times New Roman" w:hAnsi="Times New Roman" w:eastAsia="Times New Roman"/>
          <w:b w:val="0"/>
          <w:i w:val="0"/>
          <w:sz w:val="24"/>
        </w:rPr>
        <w:t>The margin is applied to training-year mean rule strength only. The booster is not refit.</w:t>
      </w:r>
    </w:p>
    <w:p>
      <w:pPr>
        <w:spacing w:line="480" w:lineRule="auto" w:after="0" w:before="0"/>
      </w:pPr>
      <w:r>
        <w:rPr>
          <w:rFonts w:ascii="Times New Roman" w:hAnsi="Times New Roman" w:eastAsia="Times New Roman"/>
          <w:b w:val="0"/>
          <w:i w:val="0"/>
          <w:sz w:val="24"/>
        </w:rPr>
        <w:t>Margin 0.00: 4 rules retained (R1, R2, R3, R6); knowledge-base ROC-AUC 0.618; precision at 30% 0.633.</w:t>
      </w:r>
    </w:p>
    <w:p>
      <w:pPr>
        <w:spacing w:line="480" w:lineRule="auto" w:after="0" w:before="0"/>
      </w:pPr>
      <w:r>
        <w:rPr>
          <w:rFonts w:ascii="Times New Roman" w:hAnsi="Times New Roman" w:eastAsia="Times New Roman"/>
          <w:b w:val="0"/>
          <w:i w:val="0"/>
          <w:sz w:val="24"/>
        </w:rPr>
        <w:t>Margin 0.02: 4 rules retained (R1, R2, R3, R6); knowledge-base ROC-AUC 0.618; precision at 30% 0.633.</w:t>
      </w:r>
    </w:p>
    <w:p>
      <w:pPr>
        <w:spacing w:line="480" w:lineRule="auto" w:after="0" w:before="0"/>
      </w:pPr>
      <w:r>
        <w:rPr>
          <w:rFonts w:ascii="Times New Roman" w:hAnsi="Times New Roman" w:eastAsia="Times New Roman"/>
          <w:b w:val="0"/>
          <w:i w:val="0"/>
          <w:sz w:val="24"/>
        </w:rPr>
        <w:t>Margin 0.05: 3 rules retained (R2, R3, R6); knowledge-base ROC-AUC 0.608; precision at 30% 0.638.</w:t>
      </w:r>
    </w:p>
    <w:p>
      <w:pPr>
        <w:spacing w:line="480" w:lineRule="auto" w:after="120" w:before="0"/>
      </w:pPr>
      <w:r>
        <w:rPr>
          <w:rFonts w:ascii="Times New Roman" w:hAnsi="Times New Roman" w:eastAsia="Times New Roman"/>
          <w:b/>
          <w:i w:val="0"/>
          <w:sz w:val="28"/>
        </w:rPr>
        <w:t>S3. Standardized logistic coefficients on the training years</w:t>
      </w:r>
    </w:p>
    <w:p>
      <w:pPr>
        <w:spacing w:line="480" w:lineRule="auto" w:after="0" w:before="0"/>
      </w:pPr>
      <w:r>
        <w:rPr>
          <w:rFonts w:ascii="Times New Roman" w:hAnsi="Times New Roman" w:eastAsia="Times New Roman"/>
          <w:b w:val="0"/>
          <w:i w:val="0"/>
          <w:sz w:val="24"/>
        </w:rPr>
        <w:t>Positive coefficients raise the log-odds of later closure. Predictors are standardized on 2006–2010. Reference levels are a venture round and the United States.</w:t>
      </w:r>
    </w:p>
    <w:p>
      <w:pPr>
        <w:spacing w:line="480" w:lineRule="auto" w:after="0" w:before="0"/>
      </w:pPr>
      <w:r>
        <w:rPr>
          <w:rFonts w:ascii="Times New Roman" w:hAnsi="Times New Roman" w:eastAsia="Times New Roman"/>
          <w:b w:val="0"/>
          <w:i w:val="0"/>
          <w:sz w:val="24"/>
        </w:rPr>
        <w:t>log_first_usd: -0.511</w:t>
      </w:r>
    </w:p>
    <w:p>
      <w:pPr>
        <w:spacing w:line="480" w:lineRule="auto" w:after="0" w:before="0"/>
      </w:pPr>
      <w:r>
        <w:rPr>
          <w:rFonts w:ascii="Times New Roman" w:hAnsi="Times New Roman" w:eastAsia="Times New Roman"/>
          <w:b w:val="0"/>
          <w:i w:val="0"/>
          <w:sz w:val="24"/>
        </w:rPr>
        <w:t>round_type_angel: 0.333</w:t>
      </w:r>
    </w:p>
    <w:p>
      <w:pPr>
        <w:spacing w:line="480" w:lineRule="auto" w:after="0" w:before="0"/>
      </w:pPr>
      <w:r>
        <w:rPr>
          <w:rFonts w:ascii="Times New Roman" w:hAnsi="Times New Roman" w:eastAsia="Times New Roman"/>
          <w:b w:val="0"/>
          <w:i w:val="0"/>
          <w:sz w:val="24"/>
        </w:rPr>
        <w:t>log1p_ecosystem: -0.328</w:t>
      </w:r>
    </w:p>
    <w:p>
      <w:pPr>
        <w:spacing w:line="480" w:lineRule="auto" w:after="0" w:before="0"/>
      </w:pPr>
      <w:r>
        <w:rPr>
          <w:rFonts w:ascii="Times New Roman" w:hAnsi="Times New Roman" w:eastAsia="Times New Roman"/>
          <w:b w:val="0"/>
          <w:i w:val="0"/>
          <w:sz w:val="24"/>
        </w:rPr>
        <w:t>log1p_days: -0.276</w:t>
      </w:r>
    </w:p>
    <w:p>
      <w:pPr>
        <w:spacing w:line="480" w:lineRule="auto" w:after="0" w:before="0"/>
      </w:pPr>
      <w:r>
        <w:rPr>
          <w:rFonts w:ascii="Times New Roman" w:hAnsi="Times New Roman" w:eastAsia="Times New Roman"/>
          <w:b w:val="0"/>
          <w:i w:val="0"/>
          <w:sz w:val="24"/>
        </w:rPr>
        <w:t>country_missing: 0.208</w:t>
      </w:r>
    </w:p>
    <w:p>
      <w:pPr>
        <w:spacing w:line="480" w:lineRule="auto" w:after="0" w:before="0"/>
      </w:pPr>
      <w:r>
        <w:rPr>
          <w:rFonts w:ascii="Times New Roman" w:hAnsi="Times New Roman" w:eastAsia="Times New Roman"/>
          <w:b w:val="0"/>
          <w:i w:val="0"/>
          <w:sz w:val="24"/>
        </w:rPr>
        <w:t>round_type_seed: 0.163</w:t>
      </w:r>
    </w:p>
    <w:p>
      <w:pPr>
        <w:spacing w:line="480" w:lineRule="auto" w:after="0" w:before="0"/>
      </w:pPr>
      <w:r>
        <w:rPr>
          <w:rFonts w:ascii="Times New Roman" w:hAnsi="Times New Roman" w:eastAsia="Times New Roman"/>
          <w:b w:val="0"/>
          <w:i w:val="0"/>
          <w:sz w:val="24"/>
        </w:rPr>
        <w:t>n_categories: -0.154</w:t>
      </w:r>
    </w:p>
    <w:p>
      <w:pPr>
        <w:spacing w:line="480" w:lineRule="auto" w:after="0" w:before="0"/>
      </w:pPr>
      <w:r>
        <w:rPr>
          <w:rFonts w:ascii="Times New Roman" w:hAnsi="Times New Roman" w:eastAsia="Times New Roman"/>
          <w:b w:val="0"/>
          <w:i w:val="0"/>
          <w:sz w:val="24"/>
        </w:rPr>
        <w:t>digital_depth: 0.132</w:t>
      </w:r>
    </w:p>
    <w:p>
      <w:pPr>
        <w:spacing w:line="480" w:lineRule="auto" w:after="0" w:before="0"/>
      </w:pPr>
      <w:r>
        <w:rPr>
          <w:rFonts w:ascii="Times New Roman" w:hAnsi="Times New Roman" w:eastAsia="Times New Roman"/>
          <w:b w:val="0"/>
          <w:i w:val="0"/>
          <w:sz w:val="24"/>
        </w:rPr>
        <w:t>country_CHN: -0.099</w:t>
      </w:r>
    </w:p>
    <w:p>
      <w:pPr>
        <w:spacing w:line="480" w:lineRule="auto" w:after="0" w:before="0"/>
      </w:pPr>
      <w:r>
        <w:rPr>
          <w:rFonts w:ascii="Times New Roman" w:hAnsi="Times New Roman" w:eastAsia="Times New Roman"/>
          <w:b w:val="0"/>
          <w:i w:val="0"/>
          <w:sz w:val="24"/>
        </w:rPr>
        <w:t>country_CAN: -0.086</w:t>
      </w:r>
    </w:p>
    <w:p>
      <w:pPr>
        <w:spacing w:line="480" w:lineRule="auto" w:after="0" w:before="0"/>
      </w:pPr>
      <w:r>
        <w:rPr>
          <w:rFonts w:ascii="Times New Roman" w:hAnsi="Times New Roman" w:eastAsia="Times New Roman"/>
          <w:b w:val="0"/>
          <w:i w:val="0"/>
          <w:sz w:val="24"/>
        </w:rPr>
        <w:t>country_FRA: 0.073</w:t>
      </w:r>
    </w:p>
    <w:p>
      <w:pPr>
        <w:spacing w:line="480" w:lineRule="auto" w:after="0" w:before="0"/>
      </w:pPr>
      <w:r>
        <w:rPr>
          <w:rFonts w:ascii="Times New Roman" w:hAnsi="Times New Roman" w:eastAsia="Times New Roman"/>
          <w:b w:val="0"/>
          <w:i w:val="0"/>
          <w:sz w:val="24"/>
        </w:rPr>
        <w:t>country_DEU: 0.067</w:t>
      </w:r>
    </w:p>
    <w:p>
      <w:pPr>
        <w:spacing w:line="480" w:lineRule="auto" w:after="0" w:before="0"/>
      </w:pPr>
      <w:r>
        <w:rPr>
          <w:rFonts w:ascii="Times New Roman" w:hAnsi="Times New Roman" w:eastAsia="Times New Roman"/>
          <w:b w:val="0"/>
          <w:i w:val="0"/>
          <w:sz w:val="24"/>
        </w:rPr>
        <w:t>country_OTHER: -0.048</w:t>
      </w:r>
    </w:p>
    <w:p>
      <w:pPr>
        <w:spacing w:line="480" w:lineRule="auto" w:after="0" w:before="0"/>
      </w:pPr>
      <w:r>
        <w:rPr>
          <w:rFonts w:ascii="Times New Roman" w:hAnsi="Times New Roman" w:eastAsia="Times New Roman"/>
          <w:b w:val="0"/>
          <w:i w:val="0"/>
          <w:sz w:val="24"/>
        </w:rPr>
        <w:t>country_GBR: 0.028</w:t>
      </w:r>
    </w:p>
    <w:p>
      <w:pPr>
        <w:spacing w:line="480" w:lineRule="auto" w:after="0" w:before="0"/>
      </w:pPr>
      <w:r>
        <w:rPr>
          <w:rFonts w:ascii="Times New Roman" w:hAnsi="Times New Roman" w:eastAsia="Times New Roman"/>
          <w:b w:val="0"/>
          <w:i w:val="0"/>
          <w:sz w:val="24"/>
        </w:rPr>
        <w:t>country_ISR: 0.011</w:t>
      </w:r>
    </w:p>
    <w:p>
      <w:pPr>
        <w:spacing w:line="480" w:lineRule="auto" w:after="0" w:before="0"/>
      </w:pPr>
      <w:r>
        <w:rPr>
          <w:rFonts w:ascii="Times New Roman" w:hAnsi="Times New Roman" w:eastAsia="Times New Roman"/>
          <w:b w:val="0"/>
          <w:i w:val="0"/>
          <w:sz w:val="24"/>
        </w:rPr>
        <w:t>round_type_other: -0.000</w:t>
      </w:r>
    </w:p>
    <w:p>
      <w:pPr>
        <w:spacing w:line="480" w:lineRule="auto" w:after="120" w:before="0"/>
      </w:pPr>
      <w:r>
        <w:rPr>
          <w:rFonts w:ascii="Times New Roman" w:hAnsi="Times New Roman" w:eastAsia="Times New Roman"/>
          <w:b/>
          <w:i w:val="0"/>
          <w:sz w:val="28"/>
        </w:rPr>
        <w:t>S4. Precision across review budgets</w:t>
      </w:r>
    </w:p>
    <w:p>
      <w:pPr>
        <w:spacing w:line="480" w:lineRule="auto" w:after="0" w:before="0"/>
      </w:pPr>
      <w:r>
        <w:rPr>
          <w:rFonts w:ascii="Times New Roman" w:hAnsi="Times New Roman" w:eastAsia="Times New Roman"/>
          <w:b w:val="0"/>
          <w:i w:val="0"/>
          <w:sz w:val="24"/>
        </w:rPr>
        <w:t>These are the point estimates drawn in Figure 2. The budget was not chosen on the test labels.</w:t>
      </w:r>
    </w:p>
    <w:p>
      <w:pPr>
        <w:spacing w:line="480" w:lineRule="auto" w:after="0" w:before="0"/>
      </w:pPr>
      <w:r>
        <w:rPr>
          <w:rFonts w:ascii="Times New Roman" w:hAnsi="Times New Roman" w:eastAsia="Times New Roman"/>
          <w:b w:val="0"/>
          <w:i w:val="0"/>
          <w:sz w:val="24"/>
        </w:rPr>
        <w:t>Knowledge base: 10%=0.635, 15%=0.649, 20%=0.646, 25%=0.630, 30%=0.633, 40%=0.603, 50%=0.592</w:t>
      </w:r>
    </w:p>
    <w:p>
      <w:pPr>
        <w:spacing w:line="480" w:lineRule="auto" w:after="0" w:before="0"/>
      </w:pPr>
      <w:r>
        <w:rPr>
          <w:rFonts w:ascii="Times New Roman" w:hAnsi="Times New Roman" w:eastAsia="Times New Roman"/>
          <w:b w:val="0"/>
          <w:i w:val="0"/>
          <w:sz w:val="24"/>
        </w:rPr>
        <w:t>Logistic regression: 10%=0.892, 15%=0.856, 20%=0.816, 25%=0.788, 30%=0.751, 40%=0.712, 50%=0.696</w:t>
      </w:r>
    </w:p>
    <w:p>
      <w:pPr>
        <w:spacing w:line="480" w:lineRule="auto" w:after="0" w:before="0"/>
      </w:pPr>
      <w:r>
        <w:rPr>
          <w:rFonts w:ascii="Times New Roman" w:hAnsi="Times New Roman" w:eastAsia="Times New Roman"/>
          <w:b w:val="0"/>
          <w:i w:val="0"/>
          <w:sz w:val="24"/>
        </w:rPr>
        <w:t>Decision tree: 10%=0.797, 15%=0.784, 20%=0.769, 25%=0.766, 30%=0.751, 40%=0.729, 50%=0.704</w:t>
      </w:r>
    </w:p>
    <w:p>
      <w:pPr>
        <w:spacing w:line="480" w:lineRule="auto" w:after="0" w:before="0"/>
      </w:pPr>
      <w:r>
        <w:rPr>
          <w:rFonts w:ascii="Times New Roman" w:hAnsi="Times New Roman" w:eastAsia="Times New Roman"/>
          <w:b w:val="0"/>
          <w:i w:val="0"/>
          <w:sz w:val="24"/>
        </w:rPr>
        <w:t>Gradient boosting: 10%=0.865, 15%=0.820, 20%=0.810, 25%=0.799, 30%=0.760, 40%=0.739, 50%=0.688</w:t>
      </w:r>
    </w:p>
    <w:p>
      <w:pPr>
        <w:spacing w:line="480" w:lineRule="auto" w:after="0" w:before="0"/>
      </w:pPr>
      <w:r>
        <w:rPr>
          <w:rFonts w:ascii="Times New Roman" w:hAnsi="Times New Roman" w:eastAsia="Times New Roman"/>
          <w:b w:val="0"/>
          <w:i w:val="0"/>
          <w:sz w:val="24"/>
        </w:rPr>
        <w:t>Stacked fusion: 10%=0.865, 15%=0.829, 20%=0.789, 25%=0.799, 30%=0.769, 40%=0.732, 50%=0.688</w:t>
      </w:r>
    </w:p>
    <w:p>
      <w:pPr>
        <w:spacing w:line="480" w:lineRule="auto" w:after="120" w:before="0"/>
      </w:pPr>
      <w:r>
        <w:rPr>
          <w:rFonts w:ascii="Times New Roman" w:hAnsi="Times New Roman" w:eastAsia="Times New Roman"/>
          <w:b/>
          <w:i w:val="0"/>
          <w:sz w:val="28"/>
        </w:rPr>
        <w:t>S5. Held-out rule firing</w:t>
      </w:r>
    </w:p>
    <w:p>
      <w:pPr>
        <w:spacing w:line="480" w:lineRule="auto" w:after="0" w:before="0"/>
      </w:pPr>
      <w:r>
        <w:rPr>
          <w:rFonts w:ascii="Times New Roman" w:hAnsi="Times New Roman" w:eastAsia="Times New Roman"/>
          <w:b w:val="0"/>
          <w:i w:val="0"/>
          <w:sz w:val="24"/>
        </w:rPr>
        <w:t>R1 Resource strain (retained, CF +0.55): strength at least 0.5 for 0.157 of later closures and 0.097 of recorded exits.</w:t>
      </w:r>
    </w:p>
    <w:p>
      <w:pPr>
        <w:spacing w:line="480" w:lineRule="auto" w:after="0" w:before="0"/>
      </w:pPr>
      <w:r>
        <w:rPr>
          <w:rFonts w:ascii="Times New Roman" w:hAnsi="Times New Roman" w:eastAsia="Times New Roman"/>
          <w:b w:val="0"/>
          <w:i w:val="0"/>
          <w:sz w:val="24"/>
        </w:rPr>
        <w:t>R2 Unfunded scope (retained, CF +0.45): strength at least 0.5 for 0.479 of later closures and 0.299 of recorded exits.</w:t>
      </w:r>
    </w:p>
    <w:p>
      <w:pPr>
        <w:spacing w:line="480" w:lineRule="auto" w:after="0" w:before="0"/>
      </w:pPr>
      <w:r>
        <w:rPr>
          <w:rFonts w:ascii="Times New Roman" w:hAnsi="Times New Roman" w:eastAsia="Times New Roman"/>
          <w:b w:val="0"/>
          <w:i w:val="0"/>
          <w:sz w:val="24"/>
        </w:rPr>
        <w:t>R3 Shallow digital base (retained, CF +0.35): strength at least 0.5 for 0.465 of later closures and 0.258 of recorded exits.</w:t>
      </w:r>
    </w:p>
    <w:p>
      <w:pPr>
        <w:spacing w:line="480" w:lineRule="auto" w:after="0" w:before="0"/>
      </w:pPr>
      <w:r>
        <w:rPr>
          <w:rFonts w:ascii="Times New Roman" w:hAnsi="Times New Roman" w:eastAsia="Times New Roman"/>
          <w:b w:val="0"/>
          <w:i w:val="0"/>
          <w:sz w:val="24"/>
        </w:rPr>
        <w:t>R4 Isolated entry (withdrawn, CF +0.30): strength at least 0.5 for 0.098 of later closures and 0.102 of recorded exits.</w:t>
      </w:r>
    </w:p>
    <w:p>
      <w:pPr>
        <w:spacing w:line="480" w:lineRule="auto" w:after="0" w:before="0"/>
      </w:pPr>
      <w:r>
        <w:rPr>
          <w:rFonts w:ascii="Times New Roman" w:hAnsi="Times New Roman" w:eastAsia="Times New Roman"/>
          <w:b w:val="0"/>
          <w:i w:val="0"/>
          <w:sz w:val="24"/>
        </w:rPr>
        <w:t>R5 Unfocused entry (withdrawn, CF +0.25): strength at least 0.5 for 0.463 of later closures and 0.482 of recorded exits.</w:t>
      </w:r>
    </w:p>
    <w:p>
      <w:pPr>
        <w:spacing w:line="480" w:lineRule="auto" w:after="0" w:before="0"/>
      </w:pPr>
      <w:r>
        <w:rPr>
          <w:rFonts w:ascii="Times New Roman" w:hAnsi="Times New Roman" w:eastAsia="Times New Roman"/>
          <w:b w:val="0"/>
          <w:i w:val="0"/>
          <w:sz w:val="24"/>
        </w:rPr>
        <w:t>R6 Resourced focus (retained, CF -0.50): strength at least 0.5 for 0.085 of later closures and 0.188 of recorded exits.</w:t>
      </w:r>
    </w:p>
    <w:p>
      <w:pPr>
        <w:spacing w:line="480" w:lineRule="auto" w:after="0" w:before="0"/>
      </w:pPr>
      <w:r>
        <w:rPr>
          <w:rFonts w:ascii="Times New Roman" w:hAnsi="Times New Roman" w:eastAsia="Times New Roman"/>
          <w:b w:val="0"/>
          <w:i w:val="0"/>
          <w:sz w:val="24"/>
        </w:rPr>
        <w:t>R7 Embedded start (withdrawn, CF -0.30): strength at least 0.5 for 0.479 of later closures and 0.504 of recorded exits.</w:t>
      </w:r>
    </w:p>
    <w:sectPr w:rsidR="00FC693F" w:rsidRPr="0006063C" w:rsidSect="00034616">
      <w:footerReference w:type="default" r:id="rId9"/>
      <w:pgSz w:w="12240" w:h="15840"/>
      <w:pgMar w:top="1440" w:right="1440" w:bottom="1440" w:left="1440" w:header="720" w:footer="720" w:gutter="0"/>
      <w:cols w:space="720"/>
      <w:docGrid w:linePitch="360"/>
      <w:lnNumType w:countBy="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18"/>
      </w:rPr>
      <w:t>KB-EWS short communication  |  Knowledge-Based Systems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