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Metodenotat — pilot, skjørhet i generativ CV-rangering</w:t>
      </w:r>
    </w:p>
    <w:p>
      <w:pPr>
        <w:spacing w:after="240"/>
      </w:pPr>
      <w:r>
        <w:rPr>
          <w:b/>
          <w:bCs/>
        </w:rPr>
        <w:t xml:space="preserve">Modul B</w:t>
      </w:r>
      <w:r>
        <w:t xml:space="preserve"> · Status per 7. august 2026 · Dokumentet oppdateres underveis</w:t>
      </w:r>
    </w:p>
    <w:p>
      <w:pPr>
        <w:spacing w:after="140" w:line="276"/>
      </w:pPr>
      <w:r>
        <w:t xml:space="preserve">Notatet dokumenterer beslutninger som er tatt under piloten, og som ikke kan rekonstrueres fra </w:t>
      </w:r>
      <w:r>
        <w:rPr>
          <w:rFonts w:ascii="Consolas" w:cs="Consolas" w:eastAsia="Consolas" w:hAnsi="Consolas"/>
          <w:sz w:val="19"/>
          <w:szCs w:val="19"/>
        </w:rPr>
        <w:t xml:space="preserve">decision_log.jsonl</w:t>
      </w:r>
      <w:r>
        <w:t xml:space="preserve"> alene. Det er skrevet for å kunne leses sammen med loggen av noen som ikke kjørte systemet selv — samme situasjon som gruppene i modul C og D vil være i.</w:t>
      </w:r>
    </w:p>
    <w:p>
      <w:pPr>
        <w:pBdr>
          <w:bottom w:val="single" w:color="CCCCCC" w:sz="6" w:space="1"/>
        </w:pBdr>
        <w:spacing w:after="260" w:before="200"/>
      </w:pPr>
    </w:p>
    <w:p>
      <w:pPr>
        <w:pStyle w:val="Heading1"/>
        <w:spacing w:after="160" w:before="360"/>
      </w:pPr>
      <w:r>
        <w:t xml:space="preserve">1.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rPr>
        <w:tc>
          <w:tcPr>
            <w:tcW w:type="dxa" w:w="3400"/>
            <w:tcMar>
              <w:top w:type="dxa" w:w="70"/>
              <w:left w:type="dxa" w:w="110"/>
              <w:bottom w:type="dxa" w:w="70"/>
              <w:right w:type="dxa" w:w="110"/>
            </w:tcMar>
          </w:tcPr>
          <w:p>
            <w:pPr>
              <w:keepNext/>
              <w:spacing w:after="0" w:line="240"/>
            </w:pPr>
            <w:r>
              <w:t xml:space="preserve">Kjøring</w:t>
            </w:r>
          </w:p>
        </w:tc>
        <w:tc>
          <w:tcPr>
            <w:tcW w:type="dxa" w:w="5626"/>
            <w:tcMar>
              <w:top w:type="dxa" w:w="70"/>
              <w:left w:type="dxa" w:w="110"/>
              <w:bottom w:type="dxa" w:w="70"/>
              <w:right w:type="dxa" w:w="110"/>
            </w:tcMar>
          </w:tcPr>
          <w:p>
            <w:pPr>
              <w:keepNext/>
              <w:spacing w:after="0" w:line="240"/>
            </w:pPr>
            <w:r>
              <w:t xml:space="preserve">LETT_MODUS = True, 2 repetisjoner per celle</w:t>
            </w:r>
          </w:p>
        </w:tc>
      </w:tr>
      <w:tr>
        <w:trPr>
          <w:cantSplit/>
        </w:trPr>
        <w:tc>
          <w:tcPr>
            <w:tcW w:type="dxa" w:w="3400"/>
            <w:tcMar>
              <w:top w:type="dxa" w:w="70"/>
              <w:left w:type="dxa" w:w="110"/>
              <w:bottom w:type="dxa" w:w="70"/>
              <w:right w:type="dxa" w:w="110"/>
            </w:tcMar>
          </w:tcPr>
          <w:p>
            <w:pPr>
              <w:keepNext/>
              <w:spacing w:after="0" w:line="240"/>
            </w:pPr>
            <w:r>
              <w:t xml:space="preserve">Rader i logg</w:t>
            </w:r>
          </w:p>
        </w:tc>
        <w:tc>
          <w:tcPr>
            <w:tcW w:type="dxa" w:w="5626"/>
            <w:tcMar>
              <w:top w:type="dxa" w:w="70"/>
              <w:left w:type="dxa" w:w="110"/>
              <w:bottom w:type="dxa" w:w="70"/>
              <w:right w:type="dxa" w:w="110"/>
            </w:tcMar>
          </w:tcPr>
          <w:p>
            <w:pPr>
              <w:keepNext/>
              <w:spacing w:after="0" w:line="240"/>
            </w:pPr>
            <w:r>
              <w:t xml:space="preserve">2 256</w:t>
            </w:r>
          </w:p>
        </w:tc>
      </w:tr>
      <w:tr>
        <w:trPr>
          <w:cantSplit/>
        </w:trPr>
        <w:tc>
          <w:tcPr>
            <w:tcW w:type="dxa" w:w="3400"/>
            <w:tcMar>
              <w:top w:type="dxa" w:w="70"/>
              <w:left w:type="dxa" w:w="110"/>
              <w:bottom w:type="dxa" w:w="70"/>
              <w:right w:type="dxa" w:w="110"/>
            </w:tcMar>
          </w:tcPr>
          <w:p>
            <w:pPr>
              <w:keepNext/>
              <w:spacing w:after="0" w:line="240"/>
            </w:pPr>
            <w:r>
              <w:t xml:space="preserve">Feilede kall</w:t>
            </w:r>
          </w:p>
        </w:tc>
        <w:tc>
          <w:tcPr>
            <w:tcW w:type="dxa" w:w="5626"/>
            <w:tcMar>
              <w:top w:type="dxa" w:w="70"/>
              <w:left w:type="dxa" w:w="110"/>
              <w:bottom w:type="dxa" w:w="70"/>
              <w:right w:type="dxa" w:w="110"/>
            </w:tcMar>
          </w:tcPr>
          <w:p>
            <w:pPr>
              <w:keepNext/>
              <w:spacing w:after="0" w:line="240"/>
            </w:pPr>
            <w:r>
              <w:t xml:space="preserve">0</w:t>
            </w:r>
          </w:p>
        </w:tc>
      </w:tr>
      <w:tr>
        <w:trPr>
          <w:cantSplit/>
        </w:trPr>
        <w:tc>
          <w:tcPr>
            <w:tcW w:type="dxa" w:w="3400"/>
            <w:tcMar>
              <w:top w:type="dxa" w:w="70"/>
              <w:left w:type="dxa" w:w="110"/>
              <w:bottom w:type="dxa" w:w="70"/>
              <w:right w:type="dxa" w:w="110"/>
            </w:tcMar>
          </w:tcPr>
          <w:p>
            <w:pPr>
              <w:keepNext/>
              <w:spacing w:after="0" w:line="240"/>
            </w:pPr>
            <w:r>
              <w:t xml:space="preserve">Manglende score</w:t>
            </w:r>
          </w:p>
        </w:tc>
        <w:tc>
          <w:tcPr>
            <w:tcW w:type="dxa" w:w="5626"/>
            <w:tcMar>
              <w:top w:type="dxa" w:w="70"/>
              <w:left w:type="dxa" w:w="110"/>
              <w:bottom w:type="dxa" w:w="70"/>
              <w:right w:type="dxa" w:w="110"/>
            </w:tcMar>
          </w:tcPr>
          <w:p>
            <w:pPr>
              <w:keepNext/>
              <w:spacing w:after="0" w:line="240"/>
            </w:pPr>
            <w:r>
              <w:t xml:space="preserve">0 (etter reparsing)</w:t>
            </w:r>
          </w:p>
        </w:tc>
      </w:tr>
      <w:tr>
        <w:trPr>
          <w:cantSplit/>
        </w:trPr>
        <w:tc>
          <w:tcPr>
            <w:tcW w:type="dxa" w:w="3400"/>
            <w:tcMar>
              <w:top w:type="dxa" w:w="70"/>
              <w:left w:type="dxa" w:w="110"/>
              <w:bottom w:type="dxa" w:w="70"/>
              <w:right w:type="dxa" w:w="110"/>
            </w:tcMar>
          </w:tcPr>
          <w:p>
            <w:pPr>
              <w:keepNext/>
              <w:spacing w:after="0" w:line="240"/>
            </w:pPr>
            <w:r>
              <w:t xml:space="preserve">Avkortede svar</w:t>
            </w:r>
          </w:p>
        </w:tc>
        <w:tc>
          <w:tcPr>
            <w:tcW w:type="dxa" w:w="5626"/>
            <w:tcMar>
              <w:top w:type="dxa" w:w="70"/>
              <w:left w:type="dxa" w:w="110"/>
              <w:bottom w:type="dxa" w:w="70"/>
              <w:right w:type="dxa" w:w="110"/>
            </w:tcMar>
          </w:tcPr>
          <w:p>
            <w:pPr>
              <w:keepNext/>
              <w:spacing w:after="0" w:line="240"/>
            </w:pPr>
            <w:r>
              <w:t xml:space="preserve">0 (etter hevet tokenbudsjett)</w:t>
            </w:r>
          </w:p>
        </w:tc>
      </w:tr>
      <w:tr>
        <w:trPr>
          <w:cantSplit/>
        </w:trPr>
        <w:tc>
          <w:tcPr>
            <w:tcW w:type="dxa" w:w="3400"/>
            <w:tcMar>
              <w:top w:type="dxa" w:w="70"/>
              <w:left w:type="dxa" w:w="110"/>
              <w:bottom w:type="dxa" w:w="70"/>
              <w:right w:type="dxa" w:w="110"/>
            </w:tcMar>
          </w:tcPr>
          <w:p>
            <w:pPr>
              <w:keepNext/>
              <w:spacing w:after="0" w:line="240"/>
            </w:pPr>
            <w:r>
              <w:t xml:space="preserve">Ferdig</w:t>
            </w:r>
          </w:p>
        </w:tc>
        <w:tc>
          <w:tcPr>
            <w:tcW w:type="dxa" w:w="5626"/>
            <w:tcMar>
              <w:top w:type="dxa" w:w="70"/>
              <w:left w:type="dxa" w:w="110"/>
              <w:bottom w:type="dxa" w:w="70"/>
              <w:right w:type="dxa" w:w="110"/>
            </w:tcMar>
          </w:tcPr>
          <w:p>
            <w:pPr>
              <w:keepNext/>
              <w:spacing w:after="0" w:line="240"/>
            </w:pPr>
            <w:r>
              <w:t xml:space="preserve">Del 1–11</w:t>
            </w:r>
          </w:p>
        </w:tc>
      </w:tr>
      <w:tr>
        <w:trPr>
          <w:cantSplit/>
        </w:trPr>
        <w:tc>
          <w:tcPr>
            <w:tcW w:type="dxa" w:w="3400"/>
            <w:tcMar>
              <w:top w:type="dxa" w:w="70"/>
              <w:left w:type="dxa" w:w="110"/>
              <w:bottom w:type="dxa" w:w="70"/>
              <w:right w:type="dxa" w:w="110"/>
            </w:tcMar>
          </w:tcPr>
          <w:p>
            <w:pPr>
              <w:keepNext w:val="false"/>
              <w:spacing w:after="0" w:line="240"/>
            </w:pPr>
            <w:r>
              <w:t xml:space="preserve">Gjenstår</w:t>
            </w:r>
          </w:p>
        </w:tc>
        <w:tc>
          <w:tcPr>
            <w:tcW w:type="dxa" w:w="5626"/>
            <w:tcMar>
              <w:top w:type="dxa" w:w="70"/>
              <w:left w:type="dxa" w:w="110"/>
              <w:bottom w:type="dxa" w:w="70"/>
              <w:right w:type="dxa" w:w="110"/>
            </w:tcMar>
          </w:tcPr>
          <w:p>
            <w:pPr>
              <w:keepNext w:val="false"/>
              <w:spacing w:after="0" w:line="240"/>
            </w:pPr>
            <w:r>
              <w:t xml:space="preserve">Full kjøring (LETT_MODUS = False), del 12–17</w:t>
            </w:r>
          </w:p>
        </w:tc>
      </w:tr>
    </w:tbl>
    <w:p>
      <w:pPr>
        <w:spacing w:after="160"/>
      </w:pPr>
    </w:p>
    <w:p>
      <w:pPr>
        <w:spacing w:after="140" w:line="276"/>
      </w:pPr>
      <w:r>
        <w:rPr>
          <w:b/>
          <w:bCs/>
        </w:rPr>
        <w:t xml:space="preserve">Delene 12 og 13 kan ikke tolkes ennå.</w:t>
      </w:r>
      <w:r>
        <w:t xml:space="preserve"> Med 2 repetisjoner gir hver celle ett enkelt par, ikke en fordeling. Støygulvet i del 13 tegnes som 5.–95. persentil av P0-fordelingen; med ett tall får båndet null bredde, og da vil hver eneste promptvariant framstå som skjelnbar fra støy. Full kjøring med 10 P0-repetisjoner (45 par) er en forutsetning for analysen, ikke en forbedring av den.</w:t>
      </w:r>
    </w:p>
    <w:p>
      <w:pPr>
        <w:pBdr>
          <w:bottom w:val="single" w:color="CCCCCC" w:sz="6" w:space="1"/>
        </w:pBdr>
        <w:spacing w:after="260" w:before="200"/>
      </w:pPr>
    </w:p>
    <w:p>
      <w:pPr>
        <w:pStyle w:val="Heading1"/>
        <w:spacing w:after="160" w:before="360"/>
      </w:pPr>
      <w:r>
        <w:t xml:space="preserve">2. Kjørt konfigurasjon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1450"/>
        <w:gridCol w:w="1750"/>
        <w:gridCol w:w="1626"/>
      </w:tblGrid>
      <w:tr>
        <w:trPr>
          <w:cantSplit/>
          <w:tblHeader/>
        </w:trPr>
        <w:tc>
          <w:tcPr>
            <w:tcW w:type="dxa" w:w="1300"/>
            <w:shd w:fill="EFEFEF" w:color="auto" w:val="clear"/>
            <w:tcMar>
              <w:top w:type="dxa" w:w="70"/>
              <w:left w:type="dxa" w:w="110"/>
              <w:bottom w:type="dxa" w:w="70"/>
              <w:right w:type="dxa" w:w="110"/>
            </w:tcMar>
          </w:tcPr>
          <w:p>
            <w:pPr>
              <w:keepNext/>
              <w:spacing w:after="0" w:line="240"/>
            </w:pPr>
            <w:r>
              <w:rPr>
                <w:b/>
                <w:bCs/>
              </w:rPr>
              <w:t xml:space="preserve">Modell</w:t>
            </w:r>
          </w:p>
        </w:tc>
        <w:tc>
          <w:tcPr>
            <w:tcW w:type="dxa" w:w="2900"/>
            <w:shd w:fill="EFEFEF" w:color="auto" w:val="clear"/>
            <w:tcMar>
              <w:top w:type="dxa" w:w="70"/>
              <w:left w:type="dxa" w:w="110"/>
              <w:bottom w:type="dxa" w:w="70"/>
              <w:right w:type="dxa" w:w="110"/>
            </w:tcMar>
          </w:tcPr>
          <w:p>
            <w:pPr>
              <w:keepNext/>
              <w:spacing w:after="0" w:line="240"/>
            </w:pPr>
            <w:r>
              <w:rPr>
                <w:b/>
                <w:bCs/>
              </w:rPr>
              <w:t xml:space="preserve">Modellstreng</w:t>
            </w:r>
          </w:p>
        </w:tc>
        <w:tc>
          <w:tcPr>
            <w:tcW w:type="dxa" w:w="1450"/>
            <w:shd w:fill="EFEFEF" w:color="auto" w:val="clear"/>
            <w:tcMar>
              <w:top w:type="dxa" w:w="70"/>
              <w:left w:type="dxa" w:w="110"/>
              <w:bottom w:type="dxa" w:w="70"/>
              <w:right w:type="dxa" w:w="110"/>
            </w:tcMar>
          </w:tcPr>
          <w:p>
            <w:pPr>
              <w:keepNext/>
              <w:spacing w:after="0" w:line="240"/>
            </w:pPr>
            <w:r>
              <w:rPr>
                <w:b/>
                <w:bCs/>
              </w:rPr>
              <w:t xml:space="preserve">maks_tokens</w:t>
            </w:r>
          </w:p>
        </w:tc>
        <w:tc>
          <w:tcPr>
            <w:tcW w:type="dxa" w:w="1750"/>
            <w:shd w:fill="EFEFEF" w:color="auto" w:val="clear"/>
            <w:tcMar>
              <w:top w:type="dxa" w:w="70"/>
              <w:left w:type="dxa" w:w="110"/>
              <w:bottom w:type="dxa" w:w="70"/>
              <w:right w:type="dxa" w:w="110"/>
            </w:tcMar>
          </w:tcPr>
          <w:p>
            <w:pPr>
              <w:keepNext/>
              <w:spacing w:after="0" w:line="240"/>
            </w:pPr>
            <w:r>
              <w:rPr>
                <w:b/>
                <w:bCs/>
              </w:rPr>
              <w:t xml:space="preserve">Temperatur</w:t>
            </w:r>
          </w:p>
        </w:tc>
        <w:tc>
          <w:tcPr>
            <w:tcW w:type="dxa" w:w="1626"/>
            <w:shd w:fill="EFEFEF" w:color="auto" w:val="clear"/>
            <w:tcMar>
              <w:top w:type="dxa" w:w="70"/>
              <w:left w:type="dxa" w:w="110"/>
              <w:bottom w:type="dxa" w:w="70"/>
              <w:right w:type="dxa" w:w="110"/>
            </w:tcMar>
          </w:tcPr>
          <w:p>
            <w:pPr>
              <w:keepNext/>
              <w:spacing w:after="0" w:line="240"/>
            </w:pPr>
            <w:r>
              <w:rPr>
                <w:b/>
                <w:bCs/>
              </w:rPr>
              <w:t xml:space="preserve">Tenketokens</w:t>
            </w:r>
          </w:p>
        </w:tc>
      </w:tr>
      <w:tr>
        <w:trPr>
          <w:cantSplit/>
        </w:trPr>
        <w:tc>
          <w:tcPr>
            <w:tcW w:type="dxa" w:w="1300"/>
            <w:tcMar>
              <w:top w:type="dxa" w:w="70"/>
              <w:left w:type="dxa" w:w="110"/>
              <w:bottom w:type="dxa" w:w="70"/>
              <w:right w:type="dxa" w:w="110"/>
            </w:tcMar>
          </w:tcPr>
          <w:p>
            <w:pPr>
              <w:keepNext/>
              <w:spacing w:after="0" w:line="240"/>
            </w:pPr>
            <w:r>
              <w:t xml:space="preserve">claude</w:t>
            </w:r>
          </w:p>
        </w:tc>
        <w:tc>
          <w:tcPr>
            <w:tcW w:type="dxa" w:w="2900"/>
            <w:tcMar>
              <w:top w:type="dxa" w:w="70"/>
              <w:left w:type="dxa" w:w="110"/>
              <w:bottom w:type="dxa" w:w="70"/>
              <w:right w:type="dxa" w:w="110"/>
            </w:tcMar>
          </w:tcPr>
          <w:p>
            <w:pPr>
              <w:keepNext/>
              <w:spacing w:after="0" w:line="240"/>
            </w:pPr>
            <w:r>
              <w:t xml:space="preserve">claude-sonnet-4-5-20250929</w:t>
            </w:r>
          </w:p>
        </w:tc>
        <w:tc>
          <w:tcPr>
            <w:tcW w:type="dxa" w:w="1450"/>
            <w:tcMar>
              <w:top w:type="dxa" w:w="70"/>
              <w:left w:type="dxa" w:w="110"/>
              <w:bottom w:type="dxa" w:w="70"/>
              <w:right w:type="dxa" w:w="110"/>
            </w:tcMar>
          </w:tcPr>
          <w:p>
            <w:pPr>
              <w:keepNext/>
              <w:spacing w:after="0" w:line="240"/>
            </w:pPr>
            <w:r>
              <w:t xml:space="preserve">600</w:t>
            </w:r>
          </w:p>
        </w:tc>
        <w:tc>
          <w:tcPr>
            <w:tcW w:type="dxa" w:w="1750"/>
            <w:tcMar>
              <w:top w:type="dxa" w:w="70"/>
              <w:left w:type="dxa" w:w="110"/>
              <w:bottom w:type="dxa" w:w="70"/>
              <w:right w:type="dxa" w:w="110"/>
            </w:tcMar>
          </w:tcPr>
          <w:p>
            <w:pPr>
              <w:keepNext/>
              <w:spacing w:after="0" w:line="240"/>
            </w:pPr>
            <w:r>
              <w:t xml:space="preserve">0,0 anvendt</w:t>
            </w:r>
          </w:p>
        </w:tc>
        <w:tc>
          <w:tcPr>
            <w:tcW w:type="dxa" w:w="1626"/>
            <w:tcMar>
              <w:top w:type="dxa" w:w="70"/>
              <w:left w:type="dxa" w:w="110"/>
              <w:bottom w:type="dxa" w:w="70"/>
              <w:right w:type="dxa" w:w="110"/>
            </w:tcMar>
          </w:tcPr>
          <w:p>
            <w:pPr>
              <w:keepNext/>
              <w:spacing w:after="0" w:line="240"/>
            </w:pPr>
            <w:r>
              <w:t xml:space="preserve">0</w:t>
            </w:r>
          </w:p>
        </w:tc>
      </w:tr>
      <w:tr>
        <w:trPr>
          <w:cantSplit/>
        </w:trPr>
        <w:tc>
          <w:tcPr>
            <w:tcW w:type="dxa" w:w="1300"/>
            <w:tcMar>
              <w:top w:type="dxa" w:w="70"/>
              <w:left w:type="dxa" w:w="110"/>
              <w:bottom w:type="dxa" w:w="70"/>
              <w:right w:type="dxa" w:w="110"/>
            </w:tcMar>
          </w:tcPr>
          <w:p>
            <w:pPr>
              <w:keepNext/>
              <w:spacing w:after="0" w:line="240"/>
            </w:pPr>
            <w:r>
              <w:t xml:space="preserve">gpt</w:t>
            </w:r>
          </w:p>
        </w:tc>
        <w:tc>
          <w:tcPr>
            <w:tcW w:type="dxa" w:w="2900"/>
            <w:tcMar>
              <w:top w:type="dxa" w:w="70"/>
              <w:left w:type="dxa" w:w="110"/>
              <w:bottom w:type="dxa" w:w="70"/>
              <w:right w:type="dxa" w:w="110"/>
            </w:tcMar>
          </w:tcPr>
          <w:p>
            <w:pPr>
              <w:keepNext/>
              <w:spacing w:after="0" w:line="240"/>
            </w:pPr>
            <w:r>
              <w:t xml:space="preserve">gpt-4.1</w:t>
            </w:r>
          </w:p>
        </w:tc>
        <w:tc>
          <w:tcPr>
            <w:tcW w:type="dxa" w:w="1450"/>
            <w:tcMar>
              <w:top w:type="dxa" w:w="70"/>
              <w:left w:type="dxa" w:w="110"/>
              <w:bottom w:type="dxa" w:w="70"/>
              <w:right w:type="dxa" w:w="110"/>
            </w:tcMar>
          </w:tcPr>
          <w:p>
            <w:pPr>
              <w:keepNext/>
              <w:spacing w:after="0" w:line="240"/>
            </w:pPr>
            <w:r>
              <w:t xml:space="preserve">300</w:t>
            </w:r>
          </w:p>
        </w:tc>
        <w:tc>
          <w:tcPr>
            <w:tcW w:type="dxa" w:w="1750"/>
            <w:tcMar>
              <w:top w:type="dxa" w:w="70"/>
              <w:left w:type="dxa" w:w="110"/>
              <w:bottom w:type="dxa" w:w="70"/>
              <w:right w:type="dxa" w:w="110"/>
            </w:tcMar>
          </w:tcPr>
          <w:p>
            <w:pPr>
              <w:keepNext/>
              <w:spacing w:after="0" w:line="240"/>
            </w:pPr>
            <w:r>
              <w:t xml:space="preserve">0,0 anvendt</w:t>
            </w:r>
          </w:p>
        </w:tc>
        <w:tc>
          <w:tcPr>
            <w:tcW w:type="dxa" w:w="1626"/>
            <w:tcMar>
              <w:top w:type="dxa" w:w="70"/>
              <w:left w:type="dxa" w:w="110"/>
              <w:bottom w:type="dxa" w:w="70"/>
              <w:right w:type="dxa" w:w="110"/>
            </w:tcMar>
          </w:tcPr>
          <w:p>
            <w:pPr>
              <w:keepNext/>
              <w:spacing w:after="0" w:line="240"/>
            </w:pPr>
            <w:r>
              <w:t xml:space="preserve">0</w:t>
            </w:r>
          </w:p>
        </w:tc>
      </w:tr>
      <w:tr>
        <w:trPr>
          <w:cantSplit/>
        </w:trPr>
        <w:tc>
          <w:tcPr>
            <w:tcW w:type="dxa" w:w="1300"/>
            <w:tcMar>
              <w:top w:type="dxa" w:w="70"/>
              <w:left w:type="dxa" w:w="110"/>
              <w:bottom w:type="dxa" w:w="70"/>
              <w:right w:type="dxa" w:w="110"/>
            </w:tcMar>
          </w:tcPr>
          <w:p>
            <w:pPr>
              <w:keepNext w:val="false"/>
              <w:spacing w:after="0" w:line="240"/>
            </w:pPr>
            <w:r>
              <w:t xml:space="preserve">gemini</w:t>
            </w:r>
          </w:p>
        </w:tc>
        <w:tc>
          <w:tcPr>
            <w:tcW w:type="dxa" w:w="2900"/>
            <w:tcMar>
              <w:top w:type="dxa" w:w="70"/>
              <w:left w:type="dxa" w:w="110"/>
              <w:bottom w:type="dxa" w:w="70"/>
              <w:right w:type="dxa" w:w="110"/>
            </w:tcMar>
          </w:tcPr>
          <w:p>
            <w:pPr>
              <w:keepNext w:val="false"/>
              <w:spacing w:after="0" w:line="240"/>
            </w:pPr>
            <w:r>
              <w:t xml:space="preserve">gemini-3.6-flash</w:t>
            </w:r>
          </w:p>
        </w:tc>
        <w:tc>
          <w:tcPr>
            <w:tcW w:type="dxa" w:w="1450"/>
            <w:tcMar>
              <w:top w:type="dxa" w:w="70"/>
              <w:left w:type="dxa" w:w="110"/>
              <w:bottom w:type="dxa" w:w="70"/>
              <w:right w:type="dxa" w:w="110"/>
            </w:tcMar>
          </w:tcPr>
          <w:p>
            <w:pPr>
              <w:keepNext w:val="false"/>
              <w:spacing w:after="0" w:line="240"/>
            </w:pPr>
            <w:r>
              <w:t xml:space="preserve">3000</w:t>
            </w:r>
          </w:p>
        </w:tc>
        <w:tc>
          <w:tcPr>
            <w:tcW w:type="dxa" w:w="1750"/>
            <w:tcMar>
              <w:top w:type="dxa" w:w="70"/>
              <w:left w:type="dxa" w:w="110"/>
              <w:bottom w:type="dxa" w:w="70"/>
              <w:right w:type="dxa" w:w="110"/>
            </w:tcMar>
          </w:tcPr>
          <w:p>
            <w:pPr>
              <w:keepNext w:val="false"/>
              <w:spacing w:after="0" w:line="240"/>
            </w:pPr>
            <w:r>
              <w:t xml:space="preserve">ikke anvendt</w:t>
            </w:r>
          </w:p>
        </w:tc>
        <w:tc>
          <w:tcPr>
            <w:tcW w:type="dxa" w:w="1626"/>
            <w:tcMar>
              <w:top w:type="dxa" w:w="70"/>
              <w:left w:type="dxa" w:w="110"/>
              <w:bottom w:type="dxa" w:w="70"/>
              <w:right w:type="dxa" w:w="110"/>
            </w:tcMar>
          </w:tcPr>
          <w:p>
            <w:pPr>
              <w:keepNext w:val="false"/>
              <w:spacing w:after="0" w:line="240"/>
            </w:pPr>
            <w:r>
              <w:t xml:space="preserve">~1 000 per kall</w:t>
            </w:r>
          </w:p>
        </w:tc>
      </w:tr>
    </w:tbl>
    <w:p>
      <w:pPr>
        <w:spacing w:after="160"/>
      </w:pPr>
    </w:p>
    <w:p>
      <w:pPr>
        <w:spacing w:after="140" w:line="276"/>
      </w:pPr>
      <w:r>
        <w:t xml:space="preserve">Gemini kjører med </w:t>
      </w:r>
      <w:r>
        <w:rPr>
          <w:rFonts w:ascii="Consolas" w:cs="Consolas" w:eastAsia="Consolas" w:hAnsi="Consolas"/>
          <w:sz w:val="19"/>
          <w:szCs w:val="19"/>
        </w:rPr>
        <w:t xml:space="preserve">reasoning_effort: "low"</w:t>
      </w:r>
      <w:r>
        <w:t xml:space="preserve">.</w:t>
      </w:r>
    </w:p>
    <w:p>
      <w:pPr>
        <w:spacing w:after="140" w:line="276"/>
      </w:pPr>
      <w:r>
        <w:rPr>
          <w:rFonts w:ascii="Consolas" w:cs="Consolas" w:eastAsia="Consolas" w:hAnsi="Consolas"/>
          <w:sz w:val="19"/>
          <w:szCs w:val="19"/>
        </w:rPr>
        <w:t xml:space="preserve">K = 5</w:t>
      </w:r>
      <w:r>
        <w:t xml:space="preserve"> av 40 kandidater, altså 12,5 % seleksjonsrate. Valgt for å matche 20 av 150 (13,3 %) i hovedstudien, siden Jaccard@K er sterkt følsom for både K og pooldybde.</w:t>
      </w:r>
    </w:p>
    <w:p>
      <w:pPr>
        <w:spacing w:after="140" w:line="276"/>
      </w:pPr>
      <w:r>
        <w:t xml:space="preserve">Annonse-hash og eksakte tidspunkter ligger i </w:t>
      </w:r>
      <w:r>
        <w:rPr>
          <w:rFonts w:ascii="Consolas" w:cs="Consolas" w:eastAsia="Consolas" w:hAnsi="Consolas"/>
          <w:sz w:val="19"/>
          <w:szCs w:val="19"/>
        </w:rPr>
        <w:t xml:space="preserve">kjoringsnotat.json</w:t>
      </w:r>
      <w:r>
        <w:t xml:space="preserve">, som del 17 skriver automatisk.</w:t>
      </w:r>
    </w:p>
    <w:p>
      <w:pPr>
        <w:pBdr>
          <w:bottom w:val="single" w:color="CCCCCC" w:sz="6" w:space="1"/>
        </w:pBdr>
        <w:spacing w:after="260" w:before="200"/>
      </w:pPr>
    </w:p>
    <w:p>
      <w:pPr>
        <w:pStyle w:val="Heading1"/>
        <w:spacing w:after="160" w:before="360"/>
      </w:pPr>
      <w:r>
        <w:t xml:space="preserve">3. Beslutninger tatt underveis</w:t>
      </w:r>
    </w:p>
    <w:p>
      <w:pPr>
        <w:pStyle w:val="Heading2"/>
        <w:spacing w:after="120" w:before="280"/>
      </w:pPr>
      <w:r>
        <w:t xml:space="preserve">3.1 Elisiteringen ble endret etter forhåndssjekk</w:t>
      </w:r>
    </w:p>
    <w:p>
      <w:pPr>
        <w:spacing w:after="140" w:line="276"/>
      </w:pPr>
      <w:r>
        <w:rPr>
          <w:b/>
          <w:bCs/>
        </w:rPr>
        <w:t xml:space="preserve">Problem.</w:t>
      </w:r>
      <w:r>
        <w:t xml:space="preserve"> Den opprinnelige formuleringen ga 6–8 distinkte scoreverdier på 20 kandidater hos alle tre modellene, med 5–6 kandidater som delte score på topp-5-grensa. Da avgjøres innkallingen av </w:t>
      </w:r>
      <w:r>
        <w:rPr>
          <w:rFonts w:ascii="Consolas" w:cs="Consolas" w:eastAsia="Consolas" w:hAnsi="Consolas"/>
          <w:sz w:val="19"/>
          <w:szCs w:val="19"/>
        </w:rPr>
        <w:t xml:space="preserve">applicant_id</w:t>
      </w:r>
      <w:r>
        <w:t xml:space="preserve"> — alfabetisk — og ikke av kvalifikasjoner.</w:t>
      </w:r>
    </w:p>
    <w:p>
      <w:pPr>
        <w:spacing w:after="140" w:line="276"/>
      </w:pPr>
      <w:r>
        <w:t xml:space="preserve">Feilretningen er verdt å merke seg: like scorer gir </w:t>
      </w:r>
      <w:r>
        <w:rPr>
          <w:i/>
          <w:iCs/>
        </w:rPr>
        <w:t xml:space="preserve">identisk</w:t>
      </w:r>
      <w:r>
        <w:t xml:space="preserve"> rangering hver kjøring, så støygulvet blir kunstig stramt og alle varianter ser skjelnbare ut. Bindinger gir falske positive på RQ2 og RQ3, ikke svake funn.</w:t>
      </w:r>
    </w:p>
    <w:p>
      <w:pPr>
        <w:spacing w:after="140" w:line="276"/>
      </w:pPr>
      <w:r>
        <w:rPr>
          <w:b/>
          <w:bCs/>
        </w:rPr>
        <w:t xml:space="preserve">Prosess.</w:t>
      </w:r>
      <w:r>
        <w:t xml:space="preserve"> Seks formuleringer ble testet på 20 CV-er per modell i en kastbar pilot (del 7) som ikke skrev til loggen: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4326"/>
      </w:tblGrid>
      <w:tr>
        <w:trPr>
          <w:cantSplit/>
          <w:tblHeader/>
        </w:trPr>
        <w:tc>
          <w:tcPr>
            <w:tcW w:type="dxa" w:w="1100"/>
            <w:shd w:fill="EFEFEF" w:color="auto" w:val="clear"/>
            <w:tcMar>
              <w:top w:type="dxa" w:w="70"/>
              <w:left w:type="dxa" w:w="110"/>
              <w:bottom w:type="dxa" w:w="70"/>
              <w:right w:type="dxa" w:w="110"/>
            </w:tcMar>
          </w:tcPr>
          <w:p>
            <w:pPr>
              <w:keepNext/>
              <w:spacing w:after="0" w:line="240"/>
            </w:pPr>
            <w:r>
              <w:rPr>
                <w:b/>
                <w:bCs/>
              </w:rPr>
              <w:t xml:space="preserve">Variant</w:t>
            </w:r>
          </w:p>
        </w:tc>
        <w:tc>
          <w:tcPr>
            <w:tcW w:type="dxa" w:w="3600"/>
            <w:shd w:fill="EFEFEF" w:color="auto" w:val="clear"/>
            <w:tcMar>
              <w:top w:type="dxa" w:w="70"/>
              <w:left w:type="dxa" w:w="110"/>
              <w:bottom w:type="dxa" w:w="70"/>
              <w:right w:type="dxa" w:w="110"/>
            </w:tcMar>
          </w:tcPr>
          <w:p>
            <w:pPr>
              <w:keepNext/>
              <w:spacing w:after="0" w:line="240"/>
            </w:pPr>
            <w:r>
              <w:rPr>
                <w:b/>
                <w:bCs/>
              </w:rPr>
              <w:t xml:space="preserve">Inngrep</w:t>
            </w:r>
          </w:p>
        </w:tc>
        <w:tc>
          <w:tcPr>
            <w:tcW w:type="dxa" w:w="4326"/>
            <w:shd w:fill="EFEFEF" w:color="auto" w:val="clear"/>
            <w:tcMar>
              <w:top w:type="dxa" w:w="70"/>
              <w:left w:type="dxa" w:w="110"/>
              <w:bottom w:type="dxa" w:w="70"/>
              <w:right w:type="dxa" w:w="110"/>
            </w:tcMar>
          </w:tcPr>
          <w:p>
            <w:pPr>
              <w:keepNext/>
              <w:spacing w:after="0" w:line="240"/>
            </w:pPr>
            <w:r>
              <w:rPr>
                <w:b/>
                <w:bCs/>
              </w:rPr>
              <w:t xml:space="preserve">Utfall</w:t>
            </w:r>
          </w:p>
        </w:tc>
      </w:tr>
      <w:tr>
        <w:trPr>
          <w:cantSplit/>
        </w:trPr>
        <w:tc>
          <w:tcPr>
            <w:tcW w:type="dxa" w:w="1100"/>
            <w:tcMar>
              <w:top w:type="dxa" w:w="70"/>
              <w:left w:type="dxa" w:w="110"/>
              <w:bottom w:type="dxa" w:w="70"/>
              <w:right w:type="dxa" w:w="110"/>
            </w:tcMar>
          </w:tcPr>
          <w:p>
            <w:pPr>
              <w:keepNext/>
              <w:spacing w:after="0" w:line="240"/>
            </w:pPr>
            <w:r>
              <w:t xml:space="preserve">E1</w:t>
            </w:r>
          </w:p>
        </w:tc>
        <w:tc>
          <w:tcPr>
            <w:tcW w:type="dxa" w:w="3600"/>
            <w:tcMar>
              <w:top w:type="dxa" w:w="70"/>
              <w:left w:type="dxa" w:w="110"/>
              <w:bottom w:type="dxa" w:w="70"/>
              <w:right w:type="dxa" w:w="110"/>
            </w:tcMar>
          </w:tcPr>
          <w:p>
            <w:pPr>
              <w:keepNext/>
              <w:spacing w:after="0" w:line="240"/>
            </w:pPr>
            <w:r>
              <w:t xml:space="preserve">basislinje</w:t>
            </w:r>
          </w:p>
        </w:tc>
        <w:tc>
          <w:tcPr>
            <w:tcW w:type="dxa" w:w="4326"/>
            <w:tcMar>
              <w:top w:type="dxa" w:w="70"/>
              <w:left w:type="dxa" w:w="110"/>
              <w:bottom w:type="dxa" w:w="70"/>
              <w:right w:type="dxa" w:w="110"/>
            </w:tcMar>
          </w:tcPr>
          <w:p>
            <w:pPr>
              <w:keepNext/>
              <w:spacing w:after="0" w:line="240"/>
            </w:pPr>
            <w:r>
              <w:t xml:space="preserve">referanse</w:t>
            </w:r>
          </w:p>
        </w:tc>
      </w:tr>
      <w:tr>
        <w:trPr>
          <w:cantSplit/>
        </w:trPr>
        <w:tc>
          <w:tcPr>
            <w:tcW w:type="dxa" w:w="1100"/>
            <w:tcMar>
              <w:top w:type="dxa" w:w="70"/>
              <w:left w:type="dxa" w:w="110"/>
              <w:bottom w:type="dxa" w:w="70"/>
              <w:right w:type="dxa" w:w="110"/>
            </w:tcMar>
          </w:tcPr>
          <w:p>
            <w:pPr>
              <w:keepNext/>
              <w:spacing w:after="0" w:line="240"/>
            </w:pPr>
            <w:r>
              <w:t xml:space="preserve">E2</w:t>
            </w:r>
          </w:p>
        </w:tc>
        <w:tc>
          <w:tcPr>
            <w:tcW w:type="dxa" w:w="3600"/>
            <w:tcMar>
              <w:top w:type="dxa" w:w="70"/>
              <w:left w:type="dxa" w:w="110"/>
              <w:bottom w:type="dxa" w:w="70"/>
              <w:right w:type="dxa" w:w="110"/>
            </w:tcMar>
          </w:tcPr>
          <w:p>
            <w:pPr>
              <w:keepNext/>
              <w:spacing w:after="0" w:line="240"/>
            </w:pPr>
            <w:r>
              <w:t xml:space="preserve">to desimaler</w:t>
            </w:r>
          </w:p>
        </w:tc>
        <w:tc>
          <w:tcPr>
            <w:tcW w:type="dxa" w:w="4326"/>
            <w:tcMar>
              <w:top w:type="dxa" w:w="70"/>
              <w:left w:type="dxa" w:w="110"/>
              <w:bottom w:type="dxa" w:w="70"/>
              <w:right w:type="dxa" w:w="110"/>
            </w:tcMar>
          </w:tcPr>
          <w:p>
            <w:pPr>
              <w:keepNext/>
              <w:spacing w:after="0" w:line="240"/>
            </w:pPr>
            <w:r>
              <w:t xml:space="preserve">ikke gyldig testet, se under</w:t>
            </w:r>
          </w:p>
        </w:tc>
      </w:tr>
      <w:tr>
        <w:trPr>
          <w:cantSplit/>
        </w:trPr>
        <w:tc>
          <w:tcPr>
            <w:tcW w:type="dxa" w:w="1100"/>
            <w:tcMar>
              <w:top w:type="dxa" w:w="70"/>
              <w:left w:type="dxa" w:w="110"/>
              <w:bottom w:type="dxa" w:w="70"/>
              <w:right w:type="dxa" w:w="110"/>
            </w:tcMar>
          </w:tcPr>
          <w:p>
            <w:pPr>
              <w:keepNext/>
              <w:spacing w:after="0" w:line="240"/>
            </w:pPr>
            <w:r>
              <w:t xml:space="preserve">E3</w:t>
            </w:r>
          </w:p>
        </w:tc>
        <w:tc>
          <w:tcPr>
            <w:tcW w:type="dxa" w:w="3600"/>
            <w:tcMar>
              <w:top w:type="dxa" w:w="70"/>
              <w:left w:type="dxa" w:w="110"/>
              <w:bottom w:type="dxa" w:w="70"/>
              <w:right w:type="dxa" w:w="110"/>
            </w:tcMar>
          </w:tcPr>
          <w:p>
            <w:pPr>
              <w:keepNext/>
              <w:spacing w:after="0" w:line="240"/>
            </w:pPr>
            <w:r>
              <w:t xml:space="preserve">fire delscorer 0–25, summeres</w:t>
            </w:r>
          </w:p>
        </w:tc>
        <w:tc>
          <w:tcPr>
            <w:tcW w:type="dxa" w:w="4326"/>
            <w:tcMar>
              <w:top w:type="dxa" w:w="70"/>
              <w:left w:type="dxa" w:w="110"/>
              <w:bottom w:type="dxa" w:w="70"/>
              <w:right w:type="dxa" w:w="110"/>
            </w:tcMar>
          </w:tcPr>
          <w:p>
            <w:pPr>
              <w:keepNext/>
              <w:spacing w:after="0" w:line="240"/>
            </w:pPr>
            <w:r>
              <w:t xml:space="preserve">god oppløsning, svak for Gemini</w:t>
            </w:r>
          </w:p>
        </w:tc>
      </w:tr>
      <w:tr>
        <w:trPr>
          <w:cantSplit/>
        </w:trPr>
        <w:tc>
          <w:tcPr>
            <w:tcW w:type="dxa" w:w="1100"/>
            <w:tcMar>
              <w:top w:type="dxa" w:w="70"/>
              <w:left w:type="dxa" w:w="110"/>
              <w:bottom w:type="dxa" w:w="70"/>
              <w:right w:type="dxa" w:w="110"/>
            </w:tcMar>
          </w:tcPr>
          <w:p>
            <w:pPr>
              <w:keepNext/>
              <w:spacing w:after="0" w:line="240"/>
            </w:pPr>
            <w:r>
              <w:t xml:space="preserve">E4</w:t>
            </w:r>
          </w:p>
        </w:tc>
        <w:tc>
          <w:tcPr>
            <w:tcW w:type="dxa" w:w="3600"/>
            <w:tcMar>
              <w:top w:type="dxa" w:w="70"/>
              <w:left w:type="dxa" w:w="110"/>
              <w:bottom w:type="dxa" w:w="70"/>
              <w:right w:type="dxa" w:w="110"/>
            </w:tcMar>
          </w:tcPr>
          <w:p>
            <w:pPr>
              <w:keepNext/>
              <w:spacing w:after="0" w:line="240"/>
            </w:pPr>
            <w:r>
              <w:t xml:space="preserve">forankring av hva 50 og 90 betyr</w:t>
            </w:r>
          </w:p>
        </w:tc>
        <w:tc>
          <w:tcPr>
            <w:tcW w:type="dxa" w:w="4326"/>
            <w:tcMar>
              <w:top w:type="dxa" w:w="70"/>
              <w:left w:type="dxa" w:w="110"/>
              <w:bottom w:type="dxa" w:w="70"/>
              <w:right w:type="dxa" w:w="110"/>
            </w:tcMar>
          </w:tcPr>
          <w:p>
            <w:pPr>
              <w:keepNext/>
              <w:spacing w:after="0" w:line="240"/>
            </w:pPr>
            <w:r>
              <w:t xml:space="preserve">god for Gemini, verre for Claude</w:t>
            </w:r>
          </w:p>
        </w:tc>
      </w:tr>
      <w:tr>
        <w:trPr>
          <w:cantSplit/>
        </w:trPr>
        <w:tc>
          <w:tcPr>
            <w:tcW w:type="dxa" w:w="1100"/>
            <w:tcMar>
              <w:top w:type="dxa" w:w="70"/>
              <w:left w:type="dxa" w:w="110"/>
              <w:bottom w:type="dxa" w:w="70"/>
              <w:right w:type="dxa" w:w="110"/>
            </w:tcMar>
          </w:tcPr>
          <w:p>
            <w:pPr>
              <w:keepNext/>
              <w:spacing w:after="0" w:line="240"/>
            </w:pPr>
            <w:r>
              <w:t xml:space="preserve">E5</w:t>
            </w:r>
          </w:p>
        </w:tc>
        <w:tc>
          <w:tcPr>
            <w:tcW w:type="dxa" w:w="3600"/>
            <w:tcMar>
              <w:top w:type="dxa" w:w="70"/>
              <w:left w:type="dxa" w:w="110"/>
              <w:bottom w:type="dxa" w:w="70"/>
              <w:right w:type="dxa" w:w="110"/>
            </w:tcMar>
          </w:tcPr>
          <w:p>
            <w:pPr>
              <w:keepNext/>
              <w:spacing w:after="0" w:line="240"/>
            </w:pPr>
            <w:r>
              <w:t xml:space="preserve">E3 + E4</w:t>
            </w:r>
          </w:p>
        </w:tc>
        <w:tc>
          <w:tcPr>
            <w:tcW w:type="dxa" w:w="4326"/>
            <w:tcMar>
              <w:top w:type="dxa" w:w="70"/>
              <w:left w:type="dxa" w:w="110"/>
              <w:bottom w:type="dxa" w:w="70"/>
              <w:right w:type="dxa" w:w="110"/>
            </w:tcMar>
          </w:tcPr>
          <w:p>
            <w:pPr>
              <w:keepNext/>
              <w:spacing w:after="0" w:line="240"/>
            </w:pPr>
            <w:r>
              <w:t xml:space="preserve">valgt</w:t>
            </w:r>
          </w:p>
        </w:tc>
      </w:tr>
      <w:tr>
        <w:trPr>
          <w:cantSplit/>
        </w:trPr>
        <w:tc>
          <w:tcPr>
            <w:tcW w:type="dxa" w:w="1100"/>
            <w:tcMar>
              <w:top w:type="dxa" w:w="70"/>
              <w:left w:type="dxa" w:w="110"/>
              <w:bottom w:type="dxa" w:w="70"/>
              <w:right w:type="dxa" w:w="110"/>
            </w:tcMar>
          </w:tcPr>
          <w:p>
            <w:pPr>
              <w:keepNext w:val="false"/>
              <w:spacing w:after="0" w:line="240"/>
            </w:pPr>
            <w:r>
              <w:t xml:space="preserve">E6</w:t>
            </w:r>
          </w:p>
        </w:tc>
        <w:tc>
          <w:tcPr>
            <w:tcW w:type="dxa" w:w="3600"/>
            <w:tcMar>
              <w:top w:type="dxa" w:w="70"/>
              <w:left w:type="dxa" w:w="110"/>
              <w:bottom w:type="dxa" w:w="70"/>
              <w:right w:type="dxa" w:w="110"/>
            </w:tcMar>
          </w:tcPr>
          <w:p>
            <w:pPr>
              <w:keepNext w:val="false"/>
              <w:spacing w:after="0" w:line="240"/>
            </w:pPr>
            <w:r>
              <w:t xml:space="preserve">E5 + stramt utdataformat</w:t>
            </w:r>
          </w:p>
        </w:tc>
        <w:tc>
          <w:tcPr>
            <w:tcW w:type="dxa" w:w="4326"/>
            <w:tcMar>
              <w:top w:type="dxa" w:w="70"/>
              <w:left w:type="dxa" w:w="110"/>
              <w:bottom w:type="dxa" w:w="70"/>
              <w:right w:type="dxa" w:w="110"/>
            </w:tcMar>
          </w:tcPr>
          <w:p>
            <w:pPr>
              <w:keepNext w:val="false"/>
              <w:spacing w:after="0" w:line="240"/>
            </w:pPr>
            <w:r>
              <w:t xml:space="preserve">best for GPT og Gemini, verst for Claude</w:t>
            </w:r>
          </w:p>
        </w:tc>
      </w:tr>
    </w:tbl>
    <w:p>
      <w:pPr>
        <w:spacing w:after="160"/>
      </w:pPr>
    </w:p>
    <w:p>
      <w:pPr>
        <w:spacing w:after="140" w:line="276"/>
      </w:pPr>
      <w:r>
        <w:rPr>
          <w:b/>
          <w:bCs/>
        </w:rPr>
        <w:t xml:space="preserve">Valg: E5.</w:t>
      </w:r>
      <w:r>
        <w:t xml:space="preserve"> Eneste variant som klarte kravet hos alle tre samtidig — 12/14/17 distinkte verdier og 2 på grensa for hver modell. E6 var bedre for to av tre, men Claude beholdt 3 på grensa der. Valget ble gjort på </w:t>
      </w:r>
      <w:r>
        <w:rPr>
          <w:b/>
          <w:bCs/>
        </w:rPr>
        <w:t xml:space="preserve">svakeste modell</w:t>
      </w:r>
      <w:r>
        <w:t xml:space="preserve">, siden det er den som avgjør om instrumentet skiller.</w:t>
      </w:r>
    </w:p>
    <w:p>
      <w:pPr>
        <w:spacing w:after="140" w:line="276"/>
      </w:pPr>
      <w:r>
        <w:rPr>
          <w:b/>
          <w:bCs/>
        </w:rPr>
        <w:t xml:space="preserve">E2 ble aldri gyldig testet.</w:t>
      </w:r>
      <w:r>
        <w:t xml:space="preserve"> Formuleringen ble laget ved å erstatte </w:t>
      </w:r>
      <w:r>
        <w:rPr>
          <w:rFonts w:ascii="Consolas" w:cs="Consolas" w:eastAsia="Consolas" w:hAnsi="Consolas"/>
          <w:sz w:val="19"/>
          <w:szCs w:val="19"/>
        </w:rPr>
        <w:t xml:space="preserve">SCORE:</w:t>
      </w:r>
      <w:r>
        <w:t xml:space="preserve"> med </w:t>
      </w:r>
      <w:r>
        <w:rPr>
          <w:rFonts w:ascii="Consolas" w:cs="Consolas" w:eastAsia="Consolas" w:hAnsi="Consolas"/>
          <w:sz w:val="19"/>
          <w:szCs w:val="19"/>
        </w:rPr>
        <w:t xml:space="preserve">SCORE (med to desimaler, f.eks. 73.46):</w:t>
      </w:r>
      <w:r>
        <w:t xml:space="preserve">, noe som brøt regexmønsteret i parseren. Parse-raten på 0 % var en målefeil, ikke et resultat om modellene. E2 er dermed forkastet uten grunnlag; det spiller liten rolle for konklusjonen, men skal ikke framstilles som et funn.</w:t>
      </w:r>
    </w:p>
    <w:p>
      <w:pPr>
        <w:spacing w:after="140" w:line="276"/>
      </w:pPr>
      <w:r>
        <w:rPr>
          <w:b/>
          <w:bCs/>
        </w:rPr>
        <w:t xml:space="preserve">Overtilpasningsrisiko.</w:t>
      </w:r>
      <w:r>
        <w:t xml:space="preserve"> Seks forsøk mot samme 20 CV-er innebærer en fare for at formuleringen er valgt fordi den tilfeldigvis passet dette utvalget. Prosessen ble avsluttet etter E6 av den grunn, ikke fordi tallene var optimale.</w:t>
      </w:r>
    </w:p>
    <w:p>
      <w:pPr>
        <w:pStyle w:val="Heading2"/>
        <w:spacing w:after="120" w:before="280"/>
      </w:pPr>
      <w:r>
        <w:t xml:space="preserve">3.2 E5 ble skrevet inn i hele stigen</w:t>
      </w:r>
    </w:p>
    <w:p>
      <w:pPr>
        <w:spacing w:after="140" w:line="276"/>
      </w:pPr>
      <w:r>
        <w:t xml:space="preserve">Elisiteringen er </w:t>
      </w:r>
      <w:r>
        <w:rPr>
          <w:i/>
          <w:iCs/>
        </w:rPr>
        <w:t xml:space="preserve">gulvet</w:t>
      </w:r>
      <w:r>
        <w:t xml:space="preserve"> stigen står på, ikke et trinn i den. Tillegget måtte derfor være identisk på alle åtte varianter — ellers måler avstandstrinnene ikke lenger avstand fra en felles basislinje.</w:t>
      </w:r>
    </w:p>
    <w:p>
      <w:pPr>
        <w:spacing w:after="140" w:line="276"/>
      </w:pPr>
      <w:r>
        <w:t xml:space="preserve">To varianter fikk tilpasninger, fordi de er definert av nettopp det som ellers ville kollidert:</w:t>
      </w:r>
    </w:p>
    <w:p>
      <w:pPr>
        <w:pStyle w:val="ListParagraph"/>
        <w:numPr>
          <w:ilvl w:val="0"/>
          <w:numId w:val="2"/>
        </w:numPr>
        <w:spacing w:after="90" w:line="276"/>
      </w:pPr>
      <w:r>
        <w:rPr>
          <w:b/>
          <w:bCs/>
        </w:rPr>
        <w:t xml:space="preserve">P4 (JSON-format).</w:t>
      </w:r>
      <w:r>
        <w:t xml:space="preserve"> Delscorene ble lagt inn </w:t>
      </w:r>
      <w:r>
        <w:rPr>
          <w:i/>
          <w:iCs/>
        </w:rPr>
        <w:t xml:space="preserve">i</w:t>
      </w:r>
      <w:r>
        <w:t xml:space="preserve"> JSON-objektet. Rått påklistret tekst ville bedt om JSON og om </w:t>
      </w:r>
      <w:r>
        <w:rPr>
          <w:rFonts w:ascii="Consolas" w:cs="Consolas" w:eastAsia="Consolas" w:hAnsi="Consolas"/>
          <w:sz w:val="19"/>
          <w:szCs w:val="19"/>
        </w:rPr>
        <w:t xml:space="preserve">SCORE:</w:t>
      </w:r>
      <w:r>
        <w:t xml:space="preserve"> på egen linje samtidig.</w:t>
      </w:r>
    </w:p>
    <w:p>
      <w:pPr>
        <w:pStyle w:val="ListParagraph"/>
        <w:numPr>
          <w:ilvl w:val="0"/>
          <w:numId w:val="2"/>
        </w:numPr>
        <w:spacing w:after="90" w:line="276"/>
      </w:pPr>
      <w:r>
        <w:rPr>
          <w:b/>
          <w:bCs/>
        </w:rPr>
        <w:t xml:space="preserve">P8 (engelsk prompt).</w:t>
      </w:r>
      <w:r>
        <w:t xml:space="preserve"> Tillegget er på engelsk. Norsk tekst ville innført en språkendring som ikke er en del av trinnet. Etikettene (UTDANNING, ERFARING, VERKTOY, FORMIDLING) er beholdt på norsk, slik P8 allerede gjør med BEGRUNNELSE og SCORE, så alle varianter parses likt.</w:t>
      </w:r>
    </w:p>
    <w:p>
      <w:pPr>
        <w:spacing w:after="140" w:line="276"/>
      </w:pPr>
      <w:r>
        <w:rPr>
          <w:b/>
          <w:bCs/>
        </w:rPr>
        <w:t xml:space="preserve">P0 og P0d er verifisert bit-identiske</w:t>
      </w:r>
      <w:r>
        <w:t xml:space="preserve"> etter endringen (598 tegn hver). Blindkontrollen står.</w:t>
      </w:r>
    </w:p>
    <w:p>
      <w:pPr>
        <w:spacing w:after="140" w:line="276"/>
      </w:pPr>
      <w:r>
        <w:rPr>
          <w:b/>
          <w:bCs/>
        </w:rPr>
        <w:t xml:space="preserve">Kjent svakhet i P3.</w:t>
      </w:r>
      <w:r>
        <w:t xml:space="preserve"> P3 er omrokkeringsvarianten, med formatblokken øverst. Tillegget ble lagt nederst, som hos de andre, så formatspesifikasjonen er delt i to. Det er forsvarlig — P3 </w:t>
      </w:r>
      <w:r>
        <w:rPr>
          <w:i/>
          <w:iCs/>
        </w:rPr>
        <w:t xml:space="preserve">er</w:t>
      </w:r>
      <w:r>
        <w:t xml:space="preserve"> varianten som flytter på rekkefølgen — men det er en tolkning. For hovedstudien bør delscore-instruksjonen flyttes inn i formatblokken for P3, så prompten er strukturelt konsistent.</w:t>
      </w:r>
    </w:p>
    <w:p>
      <w:pPr>
        <w:pStyle w:val="Heading2"/>
        <w:spacing w:after="120" w:before="280"/>
      </w:pPr>
      <w:r>
        <w:t xml:space="preserve">3.3 Tokenbudsjett per modell</w:t>
      </w:r>
    </w:p>
    <w:p>
      <w:pPr>
        <w:spacing w:after="140" w:line="276"/>
      </w:pPr>
      <w:r>
        <w:t xml:space="preserve">Budsjettene ble hevet to ganger, begge etter observert avkorting:</w:t>
      </w:r>
    </w:p>
    <w:p>
      <w:pPr>
        <w:pStyle w:val="ListParagraph"/>
        <w:numPr>
          <w:ilvl w:val="0"/>
          <w:numId w:val="2"/>
        </w:numPr>
        <w:spacing w:after="90" w:line="276"/>
      </w:pPr>
      <w:r>
        <w:t xml:space="preserve">Claude 300 → 600, fordi E5 gjorde svarene lengre (fire delscorer i tillegg til begrunnelse og total).</w:t>
      </w:r>
    </w:p>
    <w:p>
      <w:pPr>
        <w:pStyle w:val="ListParagraph"/>
        <w:numPr>
          <w:ilvl w:val="0"/>
          <w:numId w:val="2"/>
        </w:numPr>
        <w:spacing w:after="90" w:line="276"/>
      </w:pPr>
      <w:r>
        <w:t xml:space="preserve">Gemini 2000 → 3000, fordi tenketokens teller mot </w:t>
      </w:r>
      <w:r>
        <w:rPr>
          <w:rFonts w:ascii="Consolas" w:cs="Consolas" w:eastAsia="Consolas" w:hAnsi="Consolas"/>
          <w:sz w:val="19"/>
          <w:szCs w:val="19"/>
        </w:rPr>
        <w:t xml:space="preserve">max_tokens</w:t>
      </w:r>
      <w:r>
        <w:t xml:space="preserve"> og steg fra ~350 til ~1 000 da E5 kom inn — modellen regner på summen.</w:t>
      </w:r>
    </w:p>
    <w:p>
      <w:pPr>
        <w:spacing w:after="140" w:line="276"/>
      </w:pPr>
      <w:r>
        <w:t xml:space="preserve">Ulikt budsjett per modell er en </w:t>
      </w:r>
      <w:r>
        <w:rPr>
          <w:b/>
          <w:bCs/>
        </w:rPr>
        <w:t xml:space="preserve">forskjell i behandling</w:t>
      </w:r>
      <w:r>
        <w:t xml:space="preserve"> og dokumenteres her. Det er konfigurasjon, ikke prompt, så den frosne stigen og annonse-hashen er uendret. Feltet </w:t>
      </w:r>
      <w:r>
        <w:rPr>
          <w:rFonts w:ascii="Consolas" w:cs="Consolas" w:eastAsia="Consolas" w:hAnsi="Consolas"/>
          <w:sz w:val="19"/>
          <w:szCs w:val="19"/>
        </w:rPr>
        <w:t xml:space="preserve">maks_tokens</w:t>
      </w:r>
      <w:r>
        <w:t xml:space="preserve"> i loggen viser hva som gjaldt for hvert enkelt kall, så radene fra før og etter hevingen kan skilles.</w:t>
      </w:r>
    </w:p>
    <w:p>
      <w:pPr>
        <w:spacing w:after="140" w:line="276"/>
      </w:pPr>
      <w:r>
        <w:t xml:space="preserve">Elleve rader måtte slettes fra loggen og hentes på nytt etter siste heving, fordi resumeringslogikken anser en logget rad som ferdig selv om scoren er </w:t>
      </w:r>
      <w:r>
        <w:rPr>
          <w:rFonts w:ascii="Consolas" w:cs="Consolas" w:eastAsia="Consolas" w:hAnsi="Consolas"/>
          <w:sz w:val="19"/>
          <w:szCs w:val="19"/>
        </w:rPr>
        <w:t xml:space="preserve">None</w:t>
      </w:r>
      <w:r>
        <w:t xml:space="preserve">.</w:t>
      </w:r>
    </w:p>
    <w:p>
      <w:pPr>
        <w:pBdr>
          <w:bottom w:val="single" w:color="CCCCCC" w:sz="6" w:space="1"/>
        </w:pBdr>
        <w:spacing w:after="260" w:before="200"/>
      </w:pPr>
    </w:p>
    <w:p>
      <w:pPr>
        <w:pStyle w:val="Heading1"/>
        <w:spacing w:after="160" w:before="360"/>
      </w:pPr>
      <w:r>
        <w:t xml:space="preserve">4. Funn om måleapparatet</w:t>
      </w:r>
    </w:p>
    <w:p>
      <w:pPr>
        <w:spacing w:after="140" w:line="276"/>
      </w:pPr>
      <w:r>
        <w:t xml:space="preserve">Disse er ikke resultater om modellene, men om hva som skal til for å måle dem. De hører hjemme i skrivearbeidet fordi de sier noe om hva revisjon av slike systemer faktisk krever.</w:t>
      </w:r>
    </w:p>
    <w:p>
      <w:pPr>
        <w:pStyle w:val="Heading2"/>
        <w:spacing w:after="120" w:before="280"/>
      </w:pPr>
      <w:r>
        <w:t xml:space="preserve">4.1 Temperatur ble ikke anvendt for Gemini</w:t>
      </w:r>
    </w:p>
    <w:p>
      <w:pPr>
        <w:spacing w:after="140" w:line="276"/>
      </w:pPr>
      <w:r>
        <w:t xml:space="preserve">Gemini 3.x tar imot </w:t>
      </w:r>
      <w:r>
        <w:rPr>
          <w:rFonts w:ascii="Consolas" w:cs="Consolas" w:eastAsia="Consolas" w:hAnsi="Consolas"/>
          <w:sz w:val="19"/>
          <w:szCs w:val="19"/>
        </w:rPr>
        <w:t xml:space="preserve">temperature</w:t>
      </w:r>
      <w:r>
        <w:t xml:space="preserve"> og ignorerer den. Kallet returnerer 200 OK, uten advarsel; Google har varslet at senere modellgenerasjoner vil returnere feil i stedet.</w:t>
      </w:r>
    </w:p>
    <w:p>
      <w:pPr>
        <w:spacing w:after="140" w:line="276"/>
      </w:pPr>
      <w:r>
        <w:t xml:space="preserve">Konsekvenser:</w:t>
      </w:r>
    </w:p>
    <w:p>
      <w:pPr>
        <w:pStyle w:val="ListParagraph"/>
        <w:numPr>
          <w:ilvl w:val="0"/>
          <w:numId w:val="2"/>
        </w:numPr>
        <w:spacing w:after="90" w:line="276"/>
      </w:pPr>
      <w:r>
        <w:rPr>
          <w:b/>
          <w:bCs/>
        </w:rPr>
        <w:t xml:space="preserve">Én betingelse forsvant.</w:t>
      </w:r>
      <w:r>
        <w:t xml:space="preserve"> Temperatureffekt kan ikke måles på Gemini.</w:t>
      </w:r>
    </w:p>
    <w:p>
      <w:pPr>
        <w:pStyle w:val="ListParagraph"/>
        <w:numPr>
          <w:ilvl w:val="0"/>
          <w:numId w:val="2"/>
        </w:numPr>
        <w:spacing w:after="90" w:line="276"/>
      </w:pPr>
      <w:r>
        <w:rPr>
          <w:b/>
          <w:bCs/>
        </w:rPr>
        <w:t xml:space="preserve">Én kontroll oppsto.</w:t>
      </w:r>
      <w:r>
        <w:t xml:space="preserve"> «P0 på temperatur 0,7» er for Gemini samme betingelse trukket på nytt, altså en andre blindkontroll på linje med P0d. Del 13 merker den P0-kontroll2 automatisk.</w:t>
      </w:r>
    </w:p>
    <w:p>
      <w:pPr>
        <w:pStyle w:val="ListParagraph"/>
        <w:numPr>
          <w:ilvl w:val="0"/>
          <w:numId w:val="2"/>
        </w:numPr>
        <w:spacing w:after="90" w:line="276"/>
      </w:pPr>
      <w:r>
        <w:rPr>
          <w:b/>
          <w:bCs/>
        </w:rPr>
        <w:t xml:space="preserve">Støygulvene er ikke sammenlignbare på tvers.</w:t>
      </w:r>
      <w:r>
        <w:t xml:space="preserve"> Claude og GPT måles på temperatur 0; Gemini måles på leverandørens standardsampling. Geminis høyere scorestøy (1,83 mot Claudes 0,33 poeng) er derfor en sammenligning av </w:t>
      </w:r>
      <w:r>
        <w:rPr>
          <w:i/>
          <w:iCs/>
        </w:rPr>
        <w:t xml:space="preserve">oppsett</w:t>
      </w:r>
      <w:r>
        <w:t xml:space="preserve">, ikke av modeller. RQ4 må formuleres deretter.</w:t>
      </w:r>
    </w:p>
    <w:p>
      <w:pPr>
        <w:spacing w:after="140" w:line="276"/>
      </w:pPr>
      <w:r>
        <w:t xml:space="preserve">Dette er også det tydeligste case-materialet i piloten: en pipeline dokumentert med </w:t>
      </w:r>
      <w:r>
        <w:rPr>
          <w:rFonts w:ascii="Consolas" w:cs="Consolas" w:eastAsia="Consolas" w:hAnsi="Consolas"/>
          <w:sz w:val="19"/>
          <w:szCs w:val="19"/>
        </w:rPr>
        <w:t xml:space="preserve">temperature = 0</w:t>
      </w:r>
      <w:r>
        <w:t xml:space="preserve">, der parameteren stille sluttet å virke ved et leverandørbytte av modellgenerasjon. En revisor som leser konfigurasjonsfila konkluderer feil. Dokumentasjon beskriver intensjon; logger beskriver atferd.</w:t>
      </w:r>
    </w:p>
    <w:p>
      <w:pPr>
        <w:spacing w:after="140" w:line="276"/>
      </w:pPr>
      <w:r>
        <w:t xml:space="preserve">Oppdaget av en røyktest, ikke av en feilmelding.</w:t>
      </w:r>
    </w:p>
    <w:p>
      <w:pPr>
        <w:pStyle w:val="Heading2"/>
        <w:spacing w:after="120" w:before="280"/>
      </w:pPr>
      <w:r>
        <w:t xml:space="preserve">4.2 Parsefeil så ut som et funn</w:t>
      </w:r>
    </w:p>
    <w:p>
      <w:pPr>
        <w:spacing w:after="140" w:line="276"/>
      </w:pPr>
      <w:r>
        <w:rPr>
          <w:rFonts w:ascii="Consolas" w:cs="Consolas" w:eastAsia="Consolas" w:hAnsi="Consolas"/>
          <w:sz w:val="19"/>
          <w:szCs w:val="19"/>
        </w:rPr>
        <w:t xml:space="preserve">parse_score</w:t>
      </w:r>
      <w:r>
        <w:t xml:space="preserve"> leste </w:t>
      </w:r>
      <w:r>
        <w:rPr>
          <w:rFonts w:ascii="Consolas" w:cs="Consolas" w:eastAsia="Consolas" w:hAnsi="Consolas"/>
          <w:sz w:val="19"/>
          <w:szCs w:val="19"/>
        </w:rPr>
        <w:t xml:space="preserve">SCORE: 21.0 + 22.0 + 23.0 + 22.0 = 88.0</w:t>
      </w:r>
      <w:r>
        <w:t xml:space="preserve"> som 21,0. Modellen hadde svart riktig; parseren tok første tall etter kolonet.</w:t>
      </w:r>
    </w:p>
    <w:p>
      <w:pPr>
        <w:spacing w:after="140" w:line="276"/>
      </w:pPr>
      <w:r>
        <w:t xml:space="preserve">Feilen rammet </w:t>
      </w:r>
      <w:r>
        <w:rPr>
          <w:b/>
          <w:bCs/>
        </w:rPr>
        <w:t xml:space="preserve">2 av 2 256</w:t>
      </w:r>
      <w:r>
        <w:t xml:space="preserve"> svar, begge i cellen </w:t>
      </w:r>
      <w:r>
        <w:rPr>
          <w:rFonts w:ascii="Consolas" w:cs="Consolas" w:eastAsia="Consolas" w:hAnsi="Consolas"/>
          <w:sz w:val="19"/>
          <w:szCs w:val="19"/>
        </w:rPr>
        <w:t xml:space="preserve">gpt / P3</w:t>
      </w:r>
      <w:r>
        <w:t xml:space="preserve">, begge i samme repetisjon. Effekten i aggregatet: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cantSplit/>
          <w:tblHeader/>
        </w:trPr>
        <w:tc>
          <w:tcPr>
            <w:tcW w:type="dxa" w:w="3400"/>
            <w:shd w:fill="EFEFEF" w:color="auto" w:val="clear"/>
            <w:tcMar>
              <w:top w:type="dxa" w:w="70"/>
              <w:left w:type="dxa" w:w="110"/>
              <w:bottom w:type="dxa" w:w="70"/>
              <w:right w:type="dxa" w:w="110"/>
            </w:tcMar>
          </w:tcPr>
          <w:p>
            <w:pPr>
              <w:keepNext/>
              <w:spacing w:after="0" w:line="240"/>
            </w:pPr>
          </w:p>
        </w:tc>
        <w:tc>
          <w:tcPr>
            <w:tcW w:type="dxa" w:w="2800"/>
            <w:shd w:fill="EFEFEF" w:color="auto" w:val="clear"/>
            <w:tcMar>
              <w:top w:type="dxa" w:w="70"/>
              <w:left w:type="dxa" w:w="110"/>
              <w:bottom w:type="dxa" w:w="70"/>
              <w:right w:type="dxa" w:w="110"/>
            </w:tcMar>
          </w:tcPr>
          <w:p>
            <w:pPr>
              <w:keepNext/>
              <w:spacing w:after="0" w:line="240"/>
            </w:pPr>
            <w:r>
              <w:rPr>
                <w:b/>
                <w:bCs/>
              </w:rPr>
              <w:t xml:space="preserve">Før reparsing</w:t>
            </w:r>
          </w:p>
        </w:tc>
        <w:tc>
          <w:tcPr>
            <w:tcW w:type="dxa" w:w="2826"/>
            <w:shd w:fill="EFEFEF" w:color="auto" w:val="clear"/>
            <w:tcMar>
              <w:top w:type="dxa" w:w="70"/>
              <w:left w:type="dxa" w:w="110"/>
              <w:bottom w:type="dxa" w:w="70"/>
              <w:right w:type="dxa" w:w="110"/>
            </w:tcMar>
          </w:tcPr>
          <w:p>
            <w:pPr>
              <w:keepNext/>
              <w:spacing w:after="0" w:line="240"/>
            </w:pPr>
            <w:r>
              <w:rPr>
                <w:b/>
                <w:bCs/>
              </w:rPr>
              <w:t xml:space="preserve">Etter</w:t>
            </w:r>
          </w:p>
        </w:tc>
      </w:tr>
      <w:tr>
        <w:trPr>
          <w:cantSplit/>
        </w:trPr>
        <w:tc>
          <w:tcPr>
            <w:tcW w:type="dxa" w:w="3400"/>
            <w:tcMar>
              <w:top w:type="dxa" w:w="70"/>
              <w:left w:type="dxa" w:w="110"/>
              <w:bottom w:type="dxa" w:w="70"/>
              <w:right w:type="dxa" w:w="110"/>
            </w:tcMar>
          </w:tcPr>
          <w:p>
            <w:pPr>
              <w:keepNext/>
              <w:spacing w:after="0" w:line="240"/>
            </w:pPr>
            <w:r>
              <w:t xml:space="preserve">gpt P3, standardavvik</w:t>
            </w:r>
          </w:p>
        </w:tc>
        <w:tc>
          <w:tcPr>
            <w:tcW w:type="dxa" w:w="2800"/>
            <w:tcMar>
              <w:top w:type="dxa" w:w="70"/>
              <w:left w:type="dxa" w:w="110"/>
              <w:bottom w:type="dxa" w:w="70"/>
              <w:right w:type="dxa" w:w="110"/>
            </w:tcMar>
          </w:tcPr>
          <w:p>
            <w:pPr>
              <w:keepNext/>
              <w:spacing w:after="0" w:line="240"/>
            </w:pPr>
            <w:r>
              <w:t xml:space="preserve">12,02</w:t>
            </w:r>
          </w:p>
        </w:tc>
        <w:tc>
          <w:tcPr>
            <w:tcW w:type="dxa" w:w="2826"/>
            <w:tcMar>
              <w:top w:type="dxa" w:w="70"/>
              <w:left w:type="dxa" w:w="110"/>
              <w:bottom w:type="dxa" w:w="70"/>
              <w:right w:type="dxa" w:w="110"/>
            </w:tcMar>
          </w:tcPr>
          <w:p>
            <w:pPr>
              <w:keepNext/>
              <w:spacing w:after="0" w:line="240"/>
            </w:pPr>
            <w:r>
              <w:t xml:space="preserve">5,89</w:t>
            </w:r>
          </w:p>
        </w:tc>
      </w:tr>
      <w:tr>
        <w:trPr>
          <w:cantSplit/>
        </w:trPr>
        <w:tc>
          <w:tcPr>
            <w:tcW w:type="dxa" w:w="3400"/>
            <w:tcMar>
              <w:top w:type="dxa" w:w="70"/>
              <w:left w:type="dxa" w:w="110"/>
              <w:bottom w:type="dxa" w:w="70"/>
              <w:right w:type="dxa" w:w="110"/>
            </w:tcMar>
          </w:tcPr>
          <w:p>
            <w:pPr>
              <w:keepNext w:val="false"/>
              <w:spacing w:after="0" w:line="240"/>
            </w:pPr>
            <w:r>
              <w:t xml:space="preserve">gpt P3, snitt</w:t>
            </w:r>
          </w:p>
        </w:tc>
        <w:tc>
          <w:tcPr>
            <w:tcW w:type="dxa" w:w="2800"/>
            <w:tcMar>
              <w:top w:type="dxa" w:w="70"/>
              <w:left w:type="dxa" w:w="110"/>
              <w:bottom w:type="dxa" w:w="70"/>
              <w:right w:type="dxa" w:w="110"/>
            </w:tcMar>
          </w:tcPr>
          <w:p>
            <w:pPr>
              <w:keepNext w:val="false"/>
              <w:spacing w:after="0" w:line="240"/>
            </w:pPr>
            <w:r>
              <w:t xml:space="preserve">86,57</w:t>
            </w:r>
          </w:p>
        </w:tc>
        <w:tc>
          <w:tcPr>
            <w:tcW w:type="dxa" w:w="2826"/>
            <w:tcMar>
              <w:top w:type="dxa" w:w="70"/>
              <w:left w:type="dxa" w:w="110"/>
              <w:bottom w:type="dxa" w:w="70"/>
              <w:right w:type="dxa" w:w="110"/>
            </w:tcMar>
          </w:tcPr>
          <w:p>
            <w:pPr>
              <w:keepNext w:val="false"/>
              <w:spacing w:after="0" w:line="240"/>
            </w:pPr>
            <w:r>
              <w:t xml:space="preserve">88,26</w:t>
            </w:r>
          </w:p>
        </w:tc>
      </w:tr>
    </w:tbl>
    <w:p>
      <w:pPr>
        <w:spacing w:after="160"/>
      </w:pPr>
    </w:p>
    <w:p>
      <w:pPr>
        <w:spacing w:after="140" w:line="276"/>
      </w:pPr>
      <w:r>
        <w:t xml:space="preserve">Nesten dobbel varians av alle andre celler — i den varianten der en plausibel forklaring lå klar (omrokkering destabiliserer modellen). Det ville vært et publiserbart RQ2-funn.</w:t>
      </w:r>
    </w:p>
    <w:p>
      <w:pPr>
        <w:spacing w:after="140" w:line="276"/>
      </w:pPr>
      <w:r>
        <w:t xml:space="preserve">Oppdagelsen krevde to steg. Først dekomponering av variansen: snittet av kandidatvis spredning var 3,33, men </w:t>
      </w:r>
      <w:r>
        <w:rPr>
          <w:b/>
          <w:bCs/>
        </w:rPr>
        <w:t xml:space="preserve">medianen var 0,71</w:t>
      </w:r>
      <w:r>
        <w:t xml:space="preserve"> — to kandidater med standardavvik 47 dro hele tallet. Deretter lesing av </w:t>
      </w:r>
      <w:r>
        <w:rPr>
          <w:rFonts w:ascii="Consolas" w:cs="Consolas" w:eastAsia="Consolas" w:hAnsi="Consolas"/>
          <w:sz w:val="19"/>
          <w:szCs w:val="19"/>
        </w:rPr>
        <w:t xml:space="preserve">raa</w:t>
      </w:r>
      <w:r>
        <w:t xml:space="preserve">-feltet for de to.</w:t>
      </w:r>
    </w:p>
    <w:p>
      <w:pPr>
        <w:spacing w:after="140" w:line="276"/>
      </w:pPr>
      <w:r>
        <w:t xml:space="preserve">Poenget for revisjonsdiskusjonen: en revisor som får aggregerte tall kan ikke oppdage dette. Det krever råsvarene, og det krever at noen ser på fordelingen og ikke bare på snittet. Feilen ble rettet ved reparsing av loggen, uten nye API-kall — noe som i seg selv er et argument for å logge råsvar.</w:t>
      </w:r>
    </w:p>
    <w:p>
      <w:pPr>
        <w:pStyle w:val="Heading2"/>
        <w:spacing w:after="120" w:before="280"/>
      </w:pPr>
      <w:r>
        <w:t xml:space="preserve">4.3 Forhåndssjekken for avkorting var feil konstruert</w:t>
      </w:r>
    </w:p>
    <w:p>
      <w:pPr>
        <w:spacing w:after="140" w:line="276"/>
      </w:pPr>
      <w:r>
        <w:t xml:space="preserve">Den opprinnelige sjekken ba modellen gjenta det første ordet i prompten. Claude og GPT «strøk» — de fullførte screeningoppgaven i stedet, slik de var bedt om. Sjekken målte instruksjonslydighet, ikke avkorting, og ga falske alarmer for de to modellene som ikke hadde problemet.</w:t>
      </w:r>
    </w:p>
    <w:p>
      <w:pPr>
        <w:spacing w:after="140" w:line="276"/>
      </w:pPr>
      <w:r>
        <w:t xml:space="preserve">Erstattet med en sjekk på om </w:t>
      </w:r>
      <w:r>
        <w:rPr>
          <w:rFonts w:ascii="Consolas" w:cs="Consolas" w:eastAsia="Consolas" w:hAnsi="Consolas"/>
          <w:sz w:val="19"/>
          <w:szCs w:val="19"/>
        </w:rPr>
        <w:t xml:space="preserve">prompt_tokens</w:t>
      </w:r>
      <w:r>
        <w:t xml:space="preserve"> vokser proporsjonalt med CV-lengden. Den bruker API-ets egen kvittering og avhenger ikke av at modellen adlyder.</w:t>
      </w:r>
    </w:p>
    <w:p>
      <w:pPr>
        <w:pStyle w:val="Heading2"/>
        <w:spacing w:after="120" w:before="280"/>
      </w:pPr>
      <w:r>
        <w:t xml:space="preserve">4.4 Manglende scorer er ikke nøytralt bortfall</w:t>
      </w:r>
    </w:p>
    <w:p>
      <w:pPr>
        <w:spacing w:after="140" w:line="276"/>
      </w:pPr>
      <w:r>
        <w:t xml:space="preserve">Ved to anledninger falt de lengste CV-ene ut, fordi det er lange svar som blir avkortet. Målingene på det reduserte utvalget så </w:t>
      </w:r>
      <w:r>
        <w:rPr>
          <w:i/>
          <w:iCs/>
        </w:rPr>
        <w:t xml:space="preserve">bedre</w:t>
      </w:r>
      <w:r>
        <w:t xml:space="preserve"> ut enn de skulle: da de fire manglende Gemini-radene kom inn, steg cellesnittet fra 88,07 til 88,43.</w:t>
      </w:r>
    </w:p>
    <w:p>
      <w:pPr>
        <w:spacing w:after="140" w:line="276"/>
      </w:pPr>
      <w:r>
        <w:t xml:space="preserve">Enhver analyse på ufullstendige celler undervurderer derfor problemet systematisk. Del 10 rapporterer nå avkorting først, før noe annet.</w:t>
      </w:r>
    </w:p>
    <w:p>
      <w:pPr>
        <w:pStyle w:val="Heading2"/>
        <w:spacing w:after="120" w:before="280"/>
      </w:pPr>
      <w:r>
        <w:t xml:space="preserve">4.5 Rate limits krever kvotestyring, ikke færre tråder</w:t>
      </w:r>
    </w:p>
    <w:p>
      <w:pPr>
        <w:spacing w:after="140" w:line="276"/>
      </w:pPr>
      <w:r>
        <w:rPr>
          <w:rFonts w:ascii="Consolas" w:cs="Consolas" w:eastAsia="Consolas" w:hAnsi="Consolas"/>
          <w:sz w:val="19"/>
          <w:szCs w:val="19"/>
        </w:rPr>
        <w:t xml:space="preserve">MAKS_TRADER</w:t>
      </w:r>
      <w:r>
        <w:t xml:space="preserve"> styrer parallellitet, ikke tokenforbruk, og takene er ulike per modell. Med 8 tråder mot GPTs 30 000 TPM lå kjøringen nesten ti ganger over taket. Løst med en token-bucket per modell (</w:t>
      </w:r>
      <w:r>
        <w:rPr>
          <w:rFonts w:ascii="Consolas" w:cs="Consolas" w:eastAsia="Consolas" w:hAnsi="Consolas"/>
          <w:sz w:val="19"/>
          <w:szCs w:val="19"/>
        </w:rPr>
        <w:t xml:space="preserve">KVOTER</w:t>
      </w:r>
      <w:r>
        <w:t xml:space="preserve">), og lengre backoff for 429 enn for andre feil, siden 429 gjelder et minuttvindu.</w:t>
      </w:r>
    </w:p>
    <w:p>
      <w:pPr>
        <w:pBdr>
          <w:bottom w:val="single" w:color="CCCCCC" w:sz="6" w:space="1"/>
        </w:pBdr>
        <w:spacing w:after="260" w:before="200"/>
      </w:pPr>
    </w:p>
    <w:p>
      <w:pPr>
        <w:pStyle w:val="Heading1"/>
        <w:spacing w:after="160" w:before="360"/>
      </w:pPr>
      <w:r>
        <w:t xml:space="preserve">5. Foreløpige observasjoner om modellene</w:t>
      </w:r>
    </w:p>
    <w:p>
      <w:pPr>
        <w:spacing w:after="140" w:line="276"/>
      </w:pPr>
      <w:r>
        <w:rPr>
          <w:b/>
          <w:bCs/>
        </w:rPr>
        <w:t xml:space="preserve">Alle tall under er fra LETT_MODUS med ett par per celle og må betraktes som retningsgivende, ikke som resultater.</w:t>
      </w:r>
    </w:p>
    <w:p>
      <w:pPr>
        <w:pStyle w:val="Heading2"/>
        <w:spacing w:after="120" w:before="280"/>
      </w:pPr>
      <w:r>
        <w:t xml:space="preserve">5.1 Støygulv, del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2000"/>
        <w:gridCol w:w="1926"/>
      </w:tblGrid>
      <w:tr>
        <w:trPr>
          <w:cantSplit/>
          <w:tblHeader/>
        </w:trPr>
        <w:tc>
          <w:tcPr>
            <w:tcW w:type="dxa" w:w="1500"/>
            <w:shd w:fill="EFEFEF" w:color="auto" w:val="clear"/>
            <w:tcMar>
              <w:top w:type="dxa" w:w="70"/>
              <w:left w:type="dxa" w:w="110"/>
              <w:bottom w:type="dxa" w:w="70"/>
              <w:right w:type="dxa" w:w="110"/>
            </w:tcMar>
          </w:tcPr>
          <w:p>
            <w:pPr>
              <w:keepNext/>
              <w:spacing w:after="0" w:line="240"/>
            </w:pPr>
          </w:p>
        </w:tc>
        <w:tc>
          <w:tcPr>
            <w:tcW w:type="dxa" w:w="1800"/>
            <w:shd w:fill="EFEFEF" w:color="auto" w:val="clear"/>
            <w:tcMar>
              <w:top w:type="dxa" w:w="70"/>
              <w:left w:type="dxa" w:w="110"/>
              <w:bottom w:type="dxa" w:w="70"/>
              <w:right w:type="dxa" w:w="110"/>
            </w:tcMar>
          </w:tcPr>
          <w:p>
            <w:pPr>
              <w:keepNext/>
              <w:spacing w:after="0" w:line="240"/>
            </w:pPr>
            <w:r>
              <w:rPr>
                <w:b/>
                <w:bCs/>
              </w:rPr>
              <w:t xml:space="preserve">Kendall τ</w:t>
            </w:r>
          </w:p>
        </w:tc>
        <w:tc>
          <w:tcPr>
            <w:tcW w:type="dxa" w:w="1800"/>
            <w:shd w:fill="EFEFEF" w:color="auto" w:val="clear"/>
            <w:tcMar>
              <w:top w:type="dxa" w:w="70"/>
              <w:left w:type="dxa" w:w="110"/>
              <w:bottom w:type="dxa" w:w="70"/>
              <w:right w:type="dxa" w:w="110"/>
            </w:tcMar>
          </w:tcPr>
          <w:p>
            <w:pPr>
              <w:keepNext/>
              <w:spacing w:after="0" w:line="240"/>
            </w:pPr>
            <w:r>
              <w:rPr>
                <w:b/>
                <w:bCs/>
              </w:rPr>
              <w:t xml:space="preserve">Jaccard@5</w:t>
            </w:r>
          </w:p>
        </w:tc>
        <w:tc>
          <w:tcPr>
            <w:tcW w:type="dxa" w:w="2000"/>
            <w:shd w:fill="EFEFEF" w:color="auto" w:val="clear"/>
            <w:tcMar>
              <w:top w:type="dxa" w:w="70"/>
              <w:left w:type="dxa" w:w="110"/>
              <w:bottom w:type="dxa" w:w="70"/>
              <w:right w:type="dxa" w:w="110"/>
            </w:tcMar>
          </w:tcPr>
          <w:p>
            <w:pPr>
              <w:keepNext/>
              <w:spacing w:after="0" w:line="240"/>
            </w:pPr>
            <w:r>
              <w:rPr>
                <w:b/>
                <w:bCs/>
              </w:rPr>
              <w:t xml:space="preserve">Bindinger</w:t>
            </w:r>
          </w:p>
        </w:tc>
        <w:tc>
          <w:tcPr>
            <w:tcW w:type="dxa" w:w="1926"/>
            <w:shd w:fill="EFEFEF" w:color="auto" w:val="clear"/>
            <w:tcMar>
              <w:top w:type="dxa" w:w="70"/>
              <w:left w:type="dxa" w:w="110"/>
              <w:bottom w:type="dxa" w:w="70"/>
              <w:right w:type="dxa" w:w="110"/>
            </w:tcMar>
          </w:tcPr>
          <w:p>
            <w:pPr>
              <w:keepNext/>
              <w:spacing w:after="0" w:line="240"/>
            </w:pPr>
            <w:r>
              <w:rPr>
                <w:b/>
                <w:bCs/>
              </w:rPr>
              <w:t xml:space="preserve">På topp-5-grensa</w:t>
            </w:r>
          </w:p>
        </w:tc>
      </w:tr>
      <w:tr>
        <w:trPr>
          <w:cantSplit/>
        </w:trPr>
        <w:tc>
          <w:tcPr>
            <w:tcW w:type="dxa" w:w="1500"/>
            <w:tcMar>
              <w:top w:type="dxa" w:w="70"/>
              <w:left w:type="dxa" w:w="110"/>
              <w:bottom w:type="dxa" w:w="70"/>
              <w:right w:type="dxa" w:w="110"/>
            </w:tcMar>
          </w:tcPr>
          <w:p>
            <w:pPr>
              <w:keepNext/>
              <w:spacing w:after="0" w:line="240"/>
            </w:pPr>
            <w:r>
              <w:t xml:space="preserve">claude</w:t>
            </w:r>
          </w:p>
        </w:tc>
        <w:tc>
          <w:tcPr>
            <w:tcW w:type="dxa" w:w="1800"/>
            <w:tcMar>
              <w:top w:type="dxa" w:w="70"/>
              <w:left w:type="dxa" w:w="110"/>
              <w:bottom w:type="dxa" w:w="70"/>
              <w:right w:type="dxa" w:w="110"/>
            </w:tcMar>
          </w:tcPr>
          <w:p>
            <w:pPr>
              <w:keepNext/>
              <w:spacing w:after="0" w:line="240"/>
            </w:pPr>
            <w:r>
              <w:t xml:space="preserve">0,877</w:t>
            </w:r>
          </w:p>
        </w:tc>
        <w:tc>
          <w:tcPr>
            <w:tcW w:type="dxa" w:w="1800"/>
            <w:tcMar>
              <w:top w:type="dxa" w:w="70"/>
              <w:left w:type="dxa" w:w="110"/>
              <w:bottom w:type="dxa" w:w="70"/>
              <w:right w:type="dxa" w:w="110"/>
            </w:tcMar>
          </w:tcPr>
          <w:p>
            <w:pPr>
              <w:keepNext/>
              <w:spacing w:after="0" w:line="240"/>
            </w:pPr>
            <w:r>
              <w:t xml:space="preserve">0,667</w:t>
            </w:r>
          </w:p>
        </w:tc>
        <w:tc>
          <w:tcPr>
            <w:tcW w:type="dxa" w:w="2000"/>
            <w:tcMar>
              <w:top w:type="dxa" w:w="70"/>
              <w:left w:type="dxa" w:w="110"/>
              <w:bottom w:type="dxa" w:w="70"/>
              <w:right w:type="dxa" w:w="110"/>
            </w:tcMar>
          </w:tcPr>
          <w:p>
            <w:pPr>
              <w:keepNext/>
              <w:spacing w:after="0" w:line="240"/>
            </w:pPr>
            <w:r>
              <w:t xml:space="preserve">25 av 40</w:t>
            </w:r>
          </w:p>
        </w:tc>
        <w:tc>
          <w:tcPr>
            <w:tcW w:type="dxa" w:w="1926"/>
            <w:tcMar>
              <w:top w:type="dxa" w:w="70"/>
              <w:left w:type="dxa" w:w="110"/>
              <w:bottom w:type="dxa" w:w="70"/>
              <w:right w:type="dxa" w:w="110"/>
            </w:tcMar>
          </w:tcPr>
          <w:p>
            <w:pPr>
              <w:keepNext/>
              <w:spacing w:after="0" w:line="240"/>
            </w:pPr>
            <w:r>
              <w:t xml:space="preserve">1</w:t>
            </w:r>
          </w:p>
        </w:tc>
      </w:tr>
      <w:tr>
        <w:trPr>
          <w:cantSplit/>
        </w:trPr>
        <w:tc>
          <w:tcPr>
            <w:tcW w:type="dxa" w:w="1500"/>
            <w:tcMar>
              <w:top w:type="dxa" w:w="70"/>
              <w:left w:type="dxa" w:w="110"/>
              <w:bottom w:type="dxa" w:w="70"/>
              <w:right w:type="dxa" w:w="110"/>
            </w:tcMar>
          </w:tcPr>
          <w:p>
            <w:pPr>
              <w:keepNext/>
              <w:spacing w:after="0" w:line="240"/>
            </w:pPr>
            <w:r>
              <w:t xml:space="preserve">gemini</w:t>
            </w:r>
          </w:p>
        </w:tc>
        <w:tc>
          <w:tcPr>
            <w:tcW w:type="dxa" w:w="1800"/>
            <w:tcMar>
              <w:top w:type="dxa" w:w="70"/>
              <w:left w:type="dxa" w:w="110"/>
              <w:bottom w:type="dxa" w:w="70"/>
              <w:right w:type="dxa" w:w="110"/>
            </w:tcMar>
          </w:tcPr>
          <w:p>
            <w:pPr>
              <w:keepNext/>
              <w:spacing w:after="0" w:line="240"/>
            </w:pPr>
            <w:r>
              <w:t xml:space="preserve">0,654</w:t>
            </w:r>
          </w:p>
        </w:tc>
        <w:tc>
          <w:tcPr>
            <w:tcW w:type="dxa" w:w="1800"/>
            <w:tcMar>
              <w:top w:type="dxa" w:w="70"/>
              <w:left w:type="dxa" w:w="110"/>
              <w:bottom w:type="dxa" w:w="70"/>
              <w:right w:type="dxa" w:w="110"/>
            </w:tcMar>
          </w:tcPr>
          <w:p>
            <w:pPr>
              <w:keepNext/>
              <w:spacing w:after="0" w:line="240"/>
            </w:pPr>
            <w:r>
              <w:t xml:space="preserve">0,429</w:t>
            </w:r>
          </w:p>
        </w:tc>
        <w:tc>
          <w:tcPr>
            <w:tcW w:type="dxa" w:w="2000"/>
            <w:tcMar>
              <w:top w:type="dxa" w:w="70"/>
              <w:left w:type="dxa" w:w="110"/>
              <w:bottom w:type="dxa" w:w="70"/>
              <w:right w:type="dxa" w:w="110"/>
            </w:tcMar>
          </w:tcPr>
          <w:p>
            <w:pPr>
              <w:keepNext/>
              <w:spacing w:after="0" w:line="240"/>
            </w:pPr>
            <w:r>
              <w:t xml:space="preserve">24 av 40</w:t>
            </w:r>
          </w:p>
        </w:tc>
        <w:tc>
          <w:tcPr>
            <w:tcW w:type="dxa" w:w="1926"/>
            <w:tcMar>
              <w:top w:type="dxa" w:w="70"/>
              <w:left w:type="dxa" w:w="110"/>
              <w:bottom w:type="dxa" w:w="70"/>
              <w:right w:type="dxa" w:w="110"/>
            </w:tcMar>
          </w:tcPr>
          <w:p>
            <w:pPr>
              <w:keepNext/>
              <w:spacing w:after="0" w:line="240"/>
            </w:pPr>
            <w:r>
              <w:t xml:space="preserve">1</w:t>
            </w:r>
          </w:p>
        </w:tc>
      </w:tr>
      <w:tr>
        <w:trPr>
          <w:cantSplit/>
        </w:trPr>
        <w:tc>
          <w:tcPr>
            <w:tcW w:type="dxa" w:w="1500"/>
            <w:tcMar>
              <w:top w:type="dxa" w:w="70"/>
              <w:left w:type="dxa" w:w="110"/>
              <w:bottom w:type="dxa" w:w="70"/>
              <w:right w:type="dxa" w:w="110"/>
            </w:tcMar>
          </w:tcPr>
          <w:p>
            <w:pPr>
              <w:keepNext w:val="false"/>
              <w:spacing w:after="0" w:line="240"/>
            </w:pPr>
            <w:r>
              <w:t xml:space="preserve">gpt</w:t>
            </w:r>
          </w:p>
        </w:tc>
        <w:tc>
          <w:tcPr>
            <w:tcW w:type="dxa" w:w="1800"/>
            <w:tcMar>
              <w:top w:type="dxa" w:w="70"/>
              <w:left w:type="dxa" w:w="110"/>
              <w:bottom w:type="dxa" w:w="70"/>
              <w:right w:type="dxa" w:w="110"/>
            </w:tcMar>
          </w:tcPr>
          <w:p>
            <w:pPr>
              <w:keepNext w:val="false"/>
              <w:spacing w:after="0" w:line="240"/>
            </w:pPr>
            <w:r>
              <w:t xml:space="preserve">0,718</w:t>
            </w:r>
          </w:p>
        </w:tc>
        <w:tc>
          <w:tcPr>
            <w:tcW w:type="dxa" w:w="1800"/>
            <w:tcMar>
              <w:top w:type="dxa" w:w="70"/>
              <w:left w:type="dxa" w:w="110"/>
              <w:bottom w:type="dxa" w:w="70"/>
              <w:right w:type="dxa" w:w="110"/>
            </w:tcMar>
          </w:tcPr>
          <w:p>
            <w:pPr>
              <w:keepNext w:val="false"/>
              <w:spacing w:after="0" w:line="240"/>
            </w:pPr>
            <w:r>
              <w:t xml:space="preserve">1,000</w:t>
            </w:r>
          </w:p>
        </w:tc>
        <w:tc>
          <w:tcPr>
            <w:tcW w:type="dxa" w:w="2000"/>
            <w:tcMar>
              <w:top w:type="dxa" w:w="70"/>
              <w:left w:type="dxa" w:w="110"/>
              <w:bottom w:type="dxa" w:w="70"/>
              <w:right w:type="dxa" w:w="110"/>
            </w:tcMar>
          </w:tcPr>
          <w:p>
            <w:pPr>
              <w:keepNext w:val="false"/>
              <w:spacing w:after="0" w:line="240"/>
            </w:pPr>
            <w:r>
              <w:t xml:space="preserve">16 av 40</w:t>
            </w:r>
          </w:p>
        </w:tc>
        <w:tc>
          <w:tcPr>
            <w:tcW w:type="dxa" w:w="1926"/>
            <w:tcMar>
              <w:top w:type="dxa" w:w="70"/>
              <w:left w:type="dxa" w:w="110"/>
              <w:bottom w:type="dxa" w:w="70"/>
              <w:right w:type="dxa" w:w="110"/>
            </w:tcMar>
          </w:tcPr>
          <w:p>
            <w:pPr>
              <w:keepNext w:val="false"/>
              <w:spacing w:after="0" w:line="240"/>
            </w:pPr>
            <w:r>
              <w:t xml:space="preserve">2</w:t>
            </w:r>
          </w:p>
        </w:tc>
      </w:tr>
    </w:tbl>
    <w:p>
      <w:pPr>
        <w:spacing w:after="160"/>
      </w:pPr>
    </w:p>
    <w:p>
      <w:pPr>
        <w:spacing w:after="140" w:line="276"/>
      </w:pPr>
      <w:r>
        <w:t xml:space="preserve">Jaccard 0,429 for Gemini betyr at tre av fem i topplista er felles mellom to identiske kjøringer. To av fem innkallinger byttet ut, med identisk prompt og identisk modell.</w:t>
      </w:r>
    </w:p>
    <w:p>
      <w:pPr>
        <w:spacing w:after="140" w:line="276"/>
      </w:pPr>
      <w:r>
        <w:t xml:space="preserve">GPTs 1,000 sammen med τ = 0,718 er påfallende: topplista er identisk mens rangeringen ellers er stokket. Det kan bety at topp-5 er godt separert på score — men med ett par kan det like gjerne være sammenfall. To kandidater på grensa gjør at gulvet kan være kunstig stramt.</w:t>
      </w:r>
    </w:p>
    <w:p>
      <w:pPr>
        <w:spacing w:after="140" w:line="276"/>
      </w:pPr>
      <w:r>
        <w:t xml:space="preserve">Volatile enkeltkandidater, som kommuniserer funnet bedre enn aggregatene:</w:t>
      </w:r>
    </w:p>
    <w:p>
      <w:pPr>
        <w:pStyle w:val="ListParagraph"/>
        <w:numPr>
          <w:ilvl w:val="0"/>
          <w:numId w:val="2"/>
        </w:numPr>
        <w:spacing w:after="90" w:line="276"/>
      </w:pPr>
      <w:r>
        <w:rPr>
          <w:b/>
          <w:bCs/>
        </w:rPr>
        <w:t xml:space="preserve">K040 (claude):</w:t>
      </w:r>
      <w:r>
        <w:t xml:space="preserve"> mellom 7. og 28. plass</w:t>
      </w:r>
    </w:p>
    <w:p>
      <w:pPr>
        <w:pStyle w:val="ListParagraph"/>
        <w:numPr>
          <w:ilvl w:val="0"/>
          <w:numId w:val="2"/>
        </w:numPr>
        <w:spacing w:after="90" w:line="276"/>
      </w:pPr>
      <w:r>
        <w:rPr>
          <w:b/>
          <w:bCs/>
        </w:rPr>
        <w:t xml:space="preserve">K019 (gpt):</w:t>
      </w:r>
      <w:r>
        <w:t xml:space="preserve"> mellom 8. og 28. plass</w:t>
      </w:r>
    </w:p>
    <w:p>
      <w:pPr>
        <w:pStyle w:val="ListParagraph"/>
        <w:numPr>
          <w:ilvl w:val="0"/>
          <w:numId w:val="2"/>
        </w:numPr>
        <w:spacing w:after="90" w:line="276"/>
      </w:pPr>
      <w:r>
        <w:rPr>
          <w:b/>
          <w:bCs/>
        </w:rPr>
        <w:t xml:space="preserve">K010 (gemini):</w:t>
      </w:r>
      <w:r>
        <w:t xml:space="preserve"> mellom 20. og 36. plass</w:t>
      </w:r>
    </w:p>
    <w:p>
      <w:pPr>
        <w:pStyle w:val="Heading2"/>
        <w:spacing w:after="120" w:before="280"/>
      </w:pPr>
      <w:r>
        <w:t xml:space="preserve">5.2 Dekomponert scorevarians</w:t>
      </w:r>
    </w:p>
    <w:p>
      <w:pPr>
        <w:spacing w:after="140" w:line="276"/>
      </w:pPr>
      <w:r>
        <w:t xml:space="preserve">Variansen i scorepoeng er delt i variasjon mellom kandidater (signal) og mellom kjøringer (støy). Utdrag for P0: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cantSplit/>
          <w:tblHeader/>
        </w:trPr>
        <w:tc>
          <w:tcPr>
            <w:tcW w:type="dxa" w:w="2400"/>
            <w:shd w:fill="EFEFEF" w:color="auto" w:val="clear"/>
            <w:tcMar>
              <w:top w:type="dxa" w:w="70"/>
              <w:left w:type="dxa" w:w="110"/>
              <w:bottom w:type="dxa" w:w="70"/>
              <w:right w:type="dxa" w:w="110"/>
            </w:tcMar>
          </w:tcPr>
          <w:p>
            <w:pPr>
              <w:keepNext/>
              <w:spacing w:after="0" w:line="240"/>
            </w:pPr>
          </w:p>
        </w:tc>
        <w:tc>
          <w:tcPr>
            <w:tcW w:type="dxa" w:w="3300"/>
            <w:shd w:fill="EFEFEF" w:color="auto" w:val="clear"/>
            <w:tcMar>
              <w:top w:type="dxa" w:w="70"/>
              <w:left w:type="dxa" w:w="110"/>
              <w:bottom w:type="dxa" w:w="70"/>
              <w:right w:type="dxa" w:w="110"/>
            </w:tcMar>
          </w:tcPr>
          <w:p>
            <w:pPr>
              <w:keepNext/>
              <w:spacing w:after="0" w:line="240"/>
            </w:pPr>
            <w:r>
              <w:rPr>
                <w:b/>
                <w:bCs/>
              </w:rPr>
              <w:t xml:space="preserve">Mellom kandidater</w:t>
            </w:r>
          </w:p>
        </w:tc>
        <w:tc>
          <w:tcPr>
            <w:tcW w:type="dxa" w:w="3326"/>
            <w:shd w:fill="EFEFEF" w:color="auto" w:val="clear"/>
            <w:tcMar>
              <w:top w:type="dxa" w:w="70"/>
              <w:left w:type="dxa" w:w="110"/>
              <w:bottom w:type="dxa" w:w="70"/>
              <w:right w:type="dxa" w:w="110"/>
            </w:tcMar>
          </w:tcPr>
          <w:p>
            <w:pPr>
              <w:keepNext/>
              <w:spacing w:after="0" w:line="240"/>
            </w:pPr>
            <w:r>
              <w:rPr>
                <w:b/>
                <w:bCs/>
              </w:rPr>
              <w:t xml:space="preserve">Mellom kjøringer</w:t>
            </w:r>
          </w:p>
        </w:tc>
      </w:tr>
      <w:tr>
        <w:trPr>
          <w:cantSplit/>
        </w:trPr>
        <w:tc>
          <w:tcPr>
            <w:tcW w:type="dxa" w:w="2400"/>
            <w:tcMar>
              <w:top w:type="dxa" w:w="70"/>
              <w:left w:type="dxa" w:w="110"/>
              <w:bottom w:type="dxa" w:w="70"/>
              <w:right w:type="dxa" w:w="110"/>
            </w:tcMar>
          </w:tcPr>
          <w:p>
            <w:pPr>
              <w:keepNext/>
              <w:spacing w:after="0" w:line="240"/>
            </w:pPr>
            <w:r>
              <w:t xml:space="preserve">claude</w:t>
            </w:r>
          </w:p>
        </w:tc>
        <w:tc>
          <w:tcPr>
            <w:tcW w:type="dxa" w:w="3300"/>
            <w:tcMar>
              <w:top w:type="dxa" w:w="70"/>
              <w:left w:type="dxa" w:w="110"/>
              <w:bottom w:type="dxa" w:w="70"/>
              <w:right w:type="dxa" w:w="110"/>
            </w:tcMar>
          </w:tcPr>
          <w:p>
            <w:pPr>
              <w:keepNext/>
              <w:spacing w:after="0" w:line="240"/>
            </w:pPr>
            <w:r>
              <w:t xml:space="preserve">4,41</w:t>
            </w:r>
          </w:p>
        </w:tc>
        <w:tc>
          <w:tcPr>
            <w:tcW w:type="dxa" w:w="3326"/>
            <w:tcMar>
              <w:top w:type="dxa" w:w="70"/>
              <w:left w:type="dxa" w:w="110"/>
              <w:bottom w:type="dxa" w:w="70"/>
              <w:right w:type="dxa" w:w="110"/>
            </w:tcMar>
          </w:tcPr>
          <w:p>
            <w:pPr>
              <w:keepNext/>
              <w:spacing w:after="0" w:line="240"/>
            </w:pPr>
            <w:r>
              <w:t xml:space="preserve">0,33</w:t>
            </w:r>
          </w:p>
        </w:tc>
      </w:tr>
      <w:tr>
        <w:trPr>
          <w:cantSplit/>
        </w:trPr>
        <w:tc>
          <w:tcPr>
            <w:tcW w:type="dxa" w:w="2400"/>
            <w:tcMar>
              <w:top w:type="dxa" w:w="70"/>
              <w:left w:type="dxa" w:w="110"/>
              <w:bottom w:type="dxa" w:w="70"/>
              <w:right w:type="dxa" w:w="110"/>
            </w:tcMar>
          </w:tcPr>
          <w:p>
            <w:pPr>
              <w:keepNext/>
              <w:spacing w:after="0" w:line="240"/>
            </w:pPr>
            <w:r>
              <w:t xml:space="preserve">gpt</w:t>
            </w:r>
          </w:p>
        </w:tc>
        <w:tc>
          <w:tcPr>
            <w:tcW w:type="dxa" w:w="3300"/>
            <w:tcMar>
              <w:top w:type="dxa" w:w="70"/>
              <w:left w:type="dxa" w:w="110"/>
              <w:bottom w:type="dxa" w:w="70"/>
              <w:right w:type="dxa" w:w="110"/>
            </w:tcMar>
          </w:tcPr>
          <w:p>
            <w:pPr>
              <w:keepNext/>
              <w:spacing w:after="0" w:line="240"/>
            </w:pPr>
            <w:r>
              <w:t xml:space="preserve">6,29</w:t>
            </w:r>
          </w:p>
        </w:tc>
        <w:tc>
          <w:tcPr>
            <w:tcW w:type="dxa" w:w="3326"/>
            <w:tcMar>
              <w:top w:type="dxa" w:w="70"/>
              <w:left w:type="dxa" w:w="110"/>
              <w:bottom w:type="dxa" w:w="70"/>
              <w:right w:type="dxa" w:w="110"/>
            </w:tcMar>
          </w:tcPr>
          <w:p>
            <w:pPr>
              <w:keepNext/>
              <w:spacing w:after="0" w:line="240"/>
            </w:pPr>
            <w:r>
              <w:t xml:space="preserve">0,95</w:t>
            </w:r>
          </w:p>
        </w:tc>
      </w:tr>
      <w:tr>
        <w:trPr>
          <w:cantSplit/>
        </w:trPr>
        <w:tc>
          <w:tcPr>
            <w:tcW w:type="dxa" w:w="2400"/>
            <w:tcMar>
              <w:top w:type="dxa" w:w="70"/>
              <w:left w:type="dxa" w:w="110"/>
              <w:bottom w:type="dxa" w:w="70"/>
              <w:right w:type="dxa" w:w="110"/>
            </w:tcMar>
          </w:tcPr>
          <w:p>
            <w:pPr>
              <w:keepNext w:val="false"/>
              <w:spacing w:after="0" w:line="240"/>
            </w:pPr>
            <w:r>
              <w:t xml:space="preserve">gemini</w:t>
            </w:r>
          </w:p>
        </w:tc>
        <w:tc>
          <w:tcPr>
            <w:tcW w:type="dxa" w:w="3300"/>
            <w:tcMar>
              <w:top w:type="dxa" w:w="70"/>
              <w:left w:type="dxa" w:w="110"/>
              <w:bottom w:type="dxa" w:w="70"/>
              <w:right w:type="dxa" w:w="110"/>
            </w:tcMar>
          </w:tcPr>
          <w:p>
            <w:pPr>
              <w:keepNext w:val="false"/>
              <w:spacing w:after="0" w:line="240"/>
            </w:pPr>
            <w:r>
              <w:t xml:space="preserve">5,70</w:t>
            </w:r>
          </w:p>
        </w:tc>
        <w:tc>
          <w:tcPr>
            <w:tcW w:type="dxa" w:w="3326"/>
            <w:tcMar>
              <w:top w:type="dxa" w:w="70"/>
              <w:left w:type="dxa" w:w="110"/>
              <w:bottom w:type="dxa" w:w="70"/>
              <w:right w:type="dxa" w:w="110"/>
            </w:tcMar>
          </w:tcPr>
          <w:p>
            <w:pPr>
              <w:keepNext w:val="false"/>
              <w:spacing w:after="0" w:line="240"/>
            </w:pPr>
            <w:r>
              <w:t xml:space="preserve">1,83</w:t>
            </w:r>
          </w:p>
        </w:tc>
      </w:tr>
    </w:tbl>
    <w:p>
      <w:pPr>
        <w:spacing w:after="160"/>
      </w:pPr>
    </w:p>
    <w:p>
      <w:pPr>
        <w:spacing w:after="140" w:line="276"/>
      </w:pPr>
      <w:r>
        <w:t xml:space="preserve">To observasjoner som overlevde reparsingen:</w:t>
      </w:r>
    </w:p>
    <w:p>
      <w:pPr>
        <w:pStyle w:val="ListParagraph"/>
        <w:numPr>
          <w:ilvl w:val="0"/>
          <w:numId w:val="2"/>
        </w:numPr>
        <w:spacing w:after="90" w:line="276"/>
      </w:pPr>
      <w:r>
        <w:rPr>
          <w:b/>
          <w:bCs/>
        </w:rPr>
        <w:t xml:space="preserve">Claude P4 (JSON) doblet mellom-kandidat-spredningen</w:t>
      </w:r>
      <w:r>
        <w:t xml:space="preserve"> til 8,91, uten økt støy (0,34). Formatendringen skjerpet diskrimineringen mellom kandidater. Det er ikke brittleness.</w:t>
      </w:r>
    </w:p>
    <w:p>
      <w:pPr>
        <w:pStyle w:val="ListParagraph"/>
        <w:numPr>
          <w:ilvl w:val="0"/>
          <w:numId w:val="2"/>
        </w:numPr>
        <w:spacing w:after="90" w:line="276"/>
      </w:pPr>
      <w:r>
        <w:rPr>
          <w:b/>
          <w:bCs/>
        </w:rPr>
        <w:t xml:space="preserve">Gemini P3 (omrokkering) reduserte støyen</w:t>
      </w:r>
      <w:r>
        <w:t xml:space="preserve"> fra 1,83 til 1,15, altså motsatt vei av det den tilsynelatende gjorde for GPT. Prompt-sensitivitet er en interaksjon mellom prompt og modell, ikke en egenskap ved prompten. Det undergraver ideen om en «robust prompt» som kan gjenbrukes på tvers av leverandører.</w:t>
      </w:r>
    </w:p>
    <w:p>
      <w:pPr>
        <w:spacing w:after="140" w:line="276"/>
      </w:pPr>
      <w:r>
        <w:t xml:space="preserve">Merk at scorevarians ikke er rangeringsavstand. En modell kan ha lav scorestøy og likevel stokke topplista mye, hvis kandidatene ligger tett. Jaccard@5 er målet; standardavvik er en indikasjon.</w:t>
      </w:r>
    </w:p>
    <w:p>
      <w:pPr>
        <w:pStyle w:val="Heading2"/>
        <w:spacing w:after="120" w:before="280"/>
      </w:pPr>
      <w:r>
        <w:t xml:space="preserve">5.3 Begrunnelse og tall er nesten uavhengige produkter</w:t>
      </w:r>
    </w:p>
    <w:p>
      <w:pPr>
        <w:spacing w:after="140" w:line="276"/>
      </w:pPr>
      <w:r>
        <w:t xml:space="preserve">På samme CV ga modellene 72,5 / 87,5 / 88,0 med </w:t>
      </w:r>
      <w:r>
        <w:rPr>
          <w:i/>
          <w:iCs/>
        </w:rPr>
        <w:t xml:space="preserve">samme</w:t>
      </w:r>
      <w:r>
        <w:t xml:space="preserve"> observerte svakhet beskrevet i begrunnelsen (manglende dokumentasjon av konkrete prosjekter). De er enige om diagnosen og uenige om hva den koster.</w:t>
      </w:r>
    </w:p>
    <w:p>
      <w:pPr>
        <w:spacing w:after="140" w:line="276"/>
      </w:pPr>
      <w:r>
        <w:t xml:space="preserve">En rekruttør som leser begrunnelsene vil oppleve modellene som samstemte. En som sorterer på score, får tre ulike bilder. Begrunnelsen fungerer som forklaring i etterkant, ikke som regnskap scoren er utledet fra.</w:t>
      </w:r>
    </w:p>
    <w:p>
      <w:pPr>
        <w:spacing w:after="140" w:line="276"/>
      </w:pPr>
      <w:r>
        <w:t xml:space="preserve">Nivåforskjellen påvirker ikke analysen — Jaccard og Kendall τ er invariante under monotone transformasjoner — men observasjonen er relevant for forklarbarhetsdiskusjonen.</w:t>
      </w:r>
    </w:p>
    <w:p>
      <w:pPr>
        <w:pBdr>
          <w:bottom w:val="single" w:color="CCCCCC" w:sz="6" w:space="1"/>
        </w:pBdr>
        <w:spacing w:after="260" w:before="200"/>
      </w:pPr>
    </w:p>
    <w:p>
      <w:pPr>
        <w:pStyle w:val="Heading1"/>
        <w:spacing w:after="160" w:before="360"/>
      </w:pPr>
      <w:r>
        <w:t xml:space="preserve">6. Neste steg</w:t>
      </w:r>
    </w:p>
    <w:p>
      <w:pPr>
        <w:pStyle w:val="ListParagraph"/>
        <w:numPr>
          <w:ilvl w:val="0"/>
          <w:numId w:val="3"/>
        </w:numPr>
        <w:spacing w:after="90" w:line="276"/>
      </w:pPr>
      <w:r>
        <w:rPr>
          <w:b/>
          <w:bCs/>
        </w:rPr>
        <w:t xml:space="preserve">LETT_MODUS = False</w:t>
      </w:r>
      <w:r>
        <w:t xml:space="preserve">, kjør del 8 og 9. Gir 10 P0-repetisjoner og 45 par per modell. Kostnadsanslag: ~2 000 kall per modell, og for Gemini omtrent 2 millioner tenketokens. Loggen er resumerbar.</w:t>
      </w:r>
    </w:p>
    <w:p>
      <w:pPr>
        <w:pStyle w:val="ListParagraph"/>
        <w:numPr>
          <w:ilvl w:val="0"/>
          <w:numId w:val="3"/>
        </w:numPr>
        <w:spacing w:after="90" w:line="276"/>
      </w:pPr>
      <w:r>
        <w:rPr>
          <w:b/>
          <w:bCs/>
        </w:rPr>
        <w:t xml:space="preserve">Del 12 og 13</w:t>
      </w:r>
      <w:r>
        <w:t xml:space="preserve"> blir tolkbare først da. Kritisk kontroll: både P0d og P0-kontroll2 (Gemini) skal ligge inne i støygulvbåndet. Slår en av dem ut, er gulvet underestimert og hele kolonnen av «skjelnbare» funn er en artefakt.</w:t>
      </w:r>
    </w:p>
    <w:p>
      <w:pPr>
        <w:pStyle w:val="ListParagraph"/>
        <w:numPr>
          <w:ilvl w:val="0"/>
          <w:numId w:val="3"/>
        </w:numPr>
        <w:spacing w:after="90" w:line="276"/>
      </w:pPr>
      <w:r>
        <w:rPr>
          <w:b/>
          <w:bCs/>
        </w:rPr>
        <w:t xml:space="preserve">Del 14–16</w:t>
      </w:r>
      <w:r>
        <w:t xml:space="preserve"> for disparate impact, kontrafaktiske par og validitet mot fasiten.</w:t>
      </w:r>
    </w:p>
    <w:p>
      <w:pPr>
        <w:pStyle w:val="ListParagraph"/>
        <w:numPr>
          <w:ilvl w:val="0"/>
          <w:numId w:val="3"/>
        </w:numPr>
        <w:spacing w:after="90" w:line="276"/>
      </w:pPr>
      <w:r>
        <w:rPr>
          <w:b/>
          <w:bCs/>
        </w:rPr>
        <w:t xml:space="preserve">Delscorene ligger nå i loggen</w:t>
      </w:r>
      <w:r>
        <w:t xml:space="preserve"> (</w:t>
      </w:r>
      <w:r>
        <w:rPr>
          <w:rFonts w:ascii="Consolas" w:cs="Consolas" w:eastAsia="Consolas" w:hAnsi="Consolas"/>
          <w:sz w:val="19"/>
          <w:szCs w:val="19"/>
        </w:rPr>
        <w:t xml:space="preserve">deler</w:t>
      </w:r>
      <w:r>
        <w:t xml:space="preserve">, </w:t>
      </w:r>
      <w:r>
        <w:rPr>
          <w:rFonts w:ascii="Consolas" w:cs="Consolas" w:eastAsia="Consolas" w:hAnsi="Consolas"/>
          <w:sz w:val="19"/>
          <w:szCs w:val="19"/>
        </w:rPr>
        <w:t xml:space="preserve">deler_sum_ok</w:t>
      </w:r>
      <w:r>
        <w:t xml:space="preserve">) for alle 2 256 rader. De åpner to analyser uten nye API-kall: om totalen faktisk er summen modellen oppgir, og om en enkelt komponent bærer proxy-signalet i del 16.</w:t>
      </w:r>
    </w:p>
    <w:p>
      <w:pPr>
        <w:pStyle w:val="Heading2"/>
        <w:spacing w:after="120" w:before="280"/>
      </w:pPr>
      <w:r>
        <w:t xml:space="preserve">Til hovedstudien</w:t>
      </w:r>
    </w:p>
    <w:p>
      <w:pPr>
        <w:pStyle w:val="ListParagraph"/>
        <w:numPr>
          <w:ilvl w:val="0"/>
          <w:numId w:val="2"/>
        </w:numPr>
        <w:spacing w:after="90" w:line="276"/>
      </w:pPr>
      <w:r>
        <w:t xml:space="preserve">Flytt delscore-instruksjonen inn i formatblokken for P3 (§3.2).</w:t>
      </w:r>
    </w:p>
    <w:p>
      <w:pPr>
        <w:pStyle w:val="ListParagraph"/>
        <w:numPr>
          <w:ilvl w:val="0"/>
          <w:numId w:val="2"/>
        </w:numPr>
        <w:spacing w:after="90" w:line="276"/>
      </w:pPr>
      <w:r>
        <w:t xml:space="preserve">Vurder eksplisitt vekting av kriteriene. Det gir realisme, og gjør det mulig å teste om modellen </w:t>
      </w:r>
      <w:r>
        <w:rPr>
          <w:i/>
          <w:iCs/>
        </w:rPr>
        <w:t xml:space="preserve">følger</w:t>
      </w:r>
      <w:r>
        <w:t xml:space="preserve"> den vektingen den fikk — samme funn-struktur som temperatursaken. Det bør ikke innføres samtidig med andre endringer.</w:t>
      </w:r>
    </w:p>
    <w:p>
      <w:pPr>
        <w:pStyle w:val="ListParagraph"/>
        <w:numPr>
          <w:ilvl w:val="0"/>
          <w:numId w:val="2"/>
        </w:numPr>
        <w:spacing w:after="90" w:line="276"/>
      </w:pPr>
      <w:r>
        <w:t xml:space="preserve">Verifiser at rate limits og tokenbudsjetter holder for 150 kandidater før kjøring starter.</w:t>
      </w:r>
    </w:p>
    <w:p>
      <w:pPr>
        <w:pBdr>
          <w:bottom w:val="single" w:color="CCCCCC" w:sz="6" w:space="1"/>
        </w:pBdr>
        <w:spacing w:after="260" w:before="200"/>
      </w:pPr>
    </w:p>
    <w:p>
      <w:pPr>
        <w:pStyle w:val="Heading1"/>
        <w:spacing w:after="160" w:before="360"/>
      </w:pPr>
      <w:r>
        <w:t xml:space="preserve">7. Begrensninger som skal stå i enhver rapportering</w:t>
      </w:r>
    </w:p>
    <w:p>
      <w:pPr>
        <w:pStyle w:val="ListParagraph"/>
        <w:numPr>
          <w:ilvl w:val="0"/>
          <w:numId w:val="2"/>
        </w:numPr>
        <w:spacing w:after="90" w:line="276"/>
      </w:pPr>
      <w:r>
        <w:rPr>
          <w:b/>
          <w:bCs/>
        </w:rPr>
        <w:t xml:space="preserve">Piloten er n = 40.</w:t>
      </w:r>
      <w:r>
        <w:t xml:space="preserve"> Alle rettferdighetstall er diagnostikk for å se at måleoppsettet virker, ikke funn om modellenes rettferdighet.</w:t>
      </w:r>
    </w:p>
    <w:p>
      <w:pPr>
        <w:pStyle w:val="ListParagraph"/>
        <w:numPr>
          <w:ilvl w:val="0"/>
          <w:numId w:val="2"/>
        </w:numPr>
        <w:spacing w:after="90" w:line="276"/>
      </w:pPr>
      <w:r>
        <w:rPr>
          <w:b/>
          <w:bCs/>
        </w:rPr>
        <w:t xml:space="preserve">Modellene kjører under ulike parameterregimer</w:t>
      </w:r>
      <w:r>
        <w:t xml:space="preserve"> (§4.1). RQ4 er en sammenligning slik modellene lar seg kjøre gjennom sine API-er per august 2026, ikke under identiske samplingparametre — sistnevnte er ikke lenger mulig.</w:t>
      </w:r>
    </w:p>
    <w:p>
      <w:pPr>
        <w:pStyle w:val="ListParagraph"/>
        <w:numPr>
          <w:ilvl w:val="0"/>
          <w:numId w:val="2"/>
        </w:numPr>
        <w:spacing w:after="90" w:line="276"/>
      </w:pPr>
      <w:r>
        <w:rPr>
          <w:b/>
          <w:bCs/>
        </w:rPr>
        <w:t xml:space="preserve">Elisiteringen er valgt etter observasjon</w:t>
      </w:r>
      <w:r>
        <w:t xml:space="preserve"> av spredning på 20 CV-er. Utvalget er lite og prosessen iterativ.</w:t>
      </w:r>
    </w:p>
    <w:p>
      <w:pPr>
        <w:pStyle w:val="ListParagraph"/>
        <w:numPr>
          <w:ilvl w:val="0"/>
          <w:numId w:val="2"/>
        </w:numPr>
        <w:spacing w:after="90" w:line="276"/>
      </w:pPr>
      <w:r>
        <w:rPr>
          <w:b/>
          <w:bCs/>
        </w:rPr>
        <w:t xml:space="preserve">Bindinger på topp-K-grensa er 1–2 per modell.</w:t>
      </w:r>
      <w:r>
        <w:t xml:space="preserve"> Én binding brytes alfabetisk i hver kjøring. Det er akseptabelt, men ikke null.</w:t>
      </w:r>
    </w:p>
    <w:p>
      <w:pPr>
        <w:pStyle w:val="ListParagraph"/>
        <w:numPr>
          <w:ilvl w:val="0"/>
          <w:numId w:val="2"/>
        </w:numPr>
        <w:spacing w:after="90" w:line="276"/>
      </w:pPr>
      <w:r>
        <w:rPr>
          <w:b/>
          <w:bCs/>
        </w:rPr>
        <w:t xml:space="preserve">Kandidatene er syntetiske</w:t>
      </w:r>
      <w:r>
        <w:t xml:space="preserve">, med meritt trukket fra samme fordeling for alle demografiske grupper. Funnene viser mekanisme, ikke effektstørrelse i virkelige søkerpooler.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1A1A1A"/>
      <w:sz w:val="30"/>
      <w:szCs w:val="30"/>
    </w:rPr>
  </w:style>
  <w:style w:type="paragraph" w:styleId="Heading2">
    <w:name w:val="Heading 2"/>
    <w:basedOn w:val="Normal"/>
    <w:next w:val="Normal"/>
    <w:qFormat/>
    <w:rPr>
      <w:rFonts w:ascii="Calibri" w:cs="Calibri" w:eastAsia="Calibri" w:hAnsi="Calibri"/>
      <w:b/>
      <w:bCs/>
      <w:color w:val="333333"/>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2026-08-07T13:59:48.322Z</dcterms:created>
  <dcterms:modified xsi:type="dcterms:W3CDTF">2026-08-07T13:59:48.322Z</dcterms:modified>
</cp:coreProperties>
</file>

<file path=docProps/custom.xml><?xml version="1.0" encoding="utf-8"?>
<Properties xmlns="http://schemas.openxmlformats.org/officeDocument/2006/custom-properties" xmlns:vt="http://schemas.openxmlformats.org/officeDocument/2006/docPropsVTypes"/>
</file>