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il" w:sz="0"/>
          <w:left w:val="nil" w:sz="0"/>
          <w:bottom w:val="nil" w:sz="0"/>
          <w:right w:val="nil" w:sz="0"/>
          <w:insideH w:val="single" w:color="auto" w:sz="4"/>
          <w:insideV w:val="single" w:color="auto" w:sz="4"/>
        </w:tblBorders>
      </w:tblPr>
      <w:tblGrid>
        <w:gridCol w:w="100"/>
        <w:gridCol w:w="100"/>
      </w:tblGrid>
      <w:tr>
        <w:tc>
          <w:tcPr>
            <w:tcW w:type="pct" w:w="50%"/>
            <w:tcBorders>
              <w:top w:val="nil" w:sz="0"/>
              <w:left w:val="nil" w:sz="0"/>
              <w:bottom w:val="nil" w:sz="0"/>
              <w:right w:val="nil" w:sz="0"/>
            </w:tcBorders>
            <w:tcMar>
              <w:top w:type="dxa" w:w="0"/>
              <w:left w:type="dxa" w:w="0"/>
              <w:bottom w:type="dxa" w:w="0"/>
              <w:right w:type="dxa" w:w="0"/>
            </w:tcMar>
          </w:tcPr>
          <w:p>
            <w:pPr>
              <w:spacing w:after="120"/>
              <w:jc w:val="center"/>
            </w:pPr>
            <w:r>
              <w:rPr>
                <w:b w:val="false"/>
                <w:bCs w:val="false"/>
                <w:sz w:val="24"/>
                <w:szCs w:val="24"/>
              </w:rPr>
              <w:t xml:space="preserve">BỘ TƯ PHÁP</w:t>
            </w:r>
          </w:p>
          <w:p>
            <w:pPr>
              <w:jc w:val="center"/>
            </w:pPr>
            <w:r>
              <w:rPr>
                <w:b/>
                <w:bCs/>
                <w:sz w:val="26"/>
                <w:szCs w:val="26"/>
              </w:rPr>
              <w:t xml:space="preserve">VỤ CÁC VẤN ĐỀ CHUNG VỀ XÂY DỰNG PHÁP LUẬT</w:t>
            </w:r>
          </w:p>
          <w:p>
            <w:pPr>
              <w:spacing w:after="100"/>
              <w:jc w:val="center"/>
            </w:pPr>
            <w:r>
              <w:rPr>
                <w:sz w:val="26"/>
                <w:szCs w:val="26"/>
              </w:rPr>
              <w:t xml:space="preserve">‾‾‾‾‾‾‾‾‾‾‾‾‾‾‾‾‾‾‾</w:t>
            </w:r>
          </w:p>
          <w:p>
            <w:pPr>
              <w:spacing w:after="100"/>
              <w:jc w:val="center"/>
            </w:pPr>
            <w:r>
              <w:rPr>
                <w:sz w:val="26"/>
                <w:szCs w:val="26"/>
              </w:rPr>
              <w:t xml:space="preserve">Số: </w:t>
            </w:r>
            <w:r>
              <w:rPr>
                <w:sz w:val="26"/>
                <w:szCs w:val="26"/>
              </w:rPr>
              <w:t xml:space="preserve">353 /VĐCXDPL-XDPL</w:t>
            </w:r>
          </w:p>
          <w:p>
            <w:pPr>
              <w:spacing w:after="120"/>
              <w:jc w:val="center"/>
            </w:pPr>
            <w:r>
              <w:rPr>
                <w:sz w:val="22"/>
                <w:szCs w:val="22"/>
              </w:rPr>
              <w:t xml:space="preserve">V/v nghiên cứu trả lời kiến nghị của địa phương, bộ, ngành</w:t>
            </w:r>
          </w:p>
        </w:tc>
        <w:tc>
          <w:tcPr>
            <w:tcW w:type="pct" w:w="50%"/>
            <w:tcBorders>
              <w:top w:val="nil" w:sz="0"/>
              <w:left w:val="nil" w:sz="0"/>
              <w:bottom w:val="nil" w:sz="0"/>
              <w:right w:val="nil" w:sz="0"/>
            </w:tcBorders>
            <w:tcMar>
              <w:top w:type="dxa" w:w="0"/>
              <w:left w:type="dxa" w:w="0"/>
              <w:bottom w:type="dxa" w:w="0"/>
              <w:right w:type="dxa" w:w="0"/>
            </w:tcMar>
          </w:tcPr>
          <w:p>
            <w:pPr>
              <w:jc w:val="center"/>
            </w:pPr>
            <w:r>
              <w:rPr>
                <w:b/>
                <w:bCs/>
                <w:sz w:val="26"/>
                <w:szCs w:val="26"/>
              </w:rPr>
              <w:t xml:space="preserve">CỘNG HÒA XÃ HỘI CHỦ NGHĨA VIỆT NAM</w:t>
            </w:r>
          </w:p>
          <w:p>
            <w:pPr>
              <w:jc w:val="center"/>
            </w:pPr>
            <w:r>
              <w:rPr>
                <w:b/>
                <w:bCs/>
                <w:sz w:val="26"/>
                <w:szCs w:val="26"/>
              </w:rPr>
              <w:t xml:space="preserve">Độc lập - Tự do - Hạnh phúc</w:t>
            </w:r>
          </w:p>
          <w:p>
            <w:pPr>
              <w:spacing w:after="200"/>
              <w:jc w:val="center"/>
            </w:pPr>
            <w:r>
              <w:rPr>
                <w:sz w:val="26"/>
                <w:szCs w:val="26"/>
              </w:rPr>
              <w:t xml:space="preserve">‾‾‾‾‾‾‾‾‾‾‾‾‾‾‾‾‾‾‾</w:t>
            </w:r>
          </w:p>
          <w:p>
            <w:pPr>
              <w:jc w:val="center"/>
            </w:pPr>
            <w:r>
              <w:rPr>
                <w:i/>
                <w:iCs/>
                <w:sz w:val="26"/>
                <w:szCs w:val="26"/>
              </w:rPr>
              <w:t xml:space="preserve">Hà Nội, ngày 13 tháng 7 năm 2020</w:t>
            </w:r>
          </w:p>
        </w:tc>
      </w:tr>
    </w:tbl>
    <w:p>
      <w:pPr>
        <w:spacing w:before="400" w:after="400" w:line="360"/>
        <w:ind w:firstLine="720"/>
        <w:jc w:val="center"/>
      </w:pPr>
      <w:r>
        <w:rPr>
          <w:sz w:val="26"/>
          <w:szCs w:val="26"/>
        </w:rPr>
        <w:t xml:space="preserve">Kính gửi: Phòng Chính sách pháp luật</w:t>
      </w:r>
    </w:p>
    <w:p>
      <w:pPr>
        <w:spacing w:before="200" w:after="200" w:line="360"/>
        <w:ind w:firstLine="720"/>
      </w:pPr>
      <w:r>
        <w:rPr>
          <w:sz w:val="26"/>
          <w:szCs w:val="26"/>
        </w:rPr>
        <w:t xml:space="preserve">Trả lời Công văn số 541/VP-TH&amp;KSTTHC ngày 03/7/2020 của Văn phòng Bộ về trả lời kiến nghị của địa phương và bộ, ngành để phục vụ sơ kết công tác tư pháp 6 tháng đầu năm 2020, Vụ Các vấn đề chung về xây dựng pháp luật đã chuẩn bị các nội dung dự kiến trả lời như sau:
</w:t>
      </w:r>
    </w:p>
    <w:p>
      <w:pPr>
        <w:spacing w:before="200" w:line="360"/>
        <w:ind w:firstLine="720"/>
      </w:pPr>
      <w:r>
        <w:rPr>
          <w:b/>
          <w:bCs/>
          <w:sz w:val="26"/>
          <w:szCs w:val="26"/>
        </w:rPr>
        <w:t xml:space="preserve">Kiến nghị: </w:t>
      </w:r>
      <w:r>
        <w:rPr>
          <w:b/>
          <w:bCs/>
          <w:sz w:val="26"/>
          <w:szCs w:val="26"/>
        </w:rPr>
        <w:t xml:space="preserve">Đề nghị hướng dẫn về Thông tư sửa đổi Thông tư liên tịch vì theo quy định của Luật BHvăn bản quy phạm pháp luật trong hệ thống văn bản quy phạm pháp luật không quy định về Thông tư liên tịch giữa Bộ trưởng, Thủ trưởng cơ quan ngang Bộ. Tuy niên, trên thực tế hiện nay, một số Bộ, ngành vẫn ban hành Thông tư sửa đổi, bổ sung một số điều của Thông tư liên tịch, do đó đề nghị Bộ Tư pháp có hướng hướng dẫn cụ thể để thống nhất trong tổ chức thực hiện</w:t>
      </w:r>
    </w:p>
    <w:p>
      <w:pPr>
        <w:spacing w:after="200" w:line="360"/>
        <w:ind w:firstLine="720"/>
      </w:pPr>
      <w:r>
        <w:rPr>
          <w:b/>
          <w:bCs/>
          <w:sz w:val="26"/>
          <w:szCs w:val="26"/>
        </w:rPr>
        <w:t xml:space="preserve">Trả lời: </w:t>
      </w:r>
      <w:r>
        <w:rPr>
          <w:sz w:val="26"/>
          <w:szCs w:val="26"/>
        </w:rPr>
        <w:t xml:space="preserve">+ Căn cứ pháp lý: Điều 4 của Luật Ban hành văn bản quy phạm pháp luật năm 2015 (sửa đổi, bổ sung năm 2020) thì không còn quy định hình thức thông tư liên tịch giữa các Bộ trưởng, Thủ trưởng cơ quan ngang bộ. 
Đối với các thông tư liên tịch giữa các Bộ trưởng, Thủ trưởng cơ quan ngang bộ đang còn hiệu lực vào thời điểm Luật Ban hành văn bản quy phạm pháp luật năm 2015 được thông qua (ngày 22/6/2015), khoản 1 Điều 172 Luật này có quy định chuyển tiếp như sau: “Thông tư liên tịch giữa các bộ, cơ quan ngang bộ được ban hành trước ngày Luật này có hiệu lực thì tiếp tục có hiệu lực cho đến khi có văn bản bãi bỏ hoặc bị thay thế bằng văn bản quy phạm pháp luật khác”. Theo quy định này thì thông tư liên tịch giữa các Bộ trưởng, Thủ trưởng cơ quan ngang bộ chỉ tồn tại cho đến khi bị thay thế hoặc bãi bỏ. Luật Ban hành văn bản quy phạm pháp luật năm 2015 không những không quy định về việc sửa đổi, bổ sung các thông tư liên tịch này mà còn quy định cụ thể là: “Không ban hành thông tư liên tịch giữa bộ trưởng, thủ trưởng cơ quan ngang bộ” (khoản  8a Điều 4).
Như vậy, việc ban hành thông tư để sửa đổi, bổ sung thông tư liên tịch giữa các Bộ trưởng, Thủ trưởng cơ quan ngang bộ là chưa phù hợp quy định của Luật ban hành văn bản quy phạm pháp luật.  
+ Giải pháp: Trường hợp thông tư liên tịch giữa các Bộ trưởng, Thủ trưởng cơ quan ngang bộ mâu thuẫn, chồng chéo với các văn bản quy phạm pháp luật mới ban hành hoặc không còn phù hợp với thực tế, đề nghị các Bộ trưởng, Thủ trưởng cơ quan ngang bộ đã liên tịch ban hành thông tư liên tịch trao đổi, thống nhất ý kiến với nhau để lựa chọn một trong các phương án sau đây:
(1) Một Bộ trưởng, Thủ trưởng cơ quan ngang bộ ban hành Thông tư của mình để thay thế, bãi bỏ toàn bộ thông tư liên tịch đó;
(2) Các Bộ trưởng, Thủ trưởng cơ quan ngang bộ ban hành Thông tư của mình để bãi bỏ phần nội dung của Thông tư thuộc thẩm quyền quản lý nhà nước của Bộ, Cơ quan mình; 
(3) Báo cáo Thủ tướng Chính phủ xem xét, quyết định trong trường hợp các Bộ trưởng, Thủ trưởng cơ quan ngang bộ không thống nhất được ý kiến.</w:t>
      </w:r>
    </w:p>
    <w:p>
      <w:pPr>
        <w:spacing w:before="200" w:after="400" w:line="360"/>
        <w:ind w:firstLine="720"/>
      </w:pPr>
      <w:r>
        <w:rPr>
          <w:sz w:val="26"/>
          <w:szCs w:val="26"/>
        </w:rPr>
        <w:t xml:space="preserve">Trên đây là ý kiến của Vụ Các vấn đề chung về xây dựng pháp luật về việc trả lời kiến nghị của Bộ, ngành, địa phương, xin gửi Văn phòng Bộ để tổng hợp, báo cáo Lãnh đạo Bộ./.</w:t>
      </w:r>
    </w:p>
    <w:tbl>
      <w:tblPr>
        <w:tblW w:type="pct" w:w="100%"/>
        <w:tblBorders>
          <w:top w:val="nil" w:sz="0"/>
          <w:left w:val="nil" w:sz="0"/>
          <w:bottom w:val="nil" w:sz="0"/>
          <w:right w:val="nil" w:sz="0"/>
          <w:insideH w:val="single" w:color="auto" w:sz="4"/>
          <w:insideV w:val="single" w:color="auto" w:sz="4"/>
        </w:tblBorders>
      </w:tblPr>
      <w:tblGrid>
        <w:gridCol w:w="100"/>
        <w:gridCol w:w="100"/>
      </w:tblGrid>
      <w:tr>
        <w:tc>
          <w:tcPr>
            <w:tcW w:type="pct" w:w="50%"/>
            <w:tcBorders>
              <w:top w:val="nil" w:sz="0"/>
              <w:left w:val="nil" w:sz="0"/>
              <w:bottom w:val="nil" w:sz="0"/>
              <w:right w:val="nil" w:sz="0"/>
            </w:tcBorders>
          </w:tcPr>
          <w:p>
            <w:r>
              <w:rPr>
                <w:i/>
                <w:iCs/>
                <w:sz w:val="26"/>
                <w:szCs w:val="26"/>
              </w:rPr>
              <w:t xml:space="preserve">Nơi nhận:</w:t>
            </w:r>
          </w:p>
          <w:p>
            <w:r>
              <w:rPr>
                <w:sz w:val="26"/>
                <w:szCs w:val="26"/>
              </w:rPr>
              <w:t xml:space="preserve">-Như trên;</w:t>
            </w:r>
          </w:p>
          <w:p>
            <w:r>
              <w:rPr>
                <w:sz w:val="26"/>
                <w:szCs w:val="26"/>
              </w:rPr>
              <w:t xml:space="preserve">Vụ trưởng (để b/c);</w:t>
            </w:r>
          </w:p>
        </w:tc>
        <w:tc>
          <w:tcPr>
            <w:tcW w:type="pct" w:w="50%"/>
            <w:tcBorders>
              <w:top w:val="nil" w:sz="0"/>
              <w:left w:val="nil" w:sz="0"/>
              <w:bottom w:val="nil" w:sz="0"/>
              <w:right w:val="nil" w:sz="0"/>
            </w:tcBorders>
          </w:tcPr>
          <w:p>
            <w:pPr>
              <w:jc w:val="center"/>
            </w:pPr>
            <w:r>
              <w:rPr>
                <w:b/>
                <w:bCs/>
                <w:sz w:val="26"/>
                <w:szCs w:val="26"/>
              </w:rPr>
              <w:t xml:space="preserve">KT. VỤ TRƯỞNG</w:t>
            </w:r>
          </w:p>
          <w:p>
            <w:pPr>
              <w:jc w:val="center"/>
            </w:pPr>
            <w:r>
              <w:rPr>
                <w:b/>
                <w:bCs/>
                <w:sz w:val="26"/>
                <w:szCs w:val="26"/>
              </w:rPr>
              <w:t xml:space="preserve">PHÓ VỤ TRƯỞNG</w:t>
            </w:r>
          </w:p>
          <w:p>
            <w:pPr>
              <w:jc w:val="center"/>
            </w:pPr>
            <w:r>
              <w:rPr>
                <w:i/>
                <w:iCs/>
                <w:sz w:val="26"/>
                <w:szCs w:val="26"/>
              </w:rPr>
              <w:t xml:space="preserve">(Đã ký)</w:t>
            </w:r>
          </w:p>
          <w:p>
            <w:pPr>
              <w:jc w:val="center"/>
            </w:pPr>
            <w:r>
              <w:rPr>
                <w:b/>
                <w:bCs/>
                <w:sz w:val="26"/>
                <w:szCs w:val="26"/>
              </w:rPr>
              <w:t xml:space="preserve">Nguyễn Bá Mạnh</w:t>
            </w:r>
          </w:p>
        </w:tc>
      </w:tr>
    </w:tbl>
    <w:sectPr>
      <w:pgSz w:w="11906" w:h="16838" w:orient="portrait"/>
      <w:pgMar w:top="1137" w:right="849" w:bottom="1137" w:left="1699"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2024-11-15T00:26:15.208Z</dcterms:created>
  <dcterms:modified xsi:type="dcterms:W3CDTF">2024-11-15T00:26:15.208Z</dcterms:modified>
</cp:coreProperties>
</file>

<file path=docProps/custom.xml><?xml version="1.0" encoding="utf-8"?>
<Properties xmlns="http://schemas.openxmlformats.org/officeDocument/2006/custom-properties" xmlns:vt="http://schemas.openxmlformats.org/officeDocument/2006/docPropsVTypes"/>
</file>