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85" w:type="dxa"/>
        <w:tblInd w:w="108" w:type="dxa"/>
        <w:tblLayout w:type="fixed"/>
        <w:tblLook w:val="0000" w:firstRow="0" w:lastRow="0" w:firstColumn="0" w:lastColumn="0" w:noHBand="0" w:noVBand="0"/>
      </w:tblPr>
      <w:tblGrid>
        <w:gridCol w:w="9085"/>
      </w:tblGrid>
      <w:tr w:rsidR="00CB6F15" w14:paraId="2F9D1000" w14:textId="77777777">
        <w:trPr>
          <w:cantSplit/>
          <w:trHeight w:val="844"/>
        </w:trPr>
        <w:tc>
          <w:tcPr>
            <w:tcW w:w="9085" w:type="dxa"/>
            <w:vAlign w:val="center"/>
          </w:tcPr>
          <w:p w14:paraId="4D19470C" w14:textId="77777777" w:rsidR="006C158B" w:rsidRDefault="006C158B" w:rsidP="006C158B">
            <w:pPr>
              <w:adjustRightInd w:val="0"/>
              <w:spacing w:line="300" w:lineRule="auto"/>
              <w:jc w:val="left"/>
              <w:rPr>
                <w:rFonts w:ascii="宋体" w:hAnsi="宋体"/>
                <w:noProof/>
                <w:sz w:val="44"/>
              </w:rPr>
            </w:pPr>
            <w:r>
              <w:rPr>
                <w:noProof/>
              </w:rPr>
              <w:drawing>
                <wp:inline distT="0" distB="0" distL="0" distR="0" wp14:anchorId="46FD55EB" wp14:editId="7FD5EC36">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南农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14:paraId="5DC77BD6" w14:textId="77777777"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14:anchorId="4CD3DDA2" wp14:editId="691384C2">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南农大"/>
                          <pic:cNvPicPr>
                            <a:picLocks noChangeAspect="1" noChangeArrowheads="1"/>
                          </pic:cNvPicPr>
                        </pic:nvPicPr>
                        <pic:blipFill>
                          <a:blip r:embed="rId10" cstate="print">
                            <a:lum bright="-6000" contrast="18000"/>
                            <a:grayscl/>
                            <a:biLevel thresh="50000"/>
                            <a:extLst>
                              <a:ext uri="{28A0092B-C50C-407E-A947-70E740481C1C}">
                                <a14:useLocalDpi xmlns:a14="http://schemas.microsoft.com/office/drawing/2010/main" val="0"/>
                              </a:ext>
                            </a:extLst>
                          </a:blip>
                          <a:srcRect/>
                          <a:stretch>
                            <a:fillRect/>
                          </a:stretch>
                        </pic:blipFill>
                        <pic:spPr bwMode="auto">
                          <a:xfrm>
                            <a:off x="0" y="0"/>
                            <a:ext cx="2543175" cy="542925"/>
                          </a:xfrm>
                          <a:prstGeom prst="rect">
                            <a:avLst/>
                          </a:prstGeom>
                          <a:noFill/>
                          <a:ln>
                            <a:noFill/>
                          </a:ln>
                        </pic:spPr>
                      </pic:pic>
                    </a:graphicData>
                  </a:graphic>
                </wp:inline>
              </w:drawing>
            </w:r>
          </w:p>
          <w:p w14:paraId="48E6B0D6" w14:textId="77777777"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14:paraId="551AD164"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00DFC665"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23CAB4BC" w14:textId="77777777" w:rsidR="006C158B" w:rsidRDefault="006C158B" w:rsidP="006C158B">
            <w:pPr>
              <w:adjustRightInd w:val="0"/>
              <w:spacing w:line="300" w:lineRule="auto"/>
              <w:jc w:val="center"/>
              <w:rPr>
                <w:rFonts w:ascii="黑体" w:eastAsia="黑体" w:hAnsi="黑体" w:cs="Courier New"/>
                <w:sz w:val="32"/>
                <w:szCs w:val="32"/>
              </w:rPr>
            </w:pPr>
          </w:p>
          <w:p w14:paraId="328451F0"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194827AA"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Pr>
                <w:rFonts w:ascii="黑体" w:eastAsia="黑体" w:hAnsi="黑体" w:cs="Courier New" w:hint="eastAsia"/>
                <w:color w:val="000000"/>
                <w:sz w:val="32"/>
                <w:szCs w:val="36"/>
                <w:u w:val="single"/>
              </w:rPr>
              <w:t>植物促生菌PGP6生长素合成基因的鉴定与</w:t>
            </w:r>
          </w:p>
          <w:p w14:paraId="00265AD3" w14:textId="77777777"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color w:val="000000"/>
                <w:sz w:val="32"/>
                <w:szCs w:val="36"/>
                <w:u w:val="single"/>
              </w:rPr>
              <w:t xml:space="preserve">功能验证                            </w:t>
            </w:r>
          </w:p>
          <w:p w14:paraId="5A76F301"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Pr>
                <w:rFonts w:ascii="黑体" w:eastAsia="黑体" w:hAnsi="黑体" w:cs="Courier New" w:hint="eastAsia"/>
                <w:color w:val="767676"/>
                <w:sz w:val="32"/>
                <w:szCs w:val="36"/>
                <w:u w:val="single"/>
              </w:rPr>
              <w:t xml:space="preserve">                                    </w:t>
            </w:r>
          </w:p>
          <w:p w14:paraId="20556537"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Pr>
                <w:rFonts w:ascii="黑体" w:eastAsia="黑体" w:hAnsi="黑体" w:cs="Courier New" w:hint="eastAsia"/>
                <w:color w:val="767676"/>
                <w:sz w:val="32"/>
                <w:szCs w:val="36"/>
                <w:u w:val="single"/>
              </w:rPr>
              <w:t xml:space="preserve">                                    </w:t>
            </w:r>
          </w:p>
          <w:p w14:paraId="0718B21F"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Pr>
                <w:rFonts w:ascii="黑体" w:eastAsia="黑体" w:hAnsi="黑体" w:cs="Courier New" w:hint="eastAsia"/>
                <w:color w:val="767676"/>
                <w:sz w:val="32"/>
                <w:szCs w:val="36"/>
                <w:u w:val="single"/>
              </w:rPr>
              <w:t xml:space="preserve">                                    </w:t>
            </w:r>
          </w:p>
          <w:p w14:paraId="5975F925"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Pr>
                <w:rFonts w:ascii="黑体" w:eastAsia="黑体" w:hAnsi="黑体" w:cs="Courier New" w:hint="eastAsia"/>
                <w:color w:val="767676"/>
                <w:sz w:val="32"/>
                <w:szCs w:val="36"/>
                <w:u w:val="single"/>
              </w:rPr>
              <w:t xml:space="preserve">                                    </w:t>
            </w:r>
          </w:p>
          <w:p w14:paraId="1DE3EEE3"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Pr>
                <w:rFonts w:ascii="黑体" w:eastAsia="黑体" w:hAnsi="黑体" w:cs="Courier New" w:hint="eastAsia"/>
                <w:color w:val="000000"/>
                <w:sz w:val="32"/>
                <w:szCs w:val="36"/>
              </w:rPr>
              <w:t>指导教师:</w:t>
            </w:r>
            <w:r>
              <w:rPr>
                <w:rFonts w:ascii="黑体" w:eastAsia="黑体" w:hAnsi="黑体" w:cs="Courier New" w:hint="eastAsia"/>
                <w:color w:val="767676"/>
                <w:sz w:val="32"/>
                <w:szCs w:val="36"/>
                <w:u w:val="single"/>
              </w:rPr>
              <w:t xml:space="preserve">                 </w:t>
            </w:r>
            <w:r>
              <w:rPr>
                <w:rFonts w:ascii="黑体" w:eastAsia="黑体" w:hAnsi="黑体" w:cs="Courier New" w:hint="eastAsia"/>
                <w:color w:val="000000"/>
                <w:sz w:val="32"/>
                <w:szCs w:val="36"/>
              </w:rPr>
              <w:t>职称</w:t>
            </w:r>
            <w:r>
              <w:rPr>
                <w:rFonts w:ascii="黑体" w:eastAsia="黑体" w:hAnsi="黑体" w:cs="Courier New" w:hint="eastAsia"/>
                <w:color w:val="767676"/>
                <w:sz w:val="32"/>
                <w:szCs w:val="36"/>
                <w:u w:val="single"/>
              </w:rPr>
              <w:t xml:space="preserve">               </w:t>
            </w:r>
          </w:p>
          <w:p w14:paraId="4C504A43"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3F3DD756"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427AE6C4" w14:textId="77777777" w:rsidR="006C158B" w:rsidRDefault="006C158B" w:rsidP="006C158B">
            <w:pPr>
              <w:adjustRightInd w:val="0"/>
              <w:spacing w:line="300" w:lineRule="auto"/>
              <w:jc w:val="center"/>
              <w:rPr>
                <w:rFonts w:ascii="黑体" w:eastAsia="黑体" w:hAnsi="黑体" w:cs="Courier New"/>
                <w:sz w:val="32"/>
                <w:szCs w:val="32"/>
              </w:rPr>
            </w:pPr>
          </w:p>
          <w:p w14:paraId="7FF3D5F3"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4863C8EF" w14:textId="77777777"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color w:val="000000"/>
                <w:sz w:val="32"/>
                <w:szCs w:val="36"/>
              </w:rPr>
              <w:t>20</w:t>
            </w:r>
            <w:r>
              <w:rPr>
                <w:rFonts w:ascii="宋体" w:hAnsi="宋体" w:cs="Courier New" w:hint="eastAsia"/>
                <w:color w:val="767676"/>
                <w:sz w:val="32"/>
                <w:szCs w:val="36"/>
              </w:rPr>
              <w:t xml:space="preserve">  </w:t>
            </w:r>
            <w:r>
              <w:rPr>
                <w:rFonts w:ascii="宋体" w:hAnsi="宋体" w:cs="Courier New" w:hint="eastAsia"/>
                <w:color w:val="000000"/>
                <w:sz w:val="32"/>
                <w:szCs w:val="36"/>
              </w:rPr>
              <w:t xml:space="preserve"> 年 </w:t>
            </w:r>
            <w:r>
              <w:rPr>
                <w:rFonts w:ascii="宋体" w:hAnsi="宋体" w:cs="Courier New" w:hint="eastAsia"/>
                <w:color w:val="767676"/>
                <w:sz w:val="32"/>
                <w:szCs w:val="36"/>
              </w:rPr>
              <w:t xml:space="preserve">  </w:t>
            </w:r>
            <w:r>
              <w:rPr>
                <w:rFonts w:ascii="宋体" w:hAnsi="宋体" w:cs="Courier New" w:hint="eastAsia"/>
                <w:color w:val="000000"/>
                <w:sz w:val="32"/>
                <w:szCs w:val="36"/>
              </w:rPr>
              <w:t xml:space="preserve"> 月 </w:t>
            </w:r>
            <w:r>
              <w:rPr>
                <w:rFonts w:ascii="宋体" w:hAnsi="宋体" w:cs="Courier New" w:hint="eastAsia"/>
                <w:color w:val="767676"/>
                <w:sz w:val="32"/>
                <w:szCs w:val="36"/>
              </w:rPr>
              <w:t xml:space="preserve">  </w:t>
            </w:r>
            <w:r>
              <w:rPr>
                <w:rFonts w:ascii="宋体" w:hAnsi="宋体" w:cs="Courier New" w:hint="eastAsia"/>
                <w:color w:val="000000"/>
                <w:sz w:val="32"/>
                <w:szCs w:val="36"/>
              </w:rPr>
              <w:t xml:space="preserve"> 日</w:t>
            </w:r>
          </w:p>
          <w:p w14:paraId="372043D4" w14:textId="77777777" w:rsidR="006C158B" w:rsidRDefault="006C158B" w:rsidP="006C158B">
            <w:pPr>
              <w:adjustRightInd w:val="0"/>
              <w:spacing w:line="300" w:lineRule="auto"/>
              <w:jc w:val="center"/>
              <w:rPr>
                <w:rFonts w:ascii="黑体" w:eastAsia="黑体" w:hAnsi="黑体" w:cs="Courier New"/>
                <w:sz w:val="36"/>
                <w:szCs w:val="36"/>
              </w:rPr>
            </w:pPr>
          </w:p>
          <w:p w14:paraId="6BD6EF09" w14:textId="77777777" w:rsidR="00CB6F15" w:rsidRPr="00BA1E58" w:rsidRDefault="00CB6F15">
            <w:pPr>
              <w:jc w:val="center"/>
              <w:rPr>
                <w:sz w:val="32"/>
              </w:rPr>
            </w:pPr>
          </w:p>
        </w:tc>
      </w:tr>
    </w:tbl>
    <w:p w14:paraId="377BA0D9" w14:textId="77777777"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1"/>
          <w:footerReference w:type="default" r:id="rId12"/>
          <w:pgSz w:w="11906" w:h="16838" w:code="9"/>
          <w:pgMar w:top="1134" w:right="1134" w:bottom="1134" w:left="1134" w:header="284" w:footer="284" w:gutter="0"/>
          <w:pgNumType w:fmt="upperRoman" w:start="1"/>
          <w:cols w:space="425"/>
          <w:docGrid w:linePitch="312"/>
        </w:sectPr>
      </w:pPr>
    </w:p>
    <w:p w14:paraId="1CD67E4D" w14:textId="77777777" w:rsidR="00E0623D" w:rsidRDefault="00E0623D" w:rsidP="005A3704">
      <w:pPr>
        <w:adjustRightInd w:val="0"/>
        <w:spacing w:line="300" w:lineRule="auto"/>
        <w:ind w:firstLineChars="200" w:firstLine="720"/>
        <w:jc w:val="center"/>
        <w:rPr>
          <w:rFonts w:ascii="黑体" w:eastAsia="黑体" w:hAnsi="黑体" w:cs="Courier New"/>
          <w:sz w:val="36"/>
          <w:szCs w:val="36"/>
        </w:rPr>
      </w:pPr>
    </w:p>
    <w:p w14:paraId="6BB7FECD" w14:textId="77777777"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14:paraId="0CB6EC79" w14:textId="77777777"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14:paraId="609A83F2" w14:textId="77777777"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2C4B847" w14:textId="77777777" w:rsidR="00C96F04" w:rsidRPr="00E11F0C" w:rsidRDefault="00C96F04" w:rsidP="00E11F0C">
      <w:pPr>
        <w:snapToGrid w:val="0"/>
        <w:spacing w:line="400" w:lineRule="exact"/>
        <w:ind w:firstLineChars="225" w:firstLine="540"/>
        <w:rPr>
          <w:rFonts w:ascii="宋体" w:hAnsi="宋体"/>
          <w:sz w:val="24"/>
        </w:rPr>
      </w:pPr>
    </w:p>
    <w:p w14:paraId="6FDE3BB4" w14:textId="77777777" w:rsidR="005A3704" w:rsidRPr="005A3704" w:rsidRDefault="005A3704" w:rsidP="00E11F0C">
      <w:pPr>
        <w:adjustRightInd w:val="0"/>
        <w:spacing w:line="400" w:lineRule="exact"/>
        <w:ind w:firstLineChars="200" w:firstLine="480"/>
        <w:rPr>
          <w:rFonts w:ascii="宋体" w:hAnsi="宋体" w:cs="Courier New"/>
          <w:sz w:val="24"/>
        </w:rPr>
      </w:pPr>
    </w:p>
    <w:p w14:paraId="3BA56645"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14:paraId="535144E6" w14:textId="77777777" w:rsidR="005A3704" w:rsidRPr="00E11F0C" w:rsidRDefault="005A3704" w:rsidP="00E11F0C">
      <w:pPr>
        <w:snapToGrid w:val="0"/>
        <w:spacing w:line="400" w:lineRule="exact"/>
        <w:ind w:firstLineChars="225" w:firstLine="540"/>
        <w:rPr>
          <w:rFonts w:ascii="宋体" w:hAnsi="宋体"/>
          <w:sz w:val="24"/>
        </w:rPr>
      </w:pPr>
    </w:p>
    <w:p w14:paraId="6FCD119B" w14:textId="77777777" w:rsidR="005A3704" w:rsidRPr="00E11F0C" w:rsidRDefault="005A3704" w:rsidP="00E11F0C">
      <w:pPr>
        <w:snapToGrid w:val="0"/>
        <w:spacing w:line="400" w:lineRule="exact"/>
        <w:ind w:firstLineChars="225" w:firstLine="540"/>
        <w:rPr>
          <w:rFonts w:ascii="宋体" w:hAnsi="宋体"/>
          <w:sz w:val="24"/>
        </w:rPr>
      </w:pPr>
    </w:p>
    <w:p w14:paraId="29295049" w14:textId="77777777" w:rsidR="005A3704" w:rsidRPr="00E11F0C" w:rsidRDefault="005A3704" w:rsidP="00E11F0C">
      <w:pPr>
        <w:snapToGrid w:val="0"/>
        <w:spacing w:line="400" w:lineRule="exact"/>
        <w:ind w:firstLineChars="225" w:firstLine="540"/>
        <w:rPr>
          <w:rFonts w:ascii="宋体" w:hAnsi="宋体"/>
          <w:sz w:val="24"/>
        </w:rPr>
      </w:pPr>
    </w:p>
    <w:p w14:paraId="30F9C66E"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793E2F7E"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61B0E431"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5A2F0989" w14:textId="77777777"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14:paraId="598DAF86" w14:textId="77777777"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14:paraId="2B9390F5" w14:textId="77777777" w:rsidR="005A3704" w:rsidRPr="005A3704" w:rsidRDefault="005A3704" w:rsidP="005A3704">
      <w:pPr>
        <w:adjustRightInd w:val="0"/>
        <w:spacing w:line="300" w:lineRule="auto"/>
        <w:ind w:firstLineChars="200" w:firstLine="480"/>
        <w:rPr>
          <w:rFonts w:ascii="宋体" w:hAnsi="宋体" w:cs="Courier New"/>
          <w:sz w:val="24"/>
        </w:rPr>
      </w:pPr>
    </w:p>
    <w:p w14:paraId="572CC259" w14:textId="77777777"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14:paraId="6B28A4C6" w14:textId="77777777" w:rsidR="005A3704" w:rsidRPr="00E11F0C" w:rsidRDefault="005A3704" w:rsidP="00E11F0C">
      <w:pPr>
        <w:snapToGrid w:val="0"/>
        <w:spacing w:line="400" w:lineRule="exact"/>
        <w:ind w:firstLineChars="225" w:firstLine="540"/>
        <w:rPr>
          <w:rFonts w:ascii="宋体" w:hAnsi="宋体"/>
          <w:sz w:val="24"/>
        </w:rPr>
      </w:pPr>
    </w:p>
    <w:p w14:paraId="114634F9"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14:paraId="4D6ADD4B"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14:paraId="17B85FDD" w14:textId="77777777" w:rsidR="005A3704" w:rsidRPr="00E11F0C" w:rsidRDefault="005A3704" w:rsidP="00E11F0C">
      <w:pPr>
        <w:snapToGrid w:val="0"/>
        <w:spacing w:line="400" w:lineRule="exact"/>
        <w:ind w:firstLineChars="225" w:firstLine="540"/>
        <w:rPr>
          <w:rFonts w:ascii="宋体" w:hAnsi="宋体"/>
          <w:sz w:val="24"/>
        </w:rPr>
      </w:pPr>
    </w:p>
    <w:p w14:paraId="17425E0E" w14:textId="77777777" w:rsidR="005A3704" w:rsidRPr="00E11F0C" w:rsidRDefault="005A3704" w:rsidP="00E11F0C">
      <w:pPr>
        <w:snapToGrid w:val="0"/>
        <w:spacing w:line="400" w:lineRule="exact"/>
        <w:ind w:firstLineChars="225" w:firstLine="540"/>
        <w:rPr>
          <w:rFonts w:ascii="宋体" w:hAnsi="宋体"/>
          <w:sz w:val="24"/>
        </w:rPr>
      </w:pPr>
    </w:p>
    <w:p w14:paraId="681EFE79" w14:textId="77777777"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3"/>
          <w:headerReference w:type="default" r:id="rId14"/>
          <w:footerReference w:type="even" r:id="rId15"/>
          <w:footerReference w:type="default" r:id="rId16"/>
          <w:headerReference w:type="first" r:id="rId17"/>
          <w:footerReference w:type="first" r:id="rId18"/>
          <w:pgSz w:w="11906" w:h="16838"/>
          <w:pgMar w:top="1134" w:right="1134" w:bottom="1134" w:left="1134" w:header="851" w:footer="992" w:gutter="0"/>
          <w:pgNumType w:fmt="upperRoman" w:start="1"/>
          <w:cols w:space="425"/>
          <w:docGrid w:linePitch="312"/>
        </w:sectPr>
      </w:pPr>
    </w:p>
    <w:p w14:paraId="08155B6D" w14:textId="77777777" w:rsidR="00C04E3C" w:rsidRPr="00AD1AF9" w:rsidRDefault="00C04E3C" w:rsidP="0064589E">
      <w:pPr>
        <w:spacing w:beforeLines="150" w:before="360" w:afterLines="100" w:after="240"/>
        <w:jc w:val="center"/>
        <w:rPr>
          <w:sz w:val="28"/>
        </w:rPr>
      </w:pPr>
      <w:r>
        <w:rPr>
          <w:rFonts w:ascii="黑体" w:eastAsia="黑体" w:hAnsi="黑体"/>
          <w:bCs/>
          <w:color w:val="000000"/>
          <w:sz w:val="32"/>
          <w:szCs w:val="28"/>
        </w:rPr>
        <w:lastRenderedPageBreak/>
        <w:t>目  录</w:t>
      </w:r>
    </w:p>
    <w:p w14:paraId="3661148D" w14:textId="77777777" w:rsidR="00C04E3C" w:rsidRDefault="00C04E3C" w:rsidP="00C04E3C">
      <w:pPr>
        <w:rPr>
          <w:sz w:val="24"/>
        </w:rPr>
      </w:pPr>
    </w:p>
    <w:p w14:paraId="455E48A7" w14:textId="77777777" w:rsidR="00C04E3C" w:rsidRPr="00C168BA" w:rsidRDefault="00C04E3C" w:rsidP="00C04E3C">
      <w:pPr>
        <w:rPr>
          <w:sz w:val="24"/>
        </w:rPr>
      </w:pPr>
    </w:p>
    <w:p w14:paraId="6C26D92E" w14:textId="3C3552AB" w:rsidR="0095466F" w:rsidRDefault="00045122">
      <w:pPr>
        <w:pStyle w:val="10"/>
        <w:rPr>
          <w14:ligatures w14:val="standardContextual"/>
        </w:rPr>
      </w:pPr>
      <w:r w:rsidRPr="000D466E">
        <w:fldChar w:fldCharType="begin" w:dirty="true"/>
      </w:r>
      <w:r w:rsidR="00C04E3C" w:rsidRPr="000D466E">
        <w:instrText xml:space="preserve"> TOC \o "1-3" \h \z \u </w:instrText>
      </w:r>
      <w:r w:rsidRPr="000D466E">
        <w:fldChar w:fldCharType="separate"/>
      </w:r>
      <w:r w:rsidR="0095466F" w:rsidRPr="000A3DD0">
        <w:rPr>
          <w:rStyle w:val="a6"/>
        </w:rPr>
        <w:t>摘</w:t>
      </w:r>
      <w:r w:rsidR="0095466F" w:rsidRPr="000A3DD0">
        <w:rPr>
          <w:rStyle w:val="a6"/>
        </w:rPr>
        <w:t xml:space="preserve">  </w:t>
      </w:r>
      <w:r w:rsidR="0095466F" w:rsidRPr="000A3DD0">
        <w:rPr>
          <w:rStyle w:val="a6"/>
        </w:rPr>
        <w:t>要</w:t>
      </w:r>
      <w:r w:rsidR="0095466F">
        <w:rPr/>
        <w:tab/>
      </w:r>
      <w:r w:rsidR="0095466F">
        <w:rPr/>
        <w:t>I</w:t>
      </w:r>
    </w:p>
    <w:p w14:paraId="2966B26C" w14:textId="7E8EF149" w:rsidR="0095466F" w:rsidRDefault="0095466F">
      <w:pPr>
        <w:pStyle w:val="10"/>
        <w:rPr>
          <w14:ligatures w14:val="standardContextual"/>
        </w:rPr>
      </w:pPr>
      <w:r w:rsidRPr="000A3DD0">
        <w:rPr>
          <w:rStyle w:val="a6"/>
        </w:rPr>
        <w:t>ABSTRACT</w:t>
      </w:r>
      <w:r>
        <w:rPr/>
        <w:tab/>
      </w:r>
      <w:r>
        <w:rPr/>
        <w:t>II</w:t>
      </w:r>
    </w:p>
    <w:p w14:paraId="63D7A4AF" w14:textId="378E7DC4" w:rsidR="0095466F" w:rsidRDefault="0095466F">
      <w:pPr>
        <w:pStyle w:val="10"/>
        <w:rPr>
          <w14:ligatures w14:val="standardContextual"/>
        </w:rPr>
      </w:pPr>
      <w:r w:rsidRPr="000A3DD0">
        <w:rPr>
          <w:rStyle w:val="a6"/>
        </w:rPr>
        <w:t>第一章</w:t>
      </w:r>
      <w:r w:rsidRPr="000A3DD0">
        <w:rPr>
          <w:rStyle w:val="a6"/>
        </w:rPr>
        <w:t xml:space="preserve"> </w:t>
      </w:r>
      <w:r w:rsidRPr="000A3DD0">
        <w:rPr>
          <w:rStyle w:val="a6"/>
        </w:rPr>
        <w:t>文献综述</w:t>
      </w:r>
      <w:r>
        <w:rPr/>
        <w:tab/>
      </w:r>
      <w:r>
        <w:rPr/>
        <w:t>1</w:t>
      </w:r>
    </w:p>
    <w:p w14:paraId="62D5CA67" w14:textId="4FD3CAE3" w:rsidR="0095466F" w:rsidRDefault="0095466F">
      <w:pPr>
        <w:pStyle w:val="25"/>
        <w:rPr>
          <w:noProof/>
          <w14:ligatures w14:val="standardContextual"/>
        </w:rPr>
      </w:pPr>
      <w:r w:rsidRPr="000A3DD0">
        <w:rPr>
          <w:rStyle w:val="a6"/>
          <w:noProof/>
        </w:rPr>
        <w:t>1 PGPR</w:t>
      </w:r>
      <w:r w:rsidRPr="000A3DD0">
        <w:rPr>
          <w:rStyle w:val="a6"/>
          <w:noProof/>
        </w:rPr>
        <w:t>促进植物生长的主要机制</w:t>
      </w:r>
      <w:r>
        <w:rPr>
          <w:noProof/>
        </w:rPr>
        <w:tab/>
      </w:r>
      <w:r>
        <w:rPr>
          <w:noProof/>
        </w:rPr>
        <w:t>1</w:t>
      </w:r>
    </w:p>
    <w:p w14:paraId="3EC2C2C9" w14:textId="2F22C626" w:rsidR="0095466F" w:rsidRDefault="0095466F">
      <w:pPr>
        <w:pStyle w:val="30"/>
        <w:rPr>
          <w:noProof/>
          <w14:ligatures w14:val="standardContextual"/>
        </w:rPr>
      </w:pPr>
      <w:r w:rsidRPr="000A3DD0">
        <w:rPr>
          <w:rStyle w:val="a6"/>
          <w:noProof/>
        </w:rPr>
        <w:t>1.1 PGPR</w:t>
      </w:r>
      <w:r w:rsidRPr="000A3DD0">
        <w:rPr>
          <w:rStyle w:val="a6"/>
          <w:noProof/>
        </w:rPr>
        <w:t>促进植物生长的直接作用</w:t>
      </w:r>
      <w:r>
        <w:rPr>
          <w:noProof/>
        </w:rPr>
        <w:tab/>
      </w:r>
      <w:r>
        <w:rPr>
          <w:noProof/>
        </w:rPr>
        <w:t>1</w:t>
      </w:r>
    </w:p>
    <w:p w14:paraId="50B76C0A" w14:textId="16B266A3" w:rsidR="0095466F" w:rsidRDefault="0095466F">
      <w:pPr>
        <w:pStyle w:val="30"/>
        <w:rPr>
          <w:noProof/>
          <w14:ligatures w14:val="standardContextual"/>
        </w:rPr>
      </w:pPr>
      <w:r w:rsidRPr="000A3DD0">
        <w:rPr>
          <w:rStyle w:val="a6"/>
          <w:noProof/>
        </w:rPr>
        <w:t>1.2 PGPR</w:t>
      </w:r>
      <w:r w:rsidRPr="000A3DD0">
        <w:rPr>
          <w:rStyle w:val="a6"/>
          <w:noProof/>
        </w:rPr>
        <w:t>促进植物生长的间接作用</w:t>
      </w:r>
      <w:r>
        <w:rPr>
          <w:noProof/>
        </w:rPr>
        <w:tab/>
      </w:r>
      <w:r>
        <w:rPr>
          <w:noProof/>
        </w:rPr>
        <w:t>2</w:t>
      </w:r>
    </w:p>
    <w:p w14:paraId="27B89F5D" w14:textId="1F0B6836" w:rsidR="0095466F" w:rsidRDefault="0095466F">
      <w:pPr>
        <w:pStyle w:val="25"/>
        <w:rPr>
          <w:noProof/>
          <w14:ligatures w14:val="standardContextual"/>
        </w:rPr>
      </w:pPr>
      <w:r w:rsidRPr="000A3DD0">
        <w:rPr>
          <w:rStyle w:val="a6"/>
          <w:noProof/>
        </w:rPr>
        <w:t xml:space="preserve">2 </w:t>
      </w:r>
      <w:r w:rsidRPr="000A3DD0">
        <w:rPr>
          <w:rStyle w:val="a6"/>
          <w:noProof/>
        </w:rPr>
        <w:t>泛菌属植物促生菌的促生功能及</w:t>
      </w:r>
      <w:r w:rsidRPr="000A3DD0">
        <w:rPr>
          <w:rStyle w:val="a6"/>
          <w:noProof/>
        </w:rPr>
        <w:t>IAA</w:t>
      </w:r>
      <w:r w:rsidRPr="000A3DD0">
        <w:rPr>
          <w:rStyle w:val="a6"/>
          <w:noProof/>
        </w:rPr>
        <w:t>合成途径研究进展</w:t>
      </w:r>
      <w:r>
        <w:rPr>
          <w:noProof/>
        </w:rPr>
        <w:tab/>
      </w:r>
      <w:r>
        <w:rPr>
          <w:noProof/>
        </w:rPr>
        <w:t>2</w:t>
      </w:r>
    </w:p>
    <w:p w14:paraId="70C6838E" w14:textId="6F0EE843" w:rsidR="0095466F" w:rsidRDefault="0095466F">
      <w:pPr>
        <w:pStyle w:val="25"/>
        <w:rPr>
          <w:noProof/>
          <w14:ligatures w14:val="standardContextual"/>
        </w:rPr>
      </w:pPr>
      <w:r w:rsidRPr="000A3DD0">
        <w:rPr>
          <w:rStyle w:val="a6"/>
          <w:noProof/>
        </w:rPr>
        <w:t>3 PGP6</w:t>
      </w:r>
      <w:r w:rsidRPr="000A3DD0">
        <w:rPr>
          <w:rStyle w:val="a6"/>
          <w:noProof/>
        </w:rPr>
        <w:t>菌株的</w:t>
      </w:r>
      <w:r w:rsidRPr="000A3DD0">
        <w:rPr>
          <w:rStyle w:val="a6"/>
          <w:noProof/>
        </w:rPr>
        <w:t>IAA</w:t>
      </w:r>
      <w:r w:rsidRPr="000A3DD0">
        <w:rPr>
          <w:rStyle w:val="a6"/>
          <w:noProof/>
        </w:rPr>
        <w:t>合成路径及促生功能研究现状</w:t>
      </w:r>
      <w:r>
        <w:rPr>
          <w:noProof/>
        </w:rPr>
        <w:tab/>
      </w:r>
      <w:r>
        <w:rPr>
          <w:noProof/>
        </w:rPr>
        <w:t>3</w:t>
      </w:r>
    </w:p>
    <w:p w14:paraId="0AB1D773" w14:textId="28FB7BA0" w:rsidR="0095466F" w:rsidRDefault="0095466F">
      <w:pPr>
        <w:pStyle w:val="25"/>
        <w:rPr>
          <w:noProof/>
          <w14:ligatures w14:val="standardContextual"/>
        </w:rPr>
      </w:pPr>
      <w:r w:rsidRPr="000A3DD0">
        <w:rPr>
          <w:rStyle w:val="a6"/>
          <w:noProof/>
        </w:rPr>
        <w:t xml:space="preserve">4 </w:t>
      </w:r>
      <w:r w:rsidRPr="000A3DD0">
        <w:rPr>
          <w:rStyle w:val="a6"/>
          <w:noProof/>
        </w:rPr>
        <w:t>细菌的基因敲除方法</w:t>
      </w:r>
      <w:r>
        <w:rPr>
          <w:noProof/>
        </w:rPr>
        <w:tab/>
      </w:r>
      <w:r>
        <w:rPr>
          <w:noProof/>
        </w:rPr>
        <w:t>3</w:t>
      </w:r>
    </w:p>
    <w:p w14:paraId="63A309CD" w14:textId="08FC485E" w:rsidR="0095466F" w:rsidRDefault="0095466F">
      <w:pPr>
        <w:pStyle w:val="30"/>
        <w:rPr>
          <w:noProof/>
          <w14:ligatures w14:val="standardContextual"/>
        </w:rPr>
      </w:pPr>
      <w:r w:rsidRPr="000A3DD0">
        <w:rPr>
          <w:rStyle w:val="a6"/>
          <w:noProof/>
        </w:rPr>
        <w:t xml:space="preserve">4.1 </w:t>
      </w:r>
      <w:r w:rsidRPr="000A3DD0">
        <w:rPr>
          <w:rStyle w:val="a6"/>
          <w:noProof/>
        </w:rPr>
        <w:t>自杀质粒载体系统</w:t>
      </w:r>
      <w:r>
        <w:rPr>
          <w:noProof/>
        </w:rPr>
        <w:tab/>
      </w:r>
      <w:r>
        <w:rPr>
          <w:noProof/>
        </w:rPr>
        <w:t>3</w:t>
      </w:r>
    </w:p>
    <w:p w14:paraId="00BBF211" w14:textId="73574B4A" w:rsidR="0095466F" w:rsidRDefault="0095466F">
      <w:pPr>
        <w:pStyle w:val="30"/>
        <w:rPr>
          <w:noProof/>
          <w14:ligatures w14:val="standardContextual"/>
        </w:rPr>
      </w:pPr>
      <w:r w:rsidRPr="000A3DD0">
        <w:rPr>
          <w:rStyle w:val="a6"/>
          <w:noProof/>
        </w:rPr>
        <w:t>4.2 Red</w:t>
      </w:r>
      <w:r w:rsidRPr="000A3DD0">
        <w:rPr>
          <w:rStyle w:val="a6"/>
          <w:noProof/>
        </w:rPr>
        <w:t>同源重组技术</w:t>
      </w:r>
      <w:r>
        <w:rPr>
          <w:noProof/>
        </w:rPr>
        <w:tab/>
      </w:r>
      <w:r>
        <w:rPr>
          <w:noProof/>
        </w:rPr>
        <w:t>4</w:t>
      </w:r>
    </w:p>
    <w:p w14:paraId="45421B91" w14:textId="796626BA" w:rsidR="0095466F" w:rsidRDefault="0095466F">
      <w:pPr>
        <w:pStyle w:val="25"/>
        <w:rPr>
          <w:noProof/>
          <w14:ligatures w14:val="standardContextual"/>
        </w:rPr>
      </w:pPr>
      <w:r w:rsidRPr="000A3DD0">
        <w:rPr>
          <w:rStyle w:val="a6"/>
          <w:noProof/>
        </w:rPr>
        <w:t xml:space="preserve">5 </w:t>
      </w:r>
      <w:r w:rsidRPr="000A3DD0">
        <w:rPr>
          <w:rStyle w:val="a6"/>
          <w:noProof/>
        </w:rPr>
        <w:t>本研究的目的、意义及技术路线</w:t>
      </w:r>
      <w:r>
        <w:rPr>
          <w:noProof/>
        </w:rPr>
        <w:tab/>
      </w:r>
      <w:r>
        <w:rPr>
          <w:noProof/>
        </w:rPr>
        <w:t>4</w:t>
      </w:r>
    </w:p>
    <w:p w14:paraId="142855A8" w14:textId="1E00A675" w:rsidR="0095466F" w:rsidRDefault="0095466F">
      <w:pPr>
        <w:pStyle w:val="30"/>
        <w:rPr>
          <w:noProof/>
          <w14:ligatures w14:val="standardContextual"/>
        </w:rPr>
      </w:pPr>
      <w:r w:rsidRPr="000A3DD0">
        <w:rPr>
          <w:rStyle w:val="a6"/>
          <w:noProof/>
        </w:rPr>
        <w:t xml:space="preserve">5.1 </w:t>
      </w:r>
      <w:r w:rsidRPr="000A3DD0">
        <w:rPr>
          <w:rStyle w:val="a6"/>
          <w:noProof/>
        </w:rPr>
        <w:t>本研究的目的和意义</w:t>
      </w:r>
      <w:r>
        <w:rPr>
          <w:noProof/>
        </w:rPr>
        <w:tab/>
      </w:r>
      <w:r>
        <w:rPr>
          <w:noProof/>
        </w:rPr>
        <w:t>4</w:t>
      </w:r>
    </w:p>
    <w:p w14:paraId="6A6AD403" w14:textId="5695819F" w:rsidR="0095466F" w:rsidRDefault="0095466F">
      <w:pPr>
        <w:pStyle w:val="30"/>
        <w:rPr>
          <w:noProof/>
          <w14:ligatures w14:val="standardContextual"/>
        </w:rPr>
      </w:pPr>
      <w:r w:rsidRPr="000A3DD0">
        <w:rPr>
          <w:rStyle w:val="a6"/>
          <w:noProof/>
        </w:rPr>
        <w:t xml:space="preserve">5.2 </w:t>
      </w:r>
      <w:r w:rsidRPr="000A3DD0">
        <w:rPr>
          <w:rStyle w:val="a6"/>
          <w:noProof/>
        </w:rPr>
        <w:t>技术路线</w:t>
      </w:r>
      <w:r>
        <w:rPr>
          <w:noProof/>
        </w:rPr>
        <w:tab/>
      </w:r>
      <w:r>
        <w:rPr>
          <w:noProof/>
        </w:rPr>
        <w:t>5</w:t>
      </w:r>
    </w:p>
    <w:p w14:paraId="1F5469F5" w14:textId="02DB3219" w:rsidR="0095466F" w:rsidRDefault="0095466F">
      <w:pPr>
        <w:pStyle w:val="10"/>
        <w:rPr>
          <w14:ligatures w14:val="standardContextual"/>
        </w:rPr>
      </w:pPr>
      <w:r w:rsidRPr="000A3DD0">
        <w:rPr>
          <w:rStyle w:val="a6"/>
        </w:rPr>
        <w:t>第二章</w:t>
      </w:r>
      <w:r w:rsidRPr="000A3DD0">
        <w:rPr>
          <w:rStyle w:val="a6"/>
        </w:rPr>
        <w:t xml:space="preserve"> </w:t>
      </w:r>
      <w:r w:rsidRPr="000A3DD0">
        <w:rPr>
          <w:rStyle w:val="a6"/>
        </w:rPr>
        <w:t>材料与方法</w:t>
      </w:r>
      <w:r>
        <w:rPr/>
        <w:tab/>
      </w:r>
      <w:r>
        <w:rPr/>
        <w:t>6</w:t>
      </w:r>
    </w:p>
    <w:p w14:paraId="0471A0F1" w14:textId="3F42E030" w:rsidR="0095466F" w:rsidRDefault="0095466F">
      <w:pPr>
        <w:pStyle w:val="25"/>
        <w:rPr>
          <w:noProof/>
          <w14:ligatures w14:val="standardContextual"/>
        </w:rPr>
      </w:pPr>
      <w:r w:rsidRPr="000A3DD0">
        <w:rPr>
          <w:rStyle w:val="a6"/>
          <w:noProof/>
        </w:rPr>
        <w:t xml:space="preserve">1 </w:t>
      </w:r>
      <w:r w:rsidRPr="000A3DD0">
        <w:rPr>
          <w:rStyle w:val="a6"/>
          <w:noProof/>
        </w:rPr>
        <w:t>菌株</w:t>
      </w:r>
      <w:r w:rsidRPr="000A3DD0">
        <w:rPr>
          <w:rStyle w:val="a6"/>
          <w:noProof/>
        </w:rPr>
        <w:t>PGP6</w:t>
      </w:r>
      <w:r w:rsidRPr="000A3DD0">
        <w:rPr>
          <w:rStyle w:val="a6"/>
          <w:noProof/>
        </w:rPr>
        <w:t>的活化与保存</w:t>
      </w:r>
      <w:r>
        <w:rPr>
          <w:noProof/>
        </w:rPr>
        <w:tab/>
      </w:r>
      <w:r>
        <w:rPr>
          <w:noProof/>
        </w:rPr>
        <w:t>6</w:t>
      </w:r>
    </w:p>
    <w:p w14:paraId="1637F53A" w14:textId="13FAAA74" w:rsidR="0095466F" w:rsidRDefault="0095466F">
      <w:pPr>
        <w:pStyle w:val="30"/>
        <w:rPr>
          <w:noProof/>
          <w14:ligatures w14:val="standardContextual"/>
        </w:rPr>
      </w:pPr>
      <w:r w:rsidRPr="000A3DD0">
        <w:rPr>
          <w:rStyle w:val="a6"/>
          <w:noProof/>
        </w:rPr>
        <w:t xml:space="preserve">1.1 </w:t>
      </w:r>
      <w:r w:rsidRPr="000A3DD0">
        <w:rPr>
          <w:rStyle w:val="a6"/>
          <w:noProof/>
        </w:rPr>
        <w:t>实验材料</w:t>
      </w:r>
      <w:r>
        <w:rPr>
          <w:noProof/>
        </w:rPr>
        <w:tab/>
      </w:r>
      <w:r>
        <w:rPr>
          <w:noProof/>
        </w:rPr>
        <w:t>6</w:t>
      </w:r>
    </w:p>
    <w:p w14:paraId="7BC763F8" w14:textId="02F18985" w:rsidR="0095466F" w:rsidRDefault="0095466F">
      <w:pPr>
        <w:pStyle w:val="30"/>
        <w:rPr>
          <w:noProof/>
          <w14:ligatures w14:val="standardContextual"/>
        </w:rPr>
      </w:pPr>
      <w:r w:rsidRPr="000A3DD0">
        <w:rPr>
          <w:rStyle w:val="a6"/>
          <w:noProof/>
        </w:rPr>
        <w:t xml:space="preserve">1.2 </w:t>
      </w:r>
      <w:r w:rsidRPr="000A3DD0">
        <w:rPr>
          <w:rStyle w:val="a6"/>
          <w:noProof/>
        </w:rPr>
        <w:t>菌株的活化与保存</w:t>
      </w:r>
      <w:r>
        <w:rPr>
          <w:noProof/>
        </w:rPr>
        <w:tab/>
      </w:r>
      <w:r>
        <w:rPr>
          <w:noProof/>
        </w:rPr>
        <w:t>6</w:t>
      </w:r>
    </w:p>
    <w:p w14:paraId="2B532040" w14:textId="2813FBA5" w:rsidR="0095466F" w:rsidRDefault="0095466F">
      <w:pPr>
        <w:pStyle w:val="30"/>
        <w:rPr>
          <w:noProof/>
          <w14:ligatures w14:val="standardContextual"/>
        </w:rPr>
      </w:pPr>
      <w:r w:rsidRPr="000A3DD0">
        <w:rPr>
          <w:rStyle w:val="a6"/>
          <w:noProof/>
        </w:rPr>
        <w:t xml:space="preserve">1.3 </w:t>
      </w:r>
      <w:r w:rsidRPr="000A3DD0">
        <w:rPr>
          <w:rStyle w:val="a6"/>
          <w:noProof/>
        </w:rPr>
        <w:t>菌株的功能验证</w:t>
      </w:r>
      <w:r>
        <w:rPr>
          <w:noProof/>
        </w:rPr>
        <w:tab/>
      </w:r>
      <w:r>
        <w:rPr>
          <w:noProof/>
        </w:rPr>
        <w:t>6</w:t>
      </w:r>
    </w:p>
    <w:p w14:paraId="2F08F42B" w14:textId="05A82AA1" w:rsidR="0095466F" w:rsidRDefault="0095466F">
      <w:pPr>
        <w:pStyle w:val="30"/>
        <w:rPr>
          <w:noProof/>
          <w14:ligatures w14:val="standardContextual"/>
        </w:rPr>
      </w:pPr>
      <w:r w:rsidRPr="000A3DD0">
        <w:rPr>
          <w:rStyle w:val="a6"/>
          <w:noProof/>
        </w:rPr>
        <w:t>1.4 PGP6</w:t>
      </w:r>
      <w:r w:rsidRPr="000A3DD0">
        <w:rPr>
          <w:rStyle w:val="a6"/>
          <w:noProof/>
        </w:rPr>
        <w:t>的抗生素最小抑菌浓度实验</w:t>
      </w:r>
      <w:r>
        <w:rPr>
          <w:noProof/>
        </w:rPr>
        <w:tab/>
      </w:r>
      <w:r>
        <w:rPr>
          <w:noProof/>
        </w:rPr>
        <w:t>7</w:t>
      </w:r>
    </w:p>
    <w:p w14:paraId="058BE2F3" w14:textId="5CE286FC" w:rsidR="0095466F" w:rsidRDefault="0095466F">
      <w:pPr>
        <w:pStyle w:val="25"/>
        <w:rPr>
          <w:noProof/>
          <w14:ligatures w14:val="standardContextual"/>
        </w:rPr>
      </w:pPr>
      <w:r w:rsidRPr="000A3DD0">
        <w:rPr>
          <w:rStyle w:val="a6"/>
          <w:noProof/>
        </w:rPr>
        <w:t xml:space="preserve">2 </w:t>
      </w:r>
      <w:r w:rsidRPr="000A3DD0">
        <w:rPr>
          <w:rStyle w:val="a6"/>
          <w:noProof/>
        </w:rPr>
        <w:t>菌株</w:t>
      </w:r>
      <w:r w:rsidRPr="000A3DD0">
        <w:rPr>
          <w:rStyle w:val="a6"/>
          <w:noProof/>
        </w:rPr>
        <w:t>PGP6</w:t>
      </w:r>
      <w:r w:rsidRPr="000A3DD0">
        <w:rPr>
          <w:rStyle w:val="a6"/>
          <w:noProof/>
        </w:rPr>
        <w:t>的</w:t>
      </w:r>
      <w:r w:rsidRPr="000A3DD0">
        <w:rPr>
          <w:rStyle w:val="a6"/>
          <w:noProof/>
        </w:rPr>
        <w:t>IAA</w:t>
      </w:r>
      <w:r w:rsidRPr="000A3DD0">
        <w:rPr>
          <w:rStyle w:val="a6"/>
          <w:noProof/>
        </w:rPr>
        <w:t>合成基因的定位</w:t>
      </w:r>
      <w:r>
        <w:rPr>
          <w:noProof/>
        </w:rPr>
        <w:tab/>
      </w:r>
      <w:r>
        <w:rPr>
          <w:noProof/>
        </w:rPr>
        <w:t>7</w:t>
      </w:r>
    </w:p>
    <w:p w14:paraId="628E4922" w14:textId="246C388D" w:rsidR="0095466F" w:rsidRDefault="0095466F">
      <w:pPr>
        <w:pStyle w:val="30"/>
        <w:rPr>
          <w:noProof/>
          <w14:ligatures w14:val="standardContextual"/>
        </w:rPr>
      </w:pPr>
      <w:r w:rsidRPr="000A3DD0">
        <w:rPr>
          <w:rStyle w:val="a6"/>
          <w:noProof/>
        </w:rPr>
        <w:t xml:space="preserve">2.1 </w:t>
      </w:r>
      <w:r w:rsidRPr="000A3DD0">
        <w:rPr>
          <w:rStyle w:val="a6"/>
          <w:noProof/>
        </w:rPr>
        <w:t>实验材料</w:t>
      </w:r>
      <w:r>
        <w:rPr>
          <w:noProof/>
        </w:rPr>
        <w:tab/>
      </w:r>
      <w:r>
        <w:rPr>
          <w:noProof/>
        </w:rPr>
        <w:t>7</w:t>
      </w:r>
    </w:p>
    <w:p w14:paraId="07989AC9" w14:textId="45E2B68A" w:rsidR="0095466F" w:rsidRDefault="0095466F">
      <w:pPr>
        <w:pStyle w:val="30"/>
        <w:rPr>
          <w:noProof/>
          <w14:ligatures w14:val="standardContextual"/>
        </w:rPr>
      </w:pPr>
      <w:r w:rsidRPr="000A3DD0">
        <w:rPr>
          <w:rStyle w:val="a6"/>
          <w:noProof/>
        </w:rPr>
        <w:t xml:space="preserve">2.2 </w:t>
      </w:r>
      <w:r w:rsidRPr="000A3DD0">
        <w:rPr>
          <w:rStyle w:val="a6"/>
          <w:noProof/>
        </w:rPr>
        <w:t>实验方法</w:t>
      </w:r>
      <w:r>
        <w:rPr>
          <w:noProof/>
        </w:rPr>
        <w:tab/>
      </w:r>
      <w:r>
        <w:rPr>
          <w:noProof/>
        </w:rPr>
        <w:t>8</w:t>
      </w:r>
    </w:p>
    <w:p w14:paraId="0476C70C" w14:textId="799B1532" w:rsidR="0095466F" w:rsidRDefault="0095466F">
      <w:pPr>
        <w:pStyle w:val="25"/>
        <w:rPr>
          <w:noProof/>
          <w14:ligatures w14:val="standardContextual"/>
        </w:rPr>
      </w:pPr>
      <w:r w:rsidRPr="000A3DD0">
        <w:rPr>
          <w:rStyle w:val="a6"/>
          <w:noProof/>
        </w:rPr>
        <w:t xml:space="preserve">3 </w:t>
      </w:r>
      <w:r w:rsidRPr="000A3DD0">
        <w:rPr>
          <w:rStyle w:val="a6"/>
          <w:noProof/>
        </w:rPr>
        <w:t>打靶片段的设计与构建</w:t>
      </w:r>
      <w:r>
        <w:rPr>
          <w:noProof/>
        </w:rPr>
        <w:tab/>
      </w:r>
      <w:r>
        <w:rPr>
          <w:noProof/>
        </w:rPr>
        <w:t>8</w:t>
      </w:r>
    </w:p>
    <w:p w14:paraId="5BBEC969" w14:textId="1ED5FE4C" w:rsidR="0095466F" w:rsidRDefault="0095466F">
      <w:pPr>
        <w:pStyle w:val="30"/>
        <w:rPr>
          <w:noProof/>
          <w14:ligatures w14:val="standardContextual"/>
        </w:rPr>
      </w:pPr>
      <w:r w:rsidRPr="000A3DD0">
        <w:rPr>
          <w:rStyle w:val="a6"/>
          <w:noProof/>
        </w:rPr>
        <w:t xml:space="preserve">3.1 </w:t>
      </w:r>
      <w:r w:rsidRPr="000A3DD0">
        <w:rPr>
          <w:rStyle w:val="a6"/>
          <w:noProof/>
        </w:rPr>
        <w:t>实验材料</w:t>
      </w:r>
      <w:r>
        <w:rPr>
          <w:noProof/>
        </w:rPr>
        <w:tab/>
      </w:r>
      <w:r>
        <w:rPr>
          <w:noProof/>
        </w:rPr>
        <w:t>8</w:t>
      </w:r>
    </w:p>
    <w:p w14:paraId="4141A7DF" w14:textId="3C65B3EA" w:rsidR="0095466F" w:rsidRDefault="0095466F">
      <w:pPr>
        <w:pStyle w:val="30"/>
        <w:rPr>
          <w:noProof/>
          <w14:ligatures w14:val="standardContextual"/>
        </w:rPr>
      </w:pPr>
      <w:r w:rsidRPr="000A3DD0">
        <w:rPr>
          <w:rStyle w:val="a6"/>
          <w:noProof/>
        </w:rPr>
        <w:t xml:space="preserve">3.2 </w:t>
      </w:r>
      <w:r w:rsidRPr="000A3DD0">
        <w:rPr>
          <w:rStyle w:val="a6"/>
          <w:noProof/>
        </w:rPr>
        <w:t>打靶片段引物设计</w:t>
      </w:r>
      <w:r>
        <w:rPr>
          <w:noProof/>
        </w:rPr>
        <w:tab/>
      </w:r>
      <w:r>
        <w:rPr>
          <w:noProof/>
        </w:rPr>
        <w:t>8</w:t>
      </w:r>
    </w:p>
    <w:p w14:paraId="0ED1F0FA" w14:textId="22F0AA6F" w:rsidR="0095466F" w:rsidRDefault="0095466F">
      <w:pPr>
        <w:pStyle w:val="30"/>
        <w:rPr>
          <w:noProof/>
          <w14:ligatures w14:val="standardContextual"/>
        </w:rPr>
      </w:pPr>
      <w:r w:rsidRPr="000A3DD0">
        <w:rPr>
          <w:rStyle w:val="a6"/>
          <w:noProof/>
        </w:rPr>
        <w:t xml:space="preserve">3.3 </w:t>
      </w:r>
      <w:r w:rsidRPr="000A3DD0">
        <w:rPr>
          <w:rStyle w:val="a6"/>
          <w:noProof/>
        </w:rPr>
        <w:t>打靶片段的扩增、检测及回收</w:t>
      </w:r>
      <w:r>
        <w:rPr>
          <w:noProof/>
        </w:rPr>
        <w:tab/>
      </w:r>
      <w:r>
        <w:rPr>
          <w:noProof/>
        </w:rPr>
        <w:t>8</w:t>
      </w:r>
    </w:p>
    <w:p w14:paraId="27166DEE" w14:textId="43C32FCE" w:rsidR="0095466F" w:rsidRDefault="0095466F">
      <w:pPr>
        <w:pStyle w:val="25"/>
        <w:rPr>
          <w:noProof/>
          <w14:ligatures w14:val="standardContextual"/>
        </w:rPr>
      </w:pPr>
      <w:r w:rsidRPr="000A3DD0">
        <w:rPr>
          <w:rStyle w:val="a6"/>
          <w:noProof/>
        </w:rPr>
        <w:t>4 λ-Red</w:t>
      </w:r>
      <w:r w:rsidRPr="000A3DD0">
        <w:rPr>
          <w:rStyle w:val="a6"/>
          <w:noProof/>
        </w:rPr>
        <w:t>同源重组法构建</w:t>
      </w:r>
      <w:r w:rsidRPr="000A3DD0">
        <w:rPr>
          <w:rStyle w:val="a6"/>
          <w:noProof/>
        </w:rPr>
        <w:t>PGP6 ΔtrpA::kan</w:t>
      </w:r>
      <w:r w:rsidRPr="000A3DD0">
        <w:rPr>
          <w:rStyle w:val="a6"/>
          <w:noProof/>
        </w:rPr>
        <w:t>、</w:t>
      </w:r>
      <w:r w:rsidRPr="000A3DD0">
        <w:rPr>
          <w:rStyle w:val="a6"/>
          <w:noProof/>
        </w:rPr>
        <w:t>PGP6 ΔtrpB::kan</w:t>
      </w:r>
      <w:r w:rsidRPr="000A3DD0">
        <w:rPr>
          <w:rStyle w:val="a6"/>
          <w:noProof/>
        </w:rPr>
        <w:t>、</w:t>
      </w:r>
      <w:r w:rsidRPr="000A3DD0">
        <w:rPr>
          <w:rStyle w:val="a6"/>
          <w:noProof/>
        </w:rPr>
        <w:t>PGP6 Δ(trpA-trpB)::kan</w:t>
      </w:r>
      <w:r w:rsidRPr="000A3DD0">
        <w:rPr>
          <w:rStyle w:val="a6"/>
          <w:noProof/>
        </w:rPr>
        <w:t>、</w:t>
      </w:r>
      <w:r w:rsidRPr="000A3DD0">
        <w:rPr>
          <w:rStyle w:val="a6"/>
          <w:noProof/>
        </w:rPr>
        <w:t>PGP6 ΔpatB::kan</w:t>
      </w:r>
      <w:r w:rsidRPr="000A3DD0">
        <w:rPr>
          <w:rStyle w:val="a6"/>
          <w:noProof/>
        </w:rPr>
        <w:t>、</w:t>
      </w:r>
      <w:r w:rsidRPr="000A3DD0">
        <w:rPr>
          <w:rStyle w:val="a6"/>
          <w:noProof/>
        </w:rPr>
        <w:t>PGP6 ΔiaaH::kan</w:t>
      </w:r>
      <w:r w:rsidRPr="000A3DD0">
        <w:rPr>
          <w:rStyle w:val="a6"/>
          <w:noProof/>
        </w:rPr>
        <w:t>基因缺失突变株</w:t>
      </w:r>
      <w:r>
        <w:rPr>
          <w:noProof/>
        </w:rPr>
        <w:tab/>
      </w:r>
      <w:r>
        <w:rPr>
          <w:noProof/>
        </w:rPr>
        <w:t>9</w:t>
      </w:r>
    </w:p>
    <w:p w14:paraId="22840566" w14:textId="57CF8C0F" w:rsidR="0095466F" w:rsidRDefault="0095466F">
      <w:pPr>
        <w:pStyle w:val="30"/>
        <w:rPr>
          <w:noProof/>
          <w14:ligatures w14:val="standardContextual"/>
        </w:rPr>
      </w:pPr>
      <w:r w:rsidRPr="000A3DD0">
        <w:rPr>
          <w:rStyle w:val="a6"/>
          <w:noProof/>
        </w:rPr>
        <w:t xml:space="preserve">4.1 </w:t>
      </w:r>
      <w:r w:rsidRPr="000A3DD0">
        <w:rPr>
          <w:rStyle w:val="a6"/>
          <w:noProof/>
        </w:rPr>
        <w:t>实验材料</w:t>
      </w:r>
      <w:r>
        <w:rPr>
          <w:noProof/>
        </w:rPr>
        <w:tab/>
      </w:r>
      <w:r>
        <w:rPr>
          <w:noProof/>
        </w:rPr>
        <w:t>9</w:t>
      </w:r>
    </w:p>
    <w:p w14:paraId="3DCFEDE6" w14:textId="5066A95A" w:rsidR="0095466F" w:rsidRDefault="0095466F">
      <w:pPr>
        <w:pStyle w:val="30"/>
        <w:rPr>
          <w:noProof/>
          <w14:ligatures w14:val="standardContextual"/>
        </w:rPr>
      </w:pPr>
      <w:r w:rsidRPr="000A3DD0">
        <w:rPr>
          <w:rStyle w:val="a6"/>
          <w:noProof/>
        </w:rPr>
        <w:t xml:space="preserve">4.2 </w:t>
      </w:r>
      <w:r w:rsidRPr="000A3DD0">
        <w:rPr>
          <w:rStyle w:val="a6"/>
          <w:noProof/>
        </w:rPr>
        <w:t>电转化</w:t>
      </w:r>
      <w:r>
        <w:rPr>
          <w:noProof/>
        </w:rPr>
        <w:tab/>
      </w:r>
      <w:r>
        <w:rPr>
          <w:noProof/>
        </w:rPr>
        <w:t>10</w:t>
      </w:r>
    </w:p>
    <w:p w14:paraId="6CE67435" w14:textId="6037D888" w:rsidR="0095466F" w:rsidRDefault="0095466F">
      <w:pPr>
        <w:pStyle w:val="30"/>
        <w:rPr>
          <w:noProof/>
          <w14:ligatures w14:val="standardContextual"/>
        </w:rPr>
      </w:pPr>
      <w:r w:rsidRPr="000A3DD0">
        <w:rPr>
          <w:rStyle w:val="a6"/>
          <w:noProof/>
        </w:rPr>
        <w:t>4.3 PGP6</w:t>
      </w:r>
      <w:r w:rsidRPr="000A3DD0">
        <w:rPr>
          <w:rStyle w:val="a6"/>
          <w:noProof/>
        </w:rPr>
        <w:t>感受态细胞的制备</w:t>
      </w:r>
      <w:r>
        <w:rPr>
          <w:noProof/>
        </w:rPr>
        <w:tab/>
      </w:r>
      <w:r>
        <w:rPr>
          <w:noProof/>
        </w:rPr>
        <w:t>10</w:t>
      </w:r>
    </w:p>
    <w:p w14:paraId="6005056C" w14:textId="57B07637" w:rsidR="0095466F" w:rsidRDefault="0095466F">
      <w:pPr>
        <w:pStyle w:val="30"/>
        <w:rPr>
          <w:noProof/>
          <w14:ligatures w14:val="standardContextual"/>
        </w:rPr>
      </w:pPr>
      <w:r w:rsidRPr="000A3DD0">
        <w:rPr>
          <w:rStyle w:val="a6"/>
          <w:noProof/>
        </w:rPr>
        <w:t>4.4 PGP6-pKD46</w:t>
      </w:r>
      <w:r w:rsidRPr="000A3DD0">
        <w:rPr>
          <w:rStyle w:val="a6"/>
          <w:noProof/>
        </w:rPr>
        <w:t>感受态细胞的制备</w:t>
      </w:r>
      <w:r>
        <w:rPr>
          <w:noProof/>
        </w:rPr>
        <w:tab/>
      </w:r>
      <w:r>
        <w:rPr>
          <w:noProof/>
        </w:rPr>
        <w:t>10</w:t>
      </w:r>
    </w:p>
    <w:p w14:paraId="3BADD6ED" w14:textId="3FE15454" w:rsidR="0095466F" w:rsidRDefault="0095466F">
      <w:pPr>
        <w:pStyle w:val="30"/>
        <w:rPr>
          <w:noProof/>
          <w14:ligatures w14:val="standardContextual"/>
        </w:rPr>
      </w:pPr>
      <w:r w:rsidRPr="000A3DD0">
        <w:rPr>
          <w:rStyle w:val="a6"/>
          <w:noProof/>
        </w:rPr>
        <w:t xml:space="preserve">4.5 </w:t>
      </w:r>
      <w:r w:rsidRPr="000A3DD0">
        <w:rPr>
          <w:rStyle w:val="a6"/>
          <w:noProof/>
        </w:rPr>
        <w:t>打靶片段的电转化及突变株筛选与验证</w:t>
      </w:r>
      <w:r>
        <w:rPr>
          <w:noProof/>
        </w:rPr>
        <w:tab/>
      </w:r>
      <w:r>
        <w:rPr>
          <w:noProof/>
        </w:rPr>
        <w:t>10</w:t>
      </w:r>
    </w:p>
    <w:p w14:paraId="171B2202" w14:textId="69FDEC2F" w:rsidR="0095466F" w:rsidRDefault="0095466F">
      <w:pPr>
        <w:pStyle w:val="30"/>
        <w:rPr>
          <w:noProof/>
          <w14:ligatures w14:val="standardContextual"/>
        </w:rPr>
      </w:pPr>
      <w:r w:rsidRPr="000A3DD0">
        <w:rPr>
          <w:rStyle w:val="a6"/>
          <w:noProof/>
        </w:rPr>
        <w:t xml:space="preserve">4.6 </w:t>
      </w:r>
      <w:r w:rsidRPr="000A3DD0">
        <w:rPr>
          <w:rStyle w:val="a6"/>
          <w:noProof/>
        </w:rPr>
        <w:t>敲除株中</w:t>
      </w:r>
      <w:r w:rsidRPr="000A3DD0">
        <w:rPr>
          <w:rStyle w:val="a6"/>
          <w:noProof/>
        </w:rPr>
        <w:t>pKD46</w:t>
      </w:r>
      <w:r w:rsidRPr="000A3DD0">
        <w:rPr>
          <w:rStyle w:val="a6"/>
          <w:noProof/>
        </w:rPr>
        <w:t>质粒的去除及分子验证</w:t>
      </w:r>
      <w:r>
        <w:rPr>
          <w:noProof/>
        </w:rPr>
        <w:tab/>
      </w:r>
      <w:r>
        <w:rPr>
          <w:noProof/>
        </w:rPr>
        <w:t>11</w:t>
      </w:r>
    </w:p>
    <w:p w14:paraId="06F46D63" w14:textId="2C207D0C" w:rsidR="0095466F" w:rsidRDefault="0095466F">
      <w:pPr>
        <w:pStyle w:val="25"/>
        <w:rPr>
          <w:noProof/>
          <w14:ligatures w14:val="standardContextual"/>
        </w:rPr>
      </w:pPr>
      <w:r w:rsidRPr="000A3DD0">
        <w:rPr>
          <w:rStyle w:val="a6"/>
          <w:noProof/>
        </w:rPr>
        <w:t>5 PGP6 ΔtrpA::kan</w:t>
      </w:r>
      <w:r w:rsidRPr="000A3DD0">
        <w:rPr>
          <w:rStyle w:val="a6"/>
          <w:noProof/>
        </w:rPr>
        <w:t>、</w:t>
      </w:r>
      <w:r w:rsidRPr="000A3DD0">
        <w:rPr>
          <w:rStyle w:val="a6"/>
          <w:noProof/>
        </w:rPr>
        <w:t>PGP6 ΔtrpB::kan</w:t>
      </w:r>
      <w:r w:rsidRPr="000A3DD0">
        <w:rPr>
          <w:rStyle w:val="a6"/>
          <w:noProof/>
        </w:rPr>
        <w:t>、</w:t>
      </w:r>
      <w:r w:rsidRPr="000A3DD0">
        <w:rPr>
          <w:rStyle w:val="a6"/>
          <w:noProof/>
        </w:rPr>
        <w:t>PGP6 Δ(trpA-trpB)::kan</w:t>
      </w:r>
      <w:r w:rsidRPr="000A3DD0">
        <w:rPr>
          <w:rStyle w:val="a6"/>
          <w:noProof/>
        </w:rPr>
        <w:t>、</w:t>
      </w:r>
      <w:r w:rsidRPr="000A3DD0">
        <w:rPr>
          <w:rStyle w:val="a6"/>
          <w:noProof/>
        </w:rPr>
        <w:t>PGP6 ΔpatB::kan</w:t>
      </w:r>
      <w:r w:rsidRPr="000A3DD0">
        <w:rPr>
          <w:rStyle w:val="a6"/>
          <w:noProof/>
        </w:rPr>
        <w:t>、</w:t>
      </w:r>
      <w:r w:rsidRPr="000A3DD0">
        <w:rPr>
          <w:rStyle w:val="a6"/>
          <w:noProof/>
        </w:rPr>
        <w:t>PGP6 ΔiaaH::kan</w:t>
      </w:r>
      <w:r w:rsidRPr="000A3DD0">
        <w:rPr>
          <w:rStyle w:val="a6"/>
          <w:noProof/>
        </w:rPr>
        <w:t>敲除株的功能验证</w:t>
      </w:r>
      <w:r>
        <w:rPr>
          <w:noProof/>
        </w:rPr>
        <w:tab/>
      </w:r>
      <w:r>
        <w:rPr>
          <w:noProof/>
        </w:rPr>
        <w:t>11</w:t>
      </w:r>
    </w:p>
    <w:p w14:paraId="6A152D74" w14:textId="7F465B2C" w:rsidR="0095466F" w:rsidRDefault="0095466F">
      <w:pPr>
        <w:pStyle w:val="30"/>
        <w:rPr>
          <w:noProof/>
          <w14:ligatures w14:val="standardContextual"/>
        </w:rPr>
      </w:pPr>
      <w:r w:rsidRPr="000A3DD0">
        <w:rPr>
          <w:rStyle w:val="a6"/>
          <w:noProof/>
        </w:rPr>
        <w:t xml:space="preserve">5.1 </w:t>
      </w:r>
      <w:r w:rsidRPr="000A3DD0">
        <w:rPr>
          <w:rStyle w:val="a6"/>
          <w:noProof/>
        </w:rPr>
        <w:t>实验材料</w:t>
      </w:r>
      <w:r>
        <w:rPr>
          <w:noProof/>
        </w:rPr>
        <w:tab/>
      </w:r>
      <w:r>
        <w:rPr>
          <w:noProof/>
        </w:rPr>
        <w:t>11</w:t>
      </w:r>
    </w:p>
    <w:p w14:paraId="497DA7B6" w14:textId="1DBBB35C" w:rsidR="0095466F" w:rsidRDefault="0095466F">
      <w:pPr>
        <w:pStyle w:val="30"/>
        <w:rPr>
          <w:noProof/>
          <w14:ligatures w14:val="standardContextual"/>
        </w:rPr>
      </w:pPr>
      <w:r w:rsidRPr="000A3DD0">
        <w:rPr>
          <w:rStyle w:val="a6"/>
          <w:noProof/>
        </w:rPr>
        <w:t xml:space="preserve">5.2 </w:t>
      </w:r>
      <w:r w:rsidRPr="000A3DD0">
        <w:rPr>
          <w:rStyle w:val="a6"/>
          <w:noProof/>
        </w:rPr>
        <w:t>实验方法</w:t>
      </w:r>
      <w:r>
        <w:rPr>
          <w:noProof/>
        </w:rPr>
        <w:tab/>
      </w:r>
      <w:r>
        <w:rPr>
          <w:noProof/>
        </w:rPr>
        <w:t>11</w:t>
      </w:r>
    </w:p>
    <w:p w14:paraId="7497D285" w14:textId="5D6BE151" w:rsidR="0095466F" w:rsidRDefault="0095466F">
      <w:pPr>
        <w:pStyle w:val="10"/>
        <w:rPr>
          <w14:ligatures w14:val="standardContextual"/>
        </w:rPr>
      </w:pPr>
      <w:r w:rsidRPr="000A3DD0">
        <w:rPr>
          <w:rStyle w:val="a6"/>
        </w:rPr>
        <w:t>第三章</w:t>
      </w:r>
      <w:r w:rsidRPr="000A3DD0">
        <w:rPr>
          <w:rStyle w:val="a6"/>
        </w:rPr>
        <w:t xml:space="preserve"> </w:t>
      </w:r>
      <w:r w:rsidRPr="000A3DD0">
        <w:rPr>
          <w:rStyle w:val="a6"/>
        </w:rPr>
        <w:t>结果与分析</w:t>
      </w:r>
      <w:r>
        <w:rPr/>
        <w:tab/>
      </w:r>
      <w:r>
        <w:rPr/>
        <w:t>12</w:t>
      </w:r>
    </w:p>
    <w:p w14:paraId="7F743D9C" w14:textId="08585F8F" w:rsidR="0095466F" w:rsidRDefault="0095466F">
      <w:pPr>
        <w:pStyle w:val="25"/>
        <w:rPr>
          <w:noProof/>
          <w14:ligatures w14:val="standardContextual"/>
        </w:rPr>
      </w:pPr>
      <w:r w:rsidRPr="000A3DD0">
        <w:rPr>
          <w:rStyle w:val="a6"/>
          <w:noProof/>
        </w:rPr>
        <w:t xml:space="preserve">1 </w:t>
      </w:r>
      <w:r w:rsidRPr="000A3DD0">
        <w:rPr>
          <w:rStyle w:val="a6"/>
          <w:noProof/>
        </w:rPr>
        <w:t>菌株</w:t>
      </w:r>
      <w:r w:rsidRPr="000A3DD0">
        <w:rPr>
          <w:rStyle w:val="a6"/>
          <w:noProof/>
        </w:rPr>
        <w:t>PGP6</w:t>
      </w:r>
      <w:r w:rsidRPr="000A3DD0">
        <w:rPr>
          <w:rStyle w:val="a6"/>
          <w:noProof/>
        </w:rPr>
        <w:t>的活化与保存</w:t>
      </w:r>
      <w:r>
        <w:rPr>
          <w:noProof/>
        </w:rPr>
        <w:tab/>
      </w:r>
      <w:r>
        <w:rPr>
          <w:noProof/>
        </w:rPr>
        <w:t>12</w:t>
      </w:r>
    </w:p>
    <w:p w14:paraId="296C8F45" w14:textId="322B6F93" w:rsidR="0095466F" w:rsidRDefault="0095466F">
      <w:pPr>
        <w:pStyle w:val="30"/>
        <w:rPr>
          <w:noProof/>
          <w14:ligatures w14:val="standardContextual"/>
        </w:rPr>
      </w:pPr>
      <w:r w:rsidRPr="000A3DD0">
        <w:rPr>
          <w:rStyle w:val="a6"/>
          <w:noProof/>
        </w:rPr>
        <w:t xml:space="preserve">1.1 </w:t>
      </w:r>
      <w:r w:rsidRPr="000A3DD0">
        <w:rPr>
          <w:rStyle w:val="a6"/>
          <w:noProof/>
        </w:rPr>
        <w:t>生长素标准曲线的制定</w:t>
      </w:r>
      <w:r>
        <w:rPr>
          <w:noProof/>
        </w:rPr>
        <w:tab/>
      </w:r>
      <w:r>
        <w:rPr>
          <w:noProof/>
        </w:rPr>
        <w:t>12</w:t>
      </w:r>
    </w:p>
    <w:p w14:paraId="44C11ECF" w14:textId="695D69E4" w:rsidR="0095466F" w:rsidRDefault="0095466F">
      <w:pPr>
        <w:pStyle w:val="30"/>
        <w:rPr>
          <w:noProof/>
          <w14:ligatures w14:val="standardContextual"/>
        </w:rPr>
      </w:pPr>
      <w:r w:rsidRPr="000A3DD0">
        <w:rPr>
          <w:rStyle w:val="a6"/>
          <w:noProof/>
        </w:rPr>
        <w:t xml:space="preserve">1.2 </w:t>
      </w:r>
      <w:r w:rsidRPr="000A3DD0">
        <w:rPr>
          <w:rStyle w:val="a6"/>
          <w:noProof/>
        </w:rPr>
        <w:t>菌株</w:t>
      </w:r>
      <w:r w:rsidRPr="000A3DD0">
        <w:rPr>
          <w:rStyle w:val="a6"/>
          <w:noProof/>
        </w:rPr>
        <w:t>PGP6</w:t>
      </w:r>
      <w:r w:rsidRPr="000A3DD0">
        <w:rPr>
          <w:rStyle w:val="a6"/>
          <w:noProof/>
        </w:rPr>
        <w:t>的抗生素最小抑菌浓度实验</w:t>
      </w:r>
      <w:r>
        <w:rPr>
          <w:noProof/>
        </w:rPr>
        <w:tab/>
      </w:r>
      <w:r>
        <w:rPr>
          <w:noProof/>
        </w:rPr>
        <w:t>12</w:t>
      </w:r>
    </w:p>
    <w:p w14:paraId="3FC7D5BF" w14:textId="03B1319C" w:rsidR="0095466F" w:rsidRDefault="0095466F">
      <w:pPr>
        <w:pStyle w:val="25"/>
        <w:rPr>
          <w:noProof/>
          <w14:ligatures w14:val="standardContextual"/>
        </w:rPr>
      </w:pPr>
      <w:r w:rsidRPr="000A3DD0">
        <w:rPr>
          <w:rStyle w:val="a6"/>
          <w:noProof/>
        </w:rPr>
        <w:t>2 PGP6</w:t>
      </w:r>
      <w:r w:rsidRPr="000A3DD0">
        <w:rPr>
          <w:rStyle w:val="a6"/>
          <w:noProof/>
        </w:rPr>
        <w:t>中</w:t>
      </w:r>
      <w:r w:rsidRPr="000A3DD0">
        <w:rPr>
          <w:rStyle w:val="a6"/>
          <w:noProof/>
        </w:rPr>
        <w:t>IAA</w:t>
      </w:r>
      <w:r w:rsidRPr="000A3DD0">
        <w:rPr>
          <w:rStyle w:val="a6"/>
          <w:noProof/>
        </w:rPr>
        <w:t>合成候选基因的定位</w:t>
      </w:r>
      <w:r>
        <w:rPr>
          <w:noProof/>
        </w:rPr>
        <w:tab/>
      </w:r>
      <w:r>
        <w:rPr>
          <w:noProof/>
        </w:rPr>
        <w:t>13</w:t>
      </w:r>
    </w:p>
    <w:p w14:paraId="705FE576" w14:textId="15AC406C" w:rsidR="0095466F" w:rsidRDefault="0095466F">
      <w:pPr>
        <w:pStyle w:val="30"/>
        <w:rPr>
          <w:noProof/>
          <w14:ligatures w14:val="standardContextual"/>
        </w:rPr>
      </w:pPr>
      <w:r w:rsidRPr="000A3DD0">
        <w:rPr>
          <w:rStyle w:val="a6"/>
          <w:noProof/>
        </w:rPr>
        <w:t>2.1 IAA</w:t>
      </w:r>
      <w:r w:rsidRPr="000A3DD0">
        <w:rPr>
          <w:rStyle w:val="a6"/>
          <w:noProof/>
        </w:rPr>
        <w:t>合成候选基因的定位</w:t>
      </w:r>
      <w:r>
        <w:rPr>
          <w:noProof/>
        </w:rPr>
        <w:tab/>
      </w:r>
      <w:r>
        <w:rPr>
          <w:noProof/>
        </w:rPr>
        <w:t>13</w:t>
      </w:r>
    </w:p>
    <w:p w14:paraId="29F2E158" w14:textId="30AFEF43" w:rsidR="0095466F" w:rsidRDefault="0095466F">
      <w:pPr>
        <w:pStyle w:val="25"/>
        <w:rPr>
          <w:noProof/>
          <w14:ligatures w14:val="standardContextual"/>
        </w:rPr>
      </w:pPr>
      <w:r w:rsidRPr="000A3DD0">
        <w:rPr>
          <w:rStyle w:val="a6"/>
          <w:noProof/>
        </w:rPr>
        <w:t xml:space="preserve">3 </w:t>
      </w:r>
      <w:r w:rsidRPr="000A3DD0">
        <w:rPr>
          <w:rStyle w:val="a6"/>
          <w:noProof/>
        </w:rPr>
        <w:t>打靶片段的设计与构建</w:t>
      </w:r>
      <w:r>
        <w:rPr>
          <w:noProof/>
        </w:rPr>
        <w:tab/>
      </w:r>
      <w:r>
        <w:rPr>
          <w:noProof/>
        </w:rPr>
        <w:t>14</w:t>
      </w:r>
    </w:p>
    <w:p w14:paraId="65BBC203" w14:textId="42D5BF4B" w:rsidR="0095466F" w:rsidRDefault="0095466F">
      <w:pPr>
        <w:pStyle w:val="30"/>
        <w:rPr>
          <w:noProof/>
          <w14:ligatures w14:val="standardContextual"/>
        </w:rPr>
      </w:pPr>
      <w:r w:rsidRPr="000A3DD0">
        <w:rPr>
          <w:rStyle w:val="a6"/>
          <w:noProof/>
        </w:rPr>
        <w:t>3.1 trpA</w:t>
      </w:r>
      <w:r w:rsidRPr="000A3DD0">
        <w:rPr>
          <w:rStyle w:val="a6"/>
          <w:noProof/>
        </w:rPr>
        <w:t>、</w:t>
      </w:r>
      <w:r w:rsidRPr="000A3DD0">
        <w:rPr>
          <w:rStyle w:val="a6"/>
          <w:noProof/>
        </w:rPr>
        <w:t>trpB</w:t>
      </w:r>
      <w:r w:rsidRPr="000A3DD0">
        <w:rPr>
          <w:rStyle w:val="a6"/>
          <w:noProof/>
        </w:rPr>
        <w:t>、</w:t>
      </w:r>
      <w:r w:rsidRPr="000A3DD0">
        <w:rPr>
          <w:rStyle w:val="a6"/>
          <w:noProof/>
        </w:rPr>
        <w:t>trpA</w:t>
      </w:r>
      <w:r w:rsidRPr="000A3DD0">
        <w:rPr>
          <w:rStyle w:val="a6"/>
          <w:noProof/>
        </w:rPr>
        <w:t>与</w:t>
      </w:r>
      <w:r w:rsidRPr="000A3DD0">
        <w:rPr>
          <w:rStyle w:val="a6"/>
          <w:noProof/>
        </w:rPr>
        <w:t>trpB</w:t>
      </w:r>
      <w:r w:rsidRPr="000A3DD0">
        <w:rPr>
          <w:rStyle w:val="a6"/>
          <w:noProof/>
        </w:rPr>
        <w:t>、</w:t>
      </w:r>
      <w:r w:rsidRPr="000A3DD0">
        <w:rPr>
          <w:rStyle w:val="a6"/>
          <w:noProof/>
        </w:rPr>
        <w:t>patB</w:t>
      </w:r>
      <w:r w:rsidRPr="000A3DD0">
        <w:rPr>
          <w:rStyle w:val="a6"/>
          <w:noProof/>
        </w:rPr>
        <w:t>及</w:t>
      </w:r>
      <w:r w:rsidRPr="000A3DD0">
        <w:rPr>
          <w:rStyle w:val="a6"/>
          <w:noProof/>
        </w:rPr>
        <w:t>iaaH</w:t>
      </w:r>
      <w:r w:rsidRPr="000A3DD0">
        <w:rPr>
          <w:rStyle w:val="a6"/>
          <w:noProof/>
        </w:rPr>
        <w:t>的打靶片段</w:t>
      </w:r>
      <w:r>
        <w:rPr>
          <w:noProof/>
        </w:rPr>
        <w:tab/>
      </w:r>
      <w:r>
        <w:rPr>
          <w:noProof/>
        </w:rPr>
        <w:t>14</w:t>
      </w:r>
    </w:p>
    <w:p w14:paraId="6F0ECD25" w14:textId="4FC58784" w:rsidR="0095466F" w:rsidRDefault="0095466F">
      <w:pPr>
        <w:pStyle w:val="25"/>
        <w:rPr>
          <w:noProof/>
          <w14:ligatures w14:val="standardContextual"/>
        </w:rPr>
      </w:pPr>
      <w:r w:rsidRPr="000A3DD0">
        <w:rPr>
          <w:rStyle w:val="a6"/>
          <w:noProof/>
        </w:rPr>
        <w:t>4 PGP6 ΔtrpA::kan</w:t>
      </w:r>
      <w:r w:rsidRPr="000A3DD0">
        <w:rPr>
          <w:rStyle w:val="a6"/>
          <w:noProof/>
        </w:rPr>
        <w:t>、</w:t>
      </w:r>
      <w:r w:rsidRPr="000A3DD0">
        <w:rPr>
          <w:rStyle w:val="a6"/>
          <w:noProof/>
        </w:rPr>
        <w:t>PGP6 ΔtrpB::kan</w:t>
      </w:r>
      <w:r w:rsidRPr="000A3DD0">
        <w:rPr>
          <w:rStyle w:val="a6"/>
          <w:noProof/>
        </w:rPr>
        <w:t>、</w:t>
      </w:r>
      <w:r w:rsidRPr="000A3DD0">
        <w:rPr>
          <w:rStyle w:val="a6"/>
          <w:noProof/>
        </w:rPr>
        <w:t>PGP6 Δ(trpA-trpB)::kan</w:t>
      </w:r>
      <w:r w:rsidRPr="000A3DD0">
        <w:rPr>
          <w:rStyle w:val="a6"/>
          <w:noProof/>
        </w:rPr>
        <w:t>、</w:t>
      </w:r>
      <w:r w:rsidRPr="000A3DD0">
        <w:rPr>
          <w:rStyle w:val="a6"/>
          <w:noProof/>
        </w:rPr>
        <w:t>PGP6 ΔpatB::kan</w:t>
      </w:r>
      <w:r w:rsidRPr="000A3DD0">
        <w:rPr>
          <w:rStyle w:val="a6"/>
          <w:noProof/>
        </w:rPr>
        <w:t>、</w:t>
      </w:r>
      <w:r w:rsidRPr="000A3DD0">
        <w:rPr>
          <w:rStyle w:val="a6"/>
          <w:noProof/>
        </w:rPr>
        <w:t>PGP6 ΔiaaH::kan</w:t>
      </w:r>
      <w:r w:rsidRPr="000A3DD0">
        <w:rPr>
          <w:rStyle w:val="a6"/>
          <w:noProof/>
        </w:rPr>
        <w:t>基因缺失突变株的构建与分子验证</w:t>
      </w:r>
      <w:r>
        <w:rPr>
          <w:noProof/>
        </w:rPr>
        <w:tab/>
      </w:r>
      <w:r>
        <w:rPr>
          <w:noProof/>
        </w:rPr>
        <w:t>15</w:t>
      </w:r>
    </w:p>
    <w:p w14:paraId="25E0FF67" w14:textId="7EF28ACD" w:rsidR="0095466F" w:rsidRDefault="0095466F">
      <w:pPr>
        <w:pStyle w:val="30"/>
        <w:rPr>
          <w:noProof/>
          <w14:ligatures w14:val="standardContextual"/>
        </w:rPr>
      </w:pPr>
      <w:r w:rsidRPr="000A3DD0">
        <w:rPr>
          <w:rStyle w:val="a6"/>
          <w:noProof/>
        </w:rPr>
        <w:t xml:space="preserve">4.1 </w:t>
      </w:r>
      <w:r w:rsidRPr="000A3DD0">
        <w:rPr>
          <w:rStyle w:val="a6"/>
          <w:noProof/>
        </w:rPr>
        <w:t>基因缺失突变株的</w:t>
      </w:r>
      <w:r w:rsidRPr="000A3DD0">
        <w:rPr>
          <w:rStyle w:val="a6"/>
          <w:noProof/>
        </w:rPr>
        <w:t>PCR</w:t>
      </w:r>
      <w:r w:rsidRPr="000A3DD0">
        <w:rPr>
          <w:rStyle w:val="a6"/>
          <w:noProof/>
        </w:rPr>
        <w:t>验证结果</w:t>
      </w:r>
      <w:r>
        <w:rPr>
          <w:noProof/>
        </w:rPr>
        <w:tab/>
      </w:r>
      <w:r>
        <w:rPr>
          <w:noProof/>
        </w:rPr>
        <w:t>15</w:t>
      </w:r>
    </w:p>
    <w:p w14:paraId="43B2C8BE" w14:textId="28CB9A7B" w:rsidR="0095466F" w:rsidRDefault="0095466F">
      <w:pPr>
        <w:pStyle w:val="30"/>
        <w:rPr>
          <w:noProof/>
          <w14:ligatures w14:val="standardContextual"/>
        </w:rPr>
      </w:pPr>
      <w:r w:rsidRPr="000A3DD0">
        <w:rPr>
          <w:rStyle w:val="a6"/>
          <w:noProof/>
        </w:rPr>
        <w:t>4.2 pKD46</w:t>
      </w:r>
      <w:r w:rsidRPr="000A3DD0">
        <w:rPr>
          <w:rStyle w:val="a6"/>
          <w:noProof/>
        </w:rPr>
        <w:t>辅助质粒的温敏去除及验证</w:t>
      </w:r>
      <w:r>
        <w:rPr>
          <w:noProof/>
        </w:rPr>
        <w:tab/>
      </w:r>
      <w:r>
        <w:rPr>
          <w:noProof/>
        </w:rPr>
        <w:t>16</w:t>
      </w:r>
    </w:p>
    <w:p w14:paraId="3CCBEEF3" w14:textId="547A895D" w:rsidR="0095466F" w:rsidRDefault="0095466F">
      <w:pPr>
        <w:pStyle w:val="25"/>
        <w:rPr>
          <w:noProof/>
          <w14:ligatures w14:val="standardContextual"/>
        </w:rPr>
      </w:pPr>
      <w:r w:rsidRPr="000A3DD0">
        <w:rPr>
          <w:rStyle w:val="a6"/>
          <w:noProof/>
        </w:rPr>
        <w:t>5 PGP6 ΔtrpA::kan</w:t>
      </w:r>
      <w:r w:rsidRPr="000A3DD0">
        <w:rPr>
          <w:rStyle w:val="a6"/>
          <w:noProof/>
        </w:rPr>
        <w:t>、</w:t>
      </w:r>
      <w:r w:rsidRPr="000A3DD0">
        <w:rPr>
          <w:rStyle w:val="a6"/>
          <w:noProof/>
        </w:rPr>
        <w:t>PGP6 ΔtrpB::kan</w:t>
      </w:r>
      <w:r w:rsidRPr="000A3DD0">
        <w:rPr>
          <w:rStyle w:val="a6"/>
          <w:noProof/>
        </w:rPr>
        <w:t>、</w:t>
      </w:r>
      <w:r w:rsidRPr="000A3DD0">
        <w:rPr>
          <w:rStyle w:val="a6"/>
          <w:noProof/>
        </w:rPr>
        <w:t>PGP6 Δ(trpA-trpB)::kan</w:t>
      </w:r>
      <w:r w:rsidRPr="000A3DD0">
        <w:rPr>
          <w:rStyle w:val="a6"/>
          <w:noProof/>
        </w:rPr>
        <w:t>、</w:t>
      </w:r>
      <w:r w:rsidRPr="000A3DD0">
        <w:rPr>
          <w:rStyle w:val="a6"/>
          <w:noProof/>
        </w:rPr>
        <w:t>PGP6 ΔpatB::kan</w:t>
      </w:r>
      <w:r w:rsidRPr="000A3DD0">
        <w:rPr>
          <w:rStyle w:val="a6"/>
          <w:noProof/>
        </w:rPr>
        <w:t>、</w:t>
      </w:r>
      <w:r w:rsidRPr="000A3DD0">
        <w:rPr>
          <w:rStyle w:val="a6"/>
          <w:noProof/>
        </w:rPr>
        <w:t>PGP6 ΔiaaH::kan</w:t>
      </w:r>
      <w:r w:rsidRPr="000A3DD0">
        <w:rPr>
          <w:rStyle w:val="a6"/>
          <w:noProof/>
        </w:rPr>
        <w:t>敲除株的功能验证</w:t>
      </w:r>
      <w:r>
        <w:rPr>
          <w:noProof/>
        </w:rPr>
        <w:tab/>
      </w:r>
      <w:r>
        <w:rPr>
          <w:noProof/>
        </w:rPr>
        <w:t>18</w:t>
      </w:r>
    </w:p>
    <w:p w14:paraId="769AB684" w14:textId="7418535E" w:rsidR="0095466F" w:rsidRDefault="0095466F">
      <w:pPr>
        <w:pStyle w:val="30"/>
        <w:rPr>
          <w:noProof/>
          <w14:ligatures w14:val="standardContextual"/>
        </w:rPr>
      </w:pPr>
      <w:r w:rsidRPr="000A3DD0">
        <w:rPr>
          <w:rStyle w:val="a6"/>
          <w:noProof/>
        </w:rPr>
        <w:t xml:space="preserve">5.1 </w:t>
      </w:r>
      <w:r w:rsidRPr="000A3DD0">
        <w:rPr>
          <w:rStyle w:val="a6"/>
          <w:noProof/>
        </w:rPr>
        <w:t>敲除株</w:t>
      </w:r>
      <w:r w:rsidRPr="000A3DD0">
        <w:rPr>
          <w:rStyle w:val="a6"/>
          <w:noProof/>
        </w:rPr>
        <w:t>IAA</w:t>
      </w:r>
      <w:r w:rsidRPr="000A3DD0">
        <w:rPr>
          <w:rStyle w:val="a6"/>
          <w:noProof/>
        </w:rPr>
        <w:t>合成能力分析</w:t>
      </w:r>
      <w:r>
        <w:rPr>
          <w:noProof/>
        </w:rPr>
        <w:tab/>
      </w:r>
      <w:r>
        <w:rPr>
          <w:noProof/>
        </w:rPr>
        <w:t>18</w:t>
      </w:r>
    </w:p>
    <w:p w14:paraId="2858E8C8" w14:textId="7F485D76" w:rsidR="0095466F" w:rsidRDefault="0095466F">
      <w:pPr>
        <w:pStyle w:val="10"/>
        <w:rPr>
          <w14:ligatures w14:val="standardContextual"/>
        </w:rPr>
      </w:pPr>
      <w:r w:rsidRPr="000A3DD0">
        <w:rPr>
          <w:rStyle w:val="a6"/>
        </w:rPr>
        <w:t>第四章</w:t>
      </w:r>
      <w:r w:rsidRPr="000A3DD0">
        <w:rPr>
          <w:rStyle w:val="a6"/>
        </w:rPr>
        <w:t xml:space="preserve"> </w:t>
      </w:r>
      <w:r w:rsidRPr="000A3DD0">
        <w:rPr>
          <w:rStyle w:val="a6"/>
        </w:rPr>
        <w:t>结论与展望</w:t>
      </w:r>
      <w:r>
        <w:rPr/>
        <w:tab/>
      </w:r>
      <w:r>
        <w:rPr/>
        <w:t>20</w:t>
      </w:r>
    </w:p>
    <w:p w14:paraId="75E6F9AC" w14:textId="413C0CA3" w:rsidR="0095466F" w:rsidRDefault="0095466F">
      <w:pPr>
        <w:pStyle w:val="25"/>
        <w:rPr>
          <w:noProof/>
          <w14:ligatures w14:val="standardContextual"/>
        </w:rPr>
      </w:pPr>
      <w:r w:rsidRPr="000A3DD0">
        <w:rPr>
          <w:rStyle w:val="a6"/>
          <w:noProof/>
        </w:rPr>
        <w:t xml:space="preserve">1 </w:t>
      </w:r>
      <w:r w:rsidRPr="000A3DD0">
        <w:rPr>
          <w:rStyle w:val="a6"/>
          <w:noProof/>
        </w:rPr>
        <w:t>实验结论</w:t>
      </w:r>
      <w:r>
        <w:rPr>
          <w:noProof/>
        </w:rPr>
        <w:tab/>
      </w:r>
      <w:r>
        <w:rPr>
          <w:noProof/>
        </w:rPr>
        <w:t>20</w:t>
      </w:r>
    </w:p>
    <w:p w14:paraId="39054474" w14:textId="7F05DA32" w:rsidR="0095466F" w:rsidRDefault="0095466F">
      <w:pPr>
        <w:pStyle w:val="25"/>
        <w:rPr>
          <w:noProof/>
          <w14:ligatures w14:val="standardContextual"/>
        </w:rPr>
      </w:pPr>
      <w:r w:rsidRPr="000A3DD0">
        <w:rPr>
          <w:rStyle w:val="a6"/>
          <w:noProof/>
        </w:rPr>
        <w:t xml:space="preserve">2 </w:t>
      </w:r>
      <w:r w:rsidRPr="000A3DD0">
        <w:rPr>
          <w:rStyle w:val="a6"/>
          <w:noProof/>
        </w:rPr>
        <w:t>实验的不足与创新性</w:t>
      </w:r>
      <w:r>
        <w:rPr>
          <w:noProof/>
        </w:rPr>
        <w:tab/>
      </w:r>
      <w:r>
        <w:rPr>
          <w:noProof/>
        </w:rPr>
        <w:t>20</w:t>
      </w:r>
    </w:p>
    <w:p w14:paraId="1A1FF17B" w14:textId="3177248D" w:rsidR="0095466F" w:rsidRDefault="0095466F">
      <w:pPr>
        <w:pStyle w:val="30"/>
        <w:rPr>
          <w:noProof/>
          <w14:ligatures w14:val="standardContextual"/>
        </w:rPr>
      </w:pPr>
      <w:r w:rsidRPr="000A3DD0">
        <w:rPr>
          <w:rStyle w:val="a6"/>
          <w:noProof/>
        </w:rPr>
        <w:t xml:space="preserve">2.1 </w:t>
      </w:r>
      <w:r w:rsidRPr="000A3DD0">
        <w:rPr>
          <w:rStyle w:val="a6"/>
          <w:noProof/>
        </w:rPr>
        <w:t>实验的不足</w:t>
      </w:r>
      <w:r>
        <w:rPr>
          <w:noProof/>
        </w:rPr>
        <w:tab/>
      </w:r>
      <w:r>
        <w:rPr>
          <w:noProof/>
        </w:rPr>
        <w:t>20</w:t>
      </w:r>
    </w:p>
    <w:p w14:paraId="567FBF45" w14:textId="29AECBA6" w:rsidR="0095466F" w:rsidRDefault="0095466F">
      <w:pPr>
        <w:pStyle w:val="30"/>
        <w:rPr>
          <w:noProof/>
          <w14:ligatures w14:val="standardContextual"/>
        </w:rPr>
      </w:pPr>
      <w:r w:rsidRPr="000A3DD0">
        <w:rPr>
          <w:rStyle w:val="a6"/>
          <w:noProof/>
        </w:rPr>
        <w:t xml:space="preserve">2.2 </w:t>
      </w:r>
      <w:r w:rsidRPr="000A3DD0">
        <w:rPr>
          <w:rStyle w:val="a6"/>
          <w:noProof/>
        </w:rPr>
        <w:t>实验的创新性</w:t>
      </w:r>
      <w:r>
        <w:rPr>
          <w:noProof/>
        </w:rPr>
        <w:tab/>
      </w:r>
      <w:r>
        <w:rPr>
          <w:noProof/>
        </w:rPr>
        <w:t>20</w:t>
      </w:r>
    </w:p>
    <w:p w14:paraId="7DD98DC2" w14:textId="4C3D3516" w:rsidR="0095466F" w:rsidRDefault="0095466F">
      <w:pPr>
        <w:pStyle w:val="25"/>
        <w:rPr>
          <w:noProof/>
          <w14:ligatures w14:val="standardContextual"/>
        </w:rPr>
      </w:pPr>
      <w:r w:rsidRPr="000A3DD0">
        <w:rPr>
          <w:rStyle w:val="a6"/>
          <w:noProof/>
        </w:rPr>
        <w:t xml:space="preserve">3 </w:t>
      </w:r>
      <w:r w:rsidRPr="000A3DD0">
        <w:rPr>
          <w:rStyle w:val="a6"/>
          <w:noProof/>
        </w:rPr>
        <w:t>展望</w:t>
      </w:r>
      <w:r>
        <w:rPr>
          <w:noProof/>
        </w:rPr>
        <w:tab/>
      </w:r>
      <w:r>
        <w:rPr>
          <w:noProof/>
        </w:rPr>
        <w:t>21</w:t>
      </w:r>
    </w:p>
    <w:p w14:paraId="1E20478F" w14:textId="6F5B4CA8" w:rsidR="0095466F" w:rsidRDefault="0095466F">
      <w:pPr>
        <w:pStyle w:val="10"/>
        <w:rPr>
          <w14:ligatures w14:val="standardContextual"/>
        </w:rPr>
      </w:pPr>
      <w:r w:rsidRPr="000A3DD0">
        <w:rPr>
          <w:rStyle w:val="a6"/>
        </w:rPr>
        <w:t>参考文献</w:t>
      </w:r>
      <w:r>
        <w:rPr/>
        <w:tab/>
      </w:r>
      <w:r>
        <w:rPr/>
        <w:t>22</w:t>
      </w:r>
    </w:p>
    <w:p w14:paraId="57660AFF" w14:textId="2AF44569" w:rsidR="0095466F" w:rsidRDefault="0095466F">
      <w:pPr>
        <w:pStyle w:val="10"/>
        <w:rPr>
          <w14:ligatures w14:val="standardContextual"/>
        </w:rPr>
      </w:pPr>
      <w:r w:rsidRPr="000A3DD0">
        <w:rPr>
          <w:rStyle w:val="a6"/>
        </w:rPr>
        <w:t>附</w:t>
      </w:r>
      <w:r w:rsidRPr="000A3DD0">
        <w:rPr>
          <w:rStyle w:val="a6"/>
        </w:rPr>
        <w:t xml:space="preserve">  </w:t>
      </w:r>
      <w:r w:rsidRPr="000A3DD0">
        <w:rPr>
          <w:rStyle w:val="a6"/>
        </w:rPr>
        <w:t>录</w:t>
      </w:r>
      <w:r>
        <w:rPr/>
        <w:tab/>
      </w:r>
      <w:r>
        <w:rPr/>
        <w:t>27</w:t>
      </w:r>
    </w:p>
    <w:p w14:paraId="00C0AE82" w14:textId="3EC6FF36" w:rsidR="0095466F" w:rsidRDefault="0095466F">
      <w:pPr>
        <w:pStyle w:val="10"/>
        <w:rPr>
          <w14:ligatures w14:val="standardContextual"/>
        </w:rPr>
      </w:pPr>
      <w:r w:rsidRPr="000A3DD0">
        <w:rPr>
          <w:rStyle w:val="a6"/>
        </w:rPr>
        <w:t>相关的学术成果目录</w:t>
      </w:r>
      <w:r>
        <w:rPr/>
        <w:tab/>
      </w:r>
      <w:r>
        <w:rPr/>
        <w:t>29</w:t>
      </w:r>
    </w:p>
    <w:p w14:paraId="7AF36AD8" w14:textId="010CF4AF" w:rsidR="0095466F" w:rsidRDefault="0095466F">
      <w:pPr>
        <w:pStyle w:val="10"/>
        <w:rPr>
          <w14:ligatures w14:val="standardContextual"/>
        </w:rPr>
      </w:pPr>
      <w:r w:rsidRPr="000A3DD0">
        <w:rPr>
          <w:rStyle w:val="a6"/>
        </w:rPr>
        <w:t>致</w:t>
      </w:r>
      <w:r w:rsidRPr="000A3DD0">
        <w:rPr>
          <w:rStyle w:val="a6"/>
        </w:rPr>
        <w:t xml:space="preserve">  </w:t>
      </w:r>
      <w:r w:rsidRPr="000A3DD0">
        <w:rPr>
          <w:rStyle w:val="a6"/>
        </w:rPr>
        <w:t>谢</w:t>
      </w:r>
      <w:r>
        <w:rPr/>
        <w:tab/>
      </w:r>
      <w:r>
        <w:rPr/>
        <w:t>30</w:t>
      </w:r>
    </w:p>
    <w:p w14:paraId="0316F025" w14:textId="6756D475" w:rsidR="00F17900" w:rsidRDefault="00045122" w:rsidP="00C04E3C">
      <w:pPr>
        <w:spacing w:line="360" w:lineRule="auto"/>
        <w:rPr>
          <w:bCs/>
          <w:sz w:val="24"/>
          <w:lang w:val="zh-CN"/>
        </w:rPr>
        <w:sectPr w:rsidR="00F17900" w:rsidSect="00F17900">
          <w:headerReference w:type="default" r:id="rId19"/>
          <w:footerReference w:type="default" r:id="rId20"/>
          <w:pgSz w:w="11906" w:h="16838" w:code="9"/>
          <w:pgMar w:top="1134" w:right="1134" w:bottom="1134" w:left="1134" w:header="850" w:footer="992" w:gutter="0"/>
          <w:pgNumType w:fmt="lowerRoman" w:start="1"/>
          <w:cols w:space="425"/>
          <w:docGrid w:linePitch="312"/>
        </w:sectPr>
      </w:pPr>
      <w:r w:rsidRPr="000D466E">
        <w:rPr>
          <w:bCs/>
          <w:sz w:val="24"/>
          <w:lang w:val="zh-CN"/>
        </w:rPr>
        <w:fldChar w:fldCharType="end"/>
      </w:r>
    </w:p>
    <w:p w14:paraId="2207657B" w14:textId="77777777" w:rsidR="00F17900" w:rsidRPr="00347D9E" w:rsidRDefault="00F17900" w:rsidP="0064589E">
      <w:pPr>
        <w:spacing w:beforeLines="200" w:before="480" w:afterLines="150" w:after="360"/>
        <w:jc w:val="center"/>
        <w:rPr>
          <w:rFonts w:ascii="黑体" w:eastAsia="黑体" w:hAnsi="黑体"/>
          <w:color w:val="0000FF"/>
          <w:sz w:val="36"/>
          <w:szCs w:val="36"/>
        </w:rPr>
      </w:pPr>
      <w:r>
        <w:rPr>
          <w:rFonts w:ascii="黑体" w:eastAsia="黑体" w:hAnsi="黑体" w:hint="eastAsia"/>
          <w:color w:val="000000"/>
          <w:sz w:val="36"/>
          <w:szCs w:val="36"/>
        </w:rPr>
        <w:lastRenderedPageBreak/>
        <w:t>植物促生菌PGP6生长素合成基因的鉴定与功能验证</w:t>
      </w:r>
    </w:p>
    <w:p w14:paraId="10CCE657" w14:textId="77777777" w:rsidR="00F17900" w:rsidRPr="00D515D0" w:rsidRDefault="00F17900" w:rsidP="00F17900">
      <w:pPr>
        <w:pStyle w:val="1"/>
        <w:spacing w:before="480" w:after="360" w:line="400" w:lineRule="exact"/>
      </w:pPr>
      <w:bookmarkStart w:id="0" w:name="_Toc236830331"/>
      <w:r>
        <w:rPr>
          <w:color w:val="000000"/>
        </w:rPr>
        <w:t>摘  要</w:t>
      </w:r>
      <w:bookmarkEnd w:id="0"/>
    </w:p>
    <w:p w14:paraId="1FAD4E75" w14:textId="77777777" w:rsidR="00651B96" w:rsidRDefault="00721866">
      <w:pPr>
        <w:autoSpaceDE w:val="0"/>
        <w:autoSpaceDN w:val="0"/>
        <w:snapToGrid w:val="0"/>
        <w:spacing w:line="400" w:lineRule="exact"/>
        <w:ind w:firstLineChars="225" w:firstLine="540"/>
        <w:rPr>
          <w:rFonts w:ascii="宋体" w:hAnsi="宋体"/>
          <w:sz w:val="24"/>
        </w:rPr>
      </w:pPr>
      <w:r>
        <w:rPr>
          <w:color w:val="000000"/>
          <w:sz w:val="24"/>
        </w:rPr>
        <w:t>植物根际促生菌（</w:t>
      </w:r>
      <w:r>
        <w:rPr>
          <w:color w:val="000000"/>
          <w:sz w:val="24"/>
        </w:rPr>
        <w:t>Plant growth-promoting rhizobacteria, PGPR</w:t>
      </w:r>
      <w:r>
        <w:rPr>
          <w:color w:val="000000"/>
          <w:sz w:val="24"/>
        </w:rPr>
        <w:t>）是一类能够定殖于植物根际，并通过促进养分吸收、合成植物激素、增强植物抗逆性及抑制病原菌等方式促进植物生长的有益微生物。与传统化肥和农药相比，</w:t>
      </w:r>
      <w:r>
        <w:rPr>
          <w:color w:val="000000"/>
          <w:sz w:val="24"/>
        </w:rPr>
        <w:t>PGPR</w:t>
      </w:r>
      <w:r>
        <w:rPr>
          <w:color w:val="000000"/>
          <w:sz w:val="24"/>
        </w:rPr>
        <w:t>具有环境友好、生态适应性强等特点，在绿色农业生产和污染土壤植物修复中具有重要应用潜力。其中，</w:t>
      </w:r>
      <w:r>
        <w:rPr>
          <w:color w:val="000000"/>
          <w:sz w:val="24"/>
        </w:rPr>
        <w:t>PGPR</w:t>
      </w:r>
      <w:r>
        <w:rPr>
          <w:color w:val="000000"/>
          <w:sz w:val="24"/>
        </w:rPr>
        <w:t>合成吲哚</w:t>
      </w:r>
      <w:r>
        <w:rPr>
          <w:color w:val="000000"/>
          <w:sz w:val="24"/>
        </w:rPr>
        <w:t>-</w:t>
      </w:r>
      <w:r>
        <w:rPr>
          <w:color w:val="000000"/>
          <w:sz w:val="24"/>
        </w:rPr>
        <w:t>3</w:t>
      </w:r>
      <w:r>
        <w:rPr>
          <w:color w:val="000000"/>
          <w:sz w:val="24"/>
        </w:rPr>
        <w:t>-</w:t>
      </w:r>
      <w:r>
        <w:rPr>
          <w:color w:val="000000"/>
          <w:sz w:val="24"/>
        </w:rPr>
        <w:t>乙酸（</w:t>
      </w:r>
      <w:r>
        <w:rPr>
          <w:color w:val="000000"/>
          <w:sz w:val="24"/>
        </w:rPr>
        <w:t>Indole-3-acetic acid, IAA</w:t>
      </w:r>
      <w:r>
        <w:rPr>
          <w:color w:val="000000"/>
          <w:sz w:val="24"/>
        </w:rPr>
        <w:t>）是其发挥促生作用的重要机制之一，但不同菌株中</w:t>
      </w:r>
      <w:r>
        <w:rPr>
          <w:color w:val="000000"/>
          <w:sz w:val="24"/>
        </w:rPr>
        <w:t>IAA</w:t>
      </w:r>
      <w:r>
        <w:rPr>
          <w:color w:val="000000"/>
          <w:sz w:val="24"/>
        </w:rPr>
        <w:t>合成相关基因及其功能贡献仍存在差异，需通过遗传学手段进一步验证。</w:t>
      </w:r>
    </w:p>
    <w:p w14:paraId="56A7907B" w14:textId="77777777" w:rsidR="00651B96" w:rsidRDefault="00721866">
      <w:pPr>
        <w:autoSpaceDE w:val="0"/>
        <w:autoSpaceDN w:val="0"/>
        <w:snapToGrid w:val="0"/>
        <w:spacing w:line="400" w:lineRule="exact"/>
        <w:ind w:firstLineChars="225" w:firstLine="540"/>
        <w:rPr>
          <w:rFonts w:ascii="宋体" w:hAnsi="宋体"/>
          <w:sz w:val="24"/>
        </w:rPr>
      </w:pPr>
      <w:r>
        <w:rPr>
          <w:color w:val="000000"/>
          <w:sz w:val="24"/>
        </w:rPr>
        <w:t>植物根际促生菌</w:t>
      </w:r>
      <w:r>
        <w:rPr>
          <w:color w:val="000000"/>
          <w:sz w:val="24"/>
        </w:rPr>
        <w:t>PGP6</w:t>
      </w:r>
      <w:r>
        <w:rPr>
          <w:color w:val="000000"/>
          <w:sz w:val="24"/>
        </w:rPr>
        <w:t>（</w:t>
      </w:r>
      <w:r>
        <w:rPr>
          <w:color w:val="000000"/>
          <w:sz w:val="24"/>
        </w:rPr>
        <w:t>Pantoea sp.</w:t>
      </w:r>
      <w:r>
        <w:rPr>
          <w:color w:val="000000"/>
          <w:sz w:val="24"/>
        </w:rPr>
        <w:t>）来源于南京栖霞山重金属污染农田根际土壤，具有合成</w:t>
      </w:r>
      <w:r>
        <w:rPr>
          <w:color w:val="000000"/>
          <w:sz w:val="24"/>
        </w:rPr>
        <w:t>IAA</w:t>
      </w:r>
      <w:r>
        <w:rPr>
          <w:color w:val="000000"/>
          <w:sz w:val="24"/>
        </w:rPr>
        <w:t>及促进植物生长的潜力。为解析</w:t>
      </w:r>
      <w:r>
        <w:rPr>
          <w:color w:val="000000"/>
          <w:sz w:val="24"/>
        </w:rPr>
        <w:t>PGP6</w:t>
      </w:r>
      <w:r>
        <w:rPr>
          <w:color w:val="000000"/>
          <w:sz w:val="24"/>
        </w:rPr>
        <w:t>中</w:t>
      </w:r>
      <w:r>
        <w:rPr>
          <w:color w:val="000000"/>
          <w:sz w:val="24"/>
        </w:rPr>
        <w:t>IAA</w:t>
      </w:r>
      <w:r>
        <w:rPr>
          <w:color w:val="000000"/>
          <w:sz w:val="24"/>
        </w:rPr>
        <w:t>合成相关基因的功能，本研究以</w:t>
      </w:r>
      <w:r>
        <w:rPr>
          <w:i/>
          <w:iCs/>
          <w:color w:val="000000"/>
          <w:sz w:val="24"/>
        </w:rPr>
        <w:t>t</w:t>
      </w:r>
      <w:r>
        <w:rPr>
          <w:i/>
          <w:iCs/>
          <w:color w:val="000000"/>
          <w:sz w:val="24"/>
        </w:rPr>
        <w:t>rpA</w:t>
      </w:r>
      <w:r>
        <w:rPr>
          <w:color w:val="000000"/>
          <w:sz w:val="24"/>
        </w:rPr>
        <w:t>、</w:t>
      </w:r>
      <w:r>
        <w:rPr>
          <w:i/>
          <w:iCs/>
          <w:color w:val="000000"/>
          <w:sz w:val="24"/>
        </w:rPr>
        <w:t>t</w:t>
      </w:r>
      <w:r>
        <w:rPr>
          <w:i/>
          <w:iCs/>
          <w:color w:val="000000"/>
          <w:sz w:val="24"/>
        </w:rPr>
        <w:t>rpB</w:t>
      </w:r>
      <w:r>
        <w:rPr>
          <w:color w:val="000000"/>
          <w:sz w:val="24"/>
        </w:rPr>
        <w:t>、</w:t>
      </w:r>
      <w:r>
        <w:rPr>
          <w:i/>
          <w:iCs/>
          <w:color w:val="000000"/>
          <w:sz w:val="24"/>
        </w:rPr>
        <w:t>patB</w:t>
      </w:r>
      <w:r>
        <w:rPr>
          <w:color w:val="000000"/>
          <w:sz w:val="24"/>
        </w:rPr>
        <w:t>及</w:t>
      </w:r>
      <w:r>
        <w:rPr>
          <w:i/>
          <w:iCs/>
          <w:color w:val="000000"/>
          <w:sz w:val="24"/>
        </w:rPr>
        <w:t>iaaH</w:t>
      </w:r>
      <w:r>
        <w:rPr>
          <w:color w:val="000000"/>
          <w:sz w:val="24"/>
        </w:rPr>
        <w:t>等候选基因为对象，首先采用</w:t>
      </w:r>
      <w:r>
        <w:rPr>
          <w:color w:val="000000"/>
          <w:sz w:val="24"/>
        </w:rPr>
        <w:t>Salkowski</w:t>
      </w:r>
      <w:r>
        <w:rPr>
          <w:color w:val="000000"/>
          <w:sz w:val="24"/>
        </w:rPr>
        <w:t>比色法测定</w:t>
      </w:r>
      <w:r>
        <w:rPr>
          <w:color w:val="000000"/>
          <w:sz w:val="24"/>
        </w:rPr>
        <w:t>PGP6</w:t>
      </w:r>
      <w:r>
        <w:rPr>
          <w:color w:val="000000"/>
          <w:sz w:val="24"/>
        </w:rPr>
        <w:t>的</w:t>
      </w:r>
      <w:r>
        <w:rPr>
          <w:color w:val="000000"/>
          <w:sz w:val="24"/>
        </w:rPr>
        <w:t>IAA</w:t>
      </w:r>
      <w:r>
        <w:rPr>
          <w:color w:val="000000"/>
          <w:sz w:val="24"/>
        </w:rPr>
        <w:t>合成能力，并通过抗生素最小抑菌浓度实验确定遗传操作筛选条件；随后基于全基因组注释结果定位</w:t>
      </w:r>
      <w:r>
        <w:rPr>
          <w:color w:val="000000"/>
          <w:sz w:val="24"/>
        </w:rPr>
        <w:t>IAA</w:t>
      </w:r>
      <w:r>
        <w:rPr>
          <w:color w:val="000000"/>
          <w:sz w:val="24"/>
        </w:rPr>
        <w:t>合成相关候选基因，设计并构建含上下游同源臂和卡那霉素抗性标记的线性打靶片段；进一步利用</w:t>
      </w:r>
      <w:r>
        <w:rPr>
          <w:color w:val="000000"/>
          <w:sz w:val="24"/>
        </w:rPr>
        <w:t>pKD46</w:t>
      </w:r>
      <w:r>
        <w:rPr>
          <w:color w:val="000000"/>
          <w:sz w:val="24"/>
        </w:rPr>
        <w:t>介导的</w:t>
      </w:r>
      <w:r>
        <w:rPr>
          <w:color w:val="000000"/>
          <w:sz w:val="24"/>
        </w:rPr>
        <w:t>λ-Red</w:t>
      </w:r>
      <w:r>
        <w:rPr>
          <w:color w:val="000000"/>
          <w:sz w:val="24"/>
        </w:rPr>
        <w:t>同源重组体系构建目标基因缺失突变株，并通过</w:t>
      </w:r>
      <w:r>
        <w:rPr>
          <w:color w:val="000000"/>
          <w:sz w:val="24"/>
        </w:rPr>
        <w:t>PCR</w:t>
      </w:r>
      <w:r>
        <w:rPr>
          <w:color w:val="000000"/>
          <w:sz w:val="24"/>
        </w:rPr>
        <w:t>和测序进行验证；最后比较野生型菌株与各突变株的</w:t>
      </w:r>
      <w:r>
        <w:rPr>
          <w:color w:val="000000"/>
          <w:sz w:val="24"/>
        </w:rPr>
        <w:t>IAA</w:t>
      </w:r>
      <w:r>
        <w:rPr>
          <w:color w:val="000000"/>
          <w:sz w:val="24"/>
        </w:rPr>
        <w:t>产量差异。结果表明，</w:t>
      </w:r>
      <w:r>
        <w:rPr>
          <w:color w:val="000000"/>
          <w:sz w:val="24"/>
        </w:rPr>
        <w:t>PGP6</w:t>
      </w:r>
      <w:r>
        <w:rPr>
          <w:color w:val="000000"/>
          <w:sz w:val="24"/>
        </w:rPr>
        <w:t>在含</w:t>
      </w:r>
      <w:r>
        <w:rPr>
          <w:color w:val="000000"/>
          <w:sz w:val="24"/>
        </w:rPr>
        <w:t>0.5 mg/mL</w:t>
      </w:r>
      <w:r>
        <w:rPr>
          <w:color w:val="000000"/>
          <w:sz w:val="24"/>
        </w:rPr>
        <w:t>色氨酸的</w:t>
      </w:r>
      <w:r>
        <w:rPr>
          <w:color w:val="000000"/>
          <w:sz w:val="24"/>
        </w:rPr>
        <w:t>YN</w:t>
      </w:r>
      <w:r>
        <w:rPr>
          <w:color w:val="000000"/>
          <w:sz w:val="24"/>
        </w:rPr>
        <w:t>培养基中可稳定产生</w:t>
      </w:r>
      <w:r>
        <w:rPr>
          <w:color w:val="000000"/>
          <w:sz w:val="24"/>
        </w:rPr>
        <w:t>IAA</w:t>
      </w:r>
      <w:r>
        <w:rPr>
          <w:color w:val="000000"/>
          <w:sz w:val="24"/>
        </w:rPr>
        <w:t>，野生型菌株</w:t>
      </w:r>
      <w:r>
        <w:rPr>
          <w:color w:val="000000"/>
          <w:sz w:val="24"/>
        </w:rPr>
        <w:t>IAA</w:t>
      </w:r>
      <w:r>
        <w:rPr>
          <w:color w:val="000000"/>
          <w:sz w:val="24"/>
        </w:rPr>
        <w:t>产量为</w:t>
      </w:r>
      <w:r>
        <w:rPr>
          <w:color w:val="000000"/>
          <w:sz w:val="24"/>
        </w:rPr>
        <w:t>80.81±2.95 mg/L</w:t>
      </w:r>
      <w:r>
        <w:rPr>
          <w:color w:val="000000"/>
          <w:sz w:val="24"/>
        </w:rPr>
        <w:t>；</w:t>
      </w:r>
      <w:r>
        <w:rPr>
          <w:color w:val="000000"/>
          <w:sz w:val="24"/>
        </w:rPr>
        <w:t>PGP6 Δ</w:t>
      </w:r>
      <w:r>
        <w:rPr>
          <w:i/>
          <w:iCs/>
          <w:color w:val="000000"/>
          <w:sz w:val="24"/>
        </w:rPr>
        <w:t>trpA</w:t>
      </w:r>
      <w:r>
        <w:rPr>
          <w:color w:val="000000"/>
          <w:sz w:val="24"/>
        </w:rPr>
        <w:t>::kan</w:t>
      </w:r>
      <w:r>
        <w:rPr>
          <w:color w:val="000000"/>
          <w:sz w:val="24"/>
        </w:rPr>
        <w:t>、</w:t>
      </w:r>
      <w:r>
        <w:rPr>
          <w:color w:val="000000"/>
          <w:sz w:val="24"/>
        </w:rPr>
        <w:t>PGP6 Δ</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trpA</w:t>
      </w:r>
      <w:r>
        <w:rPr>
          <w:color w:val="000000"/>
          <w:sz w:val="24"/>
        </w:rPr>
        <w:t>-</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patB</w:t>
      </w:r>
      <w:r>
        <w:rPr>
          <w:color w:val="000000"/>
          <w:sz w:val="24"/>
        </w:rPr>
        <w:t>::kan</w:t>
      </w:r>
      <w:r>
        <w:rPr>
          <w:color w:val="000000"/>
          <w:sz w:val="24"/>
        </w:rPr>
        <w:t>和</w:t>
      </w:r>
      <w:r>
        <w:rPr>
          <w:color w:val="000000"/>
          <w:sz w:val="24"/>
        </w:rPr>
        <w:t>PGP6 Δi</w:t>
      </w:r>
      <w:r>
        <w:rPr>
          <w:i/>
          <w:iCs/>
          <w:color w:val="000000"/>
          <w:sz w:val="24"/>
        </w:rPr>
        <w:t>aaH</w:t>
      </w:r>
      <w:r>
        <w:rPr>
          <w:color w:val="000000"/>
          <w:sz w:val="24"/>
        </w:rPr>
        <w:t>::kan</w:t>
      </w:r>
      <w:r>
        <w:rPr>
          <w:color w:val="000000"/>
          <w:sz w:val="24"/>
        </w:rPr>
        <w:t>突变株的</w:t>
      </w:r>
      <w:r>
        <w:rPr>
          <w:color w:val="000000"/>
          <w:sz w:val="24"/>
        </w:rPr>
        <w:t>IAA</w:t>
      </w:r>
      <w:r>
        <w:rPr>
          <w:color w:val="000000"/>
          <w:sz w:val="24"/>
        </w:rPr>
        <w:t>产量均低于野生型，其中</w:t>
      </w:r>
      <w:r>
        <w:rPr>
          <w:color w:val="000000"/>
          <w:sz w:val="24"/>
        </w:rPr>
        <w:t>Δ</w:t>
      </w:r>
      <w:r>
        <w:rPr>
          <w:i/>
          <w:iCs/>
          <w:color w:val="000000"/>
          <w:sz w:val="24"/>
        </w:rPr>
        <w:t>patB</w:t>
      </w:r>
      <w:r>
        <w:rPr>
          <w:color w:val="000000"/>
          <w:sz w:val="24"/>
        </w:rPr>
        <w:t>::kan</w:t>
      </w:r>
      <w:r>
        <w:rPr>
          <w:color w:val="000000"/>
          <w:sz w:val="24"/>
        </w:rPr>
        <w:t>突变株平均降幅最大。上述结果说明</w:t>
      </w:r>
      <w:r>
        <w:rPr>
          <w:i/>
          <w:iCs/>
          <w:color w:val="000000"/>
          <w:sz w:val="24"/>
        </w:rPr>
        <w:t>trpA</w:t>
      </w:r>
      <w:r>
        <w:rPr>
          <w:color w:val="000000"/>
          <w:sz w:val="24"/>
        </w:rPr>
        <w:t>、</w:t>
      </w:r>
      <w:r>
        <w:rPr>
          <w:color w:val="000000"/>
          <w:sz w:val="24"/>
        </w:rPr>
        <w:t xml:space="preserve"> </w:t>
      </w:r>
      <w:r>
        <w:rPr>
          <w:i/>
          <w:iCs/>
          <w:color w:val="000000"/>
          <w:sz w:val="24"/>
        </w:rPr>
        <w:t>trpB</w:t>
      </w:r>
      <w:r>
        <w:rPr>
          <w:color w:val="000000"/>
          <w:sz w:val="24"/>
        </w:rPr>
        <w:t>、</w:t>
      </w:r>
      <w:r>
        <w:rPr>
          <w:color w:val="000000"/>
          <w:sz w:val="24"/>
        </w:rPr>
        <w:t xml:space="preserve"> </w:t>
      </w:r>
      <w:r>
        <w:rPr>
          <w:i/>
          <w:iCs/>
          <w:color w:val="000000"/>
          <w:sz w:val="24"/>
        </w:rPr>
        <w:t>patB</w:t>
      </w:r>
      <w:r>
        <w:rPr>
          <w:color w:val="000000"/>
          <w:sz w:val="24"/>
        </w:rPr>
        <w:t>及</w:t>
      </w:r>
      <w:r>
        <w:rPr>
          <w:i/>
          <w:iCs/>
          <w:color w:val="000000"/>
          <w:sz w:val="24"/>
        </w:rPr>
        <w:t>iaaH</w:t>
      </w:r>
      <w:r>
        <w:rPr>
          <w:color w:val="000000"/>
          <w:sz w:val="24"/>
        </w:rPr>
        <w:t>等基因均可能参与</w:t>
      </w:r>
      <w:r>
        <w:rPr>
          <w:color w:val="000000"/>
          <w:sz w:val="24"/>
        </w:rPr>
        <w:t>PGP6</w:t>
      </w:r>
      <w:r>
        <w:rPr>
          <w:color w:val="000000"/>
          <w:sz w:val="24"/>
        </w:rPr>
        <w:t>的</w:t>
      </w:r>
      <w:r>
        <w:rPr>
          <w:color w:val="000000"/>
          <w:sz w:val="24"/>
        </w:rPr>
        <w:t>IAA</w:t>
      </w:r>
      <w:r>
        <w:rPr>
          <w:color w:val="000000"/>
          <w:sz w:val="24"/>
        </w:rPr>
        <w:t>合成或其前体代谢过程，但单一基因缺失未完全阻断</w:t>
      </w:r>
      <w:r>
        <w:rPr>
          <w:color w:val="000000"/>
          <w:sz w:val="24"/>
        </w:rPr>
        <w:t>IAA</w:t>
      </w:r>
      <w:r>
        <w:rPr>
          <w:color w:val="000000"/>
          <w:sz w:val="24"/>
        </w:rPr>
        <w:t>产生，提示</w:t>
      </w:r>
      <w:r>
        <w:rPr>
          <w:color w:val="000000"/>
          <w:sz w:val="24"/>
        </w:rPr>
        <w:t>PGP6</w:t>
      </w:r>
      <w:r>
        <w:rPr>
          <w:color w:val="000000"/>
          <w:sz w:val="24"/>
        </w:rPr>
        <w:t>中</w:t>
      </w:r>
      <w:r>
        <w:rPr>
          <w:color w:val="000000"/>
          <w:sz w:val="24"/>
        </w:rPr>
        <w:t>IAA</w:t>
      </w:r>
      <w:r>
        <w:rPr>
          <w:color w:val="000000"/>
          <w:sz w:val="24"/>
        </w:rPr>
        <w:t>合成可能存在多基因协同或替代代谢途径。本研究为阐明</w:t>
      </w:r>
      <w:r>
        <w:rPr>
          <w:color w:val="000000"/>
          <w:sz w:val="24"/>
        </w:rPr>
        <w:t>PGP6</w:t>
      </w:r>
      <w:r>
        <w:rPr>
          <w:color w:val="000000"/>
          <w:sz w:val="24"/>
        </w:rPr>
        <w:t>的</w:t>
      </w:r>
      <w:r>
        <w:rPr>
          <w:color w:val="000000"/>
          <w:sz w:val="24"/>
        </w:rPr>
        <w:t>IAA</w:t>
      </w:r>
      <w:r>
        <w:rPr>
          <w:color w:val="000000"/>
          <w:sz w:val="24"/>
        </w:rPr>
        <w:t>合成遗传基础及促生机制提供了实验依据，也为后续植物促生菌剂开发与植物</w:t>
      </w:r>
      <w:r>
        <w:rPr>
          <w:color w:val="000000"/>
          <w:sz w:val="24"/>
        </w:rPr>
        <w:t>-</w:t>
      </w:r>
      <w:r>
        <w:rPr>
          <w:color w:val="000000"/>
          <w:sz w:val="24"/>
        </w:rPr>
        <w:t>微生物互作研究奠定基础。</w:t>
      </w:r>
    </w:p>
    <w:p w14:paraId="755E9E70" w14:textId="77777777" w:rsidR="00F17900" w:rsidRPr="00D52422" w:rsidRDefault="00F17900" w:rsidP="00F17900">
      <w:pPr>
        <w:spacing w:line="400" w:lineRule="exact"/>
        <w:ind w:firstLineChars="200" w:firstLine="480"/>
        <w:rPr>
          <w:rFonts w:ascii="楷体" w:eastAsia="楷体" w:hAnsi="楷体"/>
          <w:sz w:val="24"/>
          <w:szCs w:val="22"/>
        </w:rPr>
      </w:pPr>
    </w:p>
    <w:p w14:paraId="49F13422" w14:textId="77777777" w:rsidR="00F17900" w:rsidRPr="00347D9E" w:rsidRDefault="00F17900" w:rsidP="00F17900">
      <w:pPr>
        <w:spacing w:line="400" w:lineRule="exact"/>
        <w:jc w:val="left"/>
        <w:rPr>
          <w:rFonts w:ascii="楷体_GB2312" w:eastAsia="楷体_GB2312"/>
          <w:color w:val="0000FF"/>
          <w:sz w:val="24"/>
        </w:rPr>
      </w:pPr>
      <w:r>
        <w:rPr>
          <w:rFonts w:ascii="黑体" w:eastAsia="黑体" w:hAnsi="黑体" w:hint="eastAsia"/>
          <w:color w:val="000000"/>
          <w:sz w:val="28"/>
        </w:rPr>
        <w:t>关键词：</w:t>
      </w:r>
      <w:r>
        <w:rPr>
          <w:rFonts w:ascii="宋体" w:hAnsi="宋体" w:hint="eastAsia"/>
          <w:color w:val="000000"/>
          <w:sz w:val="24"/>
        </w:rPr>
        <w:t>植物根际促生菌；PGP6；吲哚-3-乙酸；λ-Red同源重组；基因敲除</w:t>
      </w:r>
    </w:p>
    <w:p w14:paraId="4569E986" w14:textId="77777777" w:rsidR="00F17900" w:rsidRPr="00B8084F" w:rsidRDefault="00F17900" w:rsidP="0064589E">
      <w:pPr>
        <w:spacing w:beforeLines="200" w:before="480" w:afterLines="150" w:after="360" w:line="400" w:lineRule="exact"/>
        <w:jc w:val="center"/>
        <w:rPr>
          <w:b/>
          <w:color w:val="0000FF"/>
          <w:sz w:val="32"/>
        </w:rPr>
      </w:pPr>
      <w:r>
        <w:rPr>
          <w:rFonts w:hint="eastAsia"/>
          <w:b/>
          <w:color w:val="000000"/>
          <w:sz w:val="32"/>
        </w:rPr>
        <w:br w:type="page"/>
      </w:r>
      <w:r>
        <w:rPr>
          <w:rFonts w:hint="eastAsia"/>
          <w:b/>
          <w:color w:val="000000"/>
          <w:sz w:val="32"/>
        </w:rPr>
        <w:lastRenderedPageBreak/>
        <w:t>Identification and Functional Characterization of Indole-3-Acetic Acid Biosynthesis-Related Genes in the Plant Growth-Promoting Rhizobacterium PGP6</w:t>
      </w:r>
    </w:p>
    <w:p w14:paraId="0B30861C" w14:textId="77777777" w:rsidR="00F17900" w:rsidRPr="00611A53" w:rsidRDefault="00F17900" w:rsidP="00F17900">
      <w:pPr>
        <w:pStyle w:val="1"/>
        <w:spacing w:before="480" w:after="360" w:line="400" w:lineRule="exact"/>
        <w:rPr>
          <w:rFonts w:ascii="Times New Roman" w:hAnsi="Times New Roman"/>
          <w:b/>
        </w:rPr>
      </w:pPr>
      <w:bookmarkStart w:id="1" w:name="_Toc236830332"/>
      <w:r>
        <w:rPr>
          <w:rFonts w:ascii="Times New Roman" w:hAnsi="Times New Roman"/>
          <w:b/>
          <w:color w:val="000000"/>
        </w:rPr>
        <w:t>ABSTRACT</w:t>
      </w:r>
      <w:bookmarkEnd w:id="1"/>
    </w:p>
    <w:p w14:paraId="5F959E23" w14:textId="77777777" w:rsidR="00651B96" w:rsidRDefault="00721866">
      <w:pPr>
        <w:autoSpaceDE w:val="0"/>
        <w:autoSpaceDN w:val="0"/>
        <w:snapToGrid w:val="0"/>
        <w:spacing w:line="400" w:lineRule="exact"/>
        <w:ind w:firstLineChars="225" w:firstLine="540"/>
        <w:rPr>
          <w:rFonts w:ascii="宋体" w:hAnsi="宋体"/>
          <w:sz w:val="24"/>
        </w:rPr>
      </w:pPr>
      <w:r>
        <w:rPr>
          <w:rFonts w:eastAsia="Times New Roman"/>
          <w:color w:val="000000"/>
          <w:sz w:val="24"/>
        </w:rPr>
        <w:t>Plant growth-promoting rhizobacteria (PGPR) are beneficial microorganisms that colonize the rhizosphere and promote plant growth by enhancing nutrient uptake, producing phytohormones, improving stress tolerance, and suppressing phytopathogens. Among these mechanisms, bacterial production of indole-3-acetic acid (IAA) is considered an important factor contributing to plant growth promotion. However, the genetic basis of IAA biosynthesis varies among bacterial strains and requires further functional verificat</w:t>
      </w:r>
      <w:r>
        <w:rPr>
          <w:rFonts w:eastAsia="Times New Roman"/>
          <w:color w:val="000000"/>
          <w:sz w:val="24"/>
        </w:rPr>
        <w:t>ion.</w:t>
      </w:r>
    </w:p>
    <w:p w14:paraId="09E086E0" w14:textId="77777777" w:rsidR="00651B96" w:rsidRDefault="00721866">
      <w:pPr>
        <w:autoSpaceDE w:val="0"/>
        <w:autoSpaceDN w:val="0"/>
        <w:snapToGrid w:val="0"/>
        <w:spacing w:line="400" w:lineRule="exact"/>
        <w:ind w:firstLineChars="225" w:firstLine="540"/>
        <w:rPr>
          <w:rFonts w:ascii="宋体" w:hAnsi="宋体"/>
          <w:sz w:val="24"/>
        </w:rPr>
      </w:pPr>
      <w:r>
        <w:rPr>
          <w:rFonts w:eastAsia="Times New Roman"/>
          <w:color w:val="000000"/>
          <w:sz w:val="24"/>
        </w:rPr>
        <w:t>In this study, the plant growth-promoting rhizobacterium PGP6 (Pantoea sp.), isolated from heavy metal-contaminated rhizosphere soil in Qixia Mountain, Nanjing, was used to investigate IAA biosynthesis-related genes. Four candidate genes, trpA, trpB, patB, and iaaH</w:t>
      </w:r>
      <w:r>
        <w:rPr>
          <w:rFonts w:eastAsia="Times New Roman"/>
          <w:color w:val="000000"/>
          <w:sz w:val="24"/>
        </w:rPr>
        <w:t>, were selected based on whole-genome annotation. The IAA-producing ability of PGP6 was first determined using the Salkowski colorimetric assay, and antibiotic minimum inhibitory concentration assays were performed to establish suitable selection conditions for genetic manipulation. Linear targeting fragments containing upstream and downstream homologous arms and a kanamycin resistance cassette were then constructed. Subsequently, trpA, trpB, trpA-trpB, patB, and iaaH</w:t>
      </w:r>
      <w:r>
        <w:rPr>
          <w:rFonts w:eastAsia="Times New Roman"/>
          <w:color w:val="000000"/>
          <w:sz w:val="24"/>
        </w:rPr>
        <w:t xml:space="preserve"> deletion mutants were generated using the pKD46-mediated λ-Red homologous recombination system and verified by PCR and sequencing. Finally, IAA production in the wild-type strain and the mutants was quantitatively compared. </w:t>
      </w:r>
    </w:p>
    <w:p w14:paraId="05A2F0E8" w14:textId="77777777" w:rsidR="00651B96" w:rsidRDefault="00721866">
      <w:pPr>
        <w:autoSpaceDE w:val="0"/>
        <w:autoSpaceDN w:val="0"/>
        <w:snapToGrid w:val="0"/>
        <w:spacing w:line="400" w:lineRule="exact"/>
        <w:ind w:firstLineChars="225" w:firstLine="540"/>
        <w:rPr>
          <w:rFonts w:ascii="宋体" w:hAnsi="宋体"/>
          <w:sz w:val="24"/>
        </w:rPr>
      </w:pPr>
      <w:r>
        <w:rPr>
          <w:rFonts w:eastAsia="Times New Roman"/>
          <w:color w:val="000000"/>
          <w:sz w:val="24"/>
        </w:rPr>
        <w:t>The results showed that PGP6 stably produced IAA in YN medium supplemented with 0.5 mg/mL tryptophan, with the wild-type strain producing 80.81 ± 2.95 mg/L IAA. The IAA yields of PGP6 ΔtrpA::kan, ΔtrpB::kan, Δ(trpA-trpB)::kan, ΔpatB::kan, and ΔiaaH</w:t>
      </w:r>
      <w:r>
        <w:rPr>
          <w:rFonts w:eastAsia="Times New Roman"/>
          <w:color w:val="000000"/>
          <w:sz w:val="24"/>
        </w:rPr>
        <w:t>::kan were all lower than that of the wild type, with ΔpatB::kan showing the greatest average reduction. These findings suggest that trpA, trpB, patB, and iaaH</w:t>
      </w:r>
      <w:r>
        <w:rPr>
          <w:rFonts w:eastAsia="Times New Roman"/>
          <w:color w:val="000000"/>
          <w:sz w:val="24"/>
        </w:rPr>
        <w:t xml:space="preserve"> may participate in IAA biosynthesis or precursor metabolism in PGP6. Nevertheless, single-gene deletion did not completely abolish IAA production, indicating that multiple genes or alternative pathways may contribute to IAA biosynthesis in this strain. This study provides experimental evidence for understanding the genetic basis of IAA production in PGP6 and lays a foundation for further studies on plant–microbe interactions and PGPR-based biofertilizer development.</w:t>
      </w:r>
    </w:p>
    <w:p w14:paraId="5700AA3B" w14:textId="77777777" w:rsidR="00F17900" w:rsidRDefault="00F17900" w:rsidP="00F17900">
      <w:pPr>
        <w:snapToGrid w:val="0"/>
        <w:spacing w:line="400" w:lineRule="exact"/>
        <w:ind w:firstLineChars="225" w:firstLine="540"/>
        <w:rPr>
          <w:rFonts w:ascii="宋体" w:hAnsi="宋体"/>
          <w:sz w:val="24"/>
        </w:rPr>
      </w:pPr>
    </w:p>
    <w:p w14:paraId="4F8F6AE1" w14:textId="77777777" w:rsidR="00F17900" w:rsidRPr="00B72483" w:rsidRDefault="00F17900" w:rsidP="00F17900">
      <w:pPr>
        <w:snapToGrid w:val="0"/>
        <w:spacing w:line="400" w:lineRule="exact"/>
        <w:ind w:firstLineChars="225" w:firstLine="540"/>
        <w:rPr>
          <w:sz w:val="24"/>
        </w:rPr>
      </w:pPr>
    </w:p>
    <w:p w14:paraId="4C042496" w14:textId="77777777" w:rsidR="00F17900" w:rsidRPr="00B8084F" w:rsidRDefault="00F17900" w:rsidP="00F17900">
      <w:pPr>
        <w:spacing w:line="400" w:lineRule="exact"/>
        <w:jc w:val="left"/>
        <w:rPr>
          <w:rFonts w:ascii="楷体_GB2312" w:eastAsia="楷体_GB2312"/>
          <w:color w:val="0000FF"/>
          <w:sz w:val="24"/>
        </w:rPr>
      </w:pPr>
      <w:r>
        <w:rPr>
          <w:b/>
          <w:color w:val="000000"/>
          <w:sz w:val="28"/>
        </w:rPr>
        <w:t>KEY WORDS</w:t>
      </w:r>
      <w:r>
        <w:rPr>
          <w:b/>
          <w:color w:val="000000"/>
          <w:sz w:val="28"/>
        </w:rPr>
        <w:t>：</w:t>
      </w:r>
      <w:r>
        <w:rPr>
          <w:rFonts w:ascii="宋体" w:hAnsi="宋体"/>
          <w:color w:val="000000"/>
          <w:sz w:val="24"/>
        </w:rPr>
        <w:t>Plant growth-promoting rhizobacteria；PGP6；Indole-3-acetic acid；λ-Red-mediated homologous recombination；Gene knockout</w:t>
      </w:r>
    </w:p>
    <w:p w14:paraId="55FC6914" w14:textId="77777777" w:rsidR="00F17900" w:rsidRPr="000C33C6" w:rsidRDefault="00F17900" w:rsidP="00F17900">
      <w:pPr>
        <w:spacing w:line="400" w:lineRule="exact"/>
        <w:ind w:firstLineChars="200" w:firstLine="480"/>
        <w:jc w:val="left"/>
        <w:rPr>
          <w:rFonts w:ascii="宋体" w:hAnsi="宋体"/>
          <w:sz w:val="24"/>
        </w:rPr>
      </w:pPr>
    </w:p>
    <w:p w14:paraId="4F581542" w14:textId="77777777" w:rsidR="00E22938" w:rsidRDefault="00E22938" w:rsidP="00FF0BC2">
      <w:pPr>
        <w:pStyle w:val="1"/>
        <w:spacing w:before="480" w:after="360" w:line="400" w:lineRule="exact"/>
        <w:sectPr w:rsidR="00E22938" w:rsidSect="00F17900">
          <w:headerReference w:type="default" r:id="rId21"/>
          <w:pgSz w:w="11906" w:h="16838" w:code="9"/>
          <w:pgMar w:top="1134" w:right="1134" w:bottom="1134" w:left="1134" w:header="850" w:footer="992" w:gutter="0"/>
          <w:pgNumType w:fmt="upperRoman" w:start="1"/>
          <w:cols w:space="425"/>
          <w:docGrid w:linePitch="312"/>
        </w:sectPr>
      </w:pPr>
    </w:p>
    <w:p w14:paraId="01345B86" w14:textId="77777777" w:rsidR="008E7991" w:rsidRPr="001064A7" w:rsidRDefault="00895D5C" w:rsidP="00FF0BC2">
      <w:pPr>
        <w:pStyle w:val="1"/>
        <w:spacing w:before="480" w:after="360" w:line="400" w:lineRule="exact"/>
        <w:rPr>
          <w:color w:val="0000FF"/>
        </w:rPr>
      </w:pPr>
      <w:bookmarkStart w:id="2" w:name="_Toc236830333"/>
      <w:r>
        <w:rPr>
          <w:rFonts w:hint="eastAsia"/>
          <w:color w:val="000000"/>
        </w:rPr>
        <w:lastRenderedPageBreak/>
        <w:t>第一章 文献综述</w:t>
      </w:r>
      <w:bookmarkEnd w:id="2"/>
    </w:p>
    <w:p w14:paraId="50A7CF4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植物根际促生菌（</w:t>
      </w:r>
      <w:r>
        <w:rPr>
          <w:color w:val="000000"/>
          <w:sz w:val="24"/>
        </w:rPr>
        <w:t>Plant growth-promoting rhizobacteria, PGPR</w:t>
      </w:r>
      <w:r>
        <w:rPr>
          <w:color w:val="000000"/>
          <w:sz w:val="24"/>
        </w:rPr>
        <w:t>）是</w:t>
      </w:r>
      <w:r>
        <w:rPr>
          <w:color w:val="000000"/>
          <w:sz w:val="24"/>
        </w:rPr>
        <w:t>一类定殖于植物根际能够促进植物生长的有益微生物</w:t>
      </w:r>
      <w:r>
        <w:rPr>
          <w:color w:val="000000"/>
          <w:sz w:val="24"/>
        </w:rPr>
        <w:t>。早在</w:t>
      </w:r>
      <w:r>
        <w:rPr>
          <w:color w:val="000000"/>
          <w:sz w:val="24"/>
        </w:rPr>
        <w:t>1904</w:t>
      </w:r>
      <w:r>
        <w:rPr>
          <w:color w:val="000000"/>
          <w:sz w:val="24"/>
        </w:rPr>
        <w:t>年，</w:t>
      </w:r>
      <w:r>
        <w:rPr>
          <w:color w:val="000000"/>
          <w:sz w:val="24"/>
        </w:rPr>
        <w:t>Hiltner</w:t>
      </w:r>
      <w:r>
        <w:rPr>
          <w:color w:val="000000"/>
          <w:sz w:val="24"/>
        </w:rPr>
        <w:t>就提出了</w:t>
      </w:r>
      <w:r>
        <w:rPr>
          <w:color w:val="000000"/>
          <w:sz w:val="24"/>
        </w:rPr>
        <w:t>“</w:t>
      </w:r>
      <w:r>
        <w:rPr>
          <w:color w:val="000000"/>
          <w:sz w:val="24"/>
        </w:rPr>
        <w:t>根际</w:t>
      </w:r>
      <w:r>
        <w:rPr>
          <w:color w:val="000000"/>
          <w:sz w:val="24"/>
        </w:rPr>
        <w:t>”</w:t>
      </w:r>
      <w:r>
        <w:rPr>
          <w:color w:val="000000"/>
          <w:sz w:val="24"/>
        </w:rPr>
        <w:t>概念，将根际土壤中的微生物称为根际微生物，并指出其中</w:t>
      </w:r>
      <w:r>
        <w:rPr>
          <w:color w:val="000000"/>
          <w:sz w:val="24"/>
        </w:rPr>
        <w:t>2%~5%</w:t>
      </w:r>
      <w:r>
        <w:rPr>
          <w:color w:val="000000"/>
          <w:sz w:val="24"/>
        </w:rPr>
        <w:t>为有益微生物。这些有益菌能够促进植物生长、发育并提高其逆境抗性，被</w:t>
      </w:r>
      <w:r>
        <w:rPr>
          <w:color w:val="000000"/>
          <w:sz w:val="24"/>
        </w:rPr>
        <w:t>Kloepper</w:t>
      </w:r>
      <w:r>
        <w:rPr>
          <w:color w:val="000000"/>
          <w:sz w:val="24"/>
        </w:rPr>
        <w:t>等人在</w:t>
      </w:r>
      <w:r>
        <w:rPr>
          <w:color w:val="000000"/>
          <w:sz w:val="24"/>
        </w:rPr>
        <w:t>20</w:t>
      </w:r>
      <w:r>
        <w:rPr>
          <w:color w:val="000000"/>
          <w:sz w:val="24"/>
        </w:rPr>
        <w:t>世纪</w:t>
      </w:r>
      <w:r>
        <w:rPr>
          <w:color w:val="000000"/>
          <w:sz w:val="24"/>
        </w:rPr>
        <w:t>70</w:t>
      </w:r>
      <w:r>
        <w:rPr>
          <w:color w:val="000000"/>
          <w:sz w:val="24"/>
        </w:rPr>
        <w:t>年代定义为</w:t>
      </w:r>
      <w:r>
        <w:rPr>
          <w:color w:val="000000"/>
          <w:sz w:val="24"/>
        </w:rPr>
        <w:t>PGPR</w:t>
      </w:r>
      <w:hyperlink w:anchor="docfit_ref_1" w:tooltip="跳转到参考文献 [1]" w:history="1">
        <w:r>
          <w:rPr>
            <w:color w:val="000000"/>
            <w:sz w:val="24"/>
            <w:vertAlign w:val="superscript"/>
          </w:rPr>
          <w:t>[1]</w:t>
        </w:r>
      </w:hyperlink>
      <w:r>
        <w:rPr>
          <w:color w:val="000000"/>
          <w:sz w:val="24"/>
        </w:rPr>
        <w:t>。与传统化肥和农药相比，</w:t>
      </w:r>
      <w:r>
        <w:rPr>
          <w:color w:val="000000"/>
          <w:sz w:val="24"/>
        </w:rPr>
        <w:t>PGPR</w:t>
      </w:r>
      <w:r>
        <w:rPr>
          <w:color w:val="000000"/>
          <w:sz w:val="24"/>
        </w:rPr>
        <w:t>具有环境友好、提高养分利用率、增强植物抗逆性和抑制病害等优势，因此近年来成为研究热点。常见的</w:t>
      </w:r>
      <w:r>
        <w:rPr>
          <w:color w:val="000000"/>
          <w:sz w:val="24"/>
        </w:rPr>
        <w:t>PGPR</w:t>
      </w:r>
      <w:r>
        <w:rPr>
          <w:color w:val="000000"/>
          <w:sz w:val="24"/>
        </w:rPr>
        <w:t>包括假单胞菌属</w:t>
      </w:r>
      <w:r>
        <w:rPr>
          <w:color w:val="000000"/>
          <w:sz w:val="24"/>
        </w:rPr>
        <w:t>(</w:t>
      </w:r>
      <w:r>
        <w:rPr>
          <w:i/>
          <w:iCs/>
          <w:color w:val="000000"/>
          <w:sz w:val="24"/>
        </w:rPr>
        <w:t>Pseudomonas</w:t>
      </w:r>
      <w:r>
        <w:rPr>
          <w:color w:val="000000"/>
          <w:sz w:val="24"/>
        </w:rPr>
        <w:t>)</w:t>
      </w:r>
      <w:r>
        <w:rPr>
          <w:color w:val="000000"/>
          <w:sz w:val="24"/>
        </w:rPr>
        <w:t>、芽孢杆菌属</w:t>
      </w:r>
      <w:r>
        <w:rPr>
          <w:color w:val="000000"/>
          <w:sz w:val="24"/>
        </w:rPr>
        <w:t>(</w:t>
      </w:r>
      <w:r>
        <w:rPr>
          <w:i/>
          <w:iCs/>
          <w:color w:val="000000"/>
          <w:sz w:val="24"/>
        </w:rPr>
        <w:t>Bacillus</w:t>
      </w:r>
      <w:r>
        <w:rPr>
          <w:color w:val="000000"/>
          <w:sz w:val="24"/>
        </w:rPr>
        <w:t>)</w:t>
      </w:r>
      <w:r>
        <w:rPr>
          <w:color w:val="000000"/>
          <w:sz w:val="24"/>
        </w:rPr>
        <w:t>、肠杆菌属</w:t>
      </w:r>
      <w:r>
        <w:rPr>
          <w:color w:val="000000"/>
          <w:sz w:val="24"/>
        </w:rPr>
        <w:t>(</w:t>
      </w:r>
      <w:r>
        <w:rPr>
          <w:i/>
          <w:iCs/>
          <w:color w:val="000000"/>
          <w:sz w:val="24"/>
        </w:rPr>
        <w:t>Enterobacter</w:t>
      </w:r>
      <w:r>
        <w:rPr>
          <w:color w:val="000000"/>
          <w:sz w:val="24"/>
        </w:rPr>
        <w:t>)</w:t>
      </w:r>
      <w:r>
        <w:rPr>
          <w:color w:val="000000"/>
          <w:sz w:val="24"/>
        </w:rPr>
        <w:t>、伯克霍尔德菌属</w:t>
      </w:r>
      <w:r>
        <w:rPr>
          <w:color w:val="000000"/>
          <w:sz w:val="24"/>
        </w:rPr>
        <w:t>(</w:t>
      </w:r>
      <w:r>
        <w:rPr>
          <w:i/>
          <w:iCs/>
          <w:color w:val="000000"/>
          <w:sz w:val="24"/>
        </w:rPr>
        <w:t>Burkholderia</w:t>
      </w:r>
      <w:r>
        <w:rPr>
          <w:color w:val="000000"/>
          <w:sz w:val="24"/>
        </w:rPr>
        <w:t>)</w:t>
      </w:r>
      <w:r>
        <w:rPr>
          <w:color w:val="000000"/>
          <w:sz w:val="24"/>
        </w:rPr>
        <w:t>、农杆菌属</w:t>
      </w:r>
      <w:r>
        <w:rPr>
          <w:color w:val="000000"/>
          <w:sz w:val="24"/>
        </w:rPr>
        <w:t>(</w:t>
      </w:r>
      <w:r>
        <w:rPr>
          <w:i/>
          <w:iCs/>
          <w:color w:val="000000"/>
          <w:sz w:val="24"/>
        </w:rPr>
        <w:t>Agrobacterium</w:t>
      </w:r>
      <w:r>
        <w:rPr>
          <w:color w:val="000000"/>
          <w:sz w:val="24"/>
        </w:rPr>
        <w:t>)</w:t>
      </w:r>
      <w:r>
        <w:rPr>
          <w:color w:val="000000"/>
          <w:sz w:val="24"/>
        </w:rPr>
        <w:t>、泛菌属</w:t>
      </w:r>
      <w:r>
        <w:rPr>
          <w:color w:val="000000"/>
          <w:sz w:val="24"/>
        </w:rPr>
        <w:t>(</w:t>
      </w:r>
      <w:r>
        <w:rPr>
          <w:i/>
          <w:iCs/>
          <w:color w:val="000000"/>
          <w:sz w:val="24"/>
        </w:rPr>
        <w:t>Pantoea</w:t>
      </w:r>
      <w:r>
        <w:rPr>
          <w:color w:val="000000"/>
          <w:sz w:val="24"/>
        </w:rPr>
        <w:t>)</w:t>
      </w:r>
      <w:r>
        <w:rPr>
          <w:color w:val="000000"/>
          <w:sz w:val="24"/>
        </w:rPr>
        <w:t>、无色杆菌属</w:t>
      </w:r>
      <w:r>
        <w:rPr>
          <w:color w:val="000000"/>
          <w:sz w:val="24"/>
        </w:rPr>
        <w:t>(</w:t>
      </w:r>
      <w:r>
        <w:rPr>
          <w:i/>
          <w:iCs/>
          <w:color w:val="000000"/>
          <w:sz w:val="24"/>
        </w:rPr>
        <w:t>Achromobacter</w:t>
      </w:r>
      <w:r>
        <w:rPr>
          <w:color w:val="000000"/>
          <w:sz w:val="24"/>
        </w:rPr>
        <w:t>)</w:t>
      </w:r>
      <w:r>
        <w:rPr>
          <w:color w:val="000000"/>
          <w:sz w:val="24"/>
        </w:rPr>
        <w:t>、黄杆菌属</w:t>
      </w:r>
      <w:r>
        <w:rPr>
          <w:color w:val="000000"/>
          <w:sz w:val="24"/>
        </w:rPr>
        <w:t>(</w:t>
      </w:r>
      <w:r>
        <w:rPr>
          <w:i/>
          <w:iCs/>
          <w:color w:val="000000"/>
          <w:sz w:val="24"/>
        </w:rPr>
        <w:t>Flavobacterium</w:t>
      </w:r>
      <w:r>
        <w:rPr>
          <w:color w:val="000000"/>
          <w:sz w:val="24"/>
        </w:rPr>
        <w:t>)</w:t>
      </w:r>
      <w:r>
        <w:rPr>
          <w:color w:val="000000"/>
          <w:sz w:val="24"/>
        </w:rPr>
        <w:t>和沙雷菌属</w:t>
      </w:r>
      <w:r>
        <w:rPr>
          <w:color w:val="000000"/>
          <w:sz w:val="24"/>
        </w:rPr>
        <w:t>(</w:t>
      </w:r>
      <w:r>
        <w:rPr>
          <w:i/>
          <w:iCs/>
          <w:color w:val="000000"/>
          <w:sz w:val="24"/>
        </w:rPr>
        <w:t>Serratia</w:t>
      </w:r>
      <w:r>
        <w:rPr>
          <w:color w:val="000000"/>
          <w:sz w:val="24"/>
        </w:rPr>
        <w:t>)</w:t>
      </w:r>
      <w:r>
        <w:rPr>
          <w:color w:val="000000"/>
          <w:sz w:val="24"/>
        </w:rPr>
        <w:t>等。</w:t>
      </w:r>
    </w:p>
    <w:p w14:paraId="50C818C8"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3" w:name="docfit_s001_Toc17786"/>
      <w:bookmarkStart w:id="4" w:name="_Toc236830334"/>
      <w:r>
        <w:rPr>
          <w:rFonts w:ascii="黑体" w:hAnsi="黑体" w:cs="黑体"/>
          <w:color w:val="000000"/>
          <w:szCs w:val="28"/>
        </w:rPr>
        <w:t>1 PGPR</w:t>
      </w:r>
      <w:r>
        <w:rPr>
          <w:rFonts w:ascii="黑体" w:hAnsi="黑体" w:cs="黑体"/>
          <w:color w:val="000000"/>
          <w:szCs w:val="28"/>
        </w:rPr>
        <w:t>促进植物生长的主要机制</w:t>
      </w:r>
      <w:bookmarkEnd w:id="3"/>
      <w:bookmarkEnd w:id="4"/>
    </w:p>
    <w:p w14:paraId="276BA03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PGPR</w:t>
      </w:r>
      <w:r>
        <w:rPr>
          <w:color w:val="000000"/>
          <w:sz w:val="24"/>
        </w:rPr>
        <w:t>对植物的促生作用机制复杂多样，总体可分为直接作用和间接作用两大类。直接作用是指</w:t>
      </w:r>
      <w:r>
        <w:rPr>
          <w:color w:val="000000"/>
          <w:sz w:val="24"/>
        </w:rPr>
        <w:t>PGPR</w:t>
      </w:r>
      <w:r>
        <w:rPr>
          <w:color w:val="000000"/>
          <w:sz w:val="24"/>
        </w:rPr>
        <w:t>直接促进植物营养获取或调节植物激素水平，例如固氮、溶磷、解钾以及合成植物激素（如生长素</w:t>
      </w:r>
      <w:r>
        <w:rPr>
          <w:bCs/>
          <w:color w:val="000000"/>
          <w:sz w:val="24"/>
        </w:rPr>
        <w:t xml:space="preserve">Indole-3-acetic Acid, </w:t>
      </w:r>
      <w:r>
        <w:rPr>
          <w:color w:val="000000"/>
          <w:sz w:val="24"/>
        </w:rPr>
        <w:t>IAA</w:t>
      </w:r>
      <w:r>
        <w:rPr>
          <w:color w:val="000000"/>
          <w:sz w:val="24"/>
        </w:rPr>
        <w:t>等）和挥发性物质等。间接作用则是</w:t>
      </w:r>
      <w:r>
        <w:rPr>
          <w:color w:val="000000"/>
          <w:sz w:val="24"/>
        </w:rPr>
        <w:t>PGPR</w:t>
      </w:r>
      <w:r>
        <w:rPr>
          <w:color w:val="000000"/>
          <w:sz w:val="24"/>
        </w:rPr>
        <w:t>通过拮抗植物病原菌、诱导植物抗性或缓解非生物胁迫（干旱、盐碱、重金属等）来间接促进植物生长</w:t>
      </w:r>
      <w:hyperlink w:anchor="docfit_ref_19" w:tooltip="跳转到参考文献 [19]" w:history="1">
        <w:r>
          <w:rPr>
            <w:color w:val="000000"/>
            <w:sz w:val="24"/>
            <w:vertAlign w:val="superscript"/>
          </w:rPr>
          <w:t>[19]</w:t>
        </w:r>
      </w:hyperlink>
      <w:hyperlink w:anchor="docfit_ref_20" w:tooltip="跳转到参考文献 [20]" w:history="1">
        <w:r>
          <w:rPr>
            <w:color w:val="000000"/>
            <w:sz w:val="24"/>
            <w:vertAlign w:val="superscript"/>
          </w:rPr>
          <w:t>[20]</w:t>
        </w:r>
      </w:hyperlink>
      <w:hyperlink w:anchor="docfit_ref_21" w:tooltip="跳转到参考文献 [21]" w:history="1">
        <w:r>
          <w:rPr>
            <w:color w:val="000000"/>
            <w:sz w:val="24"/>
            <w:vertAlign w:val="superscript"/>
          </w:rPr>
          <w:t>[21]</w:t>
        </w:r>
      </w:hyperlink>
      <w:hyperlink w:anchor="docfit_ref_22" w:tooltip="跳转到参考文献 [22]" w:history="1">
        <w:r>
          <w:rPr>
            <w:color w:val="000000"/>
            <w:sz w:val="24"/>
            <w:vertAlign w:val="superscript"/>
          </w:rPr>
          <w:t>[22]</w:t>
        </w:r>
      </w:hyperlink>
      <w:hyperlink w:anchor="docfit_ref_23" w:tooltip="跳转到参考文献 [23]" w:history="1">
        <w:r>
          <w:rPr>
            <w:color w:val="000000"/>
            <w:sz w:val="24"/>
            <w:vertAlign w:val="superscript"/>
          </w:rPr>
          <w:t>[23]</w:t>
        </w:r>
      </w:hyperlink>
      <w:r>
        <w:rPr>
          <w:color w:val="000000"/>
          <w:sz w:val="24"/>
        </w:rPr>
        <w:t>。</w:t>
      </w:r>
    </w:p>
    <w:p w14:paraId="66EE964D"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5" w:name="docfit_s001_Toc23026"/>
      <w:bookmarkStart w:id="6" w:name="_Toc236830335"/>
      <w:r>
        <w:rPr>
          <w:rFonts w:eastAsia="宋体"/>
          <w:color w:val="000000"/>
          <w:sz w:val="24"/>
        </w:rPr>
        <w:t>1.1 PGPR</w:t>
      </w:r>
      <w:r>
        <w:rPr>
          <w:rFonts w:eastAsia="宋体"/>
          <w:color w:val="000000"/>
          <w:sz w:val="24"/>
        </w:rPr>
        <w:t>促进植物生长的直接作用</w:t>
      </w:r>
      <w:bookmarkEnd w:id="5"/>
      <w:bookmarkEnd w:id="6"/>
    </w:p>
    <w:p w14:paraId="6A0901E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植物根际促生细菌（</w:t>
      </w:r>
      <w:r>
        <w:rPr>
          <w:color w:val="000000"/>
          <w:sz w:val="24"/>
        </w:rPr>
        <w:t>PGPR</w:t>
      </w:r>
      <w:r>
        <w:rPr>
          <w:color w:val="000000"/>
          <w:sz w:val="24"/>
        </w:rPr>
        <w:t>）通过一系列直接机制促进植物生长发育</w:t>
      </w:r>
      <w:hyperlink w:anchor="docfit_ref_2" w:tooltip="跳转到参考文献 [2]" w:history="1">
        <w:r>
          <w:rPr>
            <w:color w:val="000000"/>
            <w:sz w:val="24"/>
            <w:vertAlign w:val="superscript"/>
          </w:rPr>
          <w:t>[2]</w:t>
        </w:r>
      </w:hyperlink>
      <w:r>
        <w:rPr>
          <w:color w:val="000000"/>
          <w:sz w:val="24"/>
        </w:rPr>
        <w:t>，核心体现在为植物提供必需营养元素和合成促进植物生长的活性物质两大方面。</w:t>
      </w:r>
    </w:p>
    <w:p w14:paraId="769A02E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在生物固氮层面，部分</w:t>
      </w:r>
      <w:r>
        <w:rPr>
          <w:color w:val="000000"/>
          <w:sz w:val="24"/>
        </w:rPr>
        <w:t>PGPR</w:t>
      </w:r>
      <w:r>
        <w:rPr>
          <w:color w:val="000000"/>
          <w:sz w:val="24"/>
        </w:rPr>
        <w:t>（如根瘤菌与固氮杆菌）携带固氮酶系统，可将大气氮气（</w:t>
      </w:r>
      <w:r>
        <w:rPr>
          <w:color w:val="000000"/>
          <w:sz w:val="24"/>
        </w:rPr>
        <w:t>N</w:t>
      </w:r>
      <w:r>
        <w:rPr>
          <w:color w:val="000000"/>
          <w:sz w:val="24"/>
          <w:vertAlign w:val="subscript"/>
        </w:rPr>
        <w:t>2</w:t>
      </w:r>
      <w:r>
        <w:rPr>
          <w:color w:val="000000"/>
          <w:sz w:val="24"/>
        </w:rPr>
        <w:t>）还原为植物可利用的铵态氮（</w:t>
      </w:r>
      <w:r>
        <w:rPr>
          <w:color w:val="000000"/>
          <w:sz w:val="24"/>
        </w:rPr>
        <w:t>NH</w:t>
      </w:r>
      <w:r>
        <w:rPr>
          <w:color w:val="000000"/>
          <w:sz w:val="24"/>
          <w:vertAlign w:val="superscript"/>
        </w:rPr>
        <w:t>4+</w:t>
      </w:r>
      <w:r>
        <w:rPr>
          <w:color w:val="000000"/>
          <w:sz w:val="24"/>
        </w:rPr>
        <w:t>），在非共生条件下增补根际氮素、提升土壤氮素有效性</w:t>
      </w:r>
      <w:hyperlink w:anchor="docfit_ref_3" w:tooltip="跳转到参考文献 [3]" w:history="1">
        <w:r>
          <w:rPr>
            <w:color w:val="000000"/>
            <w:sz w:val="24"/>
            <w:vertAlign w:val="superscript"/>
          </w:rPr>
          <w:t>[3]</w:t>
        </w:r>
      </w:hyperlink>
      <w:r>
        <w:rPr>
          <w:color w:val="000000"/>
          <w:sz w:val="24"/>
        </w:rPr>
        <w:t>。</w:t>
      </w:r>
      <w:r>
        <w:rPr>
          <w:color w:val="000000"/>
          <w:sz w:val="24"/>
        </w:rPr>
        <w:t>PGPR</w:t>
      </w:r>
      <w:r>
        <w:rPr>
          <w:color w:val="000000"/>
          <w:sz w:val="24"/>
        </w:rPr>
        <w:t>通过反硝化的方式将硝酸根电子受体转换为氮氧化合物，并最终被还原为铵根离子。</w:t>
      </w:r>
      <w:r>
        <w:rPr>
          <w:color w:val="000000"/>
          <w:sz w:val="24"/>
        </w:rPr>
        <w:t>PGPR</w:t>
      </w:r>
      <w:r>
        <w:rPr>
          <w:color w:val="000000"/>
          <w:sz w:val="24"/>
        </w:rPr>
        <w:t>也凭借硝化作用和氨化作用分泌水解酶，将氮从有机态转化成无机态</w:t>
      </w:r>
      <w:hyperlink w:anchor="docfit_ref_3" w:tooltip="跳转到参考文献 [3]" w:history="1">
        <w:r>
          <w:rPr>
            <w:color w:val="000000"/>
            <w:sz w:val="24"/>
            <w:vertAlign w:val="superscript"/>
          </w:rPr>
          <w:t>[3]</w:t>
        </w:r>
      </w:hyperlink>
      <w:r>
        <w:rPr>
          <w:color w:val="000000"/>
          <w:sz w:val="24"/>
        </w:rPr>
        <w:t>。</w:t>
      </w:r>
    </w:p>
    <w:p w14:paraId="0D6D7265"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在磷、钾等关键养分的生物可利用性方面，</w:t>
      </w:r>
      <w:r>
        <w:rPr>
          <w:color w:val="000000"/>
          <w:sz w:val="24"/>
        </w:rPr>
        <w:t>PGPR</w:t>
      </w:r>
      <w:r>
        <w:rPr>
          <w:color w:val="000000"/>
          <w:sz w:val="24"/>
        </w:rPr>
        <w:t>通过分泌有机酸与多种水解酶（如磷酸酶</w:t>
      </w:r>
      <w:r>
        <w:rPr>
          <w:color w:val="000000"/>
          <w:sz w:val="24"/>
        </w:rPr>
        <w:t>/</w:t>
      </w:r>
      <w:r>
        <w:rPr>
          <w:color w:val="000000"/>
          <w:sz w:val="24"/>
        </w:rPr>
        <w:t>植酸酶），促进难溶性磷酸盐与含钾矿物的溶解与活化，使之转化为有效态磷、钾，从而显著提升植物的营养获取能力。</w:t>
      </w:r>
    </w:p>
    <w:p w14:paraId="3ACA3B86"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在植物激素与类激素物质的生物合成方面，</w:t>
      </w:r>
      <w:r>
        <w:rPr>
          <w:color w:val="000000"/>
          <w:sz w:val="24"/>
        </w:rPr>
        <w:t>PGPR</w:t>
      </w:r>
      <w:r>
        <w:rPr>
          <w:color w:val="000000"/>
          <w:sz w:val="24"/>
        </w:rPr>
        <w:t>可产生并调控多类信号分子，包括生长素、赤霉素、细胞分裂素与脱落酸等；其中多项研究表明，</w:t>
      </w:r>
      <w:r>
        <w:rPr>
          <w:color w:val="000000"/>
          <w:sz w:val="24"/>
        </w:rPr>
        <w:t>IAA</w:t>
      </w:r>
      <w:r>
        <w:rPr>
          <w:color w:val="000000"/>
          <w:sz w:val="24"/>
        </w:rPr>
        <w:t>合成能力广泛存在于多种根际细菌类群中。在</w:t>
      </w:r>
      <w:r>
        <w:rPr>
          <w:color w:val="000000"/>
          <w:sz w:val="24"/>
        </w:rPr>
        <w:t>7000</w:t>
      </w:r>
      <w:r>
        <w:rPr>
          <w:color w:val="000000"/>
          <w:sz w:val="24"/>
        </w:rPr>
        <w:t>余个已测序细菌基因组的分析显示，约</w:t>
      </w:r>
      <w:r>
        <w:rPr>
          <w:color w:val="000000"/>
          <w:sz w:val="24"/>
        </w:rPr>
        <w:t>82%</w:t>
      </w:r>
      <w:r>
        <w:rPr>
          <w:color w:val="000000"/>
          <w:sz w:val="24"/>
        </w:rPr>
        <w:t>的基因组携带色氨酸依赖</w:t>
      </w:r>
      <w:r>
        <w:rPr>
          <w:color w:val="000000"/>
          <w:sz w:val="24"/>
        </w:rPr>
        <w:t>IAA</w:t>
      </w:r>
      <w:r>
        <w:rPr>
          <w:color w:val="000000"/>
          <w:sz w:val="24"/>
        </w:rPr>
        <w:t>合成通路的相关基因</w:t>
      </w:r>
      <w:hyperlink w:anchor="docfit_ref_4" w:tooltip="跳转到参考文献 [4]" w:history="1">
        <w:r>
          <w:rPr>
            <w:color w:val="000000"/>
            <w:sz w:val="24"/>
            <w:vertAlign w:val="superscript"/>
          </w:rPr>
          <w:t>[4]</w:t>
        </w:r>
      </w:hyperlink>
      <w:r>
        <w:rPr>
          <w:color w:val="000000"/>
          <w:sz w:val="24"/>
        </w:rPr>
        <w:t>。且具有典型的剂量依赖效应：适宜浓度可促进主根伸长与侧根</w:t>
      </w:r>
      <w:r>
        <w:rPr>
          <w:color w:val="000000"/>
          <w:sz w:val="24"/>
        </w:rPr>
        <w:t>/</w:t>
      </w:r>
      <w:r>
        <w:rPr>
          <w:color w:val="000000"/>
          <w:sz w:val="24"/>
        </w:rPr>
        <w:t>根毛发生，优化根系构型并增强对水分与矿质的吸收，而不同菌株的</w:t>
      </w:r>
      <w:r>
        <w:rPr>
          <w:color w:val="000000"/>
          <w:sz w:val="24"/>
        </w:rPr>
        <w:t>IAA</w:t>
      </w:r>
      <w:r>
        <w:rPr>
          <w:color w:val="000000"/>
          <w:sz w:val="24"/>
        </w:rPr>
        <w:t>合成能力与促根效应存在显著差异</w:t>
      </w:r>
      <w:hyperlink w:anchor="docfit_ref_24" w:tooltip="跳转到参考文献 [24]" w:history="1">
        <w:r>
          <w:rPr>
            <w:color w:val="000000"/>
            <w:sz w:val="24"/>
            <w:vertAlign w:val="superscript"/>
          </w:rPr>
          <w:t>[24]</w:t>
        </w:r>
      </w:hyperlink>
      <w:hyperlink w:anchor="docfit_ref_25" w:tooltip="跳转到参考文献 [25]" w:history="1">
        <w:r>
          <w:rPr>
            <w:color w:val="000000"/>
            <w:sz w:val="24"/>
            <w:vertAlign w:val="superscript"/>
          </w:rPr>
          <w:t>[25]</w:t>
        </w:r>
      </w:hyperlink>
      <w:hyperlink w:anchor="docfit_ref_26" w:tooltip="跳转到参考文献 [26]" w:history="1">
        <w:r>
          <w:rPr>
            <w:color w:val="000000"/>
            <w:sz w:val="24"/>
            <w:vertAlign w:val="superscript"/>
          </w:rPr>
          <w:t>[26]</w:t>
        </w:r>
      </w:hyperlink>
      <w:hyperlink w:anchor="docfit_ref_27" w:tooltip="跳转到参考文献 [27]" w:history="1">
        <w:r>
          <w:rPr>
            <w:color w:val="000000"/>
            <w:sz w:val="24"/>
            <w:vertAlign w:val="superscript"/>
          </w:rPr>
          <w:t>[27]</w:t>
        </w:r>
      </w:hyperlink>
      <w:hyperlink w:anchor="docfit_ref_28" w:tooltip="跳转到参考文献 [28]" w:history="1">
        <w:r>
          <w:rPr>
            <w:color w:val="000000"/>
            <w:sz w:val="24"/>
            <w:vertAlign w:val="superscript"/>
          </w:rPr>
          <w:t>[28]</w:t>
        </w:r>
      </w:hyperlink>
      <w:r>
        <w:rPr>
          <w:color w:val="000000"/>
          <w:sz w:val="24"/>
        </w:rPr>
        <w:t>。</w:t>
      </w:r>
    </w:p>
    <w:p w14:paraId="7B5A4B4F"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在逆境条件下，</w:t>
      </w:r>
      <w:r>
        <w:rPr>
          <w:color w:val="000000"/>
          <w:sz w:val="24"/>
        </w:rPr>
        <w:t>PGPR</w:t>
      </w:r>
      <w:r>
        <w:rPr>
          <w:color w:val="000000"/>
          <w:sz w:val="24"/>
        </w:rPr>
        <w:t>可产生</w:t>
      </w:r>
      <w:r>
        <w:rPr>
          <w:color w:val="000000"/>
          <w:sz w:val="24"/>
        </w:rPr>
        <w:t>1-</w:t>
      </w:r>
      <w:r>
        <w:rPr>
          <w:color w:val="000000"/>
          <w:sz w:val="24"/>
        </w:rPr>
        <w:t>氨基环丙烷</w:t>
      </w:r>
      <w:r>
        <w:rPr>
          <w:color w:val="000000"/>
          <w:sz w:val="24"/>
        </w:rPr>
        <w:t>-1-</w:t>
      </w:r>
      <w:r>
        <w:rPr>
          <w:color w:val="000000"/>
          <w:sz w:val="24"/>
        </w:rPr>
        <w:t>羧酸脱氨酶（</w:t>
      </w:r>
      <w:r>
        <w:rPr>
          <w:color w:val="000000"/>
          <w:sz w:val="24"/>
        </w:rPr>
        <w:t>ACC Deaminase</w:t>
      </w:r>
      <w:r>
        <w:rPr>
          <w:color w:val="000000"/>
          <w:sz w:val="24"/>
        </w:rPr>
        <w:t>），分解植物积累的乙烯前体</w:t>
      </w:r>
      <w:r>
        <w:rPr>
          <w:color w:val="000000"/>
          <w:sz w:val="24"/>
        </w:rPr>
        <w:t>ACC</w:t>
      </w:r>
      <w:r>
        <w:rPr>
          <w:color w:val="000000"/>
          <w:sz w:val="24"/>
        </w:rPr>
        <w:t>，进而降低内源乙烯水平、缓解其对细胞分裂与伸长的抑制作用，以维</w:t>
      </w:r>
      <w:r>
        <w:rPr>
          <w:color w:val="000000"/>
          <w:sz w:val="24"/>
        </w:rPr>
        <w:lastRenderedPageBreak/>
        <w:t>持盐碱、干旱等胁迫下的根系持续生长</w:t>
      </w:r>
      <w:hyperlink w:anchor="docfit_ref_5" w:tooltip="跳转到参考文献 [5]" w:history="1">
        <w:r>
          <w:rPr>
            <w:color w:val="000000"/>
            <w:sz w:val="24"/>
            <w:vertAlign w:val="superscript"/>
          </w:rPr>
          <w:t>[5]</w:t>
        </w:r>
      </w:hyperlink>
      <w:r>
        <w:rPr>
          <w:color w:val="000000"/>
          <w:sz w:val="24"/>
        </w:rPr>
        <w:t>。</w:t>
      </w:r>
    </w:p>
    <w:p w14:paraId="5208086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此外，</w:t>
      </w:r>
      <w:r>
        <w:rPr>
          <w:color w:val="000000"/>
          <w:sz w:val="24"/>
        </w:rPr>
        <w:t>PGPR</w:t>
      </w:r>
      <w:r>
        <w:rPr>
          <w:color w:val="000000"/>
          <w:sz w:val="24"/>
        </w:rPr>
        <w:t>还可通过分泌有机酸实现对微量元素的螯合、并通过群体感应相关分子调控根系分泌物释放，从而重塑根际微环境并提升对铁、锌等微量元素的吸收与利用效率</w:t>
      </w:r>
    </w:p>
    <w:p w14:paraId="1937A7F2"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7" w:name="docfit_s001_Toc19893"/>
      <w:bookmarkStart w:id="8" w:name="_Toc236830336"/>
      <w:r>
        <w:rPr>
          <w:rFonts w:eastAsia="宋体"/>
          <w:color w:val="000000"/>
          <w:sz w:val="24"/>
        </w:rPr>
        <w:t>1.2 PGPR</w:t>
      </w:r>
      <w:r>
        <w:rPr>
          <w:rFonts w:eastAsia="宋体"/>
          <w:color w:val="000000"/>
          <w:sz w:val="24"/>
        </w:rPr>
        <w:t>促进植物生长的间接作用</w:t>
      </w:r>
      <w:bookmarkEnd w:id="7"/>
      <w:bookmarkEnd w:id="8"/>
    </w:p>
    <w:p w14:paraId="0732B5CD"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PGPR</w:t>
      </w:r>
      <w:r>
        <w:rPr>
          <w:color w:val="000000"/>
          <w:sz w:val="24"/>
        </w:rPr>
        <w:t>还通过多层次的间接机制提升植物健康与抗逆能力，主要体现在病原拮抗、生态位竞争、诱导系统抗性以及铁载体介导的营养竞争等方面，进而在根</w:t>
      </w:r>
      <w:r>
        <w:rPr>
          <w:color w:val="000000"/>
          <w:sz w:val="24"/>
        </w:rPr>
        <w:t>—</w:t>
      </w:r>
      <w:r>
        <w:rPr>
          <w:color w:val="000000"/>
          <w:sz w:val="24"/>
        </w:rPr>
        <w:t>土界面重塑微生态与宿主防御状态。</w:t>
      </w:r>
    </w:p>
    <w:p w14:paraId="3F75268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在病原拮抗方面，多种</w:t>
      </w:r>
      <w:r>
        <w:rPr>
          <w:color w:val="000000"/>
          <w:sz w:val="24"/>
        </w:rPr>
        <w:t>PGPR</w:t>
      </w:r>
      <w:r>
        <w:rPr>
          <w:color w:val="000000"/>
          <w:sz w:val="24"/>
        </w:rPr>
        <w:t>能够合成抗生素、胞外水解酶（如几丁质酶）和氰化物等抑菌物质，直接抑制或破坏病原菌的生长与细胞结构。例如，部分芽孢杆菌可分泌脂肽类抗生素与几丁质酶，降解真菌细胞壁，从而有效防控植物病害</w:t>
      </w:r>
      <w:hyperlink w:anchor="docfit_ref_6" w:tooltip="跳转到参考文献 [6]" w:history="1">
        <w:r>
          <w:rPr>
            <w:color w:val="000000"/>
            <w:sz w:val="24"/>
            <w:vertAlign w:val="superscript"/>
          </w:rPr>
          <w:t>[6]</w:t>
        </w:r>
      </w:hyperlink>
      <w:r>
        <w:rPr>
          <w:color w:val="000000"/>
          <w:sz w:val="24"/>
        </w:rPr>
        <w:t>。</w:t>
      </w:r>
    </w:p>
    <w:p w14:paraId="0C530313"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在生态位竞争方面</w:t>
      </w:r>
      <w:r>
        <w:rPr>
          <w:color w:val="000000"/>
          <w:sz w:val="24"/>
        </w:rPr>
        <w:t>,PGPR</w:t>
      </w:r>
      <w:r>
        <w:rPr>
          <w:color w:val="000000"/>
          <w:sz w:val="24"/>
        </w:rPr>
        <w:t>依赖趋化性、运动性与生物膜形成等定殖性状，在根表与根际微域中快速占位，与病原竞争有限的碳源、微量元素与附着位点；同时，表面活性物质与胞外聚合物促进其在根际的扩散与稳固附着，形成数量与空间优势，从而在</w:t>
      </w:r>
      <w:r>
        <w:rPr>
          <w:color w:val="000000"/>
          <w:sz w:val="24"/>
        </w:rPr>
        <w:t>“</w:t>
      </w:r>
      <w:r>
        <w:rPr>
          <w:color w:val="000000"/>
          <w:sz w:val="24"/>
        </w:rPr>
        <w:t>资源</w:t>
      </w:r>
      <w:r>
        <w:rPr>
          <w:color w:val="000000"/>
          <w:sz w:val="24"/>
        </w:rPr>
        <w:t>-</w:t>
      </w:r>
      <w:r>
        <w:rPr>
          <w:color w:val="000000"/>
          <w:sz w:val="24"/>
        </w:rPr>
        <w:t>空间双重竞争</w:t>
      </w:r>
      <w:r>
        <w:rPr>
          <w:color w:val="000000"/>
          <w:sz w:val="24"/>
        </w:rPr>
        <w:t>”</w:t>
      </w:r>
      <w:r>
        <w:rPr>
          <w:color w:val="000000"/>
          <w:sz w:val="24"/>
        </w:rPr>
        <w:t>中抑制病原侵染窗口的产生与扩展。</w:t>
      </w:r>
    </w:p>
    <w:p w14:paraId="67A9AC1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在诱导系统抗性方面，某些</w:t>
      </w:r>
      <w:r>
        <w:rPr>
          <w:color w:val="000000"/>
          <w:sz w:val="24"/>
        </w:rPr>
        <w:t>PGPR</w:t>
      </w:r>
      <w:r>
        <w:rPr>
          <w:color w:val="000000"/>
          <w:sz w:val="24"/>
        </w:rPr>
        <w:t>能够诱导植物的系统抗性（</w:t>
      </w:r>
      <w:r>
        <w:rPr>
          <w:color w:val="000000"/>
          <w:sz w:val="24"/>
        </w:rPr>
        <w:t>Induced Systemic Resistance, ISR</w:t>
      </w:r>
      <w:r>
        <w:rPr>
          <w:color w:val="000000"/>
          <w:sz w:val="24"/>
        </w:rPr>
        <w:t>）</w:t>
      </w:r>
      <w:hyperlink w:anchor="docfit_ref_7" w:tooltip="跳转到参考文献 [7]" w:history="1">
        <w:r>
          <w:rPr>
            <w:color w:val="000000"/>
            <w:sz w:val="24"/>
            <w:vertAlign w:val="superscript"/>
          </w:rPr>
          <w:t>[7]</w:t>
        </w:r>
      </w:hyperlink>
      <w:r>
        <w:rPr>
          <w:color w:val="000000"/>
          <w:sz w:val="24"/>
        </w:rPr>
        <w:t>。它们通过分泌微量物质（如脂肽、寡糖、挥发性有机物等）激活植物体内防御信号通路，使植物在未受感染时就预先处于</w:t>
      </w:r>
      <w:r>
        <w:rPr>
          <w:color w:val="000000"/>
          <w:sz w:val="24"/>
        </w:rPr>
        <w:t>“</w:t>
      </w:r>
      <w:r>
        <w:rPr>
          <w:color w:val="000000"/>
          <w:sz w:val="24"/>
        </w:rPr>
        <w:t>戒备</w:t>
      </w:r>
      <w:r>
        <w:rPr>
          <w:color w:val="000000"/>
          <w:sz w:val="24"/>
        </w:rPr>
        <w:t>”</w:t>
      </w:r>
      <w:r>
        <w:rPr>
          <w:color w:val="000000"/>
          <w:sz w:val="24"/>
        </w:rPr>
        <w:t>状态。被诱导的植物表现出对广谱病原和非生物胁迫的更高抗性，例如根际假单胞菌可诱导植物产生水杨酸和茉莉酸介导的防御反应，从而增强抗病、抗虫和耐盐碱等能力</w:t>
      </w:r>
      <w:hyperlink w:anchor="docfit_ref_8" w:tooltip="跳转到参考文献 [8]" w:history="1">
        <w:r>
          <w:rPr>
            <w:color w:val="000000"/>
            <w:sz w:val="24"/>
            <w:vertAlign w:val="superscript"/>
          </w:rPr>
          <w:t>[8]</w:t>
        </w:r>
      </w:hyperlink>
      <w:r>
        <w:rPr>
          <w:color w:val="000000"/>
          <w:sz w:val="24"/>
        </w:rPr>
        <w:t>。</w:t>
      </w:r>
    </w:p>
    <w:p w14:paraId="733B02E8"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在铁载体介导的营养竞争方面，</w:t>
      </w:r>
      <w:r>
        <w:rPr>
          <w:color w:val="000000"/>
          <w:sz w:val="24"/>
        </w:rPr>
        <w:t>PGPR</w:t>
      </w:r>
      <w:r>
        <w:rPr>
          <w:color w:val="000000"/>
          <w:sz w:val="24"/>
        </w:rPr>
        <w:t>分泌高亲和力铁载体（</w:t>
      </w:r>
      <w:r>
        <w:rPr>
          <w:color w:val="000000"/>
          <w:sz w:val="24"/>
        </w:rPr>
        <w:t>Siderophores</w:t>
      </w:r>
      <w:r>
        <w:rPr>
          <w:color w:val="000000"/>
          <w:sz w:val="24"/>
        </w:rPr>
        <w:t>）螯合根际</w:t>
      </w:r>
      <w:r>
        <w:rPr>
          <w:color w:val="000000"/>
          <w:sz w:val="24"/>
        </w:rPr>
        <w:t>Fe</w:t>
      </w:r>
      <w:r>
        <w:rPr>
          <w:color w:val="000000"/>
          <w:sz w:val="24"/>
          <w:vertAlign w:val="superscript"/>
        </w:rPr>
        <w:t>3+</w:t>
      </w:r>
      <w:hyperlink w:anchor="docfit_ref_9" w:tooltip="跳转到参考文献 [9]" w:history="1">
        <w:r>
          <w:rPr>
            <w:color w:val="000000"/>
            <w:sz w:val="24"/>
            <w:vertAlign w:val="superscript"/>
          </w:rPr>
          <w:t>[9]</w:t>
        </w:r>
      </w:hyperlink>
      <w:r>
        <w:rPr>
          <w:color w:val="000000"/>
          <w:sz w:val="24"/>
        </w:rPr>
        <w:t>，形成可被</w:t>
      </w:r>
      <w:r>
        <w:rPr>
          <w:color w:val="000000"/>
          <w:sz w:val="24"/>
        </w:rPr>
        <w:t>PGPR</w:t>
      </w:r>
      <w:r>
        <w:rPr>
          <w:color w:val="000000"/>
          <w:sz w:val="24"/>
        </w:rPr>
        <w:t>与植物优先利用的铁</w:t>
      </w:r>
      <w:r>
        <w:rPr>
          <w:color w:val="000000"/>
          <w:sz w:val="24"/>
        </w:rPr>
        <w:t>-</w:t>
      </w:r>
      <w:r>
        <w:rPr>
          <w:color w:val="000000"/>
          <w:sz w:val="24"/>
        </w:rPr>
        <w:t>载体复合物。一方面，该过程提升了宿主可获取铁的效率；另一方面，可以造成根际环境中铁离子的生物可利用性下降，从而抑制需铁病原菌的生长，形成一种基于铁素营养竞争的生防机制。</w:t>
      </w:r>
    </w:p>
    <w:p w14:paraId="39EB6C5A"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9" w:name="docfit_s001_Toc23195"/>
      <w:bookmarkStart w:id="10" w:name="_Toc236830337"/>
      <w:r>
        <w:rPr>
          <w:rFonts w:ascii="黑体" w:hAnsi="黑体" w:cs="黑体"/>
          <w:color w:val="000000"/>
          <w:szCs w:val="28"/>
        </w:rPr>
        <w:t xml:space="preserve">2 </w:t>
      </w:r>
      <w:r>
        <w:rPr>
          <w:rFonts w:ascii="黑体" w:hAnsi="黑体" w:cs="黑体"/>
          <w:color w:val="000000" w:themeColor="text1"/>
          <w:szCs w:val="28"/>
        </w:rPr>
        <w:t>泛菌属植物促生菌的促生功能及</w:t>
      </w:r>
      <w:r>
        <w:rPr>
          <w:rFonts w:ascii="黑体" w:hAnsi="黑体" w:cs="黑体"/>
          <w:color w:val="000000" w:themeColor="text1"/>
          <w:szCs w:val="28"/>
        </w:rPr>
        <w:t>IAA</w:t>
      </w:r>
      <w:r>
        <w:rPr>
          <w:rFonts w:ascii="黑体" w:hAnsi="黑体" w:cs="黑体"/>
          <w:color w:val="000000" w:themeColor="text1"/>
          <w:szCs w:val="28"/>
        </w:rPr>
        <w:t>合成途径研究进展</w:t>
      </w:r>
      <w:bookmarkEnd w:id="9"/>
      <w:bookmarkEnd w:id="10"/>
    </w:p>
    <w:p w14:paraId="17A88C18"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泛菌属（</w:t>
      </w:r>
      <w:r>
        <w:rPr>
          <w:i/>
          <w:iCs/>
          <w:color w:val="000000"/>
          <w:sz w:val="24"/>
        </w:rPr>
        <w:t>Pantoea</w:t>
      </w:r>
      <w:r>
        <w:rPr>
          <w:color w:val="000000"/>
          <w:sz w:val="24"/>
        </w:rPr>
        <w:t>）细菌广泛存在于植物体表及土壤中，其中多种被证实具有</w:t>
      </w:r>
      <w:r>
        <w:rPr>
          <w:color w:val="000000"/>
          <w:sz w:val="24"/>
        </w:rPr>
        <w:t>PGPR</w:t>
      </w:r>
      <w:r>
        <w:rPr>
          <w:color w:val="000000"/>
          <w:sz w:val="24"/>
        </w:rPr>
        <w:t>活性。以凝聚泛菌（</w:t>
      </w:r>
      <w:r>
        <w:rPr>
          <w:i/>
          <w:iCs/>
          <w:color w:val="000000"/>
          <w:sz w:val="24"/>
        </w:rPr>
        <w:t>Pantoea agglomerans</w:t>
      </w:r>
      <w:r>
        <w:rPr>
          <w:color w:val="000000"/>
          <w:sz w:val="24"/>
        </w:rPr>
        <w:t>）为代表的若干物种既包含可致病菌株，也存在表现为促生或内生共生体的环境型菌株</w:t>
      </w:r>
      <w:hyperlink w:anchor="docfit_ref_10" w:tooltip="跳转到参考文献 [10]" w:history="1">
        <w:r>
          <w:rPr>
            <w:color w:val="000000"/>
            <w:sz w:val="24"/>
            <w:vertAlign w:val="superscript"/>
          </w:rPr>
          <w:t>[10]</w:t>
        </w:r>
      </w:hyperlink>
      <w:r>
        <w:rPr>
          <w:color w:val="000000"/>
          <w:sz w:val="24"/>
        </w:rPr>
        <w:t>。部分</w:t>
      </w:r>
      <w:r>
        <w:rPr>
          <w:i/>
          <w:iCs/>
          <w:color w:val="000000"/>
          <w:sz w:val="24"/>
        </w:rPr>
        <w:t>Pantoea agglomerans</w:t>
      </w:r>
      <w:r>
        <w:rPr>
          <w:color w:val="000000"/>
          <w:sz w:val="24"/>
        </w:rPr>
        <w:t>菌株能够固氮、溶磷并产生植物激素，例如从草本作物根际分离的</w:t>
      </w:r>
      <w:r>
        <w:rPr>
          <w:i/>
          <w:iCs/>
          <w:color w:val="000000"/>
          <w:sz w:val="24"/>
        </w:rPr>
        <w:t>Pantoea agglomerans</w:t>
      </w:r>
      <w:r>
        <w:rPr>
          <w:color w:val="000000"/>
          <w:sz w:val="24"/>
        </w:rPr>
        <w:t>菌株可显著产生</w:t>
      </w:r>
      <w:r>
        <w:rPr>
          <w:color w:val="000000"/>
          <w:sz w:val="24"/>
        </w:rPr>
        <w:t>IAA</w:t>
      </w:r>
      <w:r>
        <w:rPr>
          <w:color w:val="000000"/>
          <w:sz w:val="24"/>
        </w:rPr>
        <w:t>和有机酸来促进植物生长</w:t>
      </w:r>
      <w:hyperlink w:anchor="docfit_ref_11" w:tooltip="跳转到参考文献 [11]" w:history="1">
        <w:r>
          <w:rPr>
            <w:color w:val="000000"/>
            <w:sz w:val="24"/>
            <w:vertAlign w:val="superscript"/>
          </w:rPr>
          <w:t>[11]</w:t>
        </w:r>
      </w:hyperlink>
      <w:r>
        <w:rPr>
          <w:color w:val="000000"/>
          <w:sz w:val="24"/>
        </w:rPr>
        <w:t>。又如</w:t>
      </w:r>
      <w:r>
        <w:rPr>
          <w:i/>
          <w:iCs/>
          <w:color w:val="000000"/>
          <w:sz w:val="24"/>
        </w:rPr>
        <w:t>Pantoea agglomerans</w:t>
      </w:r>
      <w:r>
        <w:rPr>
          <w:color w:val="000000"/>
          <w:sz w:val="24"/>
        </w:rPr>
        <w:t xml:space="preserve"> V8R67</w:t>
      </w:r>
      <w:r>
        <w:rPr>
          <w:color w:val="000000"/>
          <w:sz w:val="24"/>
        </w:rPr>
        <w:t>能够高效溶解难溶磷酸盐，为植物提供可利用磷源</w:t>
      </w:r>
      <w:hyperlink w:anchor="docfit_ref_12" w:tooltip="跳转到参考文献 [12]" w:history="1">
        <w:r>
          <w:rPr>
            <w:color w:val="000000"/>
            <w:sz w:val="24"/>
            <w:vertAlign w:val="superscript"/>
          </w:rPr>
          <w:t>[12]</w:t>
        </w:r>
      </w:hyperlink>
      <w:r>
        <w:rPr>
          <w:color w:val="000000"/>
          <w:sz w:val="24"/>
        </w:rPr>
        <w:t>。泛菌属中的其他种，例如</w:t>
      </w:r>
      <w:r>
        <w:rPr>
          <w:i/>
          <w:iCs/>
          <w:color w:val="000000"/>
          <w:sz w:val="24"/>
        </w:rPr>
        <w:t>Pantoea ananatis</w:t>
      </w:r>
      <w:r>
        <w:rPr>
          <w:color w:val="000000"/>
          <w:sz w:val="24"/>
        </w:rPr>
        <w:t>、</w:t>
      </w:r>
      <w:r>
        <w:rPr>
          <w:i/>
          <w:iCs/>
          <w:color w:val="000000"/>
          <w:sz w:val="24"/>
        </w:rPr>
        <w:t>Pantoea brenneri</w:t>
      </w:r>
      <w:r>
        <w:rPr>
          <w:color w:val="000000"/>
          <w:sz w:val="24"/>
        </w:rPr>
        <w:t>、</w:t>
      </w:r>
      <w:r>
        <w:rPr>
          <w:i/>
          <w:iCs/>
          <w:color w:val="000000"/>
          <w:sz w:val="24"/>
        </w:rPr>
        <w:t>Pantoea</w:t>
      </w:r>
      <w:r>
        <w:rPr>
          <w:color w:val="000000"/>
          <w:sz w:val="24"/>
        </w:rPr>
        <w:t xml:space="preserve"> </w:t>
      </w:r>
      <w:r>
        <w:rPr>
          <w:i/>
          <w:iCs/>
          <w:color w:val="000000"/>
          <w:sz w:val="24"/>
        </w:rPr>
        <w:t>conspicua</w:t>
      </w:r>
      <w:r>
        <w:rPr>
          <w:color w:val="000000"/>
          <w:sz w:val="24"/>
        </w:rPr>
        <w:t>等，也在不同作物的根际被分离并证明具有促生作用。总体而言，泛菌属</w:t>
      </w:r>
      <w:r>
        <w:rPr>
          <w:color w:val="000000"/>
          <w:sz w:val="24"/>
        </w:rPr>
        <w:t>PGPR</w:t>
      </w:r>
      <w:r>
        <w:rPr>
          <w:color w:val="000000"/>
          <w:sz w:val="24"/>
        </w:rPr>
        <w:t>通常具备多功能促生特性，包括固氮、解磷、产</w:t>
      </w:r>
      <w:r>
        <w:rPr>
          <w:color w:val="000000"/>
          <w:sz w:val="24"/>
        </w:rPr>
        <w:t>IAA</w:t>
      </w:r>
      <w:r>
        <w:rPr>
          <w:color w:val="000000"/>
          <w:sz w:val="24"/>
        </w:rPr>
        <w:t>、产铁载体和拮抗某些土传病原等，这使其成为农用微生物的重要资源</w:t>
      </w:r>
      <w:hyperlink w:anchor="docfit_ref_13" w:tooltip="跳转到参考文献 [13]" w:history="1">
        <w:r>
          <w:rPr>
            <w:color w:val="000000"/>
            <w:sz w:val="24"/>
            <w:vertAlign w:val="superscript"/>
          </w:rPr>
          <w:t>[13]</w:t>
        </w:r>
      </w:hyperlink>
      <w:hyperlink w:anchor="docfit_ref_29" w:tooltip="跳转到参考文献 [29]" w:history="1">
        <w:r>
          <w:rPr>
            <w:color w:val="000000"/>
            <w:sz w:val="24"/>
            <w:vertAlign w:val="superscript"/>
          </w:rPr>
          <w:t>[29]</w:t>
        </w:r>
      </w:hyperlink>
      <w:hyperlink w:anchor="docfit_ref_30" w:tooltip="跳转到参考文献 [30]" w:history="1">
        <w:r>
          <w:rPr>
            <w:color w:val="000000"/>
            <w:sz w:val="24"/>
            <w:vertAlign w:val="superscript"/>
          </w:rPr>
          <w:t>[30]</w:t>
        </w:r>
      </w:hyperlink>
      <w:hyperlink w:anchor="docfit_ref_31" w:tooltip="跳转到参考文献 [31]" w:history="1">
        <w:r>
          <w:rPr>
            <w:color w:val="000000"/>
            <w:sz w:val="24"/>
            <w:vertAlign w:val="superscript"/>
          </w:rPr>
          <w:t>[31]</w:t>
        </w:r>
      </w:hyperlink>
      <w:hyperlink w:anchor="docfit_ref_32" w:tooltip="跳转到参考文献 [32]" w:history="1">
        <w:r>
          <w:rPr>
            <w:color w:val="000000"/>
            <w:sz w:val="24"/>
            <w:vertAlign w:val="superscript"/>
          </w:rPr>
          <w:t>[32]</w:t>
        </w:r>
      </w:hyperlink>
      <w:r>
        <w:rPr>
          <w:color w:val="000000"/>
          <w:sz w:val="24"/>
        </w:rPr>
        <w:t>。</w:t>
      </w:r>
    </w:p>
    <w:p w14:paraId="38132E90"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就促生机制而言，泛菌属细菌普遍具有合成</w:t>
      </w:r>
      <w:r>
        <w:rPr>
          <w:color w:val="000000"/>
          <w:sz w:val="24"/>
        </w:rPr>
        <w:t>IAA</w:t>
      </w:r>
      <w:r>
        <w:rPr>
          <w:color w:val="000000"/>
          <w:sz w:val="24"/>
        </w:rPr>
        <w:t>的能力，是其促生的重要因素之一</w:t>
      </w:r>
      <w:r>
        <w:rPr>
          <w:color w:val="000000"/>
          <w:sz w:val="24"/>
        </w:rPr>
        <w:t xml:space="preserve"> </w:t>
      </w:r>
      <w:r>
        <w:rPr>
          <w:color w:val="000000"/>
          <w:sz w:val="24"/>
        </w:rPr>
        <w:t>。研究表明，泛菌属</w:t>
      </w:r>
      <w:r>
        <w:rPr>
          <w:color w:val="000000"/>
          <w:sz w:val="24"/>
        </w:rPr>
        <w:t>PGPR</w:t>
      </w:r>
      <w:r>
        <w:rPr>
          <w:color w:val="000000"/>
          <w:sz w:val="24"/>
        </w:rPr>
        <w:t>普遍通过色氨酸依赖的吲哚</w:t>
      </w:r>
      <w:r>
        <w:rPr>
          <w:color w:val="000000"/>
          <w:sz w:val="24"/>
        </w:rPr>
        <w:t>-3-</w:t>
      </w:r>
      <w:r>
        <w:rPr>
          <w:color w:val="000000"/>
          <w:sz w:val="24"/>
        </w:rPr>
        <w:t>丙酮酸途径（</w:t>
      </w:r>
      <w:r>
        <w:rPr>
          <w:color w:val="000000"/>
          <w:sz w:val="24"/>
        </w:rPr>
        <w:t>Indole-3-pyruvic acid, IPyA</w:t>
      </w:r>
      <w:r>
        <w:rPr>
          <w:color w:val="000000"/>
          <w:sz w:val="24"/>
        </w:rPr>
        <w:t>）</w:t>
      </w:r>
      <w:r>
        <w:rPr>
          <w:color w:val="000000"/>
          <w:sz w:val="24"/>
        </w:rPr>
        <w:lastRenderedPageBreak/>
        <w:t>合成</w:t>
      </w:r>
      <w:r>
        <w:rPr>
          <w:color w:val="000000"/>
          <w:sz w:val="24"/>
        </w:rPr>
        <w:t>IAA[</w:t>
      </w:r>
      <w:hyperlink w:anchor="docfit_ref_14" w:tooltip="跳转到参考文献 [14]" w:history="1">
        <w:r>
          <w:rPr>
            <w:color w:val="000000"/>
            <w:sz w:val="24"/>
          </w:rPr>
          <w:t>14</w:t>
        </w:r>
      </w:hyperlink>
      <w:r>
        <w:rPr>
          <w:color w:val="000000"/>
          <w:sz w:val="24"/>
        </w:rPr>
        <w:t>]</w:t>
      </w:r>
      <w:r>
        <w:rPr>
          <w:color w:val="000000"/>
          <w:sz w:val="24"/>
        </w:rPr>
        <w:t>。</w:t>
      </w:r>
      <w:r>
        <w:rPr>
          <w:color w:val="000000"/>
          <w:sz w:val="24"/>
        </w:rPr>
        <w:t>IPyA</w:t>
      </w:r>
      <w:r>
        <w:rPr>
          <w:color w:val="000000"/>
          <w:sz w:val="24"/>
        </w:rPr>
        <w:t>途径</w:t>
      </w:r>
      <w:r>
        <w:rPr>
          <w:bCs/>
          <w:color w:val="000000"/>
          <w:sz w:val="24"/>
        </w:rPr>
        <w:t>以色氨酸（</w:t>
      </w:r>
      <w:r>
        <w:rPr>
          <w:bCs/>
          <w:color w:val="000000"/>
          <w:sz w:val="24"/>
        </w:rPr>
        <w:t>Trp</w:t>
      </w:r>
      <w:r>
        <w:rPr>
          <w:bCs/>
          <w:color w:val="000000"/>
          <w:sz w:val="24"/>
        </w:rPr>
        <w:t>）为底物，经氨基转移酶将氨基转移给</w:t>
      </w:r>
      <w:r>
        <w:rPr>
          <w:bCs/>
          <w:color w:val="000000"/>
          <w:sz w:val="24"/>
        </w:rPr>
        <w:t>α-</w:t>
      </w:r>
      <w:r>
        <w:rPr>
          <w:bCs/>
          <w:color w:val="000000"/>
          <w:sz w:val="24"/>
        </w:rPr>
        <w:t>酮戊二酸生成</w:t>
      </w:r>
      <w:r>
        <w:rPr>
          <w:bCs/>
          <w:color w:val="000000"/>
          <w:sz w:val="24"/>
        </w:rPr>
        <w:t>IPyA</w:t>
      </w:r>
      <w:r>
        <w:rPr>
          <w:bCs/>
          <w:color w:val="000000"/>
          <w:sz w:val="24"/>
        </w:rPr>
        <w:t>与谷氨酸；随后吲哚丙酮酸脱羧酶</w:t>
      </w:r>
      <w:r>
        <w:rPr>
          <w:bCs/>
          <w:i/>
          <w:iCs/>
          <w:color w:val="000000"/>
          <w:sz w:val="24"/>
        </w:rPr>
        <w:t xml:space="preserve"> ipdC</w:t>
      </w:r>
      <w:r>
        <w:rPr>
          <w:bCs/>
          <w:color w:val="000000"/>
          <w:sz w:val="24"/>
        </w:rPr>
        <w:t>将</w:t>
      </w:r>
      <w:r>
        <w:rPr>
          <w:bCs/>
          <w:color w:val="000000"/>
          <w:sz w:val="24"/>
        </w:rPr>
        <w:t>IPyA</w:t>
      </w:r>
      <w:r>
        <w:rPr>
          <w:bCs/>
          <w:color w:val="000000"/>
          <w:sz w:val="24"/>
        </w:rPr>
        <w:t>脱羧为吲哚</w:t>
      </w:r>
      <w:r>
        <w:rPr>
          <w:bCs/>
          <w:color w:val="000000"/>
          <w:sz w:val="24"/>
        </w:rPr>
        <w:t>-3-</w:t>
      </w:r>
      <w:r>
        <w:rPr>
          <w:bCs/>
          <w:color w:val="000000"/>
          <w:sz w:val="24"/>
        </w:rPr>
        <w:t>乙醛（</w:t>
      </w:r>
      <w:r>
        <w:rPr>
          <w:bCs/>
          <w:color w:val="000000"/>
          <w:sz w:val="24"/>
        </w:rPr>
        <w:t>IAAld</w:t>
      </w:r>
      <w:r>
        <w:rPr>
          <w:bCs/>
          <w:color w:val="000000"/>
          <w:sz w:val="24"/>
        </w:rPr>
        <w:t>）并释放</w:t>
      </w:r>
      <w:r>
        <w:rPr>
          <w:bCs/>
          <w:color w:val="000000"/>
          <w:sz w:val="24"/>
        </w:rPr>
        <w:t>CO2</w:t>
      </w:r>
      <w:r>
        <w:rPr>
          <w:bCs/>
          <w:color w:val="000000"/>
          <w:sz w:val="24"/>
        </w:rPr>
        <w:t>；最后由醛脱氢酶将</w:t>
      </w:r>
      <w:r>
        <w:rPr>
          <w:bCs/>
          <w:color w:val="000000"/>
          <w:sz w:val="24"/>
        </w:rPr>
        <w:t>IAAld</w:t>
      </w:r>
      <w:r>
        <w:rPr>
          <w:bCs/>
          <w:color w:val="000000"/>
          <w:sz w:val="24"/>
        </w:rPr>
        <w:t>氧化为</w:t>
      </w:r>
      <w:r>
        <w:rPr>
          <w:bCs/>
          <w:color w:val="000000"/>
          <w:sz w:val="24"/>
        </w:rPr>
        <w:t>IAA</w:t>
      </w:r>
      <w:r>
        <w:rPr>
          <w:bCs/>
          <w:color w:val="000000"/>
          <w:sz w:val="24"/>
        </w:rPr>
        <w:t>。</w:t>
      </w:r>
      <w:r>
        <w:rPr>
          <w:color w:val="000000"/>
          <w:sz w:val="24"/>
        </w:rPr>
        <w:t>例如，从豆科植物根际分离获得的散生泛菌（</w:t>
      </w:r>
      <w:r>
        <w:rPr>
          <w:i/>
          <w:iCs/>
          <w:color w:val="000000"/>
          <w:sz w:val="24"/>
        </w:rPr>
        <w:t>Pantoea dispersa</w:t>
      </w:r>
      <w:r>
        <w:rPr>
          <w:color w:val="000000"/>
          <w:sz w:val="24"/>
        </w:rPr>
        <w:t>）</w:t>
      </w:r>
      <w:r>
        <w:rPr>
          <w:color w:val="000000"/>
          <w:sz w:val="24"/>
        </w:rPr>
        <w:t>GPK</w:t>
      </w:r>
      <w:r>
        <w:rPr>
          <w:color w:val="000000"/>
          <w:sz w:val="24"/>
        </w:rPr>
        <w:t>在外源色氨酸诱导下能够产生</w:t>
      </w:r>
      <w:r>
        <w:rPr>
          <w:color w:val="000000"/>
          <w:sz w:val="24"/>
        </w:rPr>
        <w:t>IAA</w:t>
      </w:r>
      <w:r>
        <w:rPr>
          <w:color w:val="000000"/>
          <w:sz w:val="24"/>
        </w:rPr>
        <w:t>，并在代谢过程中积累吲哚</w:t>
      </w:r>
      <w:r>
        <w:rPr>
          <w:color w:val="000000"/>
          <w:sz w:val="24"/>
        </w:rPr>
        <w:t>-3-</w:t>
      </w:r>
      <w:r>
        <w:rPr>
          <w:color w:val="000000"/>
          <w:sz w:val="24"/>
        </w:rPr>
        <w:t>丙酮酸和吲哚</w:t>
      </w:r>
      <w:r>
        <w:rPr>
          <w:color w:val="000000"/>
          <w:sz w:val="24"/>
        </w:rPr>
        <w:t>-3-</w:t>
      </w:r>
      <w:r>
        <w:rPr>
          <w:color w:val="000000"/>
          <w:sz w:val="24"/>
        </w:rPr>
        <w:t>乙醛等中间产物，表明该菌株可能主要通过</w:t>
      </w:r>
      <w:r>
        <w:rPr>
          <w:color w:val="000000"/>
          <w:sz w:val="24"/>
        </w:rPr>
        <w:t>IPyA</w:t>
      </w:r>
      <w:r>
        <w:rPr>
          <w:color w:val="000000"/>
          <w:sz w:val="24"/>
        </w:rPr>
        <w:t>途径完成</w:t>
      </w:r>
      <w:r>
        <w:rPr>
          <w:color w:val="000000"/>
          <w:sz w:val="24"/>
        </w:rPr>
        <w:t>IAA</w:t>
      </w:r>
      <w:r>
        <w:rPr>
          <w:color w:val="000000"/>
          <w:sz w:val="24"/>
        </w:rPr>
        <w:t>生物合成</w:t>
      </w:r>
      <w:hyperlink w:anchor="docfit_ref_15" w:tooltip="跳转到参考文献 [15]" w:history="1">
        <w:r>
          <w:rPr>
            <w:color w:val="000000"/>
            <w:sz w:val="24"/>
            <w:vertAlign w:val="superscript"/>
          </w:rPr>
          <w:t>[15]</w:t>
        </w:r>
      </w:hyperlink>
      <w:r>
        <w:rPr>
          <w:color w:val="000000"/>
          <w:sz w:val="24"/>
        </w:rPr>
        <w:t>。</w:t>
      </w:r>
    </w:p>
    <w:p w14:paraId="52EE2CD8"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同时，除了</w:t>
      </w:r>
      <w:r>
        <w:rPr>
          <w:color w:val="000000"/>
          <w:sz w:val="24"/>
        </w:rPr>
        <w:t>IPyA</w:t>
      </w:r>
      <w:r>
        <w:rPr>
          <w:color w:val="000000"/>
          <w:sz w:val="24"/>
        </w:rPr>
        <w:t>途径，泛菌属细菌是否存在其他</w:t>
      </w:r>
      <w:r>
        <w:rPr>
          <w:color w:val="000000"/>
          <w:sz w:val="24"/>
        </w:rPr>
        <w:t>IAA</w:t>
      </w:r>
      <w:r>
        <w:rPr>
          <w:color w:val="000000"/>
          <w:sz w:val="24"/>
        </w:rPr>
        <w:t>合成途径的报道相对较少。一些植物病原细菌（如丁香假单胞菌</w:t>
      </w:r>
      <w:r>
        <w:rPr>
          <w:i/>
          <w:iCs/>
          <w:color w:val="000000"/>
          <w:sz w:val="24"/>
        </w:rPr>
        <w:t>Pseudomonas</w:t>
      </w:r>
      <w:r>
        <w:rPr>
          <w:color w:val="000000"/>
          <w:sz w:val="24"/>
        </w:rPr>
        <w:t xml:space="preserve"> </w:t>
      </w:r>
      <w:r>
        <w:rPr>
          <w:i/>
          <w:iCs/>
          <w:color w:val="000000"/>
          <w:sz w:val="24"/>
        </w:rPr>
        <w:t>savastanoi</w:t>
      </w:r>
      <w:r>
        <w:rPr>
          <w:color w:val="000000"/>
          <w:sz w:val="24"/>
        </w:rPr>
        <w:t>等）经由吲哚乙酰胺途径（</w:t>
      </w:r>
      <w:r>
        <w:rPr>
          <w:color w:val="000000"/>
          <w:sz w:val="24"/>
        </w:rPr>
        <w:t>IAM</w:t>
      </w:r>
      <w:r>
        <w:rPr>
          <w:color w:val="000000"/>
          <w:sz w:val="24"/>
        </w:rPr>
        <w:t>）合成</w:t>
      </w:r>
      <w:r>
        <w:rPr>
          <w:color w:val="000000"/>
          <w:sz w:val="24"/>
        </w:rPr>
        <w:t>IAA</w:t>
      </w:r>
      <w:r>
        <w:rPr>
          <w:color w:val="000000"/>
          <w:sz w:val="24"/>
        </w:rPr>
        <w:t>，即由色氨酸单加氧酶（</w:t>
      </w:r>
      <w:r>
        <w:rPr>
          <w:color w:val="000000"/>
          <w:sz w:val="24"/>
        </w:rPr>
        <w:t>IaaM</w:t>
      </w:r>
      <w:r>
        <w:rPr>
          <w:color w:val="000000"/>
          <w:sz w:val="24"/>
        </w:rPr>
        <w:t>）将色氨酸转化为中间体吲哚</w:t>
      </w:r>
      <w:r>
        <w:rPr>
          <w:color w:val="000000"/>
          <w:sz w:val="24"/>
        </w:rPr>
        <w:t>-3-</w:t>
      </w:r>
      <w:r>
        <w:rPr>
          <w:color w:val="000000"/>
          <w:sz w:val="24"/>
        </w:rPr>
        <w:t>乙酰胺，再经</w:t>
      </w:r>
      <w:r>
        <w:rPr>
          <w:color w:val="000000"/>
          <w:sz w:val="24"/>
        </w:rPr>
        <w:t>IAM</w:t>
      </w:r>
      <w:r>
        <w:rPr>
          <w:color w:val="000000"/>
          <w:sz w:val="24"/>
        </w:rPr>
        <w:t>水解酶（</w:t>
      </w:r>
      <w:r>
        <w:rPr>
          <w:color w:val="000000"/>
          <w:sz w:val="24"/>
        </w:rPr>
        <w:t>IaaH</w:t>
      </w:r>
      <w:r>
        <w:rPr>
          <w:color w:val="000000"/>
          <w:sz w:val="24"/>
        </w:rPr>
        <w:t>）水解生成</w:t>
      </w:r>
      <w:r>
        <w:rPr>
          <w:color w:val="000000"/>
          <w:sz w:val="24"/>
        </w:rPr>
        <w:t>IAA</w:t>
      </w:r>
      <w:hyperlink w:anchor="docfit_ref_16" w:tooltip="跳转到参考文献 [16]" w:history="1">
        <w:r>
          <w:rPr>
            <w:color w:val="000000"/>
            <w:sz w:val="24"/>
            <w:vertAlign w:val="superscript"/>
          </w:rPr>
          <w:t>[16]</w:t>
        </w:r>
      </w:hyperlink>
      <w:r>
        <w:rPr>
          <w:color w:val="000000"/>
          <w:sz w:val="24"/>
        </w:rPr>
        <w:t>。然而在已测序的</w:t>
      </w:r>
      <w:r>
        <w:rPr>
          <w:color w:val="000000"/>
          <w:sz w:val="24"/>
        </w:rPr>
        <w:t>PGPR</w:t>
      </w:r>
      <w:r>
        <w:rPr>
          <w:color w:val="000000"/>
          <w:sz w:val="24"/>
        </w:rPr>
        <w:t>泛菌属菌株中，通常未发现</w:t>
      </w:r>
      <w:r>
        <w:rPr>
          <w:i/>
          <w:iCs/>
          <w:color w:val="000000"/>
          <w:sz w:val="24"/>
        </w:rPr>
        <w:t>iaaM</w:t>
      </w:r>
      <w:r>
        <w:rPr>
          <w:color w:val="000000"/>
          <w:sz w:val="24"/>
        </w:rPr>
        <w:t>/</w:t>
      </w:r>
      <w:r>
        <w:rPr>
          <w:i/>
          <w:iCs/>
          <w:color w:val="000000"/>
          <w:sz w:val="24"/>
        </w:rPr>
        <w:t>iaaH</w:t>
      </w:r>
      <w:r>
        <w:rPr>
          <w:color w:val="000000"/>
          <w:sz w:val="24"/>
        </w:rPr>
        <w:t>基因，这表明</w:t>
      </w:r>
      <w:r>
        <w:rPr>
          <w:color w:val="000000"/>
          <w:sz w:val="24"/>
        </w:rPr>
        <w:t>IAM</w:t>
      </w:r>
      <w:r>
        <w:rPr>
          <w:color w:val="000000"/>
          <w:sz w:val="24"/>
        </w:rPr>
        <w:t>途径主要存在于植物病原菌中而在</w:t>
      </w:r>
      <w:r>
        <w:rPr>
          <w:color w:val="000000"/>
          <w:sz w:val="24"/>
        </w:rPr>
        <w:t>PGPR</w:t>
      </w:r>
      <w:r>
        <w:rPr>
          <w:color w:val="000000"/>
          <w:sz w:val="24"/>
        </w:rPr>
        <w:t>中并不常见</w:t>
      </w:r>
      <w:r>
        <w:rPr>
          <w:color w:val="000000"/>
          <w:sz w:val="24"/>
        </w:rPr>
        <w:t>[</w:t>
      </w:r>
      <w:hyperlink w:anchor="docfit_ref_4" w:tooltip="跳转到参考文献 [4]" w:history="1">
        <w:r>
          <w:rPr>
            <w:color w:val="000000"/>
            <w:sz w:val="24"/>
          </w:rPr>
          <w:t>4</w:t>
        </w:r>
      </w:hyperlink>
      <w:r>
        <w:rPr>
          <w:color w:val="000000"/>
          <w:sz w:val="24"/>
        </w:rPr>
        <w:t>]</w:t>
      </w:r>
      <w:r>
        <w:rPr>
          <w:color w:val="000000"/>
          <w:sz w:val="24"/>
        </w:rPr>
        <w:t>。另外，植物体内常见的吲哚</w:t>
      </w:r>
      <w:r>
        <w:rPr>
          <w:color w:val="000000"/>
          <w:sz w:val="24"/>
        </w:rPr>
        <w:t>-3-</w:t>
      </w:r>
      <w:r>
        <w:rPr>
          <w:color w:val="000000"/>
          <w:sz w:val="24"/>
        </w:rPr>
        <w:t>乙腈途径（</w:t>
      </w:r>
      <w:r>
        <w:rPr>
          <w:color w:val="000000"/>
          <w:sz w:val="24"/>
        </w:rPr>
        <w:t>IAN</w:t>
      </w:r>
      <w:r>
        <w:rPr>
          <w:color w:val="000000"/>
          <w:sz w:val="24"/>
        </w:rPr>
        <w:t>）在细菌中研究较少，但有研究表明某些细菌具备将氰代吲哚衍生物转化为</w:t>
      </w:r>
      <w:r>
        <w:rPr>
          <w:color w:val="000000"/>
          <w:sz w:val="24"/>
        </w:rPr>
        <w:t>IAA</w:t>
      </w:r>
      <w:r>
        <w:rPr>
          <w:color w:val="000000"/>
          <w:sz w:val="24"/>
        </w:rPr>
        <w:t>的能力，例如丁香假单胞菌</w:t>
      </w:r>
      <w:r>
        <w:rPr>
          <w:color w:val="000000"/>
          <w:sz w:val="24"/>
        </w:rPr>
        <w:t>B728a</w:t>
      </w:r>
      <w:r>
        <w:rPr>
          <w:color w:val="000000"/>
          <w:sz w:val="24"/>
        </w:rPr>
        <w:t>的硝化酶可水解吲哚</w:t>
      </w:r>
      <w:r>
        <w:rPr>
          <w:color w:val="000000"/>
          <w:sz w:val="24"/>
        </w:rPr>
        <w:t>-3-</w:t>
      </w:r>
      <w:r>
        <w:rPr>
          <w:color w:val="000000"/>
          <w:sz w:val="24"/>
        </w:rPr>
        <w:t>乙腈生成</w:t>
      </w:r>
      <w:r>
        <w:rPr>
          <w:color w:val="000000"/>
          <w:sz w:val="24"/>
        </w:rPr>
        <w:t>IAA</w:t>
      </w:r>
      <w:hyperlink w:anchor="docfit_ref_17" w:tooltip="跳转到参考文献 [17]" w:history="1">
        <w:r>
          <w:rPr>
            <w:color w:val="000000"/>
            <w:sz w:val="24"/>
            <w:vertAlign w:val="superscript"/>
          </w:rPr>
          <w:t>[17]</w:t>
        </w:r>
      </w:hyperlink>
      <w:r>
        <w:rPr>
          <w:color w:val="000000"/>
          <w:sz w:val="24"/>
        </w:rPr>
        <w:t>。目前尚未有报道显示泛菌属</w:t>
      </w:r>
      <w:r>
        <w:rPr>
          <w:color w:val="000000"/>
          <w:sz w:val="24"/>
        </w:rPr>
        <w:t>PGPR</w:t>
      </w:r>
      <w:r>
        <w:rPr>
          <w:color w:val="000000"/>
          <w:sz w:val="24"/>
        </w:rPr>
        <w:t>通过</w:t>
      </w:r>
      <w:r>
        <w:rPr>
          <w:color w:val="000000"/>
          <w:sz w:val="24"/>
        </w:rPr>
        <w:t>IAN</w:t>
      </w:r>
      <w:r>
        <w:rPr>
          <w:color w:val="000000"/>
          <w:sz w:val="24"/>
        </w:rPr>
        <w:t>途径合成</w:t>
      </w:r>
      <w:r>
        <w:rPr>
          <w:color w:val="000000"/>
          <w:sz w:val="24"/>
        </w:rPr>
        <w:t>IAA</w:t>
      </w:r>
      <w:r>
        <w:rPr>
          <w:color w:val="000000"/>
          <w:sz w:val="24"/>
        </w:rPr>
        <w:t>，但考虑到一些菌株基因组中存在硝化酶编码基因，不能排除在特定条件下细菌利用</w:t>
      </w:r>
      <w:r>
        <w:rPr>
          <w:color w:val="000000"/>
          <w:sz w:val="24"/>
        </w:rPr>
        <w:t>IAN</w:t>
      </w:r>
      <w:r>
        <w:rPr>
          <w:color w:val="000000"/>
          <w:sz w:val="24"/>
        </w:rPr>
        <w:t>途径合成</w:t>
      </w:r>
      <w:r>
        <w:rPr>
          <w:color w:val="000000"/>
          <w:sz w:val="24"/>
        </w:rPr>
        <w:t>IAA</w:t>
      </w:r>
      <w:r>
        <w:rPr>
          <w:color w:val="000000"/>
          <w:sz w:val="24"/>
        </w:rPr>
        <w:t>的可能性。总体而言，</w:t>
      </w:r>
      <w:r>
        <w:rPr>
          <w:color w:val="000000"/>
          <w:sz w:val="24"/>
        </w:rPr>
        <w:t>IPyA</w:t>
      </w:r>
      <w:r>
        <w:rPr>
          <w:color w:val="000000"/>
          <w:sz w:val="24"/>
        </w:rPr>
        <w:t>途径在泛菌属</w:t>
      </w:r>
      <w:r>
        <w:rPr>
          <w:color w:val="000000"/>
          <w:sz w:val="24"/>
        </w:rPr>
        <w:t>PGPR</w:t>
      </w:r>
      <w:r>
        <w:rPr>
          <w:color w:val="000000"/>
          <w:sz w:val="24"/>
        </w:rPr>
        <w:t>中占主导地位，其</w:t>
      </w:r>
      <w:r>
        <w:rPr>
          <w:color w:val="000000"/>
          <w:sz w:val="24"/>
        </w:rPr>
        <w:t>IAA</w:t>
      </w:r>
      <w:r>
        <w:rPr>
          <w:color w:val="000000"/>
          <w:sz w:val="24"/>
        </w:rPr>
        <w:t>合成效率和调控机制已成为研究的重点方向</w:t>
      </w:r>
      <w:hyperlink w:anchor="docfit_ref_17" w:tooltip="跳转到参考文献 [17]" w:history="1">
        <w:r>
          <w:rPr>
            <w:color w:val="000000"/>
            <w:sz w:val="24"/>
            <w:vertAlign w:val="superscript"/>
          </w:rPr>
          <w:t>[17]</w:t>
        </w:r>
      </w:hyperlink>
      <w:r>
        <w:rPr>
          <w:color w:val="000000"/>
          <w:sz w:val="24"/>
        </w:rPr>
        <w:t>。</w:t>
      </w:r>
    </w:p>
    <w:p w14:paraId="163B2ED7"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11" w:name="docfit_s001_Toc18510"/>
      <w:bookmarkStart w:id="12" w:name="_Toc236830338"/>
      <w:r>
        <w:rPr>
          <w:rFonts w:ascii="黑体" w:hAnsi="黑体" w:cs="黑体"/>
          <w:color w:val="000000"/>
          <w:szCs w:val="28"/>
        </w:rPr>
        <w:t>3 PGP6</w:t>
      </w:r>
      <w:r>
        <w:rPr>
          <w:rFonts w:ascii="黑体" w:hAnsi="黑体" w:cs="黑体"/>
          <w:color w:val="000000"/>
          <w:szCs w:val="28"/>
        </w:rPr>
        <w:t>菌株的</w:t>
      </w:r>
      <w:r>
        <w:rPr>
          <w:rFonts w:ascii="黑体" w:hAnsi="黑体" w:cs="黑体"/>
          <w:color w:val="000000"/>
          <w:szCs w:val="28"/>
        </w:rPr>
        <w:t>IAA</w:t>
      </w:r>
      <w:r>
        <w:rPr>
          <w:rFonts w:ascii="黑体" w:hAnsi="黑体" w:cs="黑体"/>
          <w:color w:val="000000"/>
          <w:szCs w:val="28"/>
        </w:rPr>
        <w:t>合成路径及促生功能研究现状</w:t>
      </w:r>
      <w:bookmarkEnd w:id="11"/>
      <w:bookmarkEnd w:id="12"/>
    </w:p>
    <w:p w14:paraId="7780B5CF" w14:textId="77777777" w:rsidR="00651B96" w:rsidRDefault="00721866">
      <w:pPr>
        <w:autoSpaceDE w:val="0"/>
        <w:autoSpaceDN w:val="0"/>
        <w:spacing w:line="400" w:lineRule="exact"/>
        <w:ind w:firstLineChars="200" w:firstLine="480"/>
        <w:jc w:val="left"/>
        <w:rPr>
          <w:rFonts w:ascii="宋体" w:hAnsi="宋体"/>
          <w:sz w:val="24"/>
        </w:rPr>
      </w:pPr>
      <w:r>
        <w:rPr>
          <w:bCs/>
          <w:color w:val="000000" w:themeColor="text1"/>
          <w:sz w:val="24"/>
        </w:rPr>
        <w:t>PGP6</w:t>
      </w:r>
      <w:r>
        <w:rPr>
          <w:bCs/>
          <w:color w:val="000000" w:themeColor="text1"/>
          <w:sz w:val="24"/>
        </w:rPr>
        <w:t>（已被鉴定为</w:t>
      </w:r>
      <w:r>
        <w:rPr>
          <w:bCs/>
          <w:i/>
          <w:iCs/>
          <w:color w:val="000000" w:themeColor="text1"/>
          <w:sz w:val="24"/>
        </w:rPr>
        <w:t xml:space="preserve">Pantoea </w:t>
      </w:r>
      <w:r>
        <w:rPr>
          <w:bCs/>
          <w:color w:val="000000" w:themeColor="text1"/>
          <w:sz w:val="24"/>
        </w:rPr>
        <w:t>sp.</w:t>
      </w:r>
      <w:r>
        <w:rPr>
          <w:bCs/>
          <w:color w:val="000000" w:themeColor="text1"/>
          <w:sz w:val="24"/>
        </w:rPr>
        <w:t>）菌株是一株从南京市栖霞山锰矿新村重金属污染的农田中分离得到的植物促生菌。该菌株最早因其在重金属胁迫环境下促生的潜力而受到关注。研究者以</w:t>
      </w:r>
      <w:r>
        <w:rPr>
          <w:bCs/>
          <w:color w:val="000000" w:themeColor="text1"/>
          <w:sz w:val="24"/>
        </w:rPr>
        <w:t>PGP6</w:t>
      </w:r>
      <w:r>
        <w:rPr>
          <w:bCs/>
          <w:color w:val="000000" w:themeColor="text1"/>
          <w:sz w:val="24"/>
        </w:rPr>
        <w:t>，巨大普里斯特菌</w:t>
      </w:r>
      <w:r>
        <w:rPr>
          <w:bCs/>
          <w:color w:val="000000" w:themeColor="text1"/>
          <w:sz w:val="24"/>
        </w:rPr>
        <w:t>PGP5</w:t>
      </w:r>
      <w:r>
        <w:rPr>
          <w:bCs/>
          <w:color w:val="000000" w:themeColor="text1"/>
          <w:sz w:val="24"/>
        </w:rPr>
        <w:t>及二者构建的合成菌群为研究对象，系统解析了其与水稻和龙葵在镉等重金属胁迫下的互作机制。研究表明，重金属胁迫可诱导植物根系活性氧（</w:t>
      </w:r>
      <w:r>
        <w:rPr>
          <w:bCs/>
          <w:color w:val="000000" w:themeColor="text1"/>
          <w:sz w:val="24"/>
        </w:rPr>
        <w:t>Reactive Oxygen Species, ROS</w:t>
      </w:r>
      <w:r>
        <w:rPr>
          <w:bCs/>
          <w:color w:val="000000" w:themeColor="text1"/>
          <w:sz w:val="24"/>
        </w:rPr>
        <w:t>）积累。这些根源</w:t>
      </w:r>
      <w:r>
        <w:rPr>
          <w:bCs/>
          <w:color w:val="000000" w:themeColor="text1"/>
          <w:sz w:val="24"/>
        </w:rPr>
        <w:t>ROS</w:t>
      </w:r>
      <w:r>
        <w:rPr>
          <w:bCs/>
          <w:color w:val="000000" w:themeColor="text1"/>
          <w:sz w:val="24"/>
        </w:rPr>
        <w:t>不仅是胁迫损伤相关分子，同时也可作为植物向根际有益菌发出的信号，促进</w:t>
      </w:r>
      <w:r>
        <w:rPr>
          <w:bCs/>
          <w:color w:val="000000" w:themeColor="text1"/>
          <w:sz w:val="24"/>
        </w:rPr>
        <w:t>PGP5</w:t>
      </w:r>
      <w:r>
        <w:rPr>
          <w:bCs/>
          <w:color w:val="000000" w:themeColor="text1"/>
          <w:sz w:val="24"/>
        </w:rPr>
        <w:t>和</w:t>
      </w:r>
      <w:r>
        <w:rPr>
          <w:bCs/>
          <w:color w:val="000000" w:themeColor="text1"/>
          <w:sz w:val="24"/>
        </w:rPr>
        <w:t>PGP6</w:t>
      </w:r>
      <w:r>
        <w:rPr>
          <w:bCs/>
          <w:color w:val="000000" w:themeColor="text1"/>
          <w:sz w:val="24"/>
        </w:rPr>
        <w:t>合成吲哚乙酸（</w:t>
      </w:r>
      <w:r>
        <w:rPr>
          <w:bCs/>
          <w:color w:val="000000" w:themeColor="text1"/>
          <w:sz w:val="24"/>
        </w:rPr>
        <w:t>IAA</w:t>
      </w:r>
      <w:r>
        <w:rPr>
          <w:bCs/>
          <w:color w:val="000000" w:themeColor="text1"/>
          <w:sz w:val="24"/>
        </w:rPr>
        <w:t>）。随后，微生物来源的</w:t>
      </w:r>
      <w:r>
        <w:rPr>
          <w:bCs/>
          <w:color w:val="000000" w:themeColor="text1"/>
          <w:sz w:val="24"/>
        </w:rPr>
        <w:t>IAA</w:t>
      </w:r>
      <w:r>
        <w:rPr>
          <w:bCs/>
          <w:color w:val="000000" w:themeColor="text1"/>
          <w:sz w:val="24"/>
        </w:rPr>
        <w:t>反过来抑制根系中过量</w:t>
      </w:r>
      <w:r>
        <w:rPr>
          <w:bCs/>
          <w:color w:val="000000" w:themeColor="text1"/>
          <w:sz w:val="24"/>
        </w:rPr>
        <w:t>ROS</w:t>
      </w:r>
      <w:r>
        <w:rPr>
          <w:bCs/>
          <w:color w:val="000000" w:themeColor="text1"/>
          <w:sz w:val="24"/>
        </w:rPr>
        <w:t>的产生或积累，从而缓解重金属诱导的氧化损伤并提高植物抗胁迫能力。进一步研究发现，</w:t>
      </w:r>
      <w:r>
        <w:rPr>
          <w:bCs/>
          <w:color w:val="000000" w:themeColor="text1"/>
          <w:sz w:val="24"/>
        </w:rPr>
        <w:t>PGPR</w:t>
      </w:r>
      <w:r>
        <w:rPr>
          <w:bCs/>
          <w:color w:val="000000" w:themeColor="text1"/>
          <w:sz w:val="24"/>
        </w:rPr>
        <w:t>来源的</w:t>
      </w:r>
      <w:r>
        <w:rPr>
          <w:bCs/>
          <w:color w:val="000000" w:themeColor="text1"/>
          <w:sz w:val="24"/>
        </w:rPr>
        <w:t>IAA</w:t>
      </w:r>
      <w:r>
        <w:rPr>
          <w:bCs/>
          <w:color w:val="000000" w:themeColor="text1"/>
          <w:sz w:val="24"/>
        </w:rPr>
        <w:t>还可通过</w:t>
      </w:r>
      <w:r>
        <w:rPr>
          <w:bCs/>
          <w:color w:val="000000" w:themeColor="text1"/>
          <w:sz w:val="24"/>
        </w:rPr>
        <w:t>ROS</w:t>
      </w:r>
      <w:r>
        <w:rPr>
          <w:bCs/>
          <w:color w:val="000000" w:themeColor="text1"/>
          <w:sz w:val="24"/>
        </w:rPr>
        <w:t>相关过程调控宿主根系</w:t>
      </w:r>
      <w:r>
        <w:rPr>
          <w:bCs/>
          <w:color w:val="000000" w:themeColor="text1"/>
          <w:sz w:val="24"/>
        </w:rPr>
        <w:t>DNA</w:t>
      </w:r>
      <w:r>
        <w:rPr>
          <w:bCs/>
          <w:color w:val="000000" w:themeColor="text1"/>
          <w:sz w:val="24"/>
        </w:rPr>
        <w:t>甲基化相关基因表达及甲基化状态，形成</w:t>
      </w:r>
      <w:r>
        <w:rPr>
          <w:bCs/>
          <w:color w:val="000000" w:themeColor="text1"/>
          <w:sz w:val="24"/>
        </w:rPr>
        <w:t>“</w:t>
      </w:r>
      <w:r>
        <w:rPr>
          <w:bCs/>
          <w:color w:val="000000" w:themeColor="text1"/>
          <w:sz w:val="24"/>
        </w:rPr>
        <w:t>根源</w:t>
      </w:r>
      <w:r>
        <w:rPr>
          <w:bCs/>
          <w:color w:val="000000" w:themeColor="text1"/>
          <w:sz w:val="24"/>
        </w:rPr>
        <w:t>ROS-</w:t>
      </w:r>
      <w:r>
        <w:rPr>
          <w:bCs/>
          <w:color w:val="000000" w:themeColor="text1"/>
          <w:sz w:val="24"/>
        </w:rPr>
        <w:t>微生物</w:t>
      </w:r>
      <w:r>
        <w:rPr>
          <w:bCs/>
          <w:color w:val="000000" w:themeColor="text1"/>
          <w:sz w:val="24"/>
        </w:rPr>
        <w:t>IAA-</w:t>
      </w:r>
      <w:r>
        <w:rPr>
          <w:bCs/>
          <w:color w:val="000000" w:themeColor="text1"/>
          <w:sz w:val="24"/>
        </w:rPr>
        <w:t>宿主</w:t>
      </w:r>
      <w:r>
        <w:rPr>
          <w:bCs/>
          <w:color w:val="000000" w:themeColor="text1"/>
          <w:sz w:val="24"/>
        </w:rPr>
        <w:t>DNA</w:t>
      </w:r>
      <w:r>
        <w:rPr>
          <w:bCs/>
          <w:color w:val="000000" w:themeColor="text1"/>
          <w:sz w:val="24"/>
        </w:rPr>
        <w:t>甲基化</w:t>
      </w:r>
      <w:r>
        <w:rPr>
          <w:bCs/>
          <w:color w:val="000000" w:themeColor="text1"/>
          <w:sz w:val="24"/>
        </w:rPr>
        <w:t>”</w:t>
      </w:r>
      <w:r>
        <w:rPr>
          <w:bCs/>
          <w:color w:val="000000" w:themeColor="text1"/>
          <w:sz w:val="24"/>
        </w:rPr>
        <w:t>的跨界信号调控通路</w:t>
      </w:r>
      <w:r>
        <w:rPr>
          <w:bCs/>
          <w:color w:val="000000"/>
          <w:sz w:val="24"/>
          <w:vertAlign w:val="superscript"/>
        </w:rPr>
        <w:t>[</w:t>
      </w:r>
      <w:hyperlink w:anchor="docfit_ref_18" w:tooltip="跳转到参考文献 [18]" w:history="1">
        <w:r>
          <w:rPr>
            <w:bCs/>
            <w:color w:val="000000"/>
            <w:sz w:val="24"/>
            <w:vertAlign w:val="superscript"/>
          </w:rPr>
          <w:t>18</w:t>
        </w:r>
      </w:hyperlink>
      <w:r>
        <w:rPr>
          <w:bCs/>
          <w:color w:val="000000"/>
          <w:sz w:val="24"/>
          <w:vertAlign w:val="superscript"/>
        </w:rPr>
        <w:t>]</w:t>
      </w:r>
      <w:r>
        <w:rPr>
          <w:bCs/>
          <w:color w:val="000000"/>
          <w:sz w:val="24"/>
        </w:rPr>
        <w:t>。</w:t>
      </w:r>
    </w:p>
    <w:p w14:paraId="1FCBBFE3"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13" w:name="docfit_s001_Toc6967"/>
      <w:bookmarkStart w:id="14" w:name="_Toc236830339"/>
      <w:r>
        <w:rPr>
          <w:rFonts w:ascii="黑体" w:hAnsi="黑体" w:cs="黑体"/>
          <w:color w:val="000000"/>
          <w:szCs w:val="28"/>
        </w:rPr>
        <w:t xml:space="preserve">4 </w:t>
      </w:r>
      <w:r>
        <w:rPr>
          <w:rFonts w:ascii="黑体" w:hAnsi="黑体" w:cs="黑体"/>
          <w:color w:val="000000"/>
          <w:szCs w:val="28"/>
        </w:rPr>
        <w:t>细菌的基因敲除方法</w:t>
      </w:r>
      <w:bookmarkEnd w:id="13"/>
      <w:bookmarkEnd w:id="14"/>
    </w:p>
    <w:p w14:paraId="668D1A57" w14:textId="77777777" w:rsidR="00651B96" w:rsidRDefault="00721866">
      <w:pPr>
        <w:autoSpaceDE w:val="0"/>
        <w:autoSpaceDN w:val="0"/>
        <w:spacing w:line="400" w:lineRule="exact"/>
        <w:ind w:firstLineChars="200" w:firstLine="480"/>
        <w:jc w:val="left"/>
        <w:rPr>
          <w:rFonts w:ascii="宋体" w:hAnsi="宋体"/>
          <w:sz w:val="24"/>
        </w:rPr>
      </w:pPr>
      <w:r>
        <w:rPr>
          <w:bCs/>
          <w:color w:val="000000"/>
          <w:sz w:val="24"/>
        </w:rPr>
        <w:t>在细菌功能基因研究中，基因敲除是解析目标基因功能的重要遗传学手段。其基本原理是通过同源重组等方式对</w:t>
      </w:r>
      <w:r>
        <w:rPr>
          <w:bCs/>
          <w:color w:val="000000" w:themeColor="text1"/>
          <w:sz w:val="24"/>
        </w:rPr>
        <w:t>细菌基因组中的目标基因</w:t>
      </w:r>
      <w:r>
        <w:rPr>
          <w:bCs/>
          <w:color w:val="000000"/>
          <w:sz w:val="24"/>
        </w:rPr>
        <w:t>进行定向改造，并结合突变株与野生型之间的表型差异分析，揭示目标基因在特定生理过程中的作用</w:t>
      </w:r>
      <w:hyperlink w:anchor="docfit_ref_42" w:tooltip="跳转到参考文献 [42]" w:history="1">
        <w:r>
          <w:rPr>
            <w:bCs/>
            <w:color w:val="000000"/>
            <w:sz w:val="24"/>
            <w:vertAlign w:val="superscript"/>
          </w:rPr>
          <w:t>[42]</w:t>
        </w:r>
      </w:hyperlink>
      <w:r>
        <w:rPr>
          <w:bCs/>
          <w:color w:val="000000"/>
          <w:sz w:val="24"/>
        </w:rPr>
        <w:t>。对于革兰氏阴性细菌，基因敲除方法较为多样，其中应用较广的包括基于自杀质粒与接合转移的经典同源重组法，以及基于噬菌体重组酶系统的</w:t>
      </w:r>
      <w:r>
        <w:rPr>
          <w:bCs/>
          <w:color w:val="000000"/>
          <w:sz w:val="24"/>
        </w:rPr>
        <w:t>λ-Red</w:t>
      </w:r>
      <w:r>
        <w:rPr>
          <w:bCs/>
          <w:color w:val="000000"/>
          <w:sz w:val="24"/>
        </w:rPr>
        <w:t>同源重组法。前者体系较为成熟但流程相对复杂，后者操作简便且重组效率较高，因此在细菌基因编辑研究中均具有重要应用价值</w:t>
      </w:r>
      <w:hyperlink w:anchor="docfit_ref_43" w:tooltip="跳转到参考文献 [43]" w:history="1">
        <w:r>
          <w:rPr>
            <w:bCs/>
            <w:color w:val="000000"/>
            <w:sz w:val="24"/>
            <w:vertAlign w:val="superscript"/>
          </w:rPr>
          <w:t>[43]</w:t>
        </w:r>
      </w:hyperlink>
      <w:hyperlink w:anchor="docfit_ref_33" w:tooltip="跳转到参考文献 [33]" w:history="1">
        <w:r>
          <w:rPr>
            <w:bCs/>
            <w:color w:val="000000"/>
            <w:sz w:val="24"/>
            <w:vertAlign w:val="superscript"/>
          </w:rPr>
          <w:t>[33]</w:t>
        </w:r>
      </w:hyperlink>
      <w:r>
        <w:rPr>
          <w:bCs/>
          <w:color w:val="000000"/>
          <w:sz w:val="24"/>
        </w:rPr>
        <w:t>。</w:t>
      </w:r>
    </w:p>
    <w:p w14:paraId="4E386242"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15" w:name="docfit_s001_Toc740"/>
      <w:bookmarkStart w:id="16" w:name="_Toc236830340"/>
      <w:r>
        <w:rPr>
          <w:rFonts w:eastAsia="宋体"/>
          <w:color w:val="000000"/>
          <w:sz w:val="24"/>
        </w:rPr>
        <w:t xml:space="preserve">4.1 </w:t>
      </w:r>
      <w:r>
        <w:rPr>
          <w:rFonts w:eastAsia="宋体"/>
          <w:color w:val="000000"/>
          <w:sz w:val="24"/>
        </w:rPr>
        <w:t>自杀质粒载体系统</w:t>
      </w:r>
      <w:bookmarkEnd w:id="15"/>
      <w:bookmarkEnd w:id="16"/>
    </w:p>
    <w:p w14:paraId="641E51F8" w14:textId="77777777" w:rsidR="00651B96" w:rsidRDefault="00721866">
      <w:pPr>
        <w:autoSpaceDE w:val="0"/>
        <w:autoSpaceDN w:val="0"/>
        <w:spacing w:line="400" w:lineRule="exact"/>
        <w:ind w:firstLineChars="200" w:firstLine="480"/>
        <w:jc w:val="left"/>
        <w:rPr>
          <w:rFonts w:ascii="宋体" w:hAnsi="宋体"/>
          <w:sz w:val="24"/>
        </w:rPr>
      </w:pPr>
      <w:r>
        <w:rPr>
          <w:bCs/>
          <w:color w:val="000000"/>
          <w:sz w:val="24"/>
        </w:rPr>
        <w:t>自杀质粒载体系统的基因敲除方法是革兰氏阴性细菌遗传操作中应用较早且较为经典的</w:t>
      </w:r>
      <w:r>
        <w:rPr>
          <w:bCs/>
          <w:color w:val="000000"/>
          <w:sz w:val="24"/>
        </w:rPr>
        <w:lastRenderedPageBreak/>
        <w:t>技术路线。该方法通常以携带目标基因上下游同源臂及筛选标记的自杀质粒为载体，在供体菌、辅助菌和受体菌的共同参与下完成质粒转移，进而依赖质粒与染色体之间的同源重组实现目的基因的定向替换</w:t>
      </w:r>
      <w:hyperlink w:anchor="docfit_ref_44" w:tooltip="跳转到参考文献 [44]" w:history="1">
        <w:r>
          <w:rPr>
            <w:bCs/>
            <w:color w:val="000000"/>
            <w:sz w:val="24"/>
            <w:vertAlign w:val="superscript"/>
          </w:rPr>
          <w:t>[44]</w:t>
        </w:r>
      </w:hyperlink>
      <w:r>
        <w:rPr>
          <w:bCs/>
          <w:color w:val="000000"/>
          <w:sz w:val="24"/>
        </w:rPr>
        <w:t>。其基本流程通常包括重组载体构建、三亲接合转移、单交换整合、双交换反选以及后续的</w:t>
      </w:r>
      <w:r>
        <w:rPr>
          <w:bCs/>
          <w:color w:val="000000"/>
          <w:sz w:val="24"/>
        </w:rPr>
        <w:t>PCR</w:t>
      </w:r>
      <w:r>
        <w:rPr>
          <w:bCs/>
          <w:color w:val="000000"/>
          <w:sz w:val="24"/>
        </w:rPr>
        <w:t>与测序验证等环节，其中携带</w:t>
      </w:r>
      <w:r>
        <w:rPr>
          <w:bCs/>
          <w:i/>
          <w:iCs/>
          <w:color w:val="000000"/>
          <w:sz w:val="24"/>
        </w:rPr>
        <w:t>sacB</w:t>
      </w:r>
      <w:r>
        <w:rPr>
          <w:bCs/>
          <w:color w:val="000000"/>
          <w:sz w:val="24"/>
        </w:rPr>
        <w:t>等反选标记的自杀质粒常用于促进第二次交换并筛选基因缺失突变体。该方法具有原理清晰、遗传背景稳定且不依赖特定重组酶系统等特点，因此在非模式菌及环境分离菌的遗传改造研究中仍占有重要地位。然而，该方法涉及步骤较多，实验周期相对较长，且重组效率易受菌株背景、生理状态及筛选条件等多种因素影响，因而在实际应用中往往需要结合较大规模的菌落筛选与分子验证</w:t>
      </w:r>
      <w:hyperlink w:anchor="docfit_ref_45" w:tooltip="跳转到参考文献 [45]" w:history="1">
        <w:r>
          <w:rPr>
            <w:bCs/>
            <w:color w:val="000000"/>
            <w:sz w:val="24"/>
            <w:vertAlign w:val="superscript"/>
          </w:rPr>
          <w:t>[45]</w:t>
        </w:r>
      </w:hyperlink>
      <w:r>
        <w:rPr>
          <w:bCs/>
          <w:color w:val="000000"/>
          <w:sz w:val="24"/>
        </w:rPr>
        <w:t>。</w:t>
      </w:r>
    </w:p>
    <w:p w14:paraId="7A3B88AF"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17" w:name="docfit_s001_Toc19794"/>
      <w:bookmarkStart w:id="18" w:name="_Toc236830341"/>
      <w:r>
        <w:rPr>
          <w:rFonts w:eastAsia="宋体"/>
          <w:color w:val="000000"/>
          <w:sz w:val="24"/>
        </w:rPr>
        <w:t>4.2 Red</w:t>
      </w:r>
      <w:r>
        <w:rPr>
          <w:rFonts w:eastAsia="宋体"/>
          <w:color w:val="000000"/>
          <w:sz w:val="24"/>
        </w:rPr>
        <w:t>同源重组技术</w:t>
      </w:r>
      <w:bookmarkEnd w:id="17"/>
      <w:bookmarkEnd w:id="18"/>
    </w:p>
    <w:p w14:paraId="58F78980" w14:textId="77777777" w:rsidR="00651B96" w:rsidRDefault="00721866">
      <w:pPr>
        <w:autoSpaceDE w:val="0"/>
        <w:autoSpaceDN w:val="0"/>
        <w:spacing w:line="400" w:lineRule="exact"/>
        <w:ind w:firstLineChars="200" w:firstLine="480"/>
        <w:jc w:val="left"/>
        <w:rPr>
          <w:rFonts w:ascii="宋体" w:hAnsi="宋体"/>
          <w:sz w:val="24"/>
        </w:rPr>
      </w:pPr>
      <w:r>
        <w:rPr>
          <w:bCs/>
          <w:color w:val="000000"/>
          <w:sz w:val="24"/>
        </w:rPr>
        <w:t>Red</w:t>
      </w:r>
      <w:r>
        <w:rPr>
          <w:bCs/>
          <w:color w:val="000000"/>
          <w:sz w:val="24"/>
        </w:rPr>
        <w:t>同源重组技术是近年来对细菌基因组中的基因编辑中应用较广的一种同源重组工程技术，其核心在于利用来源于</w:t>
      </w:r>
      <w:r>
        <w:rPr>
          <w:bCs/>
          <w:color w:val="000000"/>
          <w:sz w:val="24"/>
        </w:rPr>
        <w:t>λ</w:t>
      </w:r>
      <w:r>
        <w:rPr>
          <w:bCs/>
          <w:color w:val="000000"/>
          <w:sz w:val="24"/>
        </w:rPr>
        <w:t>噬菌体的</w:t>
      </w:r>
      <w:r>
        <w:rPr>
          <w:bCs/>
          <w:color w:val="000000"/>
          <w:sz w:val="24"/>
        </w:rPr>
        <w:t>Red</w:t>
      </w:r>
      <w:r>
        <w:rPr>
          <w:bCs/>
          <w:color w:val="000000"/>
          <w:sz w:val="24"/>
        </w:rPr>
        <w:t>重组系统促进外源</w:t>
      </w:r>
      <w:r>
        <w:rPr>
          <w:bCs/>
          <w:color w:val="000000"/>
          <w:sz w:val="24"/>
        </w:rPr>
        <w:t>DNA</w:t>
      </w:r>
      <w:r>
        <w:rPr>
          <w:bCs/>
          <w:color w:val="000000"/>
          <w:sz w:val="24"/>
        </w:rPr>
        <w:t>与宿主基因组中的目标基因之间发生同源重组</w:t>
      </w:r>
      <w:hyperlink w:anchor="docfit_ref_34" w:tooltip="跳转到参考文献 [34]" w:history="1">
        <w:r>
          <w:rPr>
            <w:bCs/>
            <w:color w:val="000000"/>
            <w:sz w:val="24"/>
            <w:vertAlign w:val="superscript"/>
          </w:rPr>
          <w:t>[34]</w:t>
        </w:r>
      </w:hyperlink>
      <w:r>
        <w:rPr>
          <w:bCs/>
          <w:color w:val="000000"/>
          <w:sz w:val="24"/>
        </w:rPr>
        <w:t>。该系统主要由</w:t>
      </w:r>
      <w:r>
        <w:rPr>
          <w:bCs/>
          <w:color w:val="000000"/>
          <w:sz w:val="24"/>
        </w:rPr>
        <w:t>Exo</w:t>
      </w:r>
      <w:r>
        <w:rPr>
          <w:bCs/>
          <w:color w:val="000000"/>
          <w:sz w:val="24"/>
        </w:rPr>
        <w:t>、</w:t>
      </w:r>
      <w:r>
        <w:rPr>
          <w:bCs/>
          <w:color w:val="000000"/>
          <w:sz w:val="24"/>
        </w:rPr>
        <w:t>Beta</w:t>
      </w:r>
      <w:r>
        <w:rPr>
          <w:bCs/>
          <w:color w:val="000000"/>
          <w:sz w:val="24"/>
        </w:rPr>
        <w:t>和</w:t>
      </w:r>
      <w:r>
        <w:rPr>
          <w:bCs/>
          <w:color w:val="000000"/>
          <w:sz w:val="24"/>
        </w:rPr>
        <w:t>Gam</w:t>
      </w:r>
      <w:r>
        <w:rPr>
          <w:bCs/>
          <w:color w:val="000000"/>
          <w:sz w:val="24"/>
        </w:rPr>
        <w:t>三种功能蛋白组成，其中</w:t>
      </w:r>
      <w:r>
        <w:rPr>
          <w:bCs/>
          <w:color w:val="000000"/>
          <w:sz w:val="24"/>
        </w:rPr>
        <w:t>Exo</w:t>
      </w:r>
      <w:r>
        <w:rPr>
          <w:bCs/>
          <w:color w:val="000000"/>
          <w:sz w:val="24"/>
        </w:rPr>
        <w:t>具有</w:t>
      </w:r>
      <w:r>
        <w:rPr>
          <w:bCs/>
          <w:color w:val="000000"/>
          <w:sz w:val="24"/>
        </w:rPr>
        <w:t>5′→3′</w:t>
      </w:r>
      <w:r>
        <w:rPr>
          <w:bCs/>
          <w:color w:val="000000"/>
          <w:sz w:val="24"/>
        </w:rPr>
        <w:t>外切核酸酶活性，可对双链</w:t>
      </w:r>
      <w:r>
        <w:rPr>
          <w:bCs/>
          <w:color w:val="000000"/>
          <w:sz w:val="24"/>
        </w:rPr>
        <w:t>DNA</w:t>
      </w:r>
      <w:r>
        <w:rPr>
          <w:bCs/>
          <w:color w:val="000000"/>
          <w:sz w:val="24"/>
        </w:rPr>
        <w:t>末端进行加工；</w:t>
      </w:r>
      <w:r>
        <w:rPr>
          <w:bCs/>
          <w:color w:val="000000"/>
          <w:sz w:val="24"/>
        </w:rPr>
        <w:t>Beta</w:t>
      </w:r>
      <w:r>
        <w:rPr>
          <w:bCs/>
          <w:color w:val="000000"/>
          <w:sz w:val="24"/>
        </w:rPr>
        <w:t>能够结合单链</w:t>
      </w:r>
      <w:r>
        <w:rPr>
          <w:bCs/>
          <w:color w:val="000000"/>
          <w:sz w:val="24"/>
        </w:rPr>
        <w:t>DNA</w:t>
      </w:r>
      <w:r>
        <w:rPr>
          <w:bCs/>
          <w:color w:val="000000"/>
          <w:sz w:val="24"/>
        </w:rPr>
        <w:t>并促进其与染色体靶位点之间的配对与退火；</w:t>
      </w:r>
      <w:r>
        <w:rPr>
          <w:bCs/>
          <w:color w:val="000000"/>
          <w:sz w:val="24"/>
        </w:rPr>
        <w:t>Gam</w:t>
      </w:r>
      <w:r>
        <w:rPr>
          <w:bCs/>
          <w:color w:val="000000"/>
          <w:sz w:val="24"/>
        </w:rPr>
        <w:t>则通过抑制宿主</w:t>
      </w:r>
      <w:r>
        <w:rPr>
          <w:bCs/>
          <w:color w:val="000000"/>
          <w:sz w:val="24"/>
        </w:rPr>
        <w:t>RecBCD</w:t>
      </w:r>
      <w:r>
        <w:rPr>
          <w:bCs/>
          <w:color w:val="000000"/>
          <w:sz w:val="24"/>
        </w:rPr>
        <w:t>核酸酶活性，减少线性</w:t>
      </w:r>
      <w:r>
        <w:rPr>
          <w:bCs/>
          <w:color w:val="000000"/>
          <w:sz w:val="24"/>
        </w:rPr>
        <w:t>DNA</w:t>
      </w:r>
      <w:r>
        <w:rPr>
          <w:bCs/>
          <w:color w:val="000000"/>
          <w:sz w:val="24"/>
        </w:rPr>
        <w:t>在细胞内的降解</w:t>
      </w:r>
      <w:hyperlink w:anchor="docfit_ref_35" w:tooltip="跳转到参考文献 [35]" w:history="1">
        <w:r>
          <w:rPr>
            <w:bCs/>
            <w:color w:val="000000"/>
            <w:sz w:val="24"/>
            <w:vertAlign w:val="superscript"/>
          </w:rPr>
          <w:t>[35]</w:t>
        </w:r>
      </w:hyperlink>
      <w:r>
        <w:rPr>
          <w:bCs/>
          <w:color w:val="000000"/>
          <w:sz w:val="24"/>
        </w:rPr>
        <w:t>。三者协同作用，可显著提高外源线性</w:t>
      </w:r>
      <w:r>
        <w:rPr>
          <w:bCs/>
          <w:color w:val="000000"/>
          <w:sz w:val="24"/>
        </w:rPr>
        <w:t>DNA</w:t>
      </w:r>
      <w:r>
        <w:rPr>
          <w:bCs/>
          <w:color w:val="000000"/>
          <w:sz w:val="24"/>
        </w:rPr>
        <w:t>在宿主细胞中的重组效率，从而实现目的基因的敲除。该方法通常以</w:t>
      </w:r>
      <w:r>
        <w:rPr>
          <w:bCs/>
          <w:color w:val="000000"/>
          <w:sz w:val="24"/>
        </w:rPr>
        <w:t>pKD46</w:t>
      </w:r>
      <w:r>
        <w:rPr>
          <w:bCs/>
          <w:color w:val="000000"/>
          <w:sz w:val="24"/>
        </w:rPr>
        <w:t>等重组辅助质粒为基础，</w:t>
      </w:r>
      <w:r>
        <w:rPr>
          <w:bCs/>
          <w:color w:val="000000"/>
          <w:sz w:val="24"/>
        </w:rPr>
        <w:t>pKD46</w:t>
      </w:r>
      <w:r>
        <w:rPr>
          <w:bCs/>
          <w:color w:val="000000"/>
          <w:sz w:val="24"/>
        </w:rPr>
        <w:t>不仅可在阿拉伯糖诱导下表达</w:t>
      </w:r>
      <w:r>
        <w:rPr>
          <w:bCs/>
          <w:color w:val="000000"/>
          <w:sz w:val="24"/>
        </w:rPr>
        <w:t>Red</w:t>
      </w:r>
      <w:r>
        <w:rPr>
          <w:bCs/>
          <w:color w:val="000000"/>
          <w:sz w:val="24"/>
        </w:rPr>
        <w:t>重组蛋白，还携带四环素抗性基因及温敏型</w:t>
      </w:r>
      <w:r>
        <w:rPr>
          <w:bCs/>
          <w:color w:val="000000"/>
          <w:sz w:val="24"/>
        </w:rPr>
        <w:t>pSC101</w:t>
      </w:r>
      <w:r>
        <w:rPr>
          <w:bCs/>
          <w:color w:val="000000"/>
          <w:sz w:val="24"/>
        </w:rPr>
        <w:t>复制子，便于重组辅助系统的筛选、维持及后续去除。实验中一般</w:t>
      </w:r>
      <w:r>
        <w:rPr>
          <w:color w:val="000000"/>
          <w:sz w:val="24"/>
        </w:rPr>
        <w:t>将</w:t>
      </w:r>
      <w:r>
        <w:rPr>
          <w:color w:val="000000"/>
          <w:sz w:val="24"/>
        </w:rPr>
        <w:t>pKD46</w:t>
      </w:r>
      <w:r>
        <w:rPr>
          <w:color w:val="000000"/>
          <w:sz w:val="24"/>
        </w:rPr>
        <w:t>导入受体菌中，构建可表达</w:t>
      </w:r>
      <w:r>
        <w:rPr>
          <w:bCs/>
          <w:color w:val="000000"/>
          <w:sz w:val="24"/>
        </w:rPr>
        <w:t>Red</w:t>
      </w:r>
      <w:r>
        <w:rPr>
          <w:bCs/>
          <w:color w:val="000000"/>
          <w:sz w:val="24"/>
        </w:rPr>
        <w:t>同源重组</w:t>
      </w:r>
      <w:r>
        <w:rPr>
          <w:color w:val="000000"/>
          <w:sz w:val="24"/>
        </w:rPr>
        <w:t>系统的工程菌株；随后设计带有同源臂的线性</w:t>
      </w:r>
      <w:r>
        <w:rPr>
          <w:color w:val="000000"/>
          <w:sz w:val="24"/>
        </w:rPr>
        <w:t>DNA</w:t>
      </w:r>
      <w:r>
        <w:rPr>
          <w:color w:val="000000"/>
          <w:sz w:val="24"/>
        </w:rPr>
        <w:t>打靶片段</w:t>
      </w:r>
      <w:r>
        <w:rPr>
          <w:color w:val="000000"/>
          <w:sz w:val="24"/>
        </w:rPr>
        <w:t>，</w:t>
      </w:r>
      <w:r>
        <w:rPr>
          <w:color w:val="000000"/>
          <w:sz w:val="24"/>
        </w:rPr>
        <w:t>打靶片段</w:t>
      </w:r>
      <w:r>
        <w:rPr>
          <w:color w:val="000000"/>
          <w:sz w:val="24"/>
        </w:rPr>
        <w:t>中可包含抗性筛选标记或特定突变序列；再通过电转化将其导入诱导后的感受态细胞，在</w:t>
      </w:r>
      <w:r>
        <w:rPr>
          <w:color w:val="000000"/>
          <w:sz w:val="24"/>
        </w:rPr>
        <w:t>Red</w:t>
      </w:r>
      <w:r>
        <w:rPr>
          <w:color w:val="000000"/>
          <w:sz w:val="24"/>
        </w:rPr>
        <w:t>蛋白作用下与</w:t>
      </w:r>
      <w:r>
        <w:rPr>
          <w:color w:val="000000"/>
          <w:sz w:val="24"/>
        </w:rPr>
        <w:t>目标菌株</w:t>
      </w:r>
      <w:r>
        <w:rPr>
          <w:color w:val="000000"/>
          <w:sz w:val="24"/>
        </w:rPr>
        <w:t>基因组中的目</w:t>
      </w:r>
      <w:r>
        <w:rPr>
          <w:color w:val="000000"/>
          <w:sz w:val="24"/>
        </w:rPr>
        <w:t>的</w:t>
      </w:r>
      <w:r>
        <w:rPr>
          <w:color w:val="000000"/>
          <w:sz w:val="24"/>
        </w:rPr>
        <w:t>基因靶位点发生同源重组</w:t>
      </w:r>
      <w:hyperlink w:anchor="docfit_ref_36" w:tooltip="跳转到参考文献 [36]" w:history="1">
        <w:r>
          <w:rPr>
            <w:color w:val="000000"/>
            <w:sz w:val="24"/>
            <w:vertAlign w:val="superscript"/>
          </w:rPr>
          <w:t>[36]</w:t>
        </w:r>
      </w:hyperlink>
      <w:r>
        <w:rPr>
          <w:color w:val="000000"/>
          <w:sz w:val="24"/>
        </w:rPr>
        <w:t>。最后结合抗性筛选、</w:t>
      </w:r>
      <w:r>
        <w:rPr>
          <w:color w:val="000000"/>
          <w:sz w:val="24"/>
        </w:rPr>
        <w:t>PCR</w:t>
      </w:r>
      <w:r>
        <w:rPr>
          <w:color w:val="000000"/>
          <w:sz w:val="24"/>
        </w:rPr>
        <w:t>扩增及测序验证获得目标突变株。</w:t>
      </w:r>
    </w:p>
    <w:p w14:paraId="2B62CAF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与传统同源重组法相比，</w:t>
      </w:r>
      <w:r>
        <w:rPr>
          <w:bCs/>
          <w:color w:val="000000"/>
          <w:sz w:val="24"/>
        </w:rPr>
        <w:t>λ-Red</w:t>
      </w:r>
      <w:r>
        <w:rPr>
          <w:color w:val="000000"/>
          <w:sz w:val="24"/>
        </w:rPr>
        <w:t>同源重组法在实验步骤和重组效率方面具有明显优势</w:t>
      </w:r>
      <w:hyperlink w:anchor="docfit_ref_34" w:tooltip="跳转到参考文献 [34]" w:history="1">
        <w:r>
          <w:rPr>
            <w:color w:val="000000"/>
            <w:sz w:val="24"/>
            <w:vertAlign w:val="superscript"/>
          </w:rPr>
          <w:t>[34]</w:t>
        </w:r>
      </w:hyperlink>
      <w:r>
        <w:rPr>
          <w:color w:val="000000"/>
          <w:sz w:val="24"/>
        </w:rPr>
        <w:t>。该方法通常无需预先构建复杂的自杀质粒和接合体系，可直接利用带有同源臂的</w:t>
      </w:r>
      <w:r>
        <w:rPr>
          <w:color w:val="000000"/>
          <w:sz w:val="24"/>
        </w:rPr>
        <w:t>PCR</w:t>
      </w:r>
      <w:r>
        <w:rPr>
          <w:color w:val="000000"/>
          <w:sz w:val="24"/>
        </w:rPr>
        <w:t>产物进行染色体编辑，因此</w:t>
      </w:r>
      <w:r>
        <w:rPr>
          <w:color w:val="000000"/>
          <w:sz w:val="24"/>
        </w:rPr>
        <w:t>在</w:t>
      </w:r>
      <w:r>
        <w:rPr>
          <w:color w:val="000000"/>
          <w:sz w:val="24"/>
        </w:rPr>
        <w:t>模式菌</w:t>
      </w:r>
      <w:r>
        <w:rPr>
          <w:color w:val="000000"/>
          <w:sz w:val="24"/>
        </w:rPr>
        <w:t>株大肠杆菌</w:t>
      </w:r>
      <w:r>
        <w:rPr>
          <w:color w:val="000000"/>
          <w:sz w:val="24"/>
        </w:rPr>
        <w:t>及与大肠杆菌遗传背景较近的革兰氏阴性细菌中表现出较高的适用性</w:t>
      </w:r>
      <w:hyperlink w:anchor="docfit_ref_37" w:tooltip="跳转到参考文献 [37]" w:history="1">
        <w:r>
          <w:rPr>
            <w:color w:val="000000"/>
            <w:sz w:val="24"/>
            <w:vertAlign w:val="superscript"/>
          </w:rPr>
          <w:t>[37]</w:t>
        </w:r>
      </w:hyperlink>
      <w:r>
        <w:rPr>
          <w:color w:val="000000"/>
          <w:sz w:val="24"/>
        </w:rPr>
        <w:t>。同时，</w:t>
      </w:r>
      <w:r>
        <w:rPr>
          <w:bCs/>
          <w:color w:val="000000"/>
          <w:sz w:val="24"/>
        </w:rPr>
        <w:t>λ-Red</w:t>
      </w:r>
      <w:r>
        <w:rPr>
          <w:color w:val="000000"/>
          <w:sz w:val="24"/>
        </w:rPr>
        <w:t>系统对线性双链</w:t>
      </w:r>
      <w:r>
        <w:rPr>
          <w:color w:val="000000"/>
          <w:sz w:val="24"/>
        </w:rPr>
        <w:t>DNA</w:t>
      </w:r>
      <w:r>
        <w:rPr>
          <w:color w:val="000000"/>
          <w:sz w:val="24"/>
        </w:rPr>
        <w:t>具有较好的重组活性，可用于基因敲除、片段插入、点突变构建等多种遗传操作</w:t>
      </w:r>
      <w:hyperlink w:anchor="docfit_ref_38" w:tooltip="跳转到参考文献 [38]" w:history="1">
        <w:r>
          <w:rPr>
            <w:color w:val="000000"/>
            <w:sz w:val="24"/>
            <w:vertAlign w:val="superscript"/>
          </w:rPr>
          <w:t>[38]</w:t>
        </w:r>
      </w:hyperlink>
      <w:r>
        <w:rPr>
          <w:color w:val="000000"/>
          <w:sz w:val="24"/>
        </w:rPr>
        <w:t>。尽管如此，该方法在不同宿主中的适用性仍存在一定差异，重组效率也易受宿主背景、感受态质量及诱导条件等因素影响；在部分非模式菌中，还常需通过延长同源臂长度或增加辅助筛选体系等方式对实验条件进行优化</w:t>
      </w:r>
      <w:hyperlink w:anchor="docfit_ref_39" w:tooltip="跳转到参考文献 [39]" w:history="1">
        <w:r>
          <w:rPr>
            <w:color w:val="000000"/>
            <w:sz w:val="24"/>
            <w:vertAlign w:val="superscript"/>
          </w:rPr>
          <w:t>[39]</w:t>
        </w:r>
      </w:hyperlink>
      <w:hyperlink w:anchor="docfit_ref_40" w:tooltip="跳转到参考文献 [40]" w:history="1">
        <w:r>
          <w:rPr>
            <w:color w:val="000000"/>
            <w:sz w:val="24"/>
            <w:vertAlign w:val="superscript"/>
          </w:rPr>
          <w:t>[40]</w:t>
        </w:r>
      </w:hyperlink>
      <w:r>
        <w:rPr>
          <w:color w:val="000000"/>
          <w:sz w:val="24"/>
        </w:rPr>
        <w:t>。总体来看，</w:t>
      </w:r>
      <w:r>
        <w:rPr>
          <w:bCs/>
          <w:color w:val="000000"/>
          <w:sz w:val="24"/>
        </w:rPr>
        <w:t>λ-Red</w:t>
      </w:r>
      <w:r>
        <w:rPr>
          <w:color w:val="000000"/>
          <w:sz w:val="24"/>
        </w:rPr>
        <w:t>同源重组法因其高效、快速和操作相对简便，已成为当前细菌基因功能研究中重要的技术手段之一</w:t>
      </w:r>
      <w:hyperlink w:anchor="docfit_ref_41" w:tooltip="跳转到参考文献 [41]" w:history="1">
        <w:r>
          <w:rPr>
            <w:color w:val="000000"/>
            <w:sz w:val="24"/>
            <w:vertAlign w:val="superscript"/>
          </w:rPr>
          <w:t>[41]</w:t>
        </w:r>
      </w:hyperlink>
      <w:r>
        <w:rPr>
          <w:color w:val="000000"/>
          <w:sz w:val="24"/>
        </w:rPr>
        <w:t>。</w:t>
      </w:r>
    </w:p>
    <w:p w14:paraId="0810586B"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19" w:name="docfit_s001_Toc16792"/>
      <w:bookmarkStart w:id="20" w:name="_Toc236830342"/>
      <w:r>
        <w:rPr>
          <w:rFonts w:ascii="黑体" w:hAnsi="黑体" w:cs="黑体"/>
          <w:color w:val="000000"/>
          <w:szCs w:val="28"/>
        </w:rPr>
        <w:t xml:space="preserve">5 </w:t>
      </w:r>
      <w:r>
        <w:rPr>
          <w:rFonts w:ascii="黑体" w:hAnsi="黑体" w:cs="黑体"/>
          <w:color w:val="000000"/>
          <w:szCs w:val="28"/>
        </w:rPr>
        <w:t>本研究的目的、意义及技术路线</w:t>
      </w:r>
      <w:bookmarkEnd w:id="19"/>
      <w:bookmarkEnd w:id="20"/>
    </w:p>
    <w:p w14:paraId="761CC4AE"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21" w:name="docfit_s001_Toc8774"/>
      <w:bookmarkStart w:id="22" w:name="_Toc236830343"/>
      <w:r>
        <w:rPr>
          <w:rFonts w:eastAsia="宋体"/>
          <w:color w:val="000000"/>
          <w:sz w:val="24"/>
        </w:rPr>
        <w:t xml:space="preserve">5.1 </w:t>
      </w:r>
      <w:r>
        <w:rPr>
          <w:rFonts w:eastAsia="宋体"/>
          <w:color w:val="000000"/>
          <w:sz w:val="24"/>
        </w:rPr>
        <w:t>本研究的目的和意义</w:t>
      </w:r>
      <w:bookmarkEnd w:id="21"/>
      <w:bookmarkEnd w:id="22"/>
    </w:p>
    <w:p w14:paraId="48B22FD0"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PGP6</w:t>
      </w:r>
      <w:r>
        <w:rPr>
          <w:color w:val="000000"/>
          <w:sz w:val="24"/>
        </w:rPr>
        <w:t>是一株来源于重金属污染农田根际土壤的植物根际促生菌，前期研究表明其具有较强的</w:t>
      </w:r>
      <w:r>
        <w:rPr>
          <w:color w:val="000000"/>
          <w:sz w:val="24"/>
        </w:rPr>
        <w:t>IAA</w:t>
      </w:r>
      <w:r>
        <w:rPr>
          <w:color w:val="000000"/>
          <w:sz w:val="24"/>
        </w:rPr>
        <w:t>合成能力及植物促生潜力。然而，</w:t>
      </w:r>
      <w:r>
        <w:rPr>
          <w:color w:val="000000"/>
          <w:sz w:val="24"/>
        </w:rPr>
        <w:t>PGP6</w:t>
      </w:r>
      <w:r>
        <w:rPr>
          <w:color w:val="000000"/>
          <w:sz w:val="24"/>
        </w:rPr>
        <w:t>中参与</w:t>
      </w:r>
      <w:r>
        <w:rPr>
          <w:color w:val="000000"/>
          <w:sz w:val="24"/>
        </w:rPr>
        <w:t>IAA</w:t>
      </w:r>
      <w:r>
        <w:rPr>
          <w:color w:val="000000"/>
          <w:sz w:val="24"/>
        </w:rPr>
        <w:t>生物合成的关键基因及其功能贡</w:t>
      </w:r>
      <w:r>
        <w:rPr>
          <w:color w:val="000000"/>
          <w:sz w:val="24"/>
        </w:rPr>
        <w:lastRenderedPageBreak/>
        <w:t>献尚未得到系统验证，限制了对其促生机制的深入解析。基于此，本研究以</w:t>
      </w:r>
      <w:r>
        <w:rPr>
          <w:color w:val="000000"/>
          <w:sz w:val="24"/>
        </w:rPr>
        <w:t>PGP6</w:t>
      </w:r>
      <w:r>
        <w:rPr>
          <w:color w:val="000000"/>
          <w:sz w:val="24"/>
        </w:rPr>
        <w:t>为研究对象，围绕其</w:t>
      </w:r>
      <w:r>
        <w:rPr>
          <w:color w:val="000000"/>
          <w:sz w:val="24"/>
        </w:rPr>
        <w:t>IAA</w:t>
      </w:r>
      <w:r>
        <w:rPr>
          <w:color w:val="000000"/>
          <w:sz w:val="24"/>
        </w:rPr>
        <w:t>合成相关候选基因开展功能验证，旨在从遗传学层面明确</w:t>
      </w:r>
      <w:r>
        <w:rPr>
          <w:i/>
          <w:iCs/>
          <w:color w:val="000000"/>
          <w:sz w:val="24"/>
        </w:rPr>
        <w:t>t</w:t>
      </w:r>
      <w:r>
        <w:rPr>
          <w:i/>
          <w:iCs/>
          <w:color w:val="000000"/>
          <w:sz w:val="24"/>
        </w:rPr>
        <w:t>rpA</w:t>
      </w:r>
      <w:r>
        <w:rPr>
          <w:i/>
          <w:iCs/>
          <w:color w:val="000000"/>
          <w:sz w:val="24"/>
        </w:rPr>
        <w:t>、</w:t>
      </w:r>
      <w:r>
        <w:rPr>
          <w:i/>
          <w:iCs/>
          <w:color w:val="000000"/>
          <w:sz w:val="24"/>
        </w:rPr>
        <w:t>t</w:t>
      </w:r>
      <w:r>
        <w:rPr>
          <w:i/>
          <w:iCs/>
          <w:color w:val="000000"/>
          <w:sz w:val="24"/>
        </w:rPr>
        <w:t>rpB</w:t>
      </w:r>
      <w:r>
        <w:rPr>
          <w:i/>
          <w:iCs/>
          <w:color w:val="000000"/>
          <w:sz w:val="24"/>
        </w:rPr>
        <w:t>、</w:t>
      </w:r>
      <w:r>
        <w:rPr>
          <w:i/>
          <w:iCs/>
          <w:color w:val="000000"/>
          <w:sz w:val="24"/>
        </w:rPr>
        <w:t>p</w:t>
      </w:r>
      <w:r>
        <w:rPr>
          <w:i/>
          <w:iCs/>
          <w:color w:val="000000"/>
          <w:sz w:val="24"/>
        </w:rPr>
        <w:t>atB</w:t>
      </w:r>
      <w:r>
        <w:rPr>
          <w:color w:val="000000"/>
          <w:sz w:val="24"/>
        </w:rPr>
        <w:t>及</w:t>
      </w:r>
      <w:r>
        <w:rPr>
          <w:i/>
          <w:iCs/>
          <w:color w:val="000000"/>
          <w:sz w:val="24"/>
        </w:rPr>
        <w:t>i</w:t>
      </w:r>
      <w:r>
        <w:rPr>
          <w:i/>
          <w:iCs/>
          <w:color w:val="000000"/>
          <w:sz w:val="24"/>
        </w:rPr>
        <w:t>aaH</w:t>
      </w:r>
      <w:r>
        <w:rPr>
          <w:color w:val="000000"/>
          <w:sz w:val="24"/>
        </w:rPr>
        <w:t xml:space="preserve"> </w:t>
      </w:r>
      <w:r>
        <w:rPr>
          <w:color w:val="000000"/>
          <w:sz w:val="24"/>
        </w:rPr>
        <w:t>等基因在</w:t>
      </w:r>
      <w:r>
        <w:rPr>
          <w:color w:val="000000"/>
          <w:sz w:val="24"/>
        </w:rPr>
        <w:t>PGP6</w:t>
      </w:r>
      <w:r>
        <w:rPr>
          <w:color w:val="000000"/>
          <w:sz w:val="24"/>
        </w:rPr>
        <w:t>合成</w:t>
      </w:r>
      <w:r>
        <w:rPr>
          <w:color w:val="000000"/>
          <w:sz w:val="24"/>
        </w:rPr>
        <w:t>IAA</w:t>
      </w:r>
      <w:r>
        <w:rPr>
          <w:color w:val="000000"/>
          <w:sz w:val="24"/>
        </w:rPr>
        <w:t>过程中的作用。</w:t>
      </w:r>
    </w:p>
    <w:p w14:paraId="76E107E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本研究首先通过</w:t>
      </w:r>
      <w:r>
        <w:rPr>
          <w:color w:val="000000"/>
          <w:sz w:val="24"/>
        </w:rPr>
        <w:t>IAA</w:t>
      </w:r>
      <w:r>
        <w:rPr>
          <w:color w:val="000000"/>
          <w:sz w:val="24"/>
        </w:rPr>
        <w:t>产量测定和抗生素最小抑菌浓度实验，建立适用于</w:t>
      </w:r>
      <w:r>
        <w:rPr>
          <w:color w:val="000000"/>
          <w:sz w:val="24"/>
        </w:rPr>
        <w:t>PGP6</w:t>
      </w:r>
      <w:r>
        <w:rPr>
          <w:color w:val="000000"/>
          <w:sz w:val="24"/>
        </w:rPr>
        <w:t>的基础培养、功能检测及遗传筛选条件；随后结合全基因组注释结果，对可能参与</w:t>
      </w:r>
      <w:r>
        <w:rPr>
          <w:color w:val="000000"/>
          <w:sz w:val="24"/>
        </w:rPr>
        <w:t>IAA</w:t>
      </w:r>
      <w:r>
        <w:rPr>
          <w:color w:val="000000"/>
          <w:sz w:val="24"/>
        </w:rPr>
        <w:t>合成的候选基因进行筛选和定位；进一步利用</w:t>
      </w:r>
      <w:r>
        <w:rPr>
          <w:color w:val="000000"/>
          <w:sz w:val="24"/>
        </w:rPr>
        <w:t>λ-Red</w:t>
      </w:r>
      <w:r>
        <w:rPr>
          <w:color w:val="000000"/>
          <w:sz w:val="24"/>
        </w:rPr>
        <w:t>同源重组体系构建目标基因缺失突变株，并通过</w:t>
      </w:r>
      <w:r>
        <w:rPr>
          <w:color w:val="000000"/>
          <w:sz w:val="24"/>
        </w:rPr>
        <w:t>PCR</w:t>
      </w:r>
      <w:r>
        <w:rPr>
          <w:color w:val="000000"/>
          <w:sz w:val="24"/>
        </w:rPr>
        <w:t>扩增及测序验证突变株的准确性；最后比较野生型菌株与各缺失突变株的</w:t>
      </w:r>
      <w:r>
        <w:rPr>
          <w:color w:val="000000"/>
          <w:sz w:val="24"/>
        </w:rPr>
        <w:t>IAA</w:t>
      </w:r>
      <w:r>
        <w:rPr>
          <w:color w:val="000000"/>
          <w:sz w:val="24"/>
        </w:rPr>
        <w:t>合成能力，从而分析不同候选基因对</w:t>
      </w:r>
      <w:r>
        <w:rPr>
          <w:color w:val="000000"/>
          <w:sz w:val="24"/>
        </w:rPr>
        <w:t>PGP6</w:t>
      </w:r>
      <w:r>
        <w:rPr>
          <w:color w:val="000000"/>
          <w:sz w:val="24"/>
        </w:rPr>
        <w:t>产</w:t>
      </w:r>
      <w:r>
        <w:rPr>
          <w:color w:val="000000"/>
          <w:sz w:val="24"/>
        </w:rPr>
        <w:t>IAA</w:t>
      </w:r>
      <w:r>
        <w:rPr>
          <w:color w:val="000000"/>
          <w:sz w:val="24"/>
        </w:rPr>
        <w:t>能力的影响。</w:t>
      </w:r>
    </w:p>
    <w:p w14:paraId="31F9958B"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本研究的开展具有一定的理论意义和应用价值。一方面，通过解析</w:t>
      </w:r>
      <w:r>
        <w:rPr>
          <w:color w:val="000000"/>
          <w:sz w:val="24"/>
        </w:rPr>
        <w:t>PGP6</w:t>
      </w:r>
      <w:r>
        <w:rPr>
          <w:color w:val="000000"/>
          <w:sz w:val="24"/>
        </w:rPr>
        <w:t>中</w:t>
      </w:r>
      <w:r>
        <w:rPr>
          <w:color w:val="000000"/>
          <w:sz w:val="24"/>
        </w:rPr>
        <w:t>IAA</w:t>
      </w:r>
      <w:r>
        <w:rPr>
          <w:color w:val="000000"/>
          <w:sz w:val="24"/>
        </w:rPr>
        <w:t>合成相关基因的功能，可进一步完善泛菌属植物促生菌</w:t>
      </w:r>
      <w:r>
        <w:rPr>
          <w:color w:val="000000"/>
          <w:sz w:val="24"/>
        </w:rPr>
        <w:t>IAA</w:t>
      </w:r>
      <w:r>
        <w:rPr>
          <w:color w:val="000000"/>
          <w:sz w:val="24"/>
        </w:rPr>
        <w:t>生物合成通路的认识，为揭示植物根际促生菌调控植物生长的分子机制提供依据。另一方面，明确关键功能基因及其对</w:t>
      </w:r>
      <w:r>
        <w:rPr>
          <w:color w:val="000000"/>
          <w:sz w:val="24"/>
        </w:rPr>
        <w:t>IAA</w:t>
      </w:r>
      <w:r>
        <w:rPr>
          <w:color w:val="000000"/>
          <w:sz w:val="24"/>
        </w:rPr>
        <w:t>产量的贡献，有助于为高效植物促生菌株的筛选、遗传改良及菌剂开发提供分子靶点，也可为重金属污染土壤中植物</w:t>
      </w:r>
      <w:r>
        <w:rPr>
          <w:color w:val="000000"/>
          <w:sz w:val="24"/>
        </w:rPr>
        <w:t>-</w:t>
      </w:r>
      <w:r>
        <w:rPr>
          <w:color w:val="000000"/>
          <w:sz w:val="24"/>
        </w:rPr>
        <w:t>微生物联合修复技术的应用提供理论支撑。</w:t>
      </w:r>
    </w:p>
    <w:p w14:paraId="4EEAC0CC"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23" w:name="docfit_s001_Toc24367"/>
      <w:bookmarkStart w:id="24" w:name="_Toc236830344"/>
      <w:r>
        <w:rPr>
          <w:rFonts w:eastAsia="宋体"/>
          <w:color w:val="000000"/>
          <w:sz w:val="24"/>
        </w:rPr>
        <w:t xml:space="preserve">5.2 </w:t>
      </w:r>
      <w:r>
        <w:rPr>
          <w:rFonts w:eastAsia="宋体"/>
          <w:color w:val="000000"/>
          <w:sz w:val="24"/>
        </w:rPr>
        <w:t>技术路线</w:t>
      </w:r>
      <w:bookmarkEnd w:id="23"/>
      <w:bookmarkEnd w:id="24"/>
    </w:p>
    <w:p w14:paraId="1EF34101"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1D3E1670" wp14:editId="71EF7943">
            <wp:extent cx="5271135" cy="2767330"/>
            <wp:effectExtent l="0" t="0" r="1905" b="635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2"/>
                    <a:stretch>
                      <a:fillRect/>
                    </a:stretch>
                  </pic:blipFill>
                  <pic:spPr>
                    <a:xfrm>
                      <a:off x="0" y="0"/>
                      <a:ext cx="5271135" cy="2767330"/>
                    </a:xfrm>
                    <a:prstGeom prst="rect">
                      <a:avLst/>
                    </a:prstGeom>
                    <a:noFill/>
                    <a:ln>
                      <a:noFill/>
                    </a:ln>
                  </pic:spPr>
                </pic:pic>
              </a:graphicData>
            </a:graphic>
          </wp:inline>
        </w:drawing>
      </w:r>
    </w:p>
    <w:p w14:paraId="7511969B"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1-1 </w:t>
      </w:r>
      <w:r>
        <w:rPr>
          <w:color w:val="000000"/>
          <w:szCs w:val="21"/>
        </w:rPr>
        <w:t>本论文研究的技术路线</w:t>
      </w:r>
    </w:p>
    <w:p w14:paraId="3ECBB0F2" w14:textId="77777777" w:rsidR="00651B96" w:rsidRDefault="00721866">
      <w:pPr>
        <w:keepLines/>
        <w:autoSpaceDE w:val="0"/>
        <w:autoSpaceDN w:val="0"/>
        <w:spacing w:line="400" w:lineRule="exact"/>
        <w:jc w:val="center"/>
        <w:rPr>
          <w:rFonts w:ascii="宋体" w:hAnsi="宋体"/>
          <w:sz w:val="24"/>
        </w:rPr>
      </w:pPr>
      <w:r>
        <w:rPr>
          <w:color w:val="000000"/>
          <w:szCs w:val="21"/>
        </w:rPr>
        <w:t xml:space="preserve">Fig. 1-1 </w:t>
      </w:r>
      <w:r>
        <w:rPr>
          <w:color w:val="000000"/>
          <w:szCs w:val="21"/>
          <w:lang w:bidi="ar"/>
        </w:rPr>
        <w:t>Experimental flowchart of the thesis</w:t>
      </w:r>
    </w:p>
    <w:p w14:paraId="274FF853" w14:textId="77777777" w:rsidR="00D43528" w:rsidRDefault="00484501">
      <w:pPr>
        <w:widowControl/>
        <w:jc w:val="left"/>
        <w:sectPr w:rsidR="00D43528" w:rsidSect="0094600B">
          <w:headerReference w:type="default" r:id="rId23"/>
          <w:footerReference w:type="default" r:id="rId24"/>
          <w:pgSz w:w="11906" w:h="16838" w:code="9"/>
          <w:pgMar w:top="1134" w:right="1134" w:bottom="1134" w:left="1134" w:header="850" w:footer="992" w:gutter="0"/>
          <w:pgNumType w:start="1"/>
          <w:cols w:space="425"/>
          <w:docGrid w:linePitch="312"/>
        </w:sectPr>
      </w:pPr>
      <w:r>
        <w:br w:type="page"/>
      </w:r>
    </w:p>
    <w:p w14:paraId="41F65BC6" w14:textId="77777777" w:rsidR="00651B96" w:rsidRDefault="00721866">
      <w:pPr>
        <w:pStyle w:val="1"/>
        <w:autoSpaceDE w:val="0"/>
        <w:autoSpaceDN w:val="0"/>
        <w:spacing w:before="480" w:after="360" w:line="400" w:lineRule="exact"/>
      </w:pPr>
      <w:bookmarkStart w:id="25" w:name="docfit_s001_Toc1356"/>
      <w:bookmarkStart w:id="26" w:name="_Toc236830345"/>
      <w:r>
        <w:rPr>
          <w:rFonts w:cs="黑体"/>
          <w:color w:val="000000"/>
          <w:szCs w:val="32"/>
        </w:rPr>
        <w:lastRenderedPageBreak/>
        <w:t>第二章</w:t>
      </w:r>
      <w:r>
        <w:rPr>
          <w:rFonts w:cs="黑体"/>
          <w:color w:val="000000"/>
          <w:szCs w:val="32"/>
        </w:rPr>
        <w:t xml:space="preserve"> </w:t>
      </w:r>
      <w:r>
        <w:rPr>
          <w:rFonts w:cs="黑体"/>
          <w:color w:val="000000"/>
          <w:szCs w:val="32"/>
        </w:rPr>
        <w:t>材料与方法</w:t>
      </w:r>
      <w:bookmarkEnd w:id="25"/>
      <w:bookmarkEnd w:id="26"/>
    </w:p>
    <w:p w14:paraId="232B89AE"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27" w:name="docfit_s001_Toc20317"/>
      <w:bookmarkStart w:id="28" w:name="_Toc236830346"/>
      <w:r>
        <w:rPr>
          <w:rFonts w:ascii="黑体" w:hAnsi="黑体" w:cs="黑体"/>
          <w:color w:val="000000"/>
          <w:szCs w:val="28"/>
        </w:rPr>
        <w:t xml:space="preserve">1 </w:t>
      </w:r>
      <w:r>
        <w:rPr>
          <w:rFonts w:ascii="黑体" w:hAnsi="黑体" w:cs="黑体"/>
          <w:color w:val="000000"/>
          <w:szCs w:val="28"/>
        </w:rPr>
        <w:t>菌株</w:t>
      </w:r>
      <w:r>
        <w:rPr>
          <w:rFonts w:ascii="黑体" w:hAnsi="黑体" w:cs="黑体"/>
          <w:color w:val="000000"/>
          <w:szCs w:val="28"/>
        </w:rPr>
        <w:t>PGP6</w:t>
      </w:r>
      <w:r>
        <w:rPr>
          <w:rFonts w:ascii="黑体" w:hAnsi="黑体" w:cs="黑体"/>
          <w:color w:val="000000"/>
          <w:szCs w:val="28"/>
        </w:rPr>
        <w:t>的活化与保存</w:t>
      </w:r>
      <w:bookmarkEnd w:id="27"/>
      <w:bookmarkEnd w:id="28"/>
    </w:p>
    <w:p w14:paraId="584DAE6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本章围绕菌株</w:t>
      </w:r>
      <w:r>
        <w:rPr>
          <w:color w:val="000000"/>
          <w:sz w:val="24"/>
        </w:rPr>
        <w:t>PGP6</w:t>
      </w:r>
      <w:r>
        <w:rPr>
          <w:color w:val="000000"/>
          <w:sz w:val="24"/>
        </w:rPr>
        <w:t>（</w:t>
      </w:r>
      <w:r>
        <w:rPr>
          <w:i/>
          <w:iCs/>
          <w:color w:val="000000"/>
          <w:sz w:val="24"/>
        </w:rPr>
        <w:t xml:space="preserve">Pantoea </w:t>
      </w:r>
      <w:r>
        <w:rPr>
          <w:color w:val="000000"/>
          <w:sz w:val="24"/>
        </w:rPr>
        <w:t>sp</w:t>
      </w:r>
      <w:r>
        <w:rPr>
          <w:color w:val="000000"/>
          <w:sz w:val="24"/>
        </w:rPr>
        <w:t>.</w:t>
      </w:r>
      <w:r>
        <w:rPr>
          <w:color w:val="000000"/>
          <w:sz w:val="24"/>
        </w:rPr>
        <w:t>）建立了规范化的活化、传代与长期保存流程，并通过抗生素最小抑菌浓度（</w:t>
      </w:r>
      <w:r>
        <w:rPr>
          <w:color w:val="000000"/>
          <w:sz w:val="24"/>
        </w:rPr>
        <w:t>Minimum Inhibitory Concentration, MIC</w:t>
      </w:r>
      <w:r>
        <w:rPr>
          <w:color w:val="000000"/>
          <w:sz w:val="24"/>
        </w:rPr>
        <w:t>）实验，确定筛选与维持培养的适宜浓度，从而为后续基因敲除突变株的构建及吲哚</w:t>
      </w:r>
      <w:r>
        <w:rPr>
          <w:color w:val="000000"/>
          <w:sz w:val="24"/>
        </w:rPr>
        <w:t>-</w:t>
      </w:r>
      <w:r>
        <w:rPr>
          <w:color w:val="000000"/>
          <w:sz w:val="24"/>
        </w:rPr>
        <w:t>3</w:t>
      </w:r>
      <w:r>
        <w:rPr>
          <w:color w:val="000000"/>
          <w:sz w:val="24"/>
        </w:rPr>
        <w:t>-</w:t>
      </w:r>
      <w:r>
        <w:rPr>
          <w:color w:val="000000"/>
          <w:sz w:val="24"/>
        </w:rPr>
        <w:t>乙酸（</w:t>
      </w:r>
      <w:r>
        <w:rPr>
          <w:color w:val="000000"/>
          <w:sz w:val="24"/>
        </w:rPr>
        <w:t>Indole-3-acetic acid, IAA</w:t>
      </w:r>
      <w:r>
        <w:rPr>
          <w:color w:val="000000"/>
          <w:sz w:val="24"/>
        </w:rPr>
        <w:t>）的产量测定提供稳定且可重复的实验基础。</w:t>
      </w:r>
      <w:r>
        <w:rPr>
          <w:color w:val="000000"/>
          <w:sz w:val="24"/>
        </w:rPr>
        <w:t>IAA</w:t>
      </w:r>
      <w:r>
        <w:rPr>
          <w:color w:val="000000"/>
          <w:sz w:val="24"/>
        </w:rPr>
        <w:t>作为典型天然生长素，在植物根系生长发育过程中具有重要调控作用，同时也是衡量微生物促生功能的关键指标。在微生物与植物互作体系中，</w:t>
      </w:r>
      <w:r>
        <w:rPr>
          <w:color w:val="000000"/>
          <w:sz w:val="24"/>
        </w:rPr>
        <w:t>IAA</w:t>
      </w:r>
      <w:r>
        <w:rPr>
          <w:color w:val="000000"/>
          <w:sz w:val="24"/>
        </w:rPr>
        <w:t>既是微生物的次级代谢产物又是植微互作的重要信号分子，其合成水平易受菌体生长阶段、培养条件及底物浓度等因素影响。</w:t>
      </w:r>
    </w:p>
    <w:p w14:paraId="372794BB"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29" w:name="docfit_s001_Toc802"/>
      <w:bookmarkStart w:id="30" w:name="_Toc236830347"/>
      <w:r>
        <w:rPr>
          <w:rFonts w:eastAsia="宋体"/>
          <w:color w:val="000000"/>
          <w:sz w:val="24"/>
        </w:rPr>
        <w:t xml:space="preserve">1.1 </w:t>
      </w:r>
      <w:r>
        <w:rPr>
          <w:rFonts w:eastAsia="宋体"/>
          <w:color w:val="000000"/>
          <w:sz w:val="24"/>
        </w:rPr>
        <w:t>实验材料</w:t>
      </w:r>
      <w:bookmarkEnd w:id="29"/>
      <w:bookmarkEnd w:id="30"/>
    </w:p>
    <w:p w14:paraId="0481AD7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1</w:t>
      </w:r>
      <w:r>
        <w:rPr>
          <w:color w:val="000000"/>
          <w:sz w:val="24"/>
        </w:rPr>
        <w:t>）</w:t>
      </w:r>
      <w:r>
        <w:rPr>
          <w:color w:val="000000"/>
          <w:sz w:val="24"/>
        </w:rPr>
        <w:t>菌株</w:t>
      </w:r>
      <w:r>
        <w:rPr>
          <w:color w:val="000000"/>
          <w:sz w:val="24"/>
        </w:rPr>
        <w:t>PGP6</w:t>
      </w:r>
      <w:r>
        <w:rPr>
          <w:color w:val="000000"/>
          <w:sz w:val="24"/>
        </w:rPr>
        <w:t>（</w:t>
      </w:r>
      <w:r>
        <w:rPr>
          <w:i/>
          <w:iCs/>
          <w:color w:val="000000"/>
          <w:sz w:val="24"/>
        </w:rPr>
        <w:t xml:space="preserve">Pantoea </w:t>
      </w:r>
      <w:r>
        <w:rPr>
          <w:color w:val="000000"/>
          <w:sz w:val="24"/>
        </w:rPr>
        <w:t>sp</w:t>
      </w:r>
      <w:r>
        <w:rPr>
          <w:color w:val="000000"/>
          <w:sz w:val="24"/>
        </w:rPr>
        <w:t>.</w:t>
      </w:r>
      <w:r>
        <w:rPr>
          <w:color w:val="000000"/>
          <w:sz w:val="24"/>
        </w:rPr>
        <w:t>）从南京栖霞山栖霞北站锰矿新村矿区植物根际土壤（</w:t>
      </w:r>
      <w:r>
        <w:rPr>
          <w:color w:val="000000"/>
          <w:sz w:val="24"/>
        </w:rPr>
        <w:t>海拔：</w:t>
      </w:r>
      <w:r>
        <w:rPr>
          <w:color w:val="000000"/>
          <w:sz w:val="24"/>
        </w:rPr>
        <w:t>94</w:t>
      </w:r>
      <w:r>
        <w:rPr>
          <w:color w:val="000000"/>
          <w:sz w:val="24"/>
        </w:rPr>
        <w:t>米，纬度：</w:t>
      </w:r>
      <w:r>
        <w:rPr>
          <w:color w:val="000000"/>
          <w:sz w:val="24"/>
        </w:rPr>
        <w:t>32°09′45.32″N</w:t>
      </w:r>
      <w:r>
        <w:rPr>
          <w:color w:val="000000"/>
          <w:sz w:val="24"/>
        </w:rPr>
        <w:t>，经度：</w:t>
      </w:r>
      <w:r>
        <w:rPr>
          <w:color w:val="000000"/>
          <w:sz w:val="24"/>
        </w:rPr>
        <w:t>118°57′2.10″W</w:t>
      </w:r>
      <w:r>
        <w:rPr>
          <w:color w:val="000000"/>
          <w:sz w:val="24"/>
        </w:rPr>
        <w:t>）中筛选得到。</w:t>
      </w:r>
    </w:p>
    <w:p w14:paraId="7DE783E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2</w:t>
      </w:r>
      <w:r>
        <w:rPr>
          <w:color w:val="000000"/>
          <w:sz w:val="24"/>
        </w:rPr>
        <w:t>）</w:t>
      </w:r>
      <w:r>
        <w:rPr>
          <w:color w:val="000000"/>
          <w:sz w:val="24"/>
        </w:rPr>
        <w:t>LB</w:t>
      </w:r>
      <w:r>
        <w:rPr>
          <w:color w:val="000000"/>
          <w:sz w:val="24"/>
        </w:rPr>
        <w:t>培养基：胰蛋白胨</w:t>
      </w:r>
      <w:r>
        <w:rPr>
          <w:color w:val="000000"/>
          <w:sz w:val="24"/>
        </w:rPr>
        <w:t>10 g</w:t>
      </w:r>
      <w:r>
        <w:rPr>
          <w:color w:val="000000"/>
          <w:sz w:val="24"/>
        </w:rPr>
        <w:t>，氯化钠</w:t>
      </w:r>
      <w:r>
        <w:rPr>
          <w:color w:val="000000"/>
          <w:sz w:val="24"/>
        </w:rPr>
        <w:t>10 g</w:t>
      </w:r>
      <w:r>
        <w:rPr>
          <w:color w:val="000000"/>
          <w:sz w:val="24"/>
        </w:rPr>
        <w:t>，酵母膏</w:t>
      </w:r>
      <w:r>
        <w:rPr>
          <w:color w:val="000000"/>
          <w:sz w:val="24"/>
        </w:rPr>
        <w:t>5 g</w:t>
      </w:r>
      <w:r>
        <w:rPr>
          <w:color w:val="000000"/>
          <w:sz w:val="24"/>
        </w:rPr>
        <w:t>，蒸馏水</w:t>
      </w:r>
      <w:r>
        <w:rPr>
          <w:color w:val="000000"/>
          <w:sz w:val="24"/>
        </w:rPr>
        <w:t>1000 mL</w:t>
      </w:r>
      <w:r>
        <w:rPr>
          <w:color w:val="000000"/>
          <w:sz w:val="24"/>
        </w:rPr>
        <w:t>，</w:t>
      </w:r>
      <w:r>
        <w:rPr>
          <w:color w:val="000000"/>
          <w:sz w:val="24"/>
        </w:rPr>
        <w:t>pH 7.0</w:t>
      </w:r>
      <w:r>
        <w:rPr>
          <w:color w:val="000000"/>
          <w:sz w:val="24"/>
        </w:rPr>
        <w:t>，</w:t>
      </w:r>
      <w:r>
        <w:rPr>
          <w:color w:val="000000"/>
          <w:sz w:val="24"/>
        </w:rPr>
        <w:t>121℃</w:t>
      </w:r>
      <w:r>
        <w:rPr>
          <w:color w:val="000000"/>
          <w:sz w:val="24"/>
        </w:rPr>
        <w:t>，</w:t>
      </w:r>
      <w:r>
        <w:rPr>
          <w:color w:val="000000"/>
          <w:sz w:val="24"/>
        </w:rPr>
        <w:t>20 min</w:t>
      </w:r>
      <w:r>
        <w:rPr>
          <w:color w:val="000000"/>
          <w:sz w:val="24"/>
        </w:rPr>
        <w:t>高压灭菌。</w:t>
      </w:r>
    </w:p>
    <w:p w14:paraId="35BCAD3B"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3</w:t>
      </w:r>
      <w:r>
        <w:rPr>
          <w:color w:val="000000"/>
          <w:sz w:val="24"/>
        </w:rPr>
        <w:t>）</w:t>
      </w:r>
      <w:r>
        <w:rPr>
          <w:color w:val="000000"/>
          <w:sz w:val="24"/>
        </w:rPr>
        <w:t>YN</w:t>
      </w:r>
      <w:r>
        <w:rPr>
          <w:color w:val="000000"/>
          <w:sz w:val="24"/>
        </w:rPr>
        <w:t>培养基：蔗糖</w:t>
      </w:r>
      <w:r>
        <w:rPr>
          <w:color w:val="000000"/>
          <w:sz w:val="24"/>
        </w:rPr>
        <w:t>10.0 g</w:t>
      </w:r>
      <w:r>
        <w:rPr>
          <w:color w:val="000000"/>
          <w:sz w:val="24"/>
        </w:rPr>
        <w:t>，硫酸铵</w:t>
      </w:r>
      <w:r>
        <w:rPr>
          <w:color w:val="000000"/>
          <w:sz w:val="24"/>
        </w:rPr>
        <w:t>1.0 g</w:t>
      </w:r>
      <w:r>
        <w:rPr>
          <w:color w:val="000000"/>
          <w:sz w:val="24"/>
        </w:rPr>
        <w:t>，磷酸氢二钾</w:t>
      </w:r>
      <w:r>
        <w:rPr>
          <w:color w:val="000000"/>
          <w:sz w:val="24"/>
        </w:rPr>
        <w:t>1.0 g</w:t>
      </w:r>
      <w:r>
        <w:rPr>
          <w:color w:val="000000"/>
          <w:sz w:val="24"/>
        </w:rPr>
        <w:t>，七水合硫酸镁</w:t>
      </w:r>
      <w:r>
        <w:rPr>
          <w:color w:val="000000"/>
          <w:sz w:val="24"/>
        </w:rPr>
        <w:t>0.5 g</w:t>
      </w:r>
      <w:r>
        <w:rPr>
          <w:color w:val="000000"/>
          <w:sz w:val="24"/>
        </w:rPr>
        <w:t>，酵母膏</w:t>
      </w:r>
      <w:r>
        <w:rPr>
          <w:color w:val="000000"/>
          <w:sz w:val="24"/>
        </w:rPr>
        <w:t>0.5 g</w:t>
      </w:r>
      <w:r>
        <w:rPr>
          <w:color w:val="000000"/>
          <w:sz w:val="24"/>
        </w:rPr>
        <w:t>，氯化钠</w:t>
      </w:r>
      <w:r>
        <w:rPr>
          <w:color w:val="000000"/>
          <w:sz w:val="24"/>
        </w:rPr>
        <w:t>0.1 g</w:t>
      </w:r>
      <w:r>
        <w:rPr>
          <w:color w:val="000000"/>
          <w:sz w:val="24"/>
        </w:rPr>
        <w:t>，碳酸钙</w:t>
      </w:r>
      <w:r>
        <w:rPr>
          <w:color w:val="000000"/>
          <w:sz w:val="24"/>
        </w:rPr>
        <w:t>0.5 g</w:t>
      </w:r>
      <w:r>
        <w:rPr>
          <w:color w:val="000000"/>
          <w:sz w:val="24"/>
        </w:rPr>
        <w:t>，蒸馏水</w:t>
      </w:r>
      <w:r>
        <w:rPr>
          <w:color w:val="000000"/>
          <w:sz w:val="24"/>
        </w:rPr>
        <w:t>1000 mL</w:t>
      </w:r>
      <w:r>
        <w:rPr>
          <w:color w:val="000000"/>
          <w:sz w:val="24"/>
        </w:rPr>
        <w:t>，</w:t>
      </w:r>
      <w:r>
        <w:rPr>
          <w:color w:val="000000"/>
          <w:sz w:val="24"/>
        </w:rPr>
        <w:t>pH 7.2</w:t>
      </w:r>
      <w:r>
        <w:rPr>
          <w:color w:val="000000"/>
          <w:sz w:val="24"/>
        </w:rPr>
        <w:t>，</w:t>
      </w:r>
      <w:r>
        <w:rPr>
          <w:color w:val="000000"/>
          <w:sz w:val="24"/>
        </w:rPr>
        <w:t>121℃</w:t>
      </w:r>
      <w:r>
        <w:rPr>
          <w:color w:val="000000"/>
          <w:sz w:val="24"/>
        </w:rPr>
        <w:t>，</w:t>
      </w:r>
      <w:r>
        <w:rPr>
          <w:color w:val="000000"/>
          <w:sz w:val="24"/>
        </w:rPr>
        <w:t>20 min</w:t>
      </w:r>
      <w:r>
        <w:rPr>
          <w:color w:val="000000"/>
          <w:sz w:val="24"/>
        </w:rPr>
        <w:t>高压灭菌。</w:t>
      </w:r>
    </w:p>
    <w:p w14:paraId="224E88A0"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4</w:t>
      </w:r>
      <w:r>
        <w:rPr>
          <w:color w:val="000000"/>
          <w:sz w:val="24"/>
        </w:rPr>
        <w:t>）</w:t>
      </w:r>
      <w:r>
        <w:rPr>
          <w:color w:val="000000"/>
          <w:sz w:val="24"/>
        </w:rPr>
        <w:t>卡那霉素</w:t>
      </w:r>
      <w:r>
        <w:rPr>
          <w:color w:val="000000"/>
          <w:sz w:val="24"/>
        </w:rPr>
        <w:t>（</w:t>
      </w:r>
      <w:r>
        <w:rPr>
          <w:color w:val="000000"/>
          <w:sz w:val="24"/>
        </w:rPr>
        <w:t xml:space="preserve">Kanamycin, Km, </w:t>
      </w:r>
      <w:r>
        <w:rPr>
          <w:color w:val="000000"/>
          <w:sz w:val="24"/>
        </w:rPr>
        <w:t>50 mg/ml</w:t>
      </w:r>
      <w:r>
        <w:rPr>
          <w:color w:val="000000"/>
          <w:sz w:val="24"/>
        </w:rPr>
        <w:t>），</w:t>
      </w:r>
      <w:r>
        <w:rPr>
          <w:color w:val="000000"/>
          <w:sz w:val="24"/>
        </w:rPr>
        <w:t>四环素</w:t>
      </w:r>
      <w:r>
        <w:rPr>
          <w:color w:val="000000"/>
          <w:sz w:val="24"/>
        </w:rPr>
        <w:t>(</w:t>
      </w:r>
      <w:r>
        <w:rPr>
          <w:color w:val="000000"/>
          <w:sz w:val="24"/>
        </w:rPr>
        <w:t>Tetracycline, Tet</w:t>
      </w:r>
      <w:r>
        <w:rPr>
          <w:color w:val="000000"/>
          <w:sz w:val="24"/>
        </w:rPr>
        <w:t xml:space="preserve">, </w:t>
      </w:r>
      <w:r>
        <w:rPr>
          <w:color w:val="000000"/>
          <w:sz w:val="24"/>
        </w:rPr>
        <w:t>50 mg/ml)</w:t>
      </w:r>
      <w:r>
        <w:rPr>
          <w:color w:val="000000"/>
          <w:sz w:val="24"/>
        </w:rPr>
        <w:t>，</w:t>
      </w:r>
      <w:r>
        <w:rPr>
          <w:color w:val="000000"/>
          <w:sz w:val="24"/>
        </w:rPr>
        <w:t>壮观霉素</w:t>
      </w:r>
      <w:r>
        <w:rPr>
          <w:color w:val="000000"/>
          <w:sz w:val="24"/>
        </w:rPr>
        <w:t>(</w:t>
      </w:r>
      <w:r>
        <w:rPr>
          <w:color w:val="000000"/>
          <w:sz w:val="24"/>
        </w:rPr>
        <w:t xml:space="preserve">Spectinomycin, </w:t>
      </w:r>
      <w:r>
        <w:rPr>
          <w:color w:val="000000"/>
          <w:sz w:val="24"/>
        </w:rPr>
        <w:t xml:space="preserve">Spc, </w:t>
      </w:r>
      <w:r>
        <w:rPr>
          <w:color w:val="000000"/>
          <w:sz w:val="24"/>
        </w:rPr>
        <w:t>50 mg/ml)</w:t>
      </w:r>
      <w:r>
        <w:rPr>
          <w:color w:val="000000"/>
          <w:sz w:val="24"/>
        </w:rPr>
        <w:t>。（</w:t>
      </w:r>
      <w:r>
        <w:rPr>
          <w:color w:val="000000"/>
          <w:sz w:val="24"/>
        </w:rPr>
        <w:t>除特殊说明外，后续实验中含相应抗生素的培养基均按以下终质量浓度添加：</w:t>
      </w:r>
      <w:r>
        <w:rPr>
          <w:color w:val="000000"/>
          <w:sz w:val="24"/>
        </w:rPr>
        <w:t xml:space="preserve">Km, </w:t>
      </w:r>
      <w:r>
        <w:rPr>
          <w:color w:val="000000"/>
          <w:sz w:val="24"/>
        </w:rPr>
        <w:t>50</w:t>
      </w:r>
      <w:r>
        <w:rPr>
          <w:color w:val="000000"/>
          <w:sz w:val="24"/>
        </w:rPr>
        <w:t xml:space="preserve"> μg/mL</w:t>
      </w:r>
      <w:r>
        <w:rPr>
          <w:color w:val="000000"/>
          <w:sz w:val="24"/>
        </w:rPr>
        <w:t>、</w:t>
      </w:r>
      <w:r>
        <w:rPr>
          <w:color w:val="000000"/>
          <w:sz w:val="24"/>
        </w:rPr>
        <w:t xml:space="preserve">Tet, </w:t>
      </w:r>
      <w:r>
        <w:rPr>
          <w:color w:val="000000"/>
          <w:sz w:val="24"/>
        </w:rPr>
        <w:t>50</w:t>
      </w:r>
      <w:r>
        <w:rPr>
          <w:color w:val="000000"/>
          <w:sz w:val="24"/>
        </w:rPr>
        <w:t xml:space="preserve"> μg/mL</w:t>
      </w:r>
      <w:r>
        <w:rPr>
          <w:color w:val="000000"/>
          <w:sz w:val="24"/>
        </w:rPr>
        <w:t>、</w:t>
      </w:r>
      <w:r>
        <w:rPr>
          <w:color w:val="000000"/>
          <w:sz w:val="24"/>
        </w:rPr>
        <w:t xml:space="preserve">Spc, </w:t>
      </w:r>
      <w:r>
        <w:rPr>
          <w:color w:val="000000"/>
          <w:sz w:val="24"/>
        </w:rPr>
        <w:t>50</w:t>
      </w:r>
      <w:r>
        <w:rPr>
          <w:color w:val="000000"/>
          <w:sz w:val="24"/>
        </w:rPr>
        <w:t xml:space="preserve"> μg/mL</w:t>
      </w:r>
      <w:r>
        <w:rPr>
          <w:color w:val="000000"/>
          <w:sz w:val="24"/>
        </w:rPr>
        <w:t>。</w:t>
      </w:r>
      <w:r>
        <w:rPr>
          <w:color w:val="000000"/>
          <w:sz w:val="24"/>
        </w:rPr>
        <w:t>）</w:t>
      </w:r>
    </w:p>
    <w:p w14:paraId="39DC33F3"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5</w:t>
      </w:r>
      <w:r>
        <w:rPr>
          <w:color w:val="000000"/>
          <w:sz w:val="24"/>
        </w:rPr>
        <w:t>）</w:t>
      </w:r>
      <w:r>
        <w:rPr>
          <w:color w:val="000000" w:themeColor="text1"/>
          <w:sz w:val="24"/>
        </w:rPr>
        <w:t>Sackowki's</w:t>
      </w:r>
      <w:r>
        <w:rPr>
          <w:color w:val="000000" w:themeColor="text1"/>
          <w:sz w:val="24"/>
        </w:rPr>
        <w:t>显色剂</w:t>
      </w:r>
      <w:r>
        <w:rPr>
          <w:color w:val="000000"/>
          <w:sz w:val="24"/>
        </w:rPr>
        <w:t>：</w:t>
      </w:r>
      <w:r>
        <w:rPr>
          <w:color w:val="000000" w:themeColor="text1"/>
          <w:sz w:val="24"/>
        </w:rPr>
        <w:t>浓硫酸</w:t>
      </w:r>
      <w:r>
        <w:rPr>
          <w:color w:val="000000" w:themeColor="text1"/>
          <w:sz w:val="24"/>
        </w:rPr>
        <w:t>150 mL</w:t>
      </w:r>
      <w:r>
        <w:rPr>
          <w:color w:val="000000" w:themeColor="text1"/>
          <w:sz w:val="24"/>
        </w:rPr>
        <w:t>，去离子水</w:t>
      </w:r>
      <w:r>
        <w:rPr>
          <w:color w:val="000000" w:themeColor="text1"/>
          <w:sz w:val="24"/>
        </w:rPr>
        <w:t>250 mL</w:t>
      </w:r>
      <w:r>
        <w:rPr>
          <w:color w:val="000000" w:themeColor="text1"/>
          <w:sz w:val="24"/>
        </w:rPr>
        <w:t>，</w:t>
      </w:r>
      <w:r>
        <w:rPr>
          <w:color w:val="000000" w:themeColor="text1"/>
          <w:sz w:val="24"/>
        </w:rPr>
        <w:t>0.5 mol/L</w:t>
      </w:r>
      <w:r>
        <w:rPr>
          <w:color w:val="000000" w:themeColor="text1"/>
          <w:sz w:val="24"/>
        </w:rPr>
        <w:t>的</w:t>
      </w:r>
      <w:r>
        <w:rPr>
          <w:color w:val="000000" w:themeColor="text1"/>
          <w:sz w:val="24"/>
        </w:rPr>
        <w:t>FeCl</w:t>
      </w:r>
      <w:r>
        <w:rPr>
          <w:color w:val="000000" w:themeColor="text1"/>
          <w:sz w:val="24"/>
          <w:vertAlign w:val="subscript"/>
        </w:rPr>
        <w:t xml:space="preserve">3 </w:t>
      </w:r>
      <w:r>
        <w:rPr>
          <w:color w:val="000000" w:themeColor="text1"/>
          <w:sz w:val="24"/>
        </w:rPr>
        <w:t>7.5 mL</w:t>
      </w:r>
      <w:r>
        <w:rPr>
          <w:color w:val="000000"/>
          <w:sz w:val="24"/>
        </w:rPr>
        <w:t>。</w:t>
      </w:r>
    </w:p>
    <w:p w14:paraId="4FC1B23D"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31" w:name="docfit_s001_Toc7260"/>
      <w:bookmarkStart w:id="32" w:name="_Toc236830348"/>
      <w:r>
        <w:rPr>
          <w:rFonts w:eastAsia="宋体"/>
          <w:color w:val="000000"/>
          <w:sz w:val="24"/>
        </w:rPr>
        <w:t xml:space="preserve">1.2 </w:t>
      </w:r>
      <w:r>
        <w:rPr>
          <w:rFonts w:eastAsia="宋体"/>
          <w:color w:val="000000"/>
          <w:sz w:val="24"/>
        </w:rPr>
        <w:t>菌株的活化与保存</w:t>
      </w:r>
      <w:bookmarkEnd w:id="31"/>
      <w:bookmarkEnd w:id="32"/>
    </w:p>
    <w:p w14:paraId="54DFBA8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菌株的活化：将</w:t>
      </w:r>
      <w:r>
        <w:rPr>
          <w:color w:val="000000"/>
          <w:sz w:val="24"/>
        </w:rPr>
        <w:t>-80℃</w:t>
      </w:r>
      <w:r>
        <w:rPr>
          <w:color w:val="000000"/>
          <w:sz w:val="24"/>
        </w:rPr>
        <w:t>保存的菌种</w:t>
      </w:r>
      <w:r>
        <w:rPr>
          <w:color w:val="000000"/>
          <w:sz w:val="24"/>
        </w:rPr>
        <w:t>PGP6</w:t>
      </w:r>
      <w:r>
        <w:rPr>
          <w:color w:val="000000"/>
          <w:sz w:val="24"/>
        </w:rPr>
        <w:t>取出并于冰上解冻，先划线再挑单菌落活化待其融化后吸取</w:t>
      </w:r>
      <w:r>
        <w:rPr>
          <w:color w:val="000000"/>
          <w:sz w:val="24"/>
        </w:rPr>
        <w:t>50μL</w:t>
      </w:r>
      <w:r>
        <w:rPr>
          <w:color w:val="000000"/>
          <w:sz w:val="24"/>
        </w:rPr>
        <w:t>加入到</w:t>
      </w:r>
      <w:r>
        <w:rPr>
          <w:color w:val="000000"/>
          <w:sz w:val="24"/>
        </w:rPr>
        <w:t>5 mL</w:t>
      </w:r>
      <w:r>
        <w:rPr>
          <w:color w:val="000000"/>
          <w:sz w:val="24"/>
        </w:rPr>
        <w:t>液体</w:t>
      </w:r>
      <w:r>
        <w:rPr>
          <w:color w:val="000000"/>
          <w:sz w:val="24"/>
        </w:rPr>
        <w:t>LB</w:t>
      </w:r>
      <w:r>
        <w:rPr>
          <w:color w:val="000000"/>
          <w:sz w:val="24"/>
        </w:rPr>
        <w:t>培养基中，于</w:t>
      </w:r>
      <w:r>
        <w:rPr>
          <w:color w:val="000000"/>
          <w:sz w:val="24"/>
        </w:rPr>
        <w:t>30℃</w:t>
      </w:r>
      <w:r>
        <w:rPr>
          <w:color w:val="000000"/>
          <w:sz w:val="24"/>
        </w:rPr>
        <w:t>摇床中</w:t>
      </w:r>
      <w:r>
        <w:rPr>
          <w:color w:val="000000"/>
          <w:sz w:val="24"/>
        </w:rPr>
        <w:t>180 rpm</w:t>
      </w:r>
      <w:r>
        <w:rPr>
          <w:color w:val="000000"/>
          <w:sz w:val="24"/>
        </w:rPr>
        <w:t>振荡培养</w:t>
      </w:r>
      <w:r>
        <w:rPr>
          <w:color w:val="000000"/>
          <w:sz w:val="24"/>
        </w:rPr>
        <w:t>16</w:t>
      </w:r>
      <w:r>
        <w:rPr>
          <w:color w:val="000000"/>
          <w:sz w:val="24"/>
        </w:rPr>
        <w:t>小时，获得一级种子液；将一级种子液按照</w:t>
      </w:r>
      <w:r>
        <w:rPr>
          <w:color w:val="000000"/>
          <w:sz w:val="24"/>
        </w:rPr>
        <w:t>1%</w:t>
      </w:r>
      <w:r>
        <w:rPr>
          <w:color w:val="000000"/>
          <w:sz w:val="24"/>
        </w:rPr>
        <w:t>（</w:t>
      </w:r>
      <w:r>
        <w:rPr>
          <w:color w:val="000000"/>
          <w:sz w:val="24"/>
        </w:rPr>
        <w:t>v/v</w:t>
      </w:r>
      <w:r>
        <w:rPr>
          <w:color w:val="000000"/>
          <w:sz w:val="24"/>
        </w:rPr>
        <w:t>）的接种量接入含有</w:t>
      </w:r>
      <w:r>
        <w:rPr>
          <w:color w:val="000000"/>
          <w:sz w:val="24"/>
        </w:rPr>
        <w:t>100 mL</w:t>
      </w:r>
      <w:r>
        <w:rPr>
          <w:color w:val="000000"/>
          <w:sz w:val="24"/>
        </w:rPr>
        <w:t>的</w:t>
      </w:r>
      <w:r>
        <w:rPr>
          <w:color w:val="000000"/>
          <w:sz w:val="24"/>
        </w:rPr>
        <w:t>LB</w:t>
      </w:r>
      <w:r>
        <w:rPr>
          <w:color w:val="000000"/>
          <w:sz w:val="24"/>
        </w:rPr>
        <w:t>液体培养基的锥形瓶中，于</w:t>
      </w:r>
      <w:r>
        <w:rPr>
          <w:color w:val="000000"/>
          <w:sz w:val="24"/>
        </w:rPr>
        <w:t>30℃</w:t>
      </w:r>
      <w:r>
        <w:rPr>
          <w:color w:val="000000"/>
          <w:sz w:val="24"/>
        </w:rPr>
        <w:t>摇床中</w:t>
      </w:r>
      <w:r>
        <w:rPr>
          <w:color w:val="000000"/>
          <w:sz w:val="24"/>
        </w:rPr>
        <w:t>180 rpm</w:t>
      </w:r>
      <w:r>
        <w:rPr>
          <w:color w:val="000000"/>
          <w:sz w:val="24"/>
        </w:rPr>
        <w:t>振荡培养</w:t>
      </w:r>
      <w:r>
        <w:rPr>
          <w:color w:val="000000"/>
          <w:sz w:val="24"/>
        </w:rPr>
        <w:t>24</w:t>
      </w:r>
      <w:r>
        <w:rPr>
          <w:color w:val="000000"/>
          <w:sz w:val="24"/>
        </w:rPr>
        <w:t>小时，获得二级种子液。</w:t>
      </w:r>
    </w:p>
    <w:p w14:paraId="2602D9BB"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菌株的保存：收集处于对数生长期的菌液，与无菌</w:t>
      </w:r>
      <w:r>
        <w:rPr>
          <w:color w:val="000000"/>
          <w:sz w:val="24"/>
        </w:rPr>
        <w:t>30%</w:t>
      </w:r>
      <w:r>
        <w:rPr>
          <w:color w:val="000000"/>
          <w:sz w:val="24"/>
        </w:rPr>
        <w:t>甘油按</w:t>
      </w:r>
      <w:r>
        <w:rPr>
          <w:color w:val="000000"/>
          <w:sz w:val="24"/>
        </w:rPr>
        <w:t>1:1</w:t>
      </w:r>
      <w:r>
        <w:rPr>
          <w:color w:val="000000"/>
          <w:sz w:val="24"/>
        </w:rPr>
        <w:t>（</w:t>
      </w:r>
      <w:r>
        <w:rPr>
          <w:color w:val="000000"/>
          <w:sz w:val="24"/>
        </w:rPr>
        <w:t>v/v</w:t>
      </w:r>
      <w:r>
        <w:rPr>
          <w:color w:val="000000"/>
          <w:sz w:val="24"/>
        </w:rPr>
        <w:t>）体积比充分混匀。随后将混合液分装于无菌冻存管中，置于</w:t>
      </w:r>
      <w:r>
        <w:rPr>
          <w:color w:val="000000"/>
          <w:sz w:val="24"/>
        </w:rPr>
        <w:t>-80℃</w:t>
      </w:r>
      <w:r>
        <w:rPr>
          <w:color w:val="000000"/>
          <w:sz w:val="24"/>
        </w:rPr>
        <w:t>超低温冰箱中长期保存。同时建立完整的菌株信息记录体系，详细标注菌株名称、抗性特征、构建时间、验证方法及冻存位置等信息，以确保菌株保存的可追溯性与规范化管理。</w:t>
      </w:r>
    </w:p>
    <w:p w14:paraId="56679FDE"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33" w:name="_Toc236830349"/>
      <w:r>
        <w:rPr>
          <w:rFonts w:eastAsia="宋体"/>
          <w:color w:val="000000"/>
          <w:sz w:val="24"/>
        </w:rPr>
        <w:t xml:space="preserve">1.3 </w:t>
      </w:r>
      <w:r>
        <w:rPr>
          <w:rFonts w:eastAsia="宋体"/>
          <w:color w:val="000000"/>
          <w:sz w:val="24"/>
        </w:rPr>
        <w:t>菌株的功能验证</w:t>
      </w:r>
      <w:bookmarkEnd w:id="33"/>
    </w:p>
    <w:p w14:paraId="606CE5AF"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实验准备：配制</w:t>
      </w:r>
      <w:r>
        <w:rPr>
          <w:color w:val="000000"/>
          <w:sz w:val="24"/>
        </w:rPr>
        <w:t>2.5 mg/mL</w:t>
      </w:r>
      <w:r>
        <w:rPr>
          <w:color w:val="000000"/>
          <w:sz w:val="24"/>
        </w:rPr>
        <w:t>的色氨酸溶液并用</w:t>
      </w:r>
      <w:r>
        <w:rPr>
          <w:color w:val="000000"/>
          <w:sz w:val="24"/>
        </w:rPr>
        <w:t>0.22 µm</w:t>
      </w:r>
      <w:r>
        <w:rPr>
          <w:color w:val="000000"/>
          <w:sz w:val="24"/>
        </w:rPr>
        <w:t>的灭菌滤膜过滤除菌，</w:t>
      </w:r>
      <w:r>
        <w:rPr>
          <w:color w:val="000000"/>
          <w:sz w:val="24"/>
        </w:rPr>
        <w:t>2-8℃</w:t>
      </w:r>
      <w:r>
        <w:rPr>
          <w:color w:val="000000"/>
          <w:sz w:val="24"/>
        </w:rPr>
        <w:t>避光保存。在无菌的</w:t>
      </w:r>
      <w:r>
        <w:rPr>
          <w:color w:val="000000"/>
          <w:sz w:val="24"/>
        </w:rPr>
        <w:t>50 mL</w:t>
      </w:r>
      <w:r>
        <w:rPr>
          <w:color w:val="000000"/>
          <w:sz w:val="24"/>
        </w:rPr>
        <w:t>锥形瓶中分装</w:t>
      </w:r>
      <w:r>
        <w:rPr>
          <w:color w:val="000000"/>
          <w:sz w:val="24"/>
        </w:rPr>
        <w:t>16 mLYN</w:t>
      </w:r>
      <w:r>
        <w:rPr>
          <w:color w:val="000000"/>
          <w:sz w:val="24"/>
        </w:rPr>
        <w:t>液体培养基和</w:t>
      </w:r>
      <w:r>
        <w:rPr>
          <w:color w:val="000000"/>
          <w:sz w:val="24"/>
        </w:rPr>
        <w:t>4 mL</w:t>
      </w:r>
      <w:r>
        <w:rPr>
          <w:color w:val="000000"/>
          <w:sz w:val="24"/>
        </w:rPr>
        <w:t>色氨酸溶液，得到色氨酸浓度为</w:t>
      </w:r>
      <w:r>
        <w:rPr>
          <w:color w:val="000000"/>
          <w:sz w:val="24"/>
        </w:rPr>
        <w:t>0.5 mg/mL</w:t>
      </w:r>
      <w:r>
        <w:rPr>
          <w:color w:val="000000"/>
          <w:sz w:val="24"/>
        </w:rPr>
        <w:t>的</w:t>
      </w:r>
      <w:r>
        <w:rPr>
          <w:color w:val="000000"/>
          <w:sz w:val="24"/>
        </w:rPr>
        <w:t>YN</w:t>
      </w:r>
      <w:r>
        <w:rPr>
          <w:color w:val="000000"/>
          <w:sz w:val="24"/>
        </w:rPr>
        <w:t>培养基。</w:t>
      </w:r>
    </w:p>
    <w:p w14:paraId="4CB442D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lastRenderedPageBreak/>
        <w:t>菌株生长素产量测定实验：取单菌落于</w:t>
      </w:r>
      <w:r>
        <w:rPr>
          <w:color w:val="000000"/>
          <w:sz w:val="24"/>
        </w:rPr>
        <w:t>3 mL LB</w:t>
      </w:r>
      <w:r>
        <w:rPr>
          <w:color w:val="000000"/>
          <w:sz w:val="24"/>
        </w:rPr>
        <w:t>液体培养基中，于</w:t>
      </w:r>
      <w:r>
        <w:rPr>
          <w:color w:val="000000"/>
          <w:sz w:val="24"/>
        </w:rPr>
        <w:t>30℃</w:t>
      </w:r>
      <w:r>
        <w:rPr>
          <w:color w:val="000000"/>
          <w:sz w:val="24"/>
        </w:rPr>
        <w:t>，</w:t>
      </w:r>
      <w:r>
        <w:rPr>
          <w:color w:val="000000"/>
          <w:sz w:val="24"/>
        </w:rPr>
        <w:t>180 rpm</w:t>
      </w:r>
      <w:r>
        <w:rPr>
          <w:color w:val="000000"/>
          <w:sz w:val="24"/>
        </w:rPr>
        <w:t>条件下培养</w:t>
      </w:r>
      <w:r>
        <w:rPr>
          <w:color w:val="000000"/>
          <w:sz w:val="24"/>
        </w:rPr>
        <w:t>24h</w:t>
      </w:r>
      <w:r>
        <w:rPr>
          <w:color w:val="000000"/>
          <w:sz w:val="24"/>
        </w:rPr>
        <w:t>。将菌液按</w:t>
      </w:r>
      <w:r>
        <w:rPr>
          <w:color w:val="000000"/>
          <w:sz w:val="24"/>
        </w:rPr>
        <w:t>1%</w:t>
      </w:r>
      <w:r>
        <w:rPr>
          <w:color w:val="000000"/>
          <w:sz w:val="24"/>
        </w:rPr>
        <w:t>（</w:t>
      </w:r>
      <w:r>
        <w:rPr>
          <w:color w:val="000000"/>
          <w:sz w:val="24"/>
        </w:rPr>
        <w:t>v/v</w:t>
      </w:r>
      <w:r>
        <w:rPr>
          <w:color w:val="000000"/>
          <w:sz w:val="24"/>
        </w:rPr>
        <w:t>）接菌量接种到色氨酸浓度为</w:t>
      </w:r>
      <w:r>
        <w:rPr>
          <w:color w:val="000000"/>
          <w:sz w:val="24"/>
        </w:rPr>
        <w:t>0.5 mg/mL</w:t>
      </w:r>
      <w:r>
        <w:rPr>
          <w:color w:val="000000"/>
          <w:sz w:val="24"/>
        </w:rPr>
        <w:t>的</w:t>
      </w:r>
      <w:r>
        <w:rPr>
          <w:color w:val="000000"/>
          <w:sz w:val="24"/>
        </w:rPr>
        <w:t>YN</w:t>
      </w:r>
      <w:r>
        <w:rPr>
          <w:color w:val="000000"/>
          <w:sz w:val="24"/>
        </w:rPr>
        <w:t>培养基中，</w:t>
      </w:r>
      <w:r>
        <w:rPr>
          <w:color w:val="000000"/>
          <w:sz w:val="24"/>
        </w:rPr>
        <w:t>30℃</w:t>
      </w:r>
      <w:r>
        <w:rPr>
          <w:color w:val="000000"/>
          <w:sz w:val="24"/>
        </w:rPr>
        <w:t>，</w:t>
      </w:r>
      <w:r>
        <w:rPr>
          <w:color w:val="000000"/>
          <w:sz w:val="24"/>
        </w:rPr>
        <w:t>180 rpm</w:t>
      </w:r>
      <w:r>
        <w:rPr>
          <w:color w:val="000000"/>
          <w:sz w:val="24"/>
        </w:rPr>
        <w:t>摇床中避光培养</w:t>
      </w:r>
      <w:r>
        <w:rPr>
          <w:color w:val="000000"/>
          <w:sz w:val="24"/>
        </w:rPr>
        <w:t>72h</w:t>
      </w:r>
      <w:r>
        <w:rPr>
          <w:color w:val="000000"/>
          <w:sz w:val="24"/>
        </w:rPr>
        <w:t>，取</w:t>
      </w:r>
      <w:r>
        <w:rPr>
          <w:color w:val="000000"/>
          <w:sz w:val="24"/>
        </w:rPr>
        <w:t>2 mL</w:t>
      </w:r>
      <w:r>
        <w:rPr>
          <w:color w:val="000000"/>
          <w:sz w:val="24"/>
        </w:rPr>
        <w:t>菌液于灭菌的</w:t>
      </w:r>
      <w:r>
        <w:rPr>
          <w:color w:val="000000"/>
          <w:sz w:val="24"/>
        </w:rPr>
        <w:t>2 mL</w:t>
      </w:r>
      <w:r>
        <w:rPr>
          <w:color w:val="000000"/>
          <w:sz w:val="24"/>
        </w:rPr>
        <w:t>离心管中，</w:t>
      </w:r>
      <w:r>
        <w:rPr>
          <w:color w:val="000000"/>
          <w:sz w:val="24"/>
        </w:rPr>
        <w:t>6000 rpm</w:t>
      </w:r>
      <w:r>
        <w:rPr>
          <w:color w:val="000000"/>
          <w:sz w:val="24"/>
        </w:rPr>
        <w:t>离心</w:t>
      </w:r>
      <w:r>
        <w:rPr>
          <w:color w:val="000000"/>
          <w:sz w:val="24"/>
        </w:rPr>
        <w:t>10 min</w:t>
      </w:r>
      <w:r>
        <w:rPr>
          <w:color w:val="000000"/>
          <w:sz w:val="24"/>
        </w:rPr>
        <w:t>，吸取出</w:t>
      </w:r>
      <w:r>
        <w:rPr>
          <w:color w:val="000000"/>
          <w:sz w:val="24"/>
        </w:rPr>
        <w:t>500µL</w:t>
      </w:r>
      <w:r>
        <w:rPr>
          <w:color w:val="000000"/>
          <w:sz w:val="24"/>
        </w:rPr>
        <w:t>上清液并加入</w:t>
      </w:r>
      <w:r>
        <w:rPr>
          <w:color w:val="000000"/>
          <w:sz w:val="24"/>
        </w:rPr>
        <w:t>25µL 10 mM</w:t>
      </w:r>
      <w:r>
        <w:rPr>
          <w:color w:val="000000"/>
          <w:sz w:val="24"/>
        </w:rPr>
        <w:t>的正磷酸，再加入</w:t>
      </w:r>
      <w:r>
        <w:rPr>
          <w:color w:val="000000"/>
          <w:sz w:val="24"/>
        </w:rPr>
        <w:t>1 mL Sackowki's</w:t>
      </w:r>
      <w:r>
        <w:rPr>
          <w:color w:val="000000"/>
          <w:sz w:val="24"/>
        </w:rPr>
        <w:t>显色剂</w:t>
      </w:r>
      <w:r>
        <w:rPr>
          <w:color w:val="000000"/>
          <w:sz w:val="24"/>
        </w:rPr>
        <w:t>于</w:t>
      </w:r>
      <w:r>
        <w:rPr>
          <w:color w:val="000000"/>
          <w:sz w:val="24"/>
        </w:rPr>
        <w:t>2mL</w:t>
      </w:r>
      <w:r>
        <w:rPr>
          <w:color w:val="000000"/>
          <w:sz w:val="24"/>
        </w:rPr>
        <w:t>离心管</w:t>
      </w:r>
      <w:r>
        <w:rPr>
          <w:color w:val="000000"/>
          <w:sz w:val="24"/>
        </w:rPr>
        <w:t>充分混匀，在室温黑暗处反应</w:t>
      </w:r>
      <w:r>
        <w:rPr>
          <w:color w:val="000000"/>
          <w:sz w:val="24"/>
        </w:rPr>
        <w:t>30 min</w:t>
      </w:r>
      <w:r>
        <w:rPr>
          <w:color w:val="000000"/>
          <w:sz w:val="24"/>
        </w:rPr>
        <w:t>，液体变成粉红色即为阳性反应。待暗处反应结束后，使用</w:t>
      </w:r>
      <w:r>
        <w:rPr>
          <w:color w:val="000000"/>
          <w:sz w:val="24"/>
        </w:rPr>
        <w:t>722</w:t>
      </w:r>
      <w:r>
        <w:rPr>
          <w:color w:val="000000"/>
          <w:sz w:val="24"/>
        </w:rPr>
        <w:t>型分光光度计在</w:t>
      </w:r>
      <w:r>
        <w:rPr>
          <w:color w:val="000000"/>
          <w:sz w:val="24"/>
        </w:rPr>
        <w:t>530 nm</w:t>
      </w:r>
      <w:r>
        <w:rPr>
          <w:color w:val="000000"/>
          <w:sz w:val="24"/>
        </w:rPr>
        <w:t>处测定溶液的吸光值。使用不接菌的培养基调零对照。</w:t>
      </w:r>
    </w:p>
    <w:p w14:paraId="3A750AE5"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IAA</w:t>
      </w:r>
      <w:r>
        <w:rPr>
          <w:color w:val="000000"/>
          <w:sz w:val="24"/>
        </w:rPr>
        <w:t>标准曲线绘制：使用分析纯</w:t>
      </w:r>
      <w:r>
        <w:rPr>
          <w:color w:val="000000"/>
          <w:sz w:val="24"/>
        </w:rPr>
        <w:t>IAA</w:t>
      </w:r>
      <w:r>
        <w:rPr>
          <w:color w:val="000000"/>
          <w:sz w:val="24"/>
        </w:rPr>
        <w:t>分别配制</w:t>
      </w:r>
      <w:r>
        <w:rPr>
          <w:color w:val="000000"/>
          <w:sz w:val="24"/>
        </w:rPr>
        <w:t>0</w:t>
      </w:r>
      <w:r>
        <w:rPr>
          <w:color w:val="000000"/>
          <w:sz w:val="24"/>
        </w:rPr>
        <w:t>，</w:t>
      </w:r>
      <w:r>
        <w:rPr>
          <w:color w:val="000000"/>
          <w:sz w:val="24"/>
        </w:rPr>
        <w:t>5</w:t>
      </w:r>
      <w:r>
        <w:rPr>
          <w:color w:val="000000"/>
          <w:sz w:val="24"/>
        </w:rPr>
        <w:t>，</w:t>
      </w:r>
      <w:r>
        <w:rPr>
          <w:color w:val="000000"/>
          <w:sz w:val="24"/>
        </w:rPr>
        <w:t>10</w:t>
      </w:r>
      <w:r>
        <w:rPr>
          <w:color w:val="000000"/>
          <w:sz w:val="24"/>
        </w:rPr>
        <w:t>，</w:t>
      </w:r>
      <w:r>
        <w:rPr>
          <w:color w:val="000000"/>
          <w:sz w:val="24"/>
        </w:rPr>
        <w:t>20</w:t>
      </w:r>
      <w:r>
        <w:rPr>
          <w:color w:val="000000"/>
          <w:sz w:val="24"/>
        </w:rPr>
        <w:t>，</w:t>
      </w:r>
      <w:r>
        <w:rPr>
          <w:color w:val="000000"/>
          <w:sz w:val="24"/>
        </w:rPr>
        <w:t>40</w:t>
      </w:r>
      <w:r>
        <w:rPr>
          <w:color w:val="000000"/>
          <w:sz w:val="24"/>
        </w:rPr>
        <w:t>，</w:t>
      </w:r>
      <w:r>
        <w:rPr>
          <w:color w:val="000000"/>
          <w:sz w:val="24"/>
        </w:rPr>
        <w:t>60</w:t>
      </w:r>
      <w:r>
        <w:rPr>
          <w:color w:val="000000"/>
          <w:sz w:val="24"/>
        </w:rPr>
        <w:t>，</w:t>
      </w:r>
      <w:r>
        <w:rPr>
          <w:color w:val="000000"/>
          <w:sz w:val="24"/>
        </w:rPr>
        <w:t>80 mg/L</w:t>
      </w:r>
      <w:r>
        <w:rPr>
          <w:color w:val="000000"/>
          <w:sz w:val="24"/>
        </w:rPr>
        <w:t>的</w:t>
      </w:r>
      <w:r>
        <w:rPr>
          <w:color w:val="000000"/>
          <w:sz w:val="24"/>
        </w:rPr>
        <w:t>IAA</w:t>
      </w:r>
      <w:r>
        <w:rPr>
          <w:color w:val="000000"/>
          <w:sz w:val="24"/>
        </w:rPr>
        <w:t>标准液，按照上述方法测定标准液在</w:t>
      </w:r>
      <w:r>
        <w:rPr>
          <w:color w:val="000000"/>
          <w:sz w:val="24"/>
        </w:rPr>
        <w:t>530 nm</w:t>
      </w:r>
      <w:r>
        <w:rPr>
          <w:color w:val="000000"/>
          <w:sz w:val="24"/>
        </w:rPr>
        <w:t>处的吸光值，以</w:t>
      </w:r>
      <w:r>
        <w:rPr>
          <w:color w:val="000000" w:themeColor="text1"/>
          <w:sz w:val="24"/>
        </w:rPr>
        <w:t>IAA</w:t>
      </w:r>
      <w:r>
        <w:rPr>
          <w:color w:val="000000" w:themeColor="text1"/>
          <w:sz w:val="24"/>
        </w:rPr>
        <w:t>浓度</w:t>
      </w:r>
      <w:r>
        <w:rPr>
          <w:color w:val="000000"/>
          <w:sz w:val="24"/>
        </w:rPr>
        <w:t>（</w:t>
      </w:r>
      <w:r>
        <w:rPr>
          <w:color w:val="000000"/>
          <w:sz w:val="24"/>
        </w:rPr>
        <w:t>mg/L</w:t>
      </w:r>
      <w:r>
        <w:rPr>
          <w:color w:val="000000"/>
          <w:sz w:val="24"/>
        </w:rPr>
        <w:t>）为横坐标，</w:t>
      </w:r>
      <w:r>
        <w:rPr>
          <w:color w:val="000000"/>
          <w:sz w:val="24"/>
        </w:rPr>
        <w:t>A</w:t>
      </w:r>
      <w:r>
        <w:rPr>
          <w:color w:val="000000"/>
          <w:sz w:val="24"/>
        </w:rPr>
        <w:t>530</w:t>
      </w:r>
      <w:r>
        <w:rPr>
          <w:color w:val="000000"/>
          <w:sz w:val="24"/>
        </w:rPr>
        <w:t>为纵坐标，绘制标准曲线，通过标准曲线计算出样品的</w:t>
      </w:r>
      <w:r>
        <w:rPr>
          <w:color w:val="000000"/>
          <w:sz w:val="24"/>
        </w:rPr>
        <w:t xml:space="preserve"> IAA</w:t>
      </w:r>
      <w:r>
        <w:rPr>
          <w:color w:val="000000"/>
          <w:sz w:val="24"/>
        </w:rPr>
        <w:t>含量。</w:t>
      </w:r>
    </w:p>
    <w:p w14:paraId="372FD666"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34" w:name="docfit_s001_Toc13252"/>
      <w:bookmarkStart w:id="35" w:name="_Toc236830350"/>
      <w:r>
        <w:rPr>
          <w:rFonts w:eastAsia="宋体"/>
          <w:color w:val="000000"/>
          <w:sz w:val="24"/>
        </w:rPr>
        <w:t>1.4 PGP6</w:t>
      </w:r>
      <w:r>
        <w:rPr>
          <w:rFonts w:eastAsia="宋体"/>
          <w:color w:val="000000"/>
          <w:sz w:val="24"/>
        </w:rPr>
        <w:t>的抗生素最小抑菌浓度实验</w:t>
      </w:r>
      <w:bookmarkEnd w:id="34"/>
      <w:bookmarkEnd w:id="35"/>
    </w:p>
    <w:p w14:paraId="4140CD6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抗生素最小抑菌浓度实验：为明确各种抗生素对</w:t>
      </w:r>
      <w:r>
        <w:rPr>
          <w:color w:val="000000"/>
          <w:sz w:val="24"/>
        </w:rPr>
        <w:t>PGP6</w:t>
      </w:r>
      <w:r>
        <w:rPr>
          <w:color w:val="000000"/>
          <w:sz w:val="24"/>
        </w:rPr>
        <w:t>的抑菌情况，本文对</w:t>
      </w:r>
      <w:r>
        <w:rPr>
          <w:color w:val="000000"/>
          <w:sz w:val="24"/>
        </w:rPr>
        <w:t>PGP6</w:t>
      </w:r>
      <w:r>
        <w:rPr>
          <w:color w:val="000000"/>
          <w:sz w:val="24"/>
        </w:rPr>
        <w:t>进行了壮观霉素（</w:t>
      </w:r>
      <w:r>
        <w:rPr>
          <w:color w:val="000000"/>
          <w:sz w:val="24"/>
        </w:rPr>
        <w:t>Spectinomycin,Spc</w:t>
      </w:r>
      <w:r>
        <w:rPr>
          <w:color w:val="000000"/>
          <w:sz w:val="24"/>
        </w:rPr>
        <w:t>）</w:t>
      </w:r>
      <w:r>
        <w:rPr>
          <w:color w:val="000000"/>
          <w:sz w:val="24"/>
        </w:rPr>
        <w:t>,</w:t>
      </w:r>
      <w:r>
        <w:rPr>
          <w:color w:val="000000"/>
          <w:sz w:val="24"/>
        </w:rPr>
        <w:t>卡那霉素（</w:t>
      </w:r>
      <w:r>
        <w:rPr>
          <w:color w:val="000000"/>
          <w:sz w:val="24"/>
        </w:rPr>
        <w:t>Kanamycin,Km</w:t>
      </w:r>
      <w:r>
        <w:rPr>
          <w:color w:val="000000"/>
          <w:sz w:val="24"/>
        </w:rPr>
        <w:t>），四环素（</w:t>
      </w:r>
      <w:r>
        <w:rPr>
          <w:color w:val="000000"/>
          <w:sz w:val="24"/>
        </w:rPr>
        <w:t>Tetracycline,Tet</w:t>
      </w:r>
      <w:r>
        <w:rPr>
          <w:color w:val="000000"/>
          <w:sz w:val="24"/>
        </w:rPr>
        <w:t>），氯霉素（</w:t>
      </w:r>
      <w:r>
        <w:rPr>
          <w:color w:val="000000"/>
          <w:sz w:val="24"/>
        </w:rPr>
        <w:t>C</w:t>
      </w:r>
      <w:r>
        <w:rPr>
          <w:color w:val="000000"/>
          <w:sz w:val="24"/>
        </w:rPr>
        <w:t xml:space="preserve">hloramphenicol, </w:t>
      </w:r>
      <w:r>
        <w:rPr>
          <w:bCs/>
          <w:color w:val="000000"/>
          <w:sz w:val="24"/>
        </w:rPr>
        <w:t>Cm</w:t>
      </w:r>
      <w:r>
        <w:rPr>
          <w:color w:val="000000"/>
          <w:sz w:val="24"/>
        </w:rPr>
        <w:t>），庆大霉素（</w:t>
      </w:r>
      <w:r>
        <w:rPr>
          <w:color w:val="000000"/>
          <w:sz w:val="24"/>
        </w:rPr>
        <w:t>Gentamicin, Gm</w:t>
      </w:r>
      <w:r>
        <w:rPr>
          <w:color w:val="000000"/>
          <w:sz w:val="24"/>
        </w:rPr>
        <w:t>），链霉素（</w:t>
      </w:r>
      <w:r>
        <w:rPr>
          <w:color w:val="000000"/>
          <w:sz w:val="24"/>
        </w:rPr>
        <w:t>Streptomycin, Sm</w:t>
      </w:r>
      <w:r>
        <w:rPr>
          <w:color w:val="000000"/>
          <w:sz w:val="24"/>
        </w:rPr>
        <w:t>）的最小抑菌浓度（</w:t>
      </w:r>
      <w:r>
        <w:rPr>
          <w:color w:val="000000"/>
          <w:sz w:val="24"/>
        </w:rPr>
        <w:t>Minimum Inhibitory Concentration, MIC</w:t>
      </w:r>
      <w:r>
        <w:rPr>
          <w:color w:val="000000"/>
          <w:sz w:val="24"/>
        </w:rPr>
        <w:t>）实验。该方法通过在液体培养基中建立抗生素浓度梯度体系，并结合菌体生长情况判断抗生素对菌株的抑制效果，从而确定完全抑制菌体可见生长的最低浓度。</w:t>
      </w:r>
    </w:p>
    <w:p w14:paraId="6E15247C"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将</w:t>
      </w:r>
      <w:r>
        <w:rPr>
          <w:color w:val="000000"/>
          <w:sz w:val="24"/>
        </w:rPr>
        <w:t>PGP6</w:t>
      </w:r>
      <w:r>
        <w:rPr>
          <w:color w:val="000000"/>
          <w:sz w:val="24"/>
        </w:rPr>
        <w:t>处于对数生长期的菌液接种于</w:t>
      </w:r>
      <w:r>
        <w:rPr>
          <w:color w:val="000000"/>
          <w:sz w:val="24"/>
        </w:rPr>
        <w:t>LB</w:t>
      </w:r>
      <w:r>
        <w:rPr>
          <w:color w:val="000000"/>
          <w:sz w:val="24"/>
        </w:rPr>
        <w:t>液体培养基中培养，并调菌液浓度至</w:t>
      </w:r>
      <w:r>
        <w:rPr>
          <w:color w:val="000000"/>
          <w:sz w:val="24"/>
        </w:rPr>
        <w:t>OD</w:t>
      </w:r>
      <w:r>
        <w:rPr>
          <w:color w:val="000000"/>
          <w:sz w:val="24"/>
          <w:vertAlign w:val="subscript"/>
        </w:rPr>
        <w:t>600</w:t>
      </w:r>
      <w:r>
        <w:rPr>
          <w:color w:val="000000"/>
          <w:sz w:val="24"/>
        </w:rPr>
        <w:t xml:space="preserve"> 1.0</w:t>
      </w:r>
      <w:r>
        <w:rPr>
          <w:color w:val="000000"/>
          <w:sz w:val="24"/>
        </w:rPr>
        <w:t>。分别配制</w:t>
      </w:r>
      <w:r>
        <w:rPr>
          <w:color w:val="000000"/>
          <w:sz w:val="24"/>
        </w:rPr>
        <w:t>卡那霉素</w:t>
      </w:r>
      <w:r>
        <w:rPr>
          <w:color w:val="000000"/>
          <w:sz w:val="24"/>
        </w:rPr>
        <w:t>（</w:t>
      </w:r>
      <w:r>
        <w:rPr>
          <w:color w:val="000000"/>
          <w:sz w:val="24"/>
        </w:rPr>
        <w:t xml:space="preserve">Kanamycin, Km, </w:t>
      </w:r>
      <w:r>
        <w:rPr>
          <w:color w:val="000000"/>
          <w:sz w:val="24"/>
        </w:rPr>
        <w:t>50mg/ml</w:t>
      </w:r>
      <w:r>
        <w:rPr>
          <w:color w:val="000000"/>
          <w:sz w:val="24"/>
        </w:rPr>
        <w:t>），</w:t>
      </w:r>
      <w:r>
        <w:rPr>
          <w:color w:val="000000"/>
          <w:sz w:val="24"/>
        </w:rPr>
        <w:t>四环素</w:t>
      </w:r>
      <w:r>
        <w:rPr>
          <w:color w:val="000000"/>
          <w:sz w:val="24"/>
        </w:rPr>
        <w:t>(</w:t>
      </w:r>
      <w:r>
        <w:rPr>
          <w:color w:val="000000"/>
          <w:sz w:val="24"/>
        </w:rPr>
        <w:t xml:space="preserve">Tetracycline, Tet, </w:t>
      </w:r>
      <w:r>
        <w:rPr>
          <w:color w:val="000000"/>
          <w:sz w:val="24"/>
        </w:rPr>
        <w:t>50mg/ml)</w:t>
      </w:r>
      <w:r>
        <w:rPr>
          <w:color w:val="000000"/>
          <w:sz w:val="24"/>
        </w:rPr>
        <w:t>，</w:t>
      </w:r>
      <w:r>
        <w:rPr>
          <w:color w:val="000000"/>
          <w:sz w:val="24"/>
        </w:rPr>
        <w:t>壮观霉素</w:t>
      </w:r>
      <w:r>
        <w:rPr>
          <w:color w:val="000000"/>
          <w:sz w:val="24"/>
        </w:rPr>
        <w:t>(</w:t>
      </w:r>
      <w:r>
        <w:rPr>
          <w:color w:val="000000"/>
          <w:sz w:val="24"/>
        </w:rPr>
        <w:t xml:space="preserve">Spectinomycin, </w:t>
      </w:r>
      <w:r>
        <w:rPr>
          <w:color w:val="000000"/>
          <w:sz w:val="24"/>
        </w:rPr>
        <w:t xml:space="preserve">Spc, </w:t>
      </w:r>
      <w:r>
        <w:rPr>
          <w:color w:val="000000"/>
          <w:sz w:val="24"/>
        </w:rPr>
        <w:t>50mg/ml)</w:t>
      </w:r>
      <w:r>
        <w:rPr>
          <w:color w:val="000000"/>
          <w:sz w:val="24"/>
        </w:rPr>
        <w:t>，过滤除菌。配置抗生素终浓度为</w:t>
      </w:r>
      <w:r>
        <w:rPr>
          <w:color w:val="000000"/>
          <w:sz w:val="24"/>
        </w:rPr>
        <w:t>0</w:t>
      </w:r>
      <w:r>
        <w:rPr>
          <w:color w:val="000000"/>
          <w:sz w:val="24"/>
        </w:rPr>
        <w:t>，</w:t>
      </w:r>
      <w:r>
        <w:rPr>
          <w:color w:val="000000"/>
          <w:sz w:val="24"/>
        </w:rPr>
        <w:t>20</w:t>
      </w:r>
      <w:r>
        <w:rPr>
          <w:color w:val="000000"/>
          <w:sz w:val="24"/>
        </w:rPr>
        <w:t>，</w:t>
      </w:r>
      <w:r>
        <w:rPr>
          <w:color w:val="000000"/>
          <w:sz w:val="24"/>
        </w:rPr>
        <w:t>50</w:t>
      </w:r>
      <w:r>
        <w:rPr>
          <w:color w:val="000000"/>
          <w:sz w:val="24"/>
        </w:rPr>
        <w:t>，</w:t>
      </w:r>
      <w:r>
        <w:rPr>
          <w:color w:val="000000"/>
          <w:sz w:val="24"/>
        </w:rPr>
        <w:t>80</w:t>
      </w:r>
      <w:r>
        <w:rPr>
          <w:color w:val="000000"/>
          <w:sz w:val="24"/>
        </w:rPr>
        <w:t>，</w:t>
      </w:r>
      <w:r>
        <w:rPr>
          <w:color w:val="000000"/>
          <w:sz w:val="24"/>
        </w:rPr>
        <w:t>100μg/mL</w:t>
      </w:r>
      <w:r>
        <w:rPr>
          <w:color w:val="000000"/>
          <w:sz w:val="24"/>
        </w:rPr>
        <w:t>的</w:t>
      </w:r>
      <w:r>
        <w:rPr>
          <w:color w:val="000000"/>
          <w:sz w:val="24"/>
        </w:rPr>
        <w:t>LB</w:t>
      </w:r>
      <w:r>
        <w:rPr>
          <w:color w:val="000000"/>
          <w:sz w:val="24"/>
        </w:rPr>
        <w:t>液体培养基，并分装于</w:t>
      </w:r>
      <w:r>
        <w:rPr>
          <w:color w:val="000000"/>
          <w:sz w:val="24"/>
        </w:rPr>
        <w:t>48</w:t>
      </w:r>
      <w:r>
        <w:rPr>
          <w:color w:val="000000"/>
          <w:sz w:val="24"/>
        </w:rPr>
        <w:t>孔酶标板，每孔</w:t>
      </w:r>
      <w:r>
        <w:rPr>
          <w:color w:val="000000"/>
          <w:sz w:val="24"/>
        </w:rPr>
        <w:t>1 mL</w:t>
      </w:r>
      <w:r>
        <w:rPr>
          <w:color w:val="000000"/>
          <w:sz w:val="24"/>
        </w:rPr>
        <w:t>每组三个重复，将</w:t>
      </w:r>
      <w:r>
        <w:rPr>
          <w:color w:val="000000"/>
          <w:sz w:val="24"/>
        </w:rPr>
        <w:t>OD</w:t>
      </w:r>
      <w:r>
        <w:rPr>
          <w:color w:val="000000"/>
          <w:sz w:val="24"/>
          <w:vertAlign w:val="subscript"/>
        </w:rPr>
        <w:t>600</w:t>
      </w:r>
      <w:r>
        <w:rPr>
          <w:color w:val="000000"/>
          <w:sz w:val="24"/>
        </w:rPr>
        <w:t xml:space="preserve"> 1.0</w:t>
      </w:r>
      <w:r>
        <w:rPr>
          <w:color w:val="000000"/>
          <w:sz w:val="24"/>
        </w:rPr>
        <w:t>的菌液</w:t>
      </w:r>
      <w:r>
        <w:rPr>
          <w:color w:val="000000"/>
          <w:sz w:val="24"/>
        </w:rPr>
        <w:t>按</w:t>
      </w:r>
      <w:r>
        <w:rPr>
          <w:color w:val="000000"/>
          <w:sz w:val="24"/>
        </w:rPr>
        <w:t>1%</w:t>
      </w:r>
      <w:r>
        <w:rPr>
          <w:color w:val="000000"/>
          <w:sz w:val="24"/>
        </w:rPr>
        <w:t>（</w:t>
      </w:r>
      <w:r>
        <w:rPr>
          <w:color w:val="000000"/>
          <w:sz w:val="24"/>
        </w:rPr>
        <w:t>v/v</w:t>
      </w:r>
      <w:r>
        <w:rPr>
          <w:color w:val="000000"/>
          <w:sz w:val="24"/>
        </w:rPr>
        <w:t>）接菌量接种</w:t>
      </w:r>
      <w:r>
        <w:rPr>
          <w:color w:val="000000"/>
          <w:sz w:val="24"/>
        </w:rPr>
        <w:t>至</w:t>
      </w:r>
      <w:r>
        <w:rPr>
          <w:color w:val="000000"/>
          <w:sz w:val="24"/>
        </w:rPr>
        <w:t>LB</w:t>
      </w:r>
      <w:r>
        <w:rPr>
          <w:color w:val="000000"/>
          <w:sz w:val="24"/>
        </w:rPr>
        <w:t>培养基，于</w:t>
      </w:r>
      <w:r>
        <w:rPr>
          <w:color w:val="000000"/>
          <w:sz w:val="24"/>
        </w:rPr>
        <w:t>30℃</w:t>
      </w:r>
      <w:r>
        <w:rPr>
          <w:color w:val="000000"/>
          <w:sz w:val="24"/>
        </w:rPr>
        <w:t>，</w:t>
      </w:r>
      <w:r>
        <w:rPr>
          <w:color w:val="000000"/>
          <w:sz w:val="24"/>
        </w:rPr>
        <w:t>200 rpm</w:t>
      </w:r>
      <w:r>
        <w:rPr>
          <w:color w:val="000000"/>
          <w:sz w:val="24"/>
        </w:rPr>
        <w:t>摇床中培养</w:t>
      </w:r>
      <w:r>
        <w:rPr>
          <w:color w:val="000000"/>
          <w:sz w:val="24"/>
        </w:rPr>
        <w:t>24 h</w:t>
      </w:r>
      <w:r>
        <w:rPr>
          <w:color w:val="000000"/>
          <w:sz w:val="24"/>
        </w:rPr>
        <w:t>，通过观察培养液浑浊程度判断菌体生长情况，以完全抑制细菌生长的最低抗生素浓度作为该菌株对相应抗生素的最小抑菌浓度。</w:t>
      </w:r>
    </w:p>
    <w:p w14:paraId="3C25A61A"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36" w:name="docfit_s001_Toc566"/>
      <w:bookmarkStart w:id="37" w:name="_Toc236830351"/>
      <w:r>
        <w:rPr>
          <w:rFonts w:ascii="黑体" w:hAnsi="黑体" w:cs="黑体"/>
          <w:color w:val="000000"/>
          <w:szCs w:val="28"/>
        </w:rPr>
        <w:t xml:space="preserve">2 </w:t>
      </w:r>
      <w:r>
        <w:rPr>
          <w:rFonts w:ascii="黑体" w:hAnsi="黑体" w:cs="黑体"/>
          <w:color w:val="000000"/>
          <w:szCs w:val="28"/>
        </w:rPr>
        <w:t>菌株</w:t>
      </w:r>
      <w:r>
        <w:rPr>
          <w:rFonts w:ascii="黑体" w:hAnsi="黑体" w:cs="黑体"/>
          <w:color w:val="000000"/>
          <w:szCs w:val="28"/>
        </w:rPr>
        <w:t>PGP6</w:t>
      </w:r>
      <w:r>
        <w:rPr>
          <w:rFonts w:ascii="黑体" w:hAnsi="黑体" w:cs="黑体"/>
          <w:color w:val="000000"/>
          <w:szCs w:val="28"/>
        </w:rPr>
        <w:t>的</w:t>
      </w:r>
      <w:r>
        <w:rPr>
          <w:rFonts w:ascii="黑体" w:hAnsi="黑体" w:cs="黑体"/>
          <w:color w:val="000000"/>
          <w:szCs w:val="28"/>
        </w:rPr>
        <w:t>IAA</w:t>
      </w:r>
      <w:r>
        <w:rPr>
          <w:rFonts w:ascii="黑体" w:hAnsi="黑体" w:cs="黑体"/>
          <w:color w:val="000000"/>
          <w:szCs w:val="28"/>
        </w:rPr>
        <w:t>合成基因的定位</w:t>
      </w:r>
      <w:bookmarkEnd w:id="36"/>
      <w:bookmarkEnd w:id="37"/>
    </w:p>
    <w:p w14:paraId="0B62136F"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在植物促生菌（</w:t>
      </w:r>
      <w:r>
        <w:rPr>
          <w:color w:val="000000"/>
          <w:sz w:val="24"/>
        </w:rPr>
        <w:t>PGPR</w:t>
      </w:r>
      <w:r>
        <w:rPr>
          <w:color w:val="000000"/>
          <w:sz w:val="24"/>
        </w:rPr>
        <w:t>）中，吲哚</w:t>
      </w:r>
      <w:r>
        <w:rPr>
          <w:color w:val="000000"/>
          <w:sz w:val="24"/>
        </w:rPr>
        <w:t>-3-</w:t>
      </w:r>
      <w:r>
        <w:rPr>
          <w:color w:val="000000"/>
          <w:sz w:val="24"/>
        </w:rPr>
        <w:t>乙酸（</w:t>
      </w:r>
      <w:r>
        <w:rPr>
          <w:color w:val="000000"/>
          <w:sz w:val="24"/>
        </w:rPr>
        <w:t>Indole-3-acetic acid, IAA</w:t>
      </w:r>
      <w:r>
        <w:rPr>
          <w:color w:val="000000"/>
          <w:sz w:val="24"/>
        </w:rPr>
        <w:t>）是最为典型且研究最为广泛的植物激素之一，能够调控植物根系伸长、侧根发生及整体生长发育过程。现有研究表明，革兰氏阴性菌中</w:t>
      </w:r>
      <w:r>
        <w:rPr>
          <w:color w:val="000000"/>
          <w:sz w:val="24"/>
        </w:rPr>
        <w:t>IAA</w:t>
      </w:r>
      <w:r>
        <w:rPr>
          <w:color w:val="000000"/>
          <w:sz w:val="24"/>
        </w:rPr>
        <w:t>的生物合成多与色氨酸代谢过程密切相关，且其色氨酸依赖型合成途径具有显著多样性，其中以吲哚</w:t>
      </w:r>
      <w:r>
        <w:rPr>
          <w:color w:val="000000"/>
          <w:sz w:val="24"/>
        </w:rPr>
        <w:t>-3-</w:t>
      </w:r>
      <w:r>
        <w:rPr>
          <w:color w:val="000000"/>
          <w:sz w:val="24"/>
        </w:rPr>
        <w:t>乙酰胺（</w:t>
      </w:r>
      <w:r>
        <w:rPr>
          <w:color w:val="000000"/>
          <w:sz w:val="24"/>
        </w:rPr>
        <w:t>Indole-3-acetamide, IAM</w:t>
      </w:r>
      <w:r>
        <w:rPr>
          <w:color w:val="000000"/>
          <w:sz w:val="24"/>
        </w:rPr>
        <w:t>）途径和吲哚</w:t>
      </w:r>
      <w:r>
        <w:rPr>
          <w:color w:val="000000"/>
          <w:sz w:val="24"/>
        </w:rPr>
        <w:t>-3-</w:t>
      </w:r>
      <w:r>
        <w:rPr>
          <w:color w:val="000000"/>
          <w:sz w:val="24"/>
        </w:rPr>
        <w:t>丙酮酸（</w:t>
      </w:r>
      <w:r>
        <w:rPr>
          <w:color w:val="000000"/>
          <w:sz w:val="24"/>
        </w:rPr>
        <w:t xml:space="preserve">Indole-3-pyruvate, </w:t>
      </w:r>
      <w:r>
        <w:rPr>
          <w:color w:val="000000"/>
          <w:sz w:val="24"/>
        </w:rPr>
        <w:t>IPyA</w:t>
      </w:r>
      <w:r>
        <w:rPr>
          <w:color w:val="000000"/>
          <w:sz w:val="24"/>
        </w:rPr>
        <w:t>）途径最为常见。</w:t>
      </w:r>
      <w:r>
        <w:rPr>
          <w:color w:val="000000"/>
          <w:sz w:val="24"/>
        </w:rPr>
        <w:t>PGP6</w:t>
      </w:r>
      <w:r>
        <w:rPr>
          <w:color w:val="000000"/>
          <w:sz w:val="24"/>
        </w:rPr>
        <w:t>作为一株具有</w:t>
      </w:r>
      <w:r>
        <w:rPr>
          <w:color w:val="000000"/>
          <w:sz w:val="24"/>
        </w:rPr>
        <w:t>IAA</w:t>
      </w:r>
      <w:r>
        <w:rPr>
          <w:color w:val="000000"/>
          <w:sz w:val="24"/>
        </w:rPr>
        <w:t>合成能力的植物促生菌，其</w:t>
      </w:r>
      <w:r>
        <w:rPr>
          <w:color w:val="000000"/>
          <w:sz w:val="24"/>
        </w:rPr>
        <w:t>IAA</w:t>
      </w:r>
      <w:r>
        <w:rPr>
          <w:color w:val="000000"/>
          <w:sz w:val="24"/>
        </w:rPr>
        <w:t>合成过程对不同代谢通路及关键节点基因的依赖关系尚不明确，需通过系统的分子生物学手段加以解析。于是本章在系统梳理革兰氏阴性菌</w:t>
      </w:r>
      <w:r>
        <w:rPr>
          <w:color w:val="000000"/>
          <w:sz w:val="24"/>
        </w:rPr>
        <w:t>IAA</w:t>
      </w:r>
      <w:r>
        <w:rPr>
          <w:color w:val="000000"/>
          <w:sz w:val="24"/>
        </w:rPr>
        <w:t>主要合成途径的基础上，结合</w:t>
      </w:r>
      <w:r>
        <w:rPr>
          <w:color w:val="000000"/>
          <w:sz w:val="24"/>
        </w:rPr>
        <w:t>PGP6</w:t>
      </w:r>
      <w:r>
        <w:rPr>
          <w:color w:val="000000"/>
          <w:sz w:val="24"/>
        </w:rPr>
        <w:t>全基因组注释信息，对潜在参与</w:t>
      </w:r>
      <w:r>
        <w:rPr>
          <w:color w:val="000000"/>
          <w:sz w:val="24"/>
        </w:rPr>
        <w:t>IAA</w:t>
      </w:r>
      <w:r>
        <w:rPr>
          <w:color w:val="000000"/>
          <w:sz w:val="24"/>
        </w:rPr>
        <w:t>合成的候选基因进行筛选与定位，进而明确后续基因敲除实验的靶点及可能涉及的代谢通路。</w:t>
      </w:r>
    </w:p>
    <w:p w14:paraId="4C903096"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38" w:name="docfit_s001_Toc24334"/>
      <w:bookmarkStart w:id="39" w:name="_Toc236830352"/>
      <w:r>
        <w:rPr>
          <w:rFonts w:eastAsia="宋体"/>
          <w:color w:val="000000"/>
          <w:sz w:val="24"/>
        </w:rPr>
        <w:t xml:space="preserve">2.1 </w:t>
      </w:r>
      <w:r>
        <w:rPr>
          <w:rFonts w:eastAsia="宋体"/>
          <w:color w:val="000000"/>
          <w:sz w:val="24"/>
        </w:rPr>
        <w:t>实验材料</w:t>
      </w:r>
      <w:bookmarkEnd w:id="38"/>
      <w:bookmarkEnd w:id="39"/>
    </w:p>
    <w:p w14:paraId="52A4CB39"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1</w:t>
      </w:r>
      <w:r>
        <w:rPr>
          <w:color w:val="000000"/>
          <w:sz w:val="24"/>
        </w:rPr>
        <w:t>）菌株</w:t>
      </w:r>
      <w:r>
        <w:rPr>
          <w:color w:val="000000"/>
          <w:sz w:val="24"/>
        </w:rPr>
        <w:t>PGP6</w:t>
      </w:r>
      <w:r>
        <w:rPr>
          <w:color w:val="000000"/>
          <w:sz w:val="24"/>
        </w:rPr>
        <w:t>（</w:t>
      </w:r>
      <w:r>
        <w:rPr>
          <w:i/>
          <w:iCs/>
          <w:color w:val="000000"/>
          <w:sz w:val="24"/>
        </w:rPr>
        <w:t xml:space="preserve">Pantoea </w:t>
      </w:r>
      <w:r>
        <w:rPr>
          <w:color w:val="000000"/>
          <w:sz w:val="24"/>
        </w:rPr>
        <w:t>sp</w:t>
      </w:r>
      <w:r>
        <w:rPr>
          <w:color w:val="000000"/>
          <w:sz w:val="24"/>
        </w:rPr>
        <w:t>.</w:t>
      </w:r>
      <w:r>
        <w:rPr>
          <w:color w:val="000000"/>
          <w:sz w:val="24"/>
        </w:rPr>
        <w:t>）从南京栖霞山栖霞北站锰矿新村矿区植物根际土壤（</w:t>
      </w:r>
      <w:r>
        <w:rPr>
          <w:color w:val="000000"/>
          <w:sz w:val="24"/>
        </w:rPr>
        <w:t>海拔：</w:t>
      </w:r>
      <w:r>
        <w:rPr>
          <w:color w:val="000000"/>
          <w:sz w:val="24"/>
        </w:rPr>
        <w:lastRenderedPageBreak/>
        <w:t>94</w:t>
      </w:r>
      <w:r>
        <w:rPr>
          <w:color w:val="000000"/>
          <w:sz w:val="24"/>
        </w:rPr>
        <w:t>米，纬度：</w:t>
      </w:r>
      <w:r>
        <w:rPr>
          <w:color w:val="000000"/>
          <w:sz w:val="24"/>
        </w:rPr>
        <w:t>32°09′45.32″N</w:t>
      </w:r>
      <w:r>
        <w:rPr>
          <w:color w:val="000000"/>
          <w:sz w:val="24"/>
        </w:rPr>
        <w:t>，经度：</w:t>
      </w:r>
      <w:r>
        <w:rPr>
          <w:color w:val="000000"/>
          <w:sz w:val="24"/>
        </w:rPr>
        <w:t>118°57′2.10″W</w:t>
      </w:r>
      <w:r>
        <w:rPr>
          <w:color w:val="000000"/>
          <w:sz w:val="24"/>
        </w:rPr>
        <w:t>）中筛选得到。</w:t>
      </w:r>
    </w:p>
    <w:p w14:paraId="171536A8"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40" w:name="docfit_s001_Toc7536"/>
      <w:bookmarkStart w:id="41" w:name="_Toc236830353"/>
      <w:r>
        <w:rPr>
          <w:rFonts w:eastAsia="宋体"/>
          <w:color w:val="000000"/>
          <w:sz w:val="24"/>
        </w:rPr>
        <w:t xml:space="preserve">2.2 </w:t>
      </w:r>
      <w:r>
        <w:rPr>
          <w:rFonts w:eastAsia="宋体"/>
          <w:color w:val="000000"/>
          <w:sz w:val="24"/>
        </w:rPr>
        <w:t>实验方法</w:t>
      </w:r>
      <w:bookmarkEnd w:id="40"/>
      <w:bookmarkEnd w:id="41"/>
    </w:p>
    <w:p w14:paraId="23DE828E"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为解析</w:t>
      </w:r>
      <w:r>
        <w:rPr>
          <w:color w:val="000000"/>
          <w:sz w:val="24"/>
        </w:rPr>
        <w:t>PGP6</w:t>
      </w:r>
      <w:r>
        <w:rPr>
          <w:color w:val="000000"/>
          <w:sz w:val="24"/>
        </w:rPr>
        <w:t>的</w:t>
      </w:r>
      <w:r>
        <w:rPr>
          <w:color w:val="000000"/>
          <w:sz w:val="24"/>
        </w:rPr>
        <w:t>IAA</w:t>
      </w:r>
      <w:r>
        <w:rPr>
          <w:color w:val="000000"/>
          <w:sz w:val="24"/>
        </w:rPr>
        <w:t>合成机制，本研究基于</w:t>
      </w:r>
      <w:r>
        <w:rPr>
          <w:color w:val="000000"/>
          <w:sz w:val="24"/>
        </w:rPr>
        <w:t>PGP6</w:t>
      </w:r>
      <w:r>
        <w:rPr>
          <w:color w:val="000000"/>
          <w:sz w:val="24"/>
        </w:rPr>
        <w:t>全基因组序列开展生物信息学分析。</w:t>
      </w:r>
      <w:r>
        <w:rPr>
          <w:color w:val="000000"/>
          <w:sz w:val="24"/>
        </w:rPr>
        <w:t>在全基因组注释结果的基础上，以已报道</w:t>
      </w:r>
      <w:r>
        <w:rPr>
          <w:color w:val="000000"/>
          <w:sz w:val="24"/>
        </w:rPr>
        <w:t>IAA</w:t>
      </w:r>
      <w:r>
        <w:rPr>
          <w:color w:val="000000"/>
          <w:sz w:val="24"/>
        </w:rPr>
        <w:t>合成关键酶</w:t>
      </w:r>
      <w:r>
        <w:rPr>
          <w:color w:val="000000"/>
          <w:sz w:val="24"/>
        </w:rPr>
        <w:t>编码基因作为</w:t>
      </w:r>
      <w:r>
        <w:rPr>
          <w:color w:val="000000"/>
          <w:sz w:val="24"/>
        </w:rPr>
        <w:t>参考，筛选</w:t>
      </w:r>
      <w:r>
        <w:rPr>
          <w:color w:val="000000"/>
          <w:sz w:val="24"/>
        </w:rPr>
        <w:t>PGP6</w:t>
      </w:r>
      <w:r>
        <w:rPr>
          <w:color w:val="000000"/>
          <w:sz w:val="24"/>
        </w:rPr>
        <w:t>中可能参与</w:t>
      </w:r>
      <w:r>
        <w:rPr>
          <w:color w:val="000000"/>
          <w:sz w:val="24"/>
        </w:rPr>
        <w:t>IAA</w:t>
      </w:r>
      <w:r>
        <w:rPr>
          <w:color w:val="000000"/>
          <w:sz w:val="24"/>
        </w:rPr>
        <w:t>合成的候选基因</w:t>
      </w:r>
      <w:r>
        <w:rPr>
          <w:color w:val="000000"/>
          <w:sz w:val="24"/>
        </w:rPr>
        <w:t>，</w:t>
      </w:r>
      <w:r>
        <w:rPr>
          <w:color w:val="000000"/>
          <w:sz w:val="24"/>
        </w:rPr>
        <w:t>重点关注与色氨酸代谢及</w:t>
      </w:r>
      <w:r>
        <w:rPr>
          <w:color w:val="000000"/>
          <w:sz w:val="24"/>
        </w:rPr>
        <w:t>IAA</w:t>
      </w:r>
      <w:r>
        <w:rPr>
          <w:color w:val="000000"/>
          <w:sz w:val="24"/>
        </w:rPr>
        <w:t>合成通路相关的基因，如</w:t>
      </w:r>
      <w:r>
        <w:rPr>
          <w:i/>
          <w:iCs/>
          <w:color w:val="000000"/>
          <w:sz w:val="24"/>
        </w:rPr>
        <w:t>t</w:t>
      </w:r>
      <w:r>
        <w:rPr>
          <w:i/>
          <w:iCs/>
          <w:color w:val="000000"/>
          <w:sz w:val="24"/>
        </w:rPr>
        <w:t>rpA</w:t>
      </w:r>
      <w:r>
        <w:rPr>
          <w:i/>
          <w:iCs/>
          <w:color w:val="000000"/>
          <w:sz w:val="24"/>
        </w:rPr>
        <w:t>、</w:t>
      </w:r>
      <w:r>
        <w:rPr>
          <w:i/>
          <w:iCs/>
          <w:color w:val="000000"/>
          <w:sz w:val="24"/>
        </w:rPr>
        <w:t>t</w:t>
      </w:r>
      <w:r>
        <w:rPr>
          <w:i/>
          <w:iCs/>
          <w:color w:val="000000"/>
          <w:sz w:val="24"/>
        </w:rPr>
        <w:t>rpB</w:t>
      </w:r>
      <w:r>
        <w:rPr>
          <w:i/>
          <w:iCs/>
          <w:color w:val="000000"/>
          <w:sz w:val="24"/>
        </w:rPr>
        <w:t>、</w:t>
      </w:r>
      <w:r>
        <w:rPr>
          <w:i/>
          <w:iCs/>
          <w:color w:val="000000"/>
          <w:sz w:val="24"/>
        </w:rPr>
        <w:t>p</w:t>
      </w:r>
      <w:r>
        <w:rPr>
          <w:i/>
          <w:iCs/>
          <w:color w:val="000000"/>
          <w:sz w:val="24"/>
        </w:rPr>
        <w:t>atB</w:t>
      </w:r>
      <w:r>
        <w:rPr>
          <w:color w:val="000000"/>
          <w:sz w:val="24"/>
        </w:rPr>
        <w:t>及</w:t>
      </w:r>
      <w:r>
        <w:rPr>
          <w:i/>
          <w:iCs/>
          <w:color w:val="000000"/>
          <w:sz w:val="24"/>
        </w:rPr>
        <w:t>i</w:t>
      </w:r>
      <w:r>
        <w:rPr>
          <w:i/>
          <w:iCs/>
          <w:color w:val="000000"/>
          <w:sz w:val="24"/>
        </w:rPr>
        <w:t>aaH</w:t>
      </w:r>
      <w:r>
        <w:rPr>
          <w:color w:val="000000"/>
          <w:sz w:val="24"/>
        </w:rPr>
        <w:t>等。通过同源</w:t>
      </w:r>
      <w:r>
        <w:rPr>
          <w:color w:val="000000"/>
          <w:sz w:val="24"/>
        </w:rPr>
        <w:t>序列</w:t>
      </w:r>
      <w:r>
        <w:rPr>
          <w:color w:val="000000"/>
          <w:sz w:val="24"/>
        </w:rPr>
        <w:t>比对</w:t>
      </w:r>
      <w:r>
        <w:rPr>
          <w:color w:val="000000"/>
          <w:sz w:val="24"/>
        </w:rPr>
        <w:t>及基因组注释信息检索</w:t>
      </w:r>
      <w:r>
        <w:rPr>
          <w:color w:val="000000"/>
          <w:sz w:val="24"/>
        </w:rPr>
        <w:t>方法对筛选</w:t>
      </w:r>
      <w:r>
        <w:rPr>
          <w:color w:val="000000"/>
          <w:sz w:val="24"/>
        </w:rPr>
        <w:t>出</w:t>
      </w:r>
      <w:r>
        <w:rPr>
          <w:color w:val="000000"/>
          <w:sz w:val="24"/>
        </w:rPr>
        <w:t>的候选基因进行</w:t>
      </w:r>
      <w:r>
        <w:rPr>
          <w:color w:val="000000"/>
          <w:sz w:val="24"/>
        </w:rPr>
        <w:t>定位</w:t>
      </w:r>
      <w:r>
        <w:rPr>
          <w:color w:val="000000"/>
          <w:sz w:val="24"/>
        </w:rPr>
        <w:t>，并据此确定后续基因敲除实验的靶点。</w:t>
      </w:r>
    </w:p>
    <w:p w14:paraId="2A434BEB"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42" w:name="docfit_s001_Toc6971"/>
      <w:bookmarkStart w:id="43" w:name="_Toc236830354"/>
      <w:r>
        <w:rPr>
          <w:rFonts w:ascii="黑体" w:hAnsi="黑体" w:cs="黑体"/>
          <w:color w:val="000000"/>
          <w:szCs w:val="28"/>
        </w:rPr>
        <w:t xml:space="preserve">3 </w:t>
      </w:r>
      <w:r>
        <w:rPr>
          <w:rFonts w:ascii="黑体" w:hAnsi="黑体" w:cs="黑体"/>
          <w:color w:val="000000"/>
          <w:szCs w:val="28"/>
        </w:rPr>
        <w:t>打靶片段的设计与构建</w:t>
      </w:r>
      <w:bookmarkEnd w:id="42"/>
      <w:bookmarkEnd w:id="43"/>
    </w:p>
    <w:p w14:paraId="72C4310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为从遗传学层面验证</w:t>
      </w:r>
      <w:r>
        <w:rPr>
          <w:color w:val="000000"/>
          <w:sz w:val="24"/>
        </w:rPr>
        <w:t>PGP6</w:t>
      </w:r>
      <w:r>
        <w:rPr>
          <w:color w:val="000000"/>
          <w:sz w:val="24"/>
        </w:rPr>
        <w:t>中</w:t>
      </w:r>
      <w:r>
        <w:rPr>
          <w:color w:val="000000"/>
          <w:sz w:val="24"/>
        </w:rPr>
        <w:t>IAA</w:t>
      </w:r>
      <w:r>
        <w:rPr>
          <w:color w:val="000000"/>
          <w:sz w:val="24"/>
        </w:rPr>
        <w:t>合成相关候选基因的功能，本研究基于</w:t>
      </w:r>
      <w:r>
        <w:rPr>
          <w:color w:val="000000"/>
          <w:sz w:val="24"/>
        </w:rPr>
        <w:t>λ-Red</w:t>
      </w:r>
      <w:r>
        <w:rPr>
          <w:color w:val="000000"/>
          <w:sz w:val="24"/>
        </w:rPr>
        <w:t>同源重组技术（</w:t>
      </w:r>
      <w:r>
        <w:rPr>
          <w:color w:val="000000"/>
          <w:sz w:val="24"/>
        </w:rPr>
        <w:t>λ-Red homologous recombination</w:t>
      </w:r>
      <w:r>
        <w:rPr>
          <w:color w:val="000000"/>
          <w:sz w:val="24"/>
        </w:rPr>
        <w:t>）构建目标基因缺失突变株。该技术以外源线性</w:t>
      </w:r>
      <w:r>
        <w:rPr>
          <w:color w:val="000000"/>
          <w:sz w:val="24"/>
        </w:rPr>
        <w:t>DNA</w:t>
      </w:r>
      <w:r>
        <w:rPr>
          <w:color w:val="000000"/>
          <w:sz w:val="24"/>
        </w:rPr>
        <w:t>片段为重组底物，在同源臂介导下与宿主染色体发生同源重组，从而实现目标基因的定向替换。因此，高质量线性打靶片段的设计与构建是保证同源重组效率与准确性的关键前提。在前期全基因组注释及候选基因筛选的基础上，本章以</w:t>
      </w:r>
      <w:r>
        <w:rPr>
          <w:i/>
          <w:iCs/>
          <w:color w:val="000000"/>
          <w:sz w:val="24"/>
        </w:rPr>
        <w:t>t</w:t>
      </w:r>
      <w:r>
        <w:rPr>
          <w:i/>
          <w:iCs/>
          <w:color w:val="000000"/>
          <w:sz w:val="24"/>
        </w:rPr>
        <w:t>rpA</w:t>
      </w:r>
      <w:r>
        <w:rPr>
          <w:i/>
          <w:iCs/>
          <w:color w:val="000000"/>
          <w:sz w:val="24"/>
        </w:rPr>
        <w:t>、</w:t>
      </w:r>
      <w:r>
        <w:rPr>
          <w:i/>
          <w:iCs/>
          <w:color w:val="000000"/>
          <w:sz w:val="24"/>
        </w:rPr>
        <w:t>t</w:t>
      </w:r>
      <w:r>
        <w:rPr>
          <w:i/>
          <w:iCs/>
          <w:color w:val="000000"/>
          <w:sz w:val="24"/>
        </w:rPr>
        <w:t>rpB</w:t>
      </w:r>
      <w:r>
        <w:rPr>
          <w:i/>
          <w:iCs/>
          <w:color w:val="000000"/>
          <w:sz w:val="24"/>
        </w:rPr>
        <w:t>、</w:t>
      </w:r>
      <w:r>
        <w:rPr>
          <w:i/>
          <w:iCs/>
          <w:color w:val="000000"/>
          <w:sz w:val="24"/>
        </w:rPr>
        <w:t>p</w:t>
      </w:r>
      <w:r>
        <w:rPr>
          <w:i/>
          <w:iCs/>
          <w:color w:val="000000"/>
          <w:sz w:val="24"/>
        </w:rPr>
        <w:t>atB</w:t>
      </w:r>
      <w:r>
        <w:rPr>
          <w:color w:val="000000"/>
          <w:sz w:val="24"/>
        </w:rPr>
        <w:t>及</w:t>
      </w:r>
      <w:r>
        <w:rPr>
          <w:i/>
          <w:iCs/>
          <w:color w:val="000000"/>
          <w:sz w:val="24"/>
        </w:rPr>
        <w:t>i</w:t>
      </w:r>
      <w:r>
        <w:rPr>
          <w:i/>
          <w:iCs/>
          <w:color w:val="000000"/>
          <w:sz w:val="24"/>
        </w:rPr>
        <w:t>aaH</w:t>
      </w:r>
      <w:r>
        <w:rPr>
          <w:color w:val="000000"/>
          <w:sz w:val="24"/>
        </w:rPr>
        <w:t>四个基因为研究对象，利用</w:t>
      </w:r>
      <w:r>
        <w:rPr>
          <w:color w:val="000000"/>
          <w:sz w:val="24"/>
        </w:rPr>
        <w:t>SnapGene</w:t>
      </w:r>
      <w:r>
        <w:rPr>
          <w:color w:val="000000"/>
          <w:sz w:val="24"/>
        </w:rPr>
        <w:t>软件设计扩增引物，通过聚合酶链式反应（</w:t>
      </w:r>
      <w:r>
        <w:rPr>
          <w:color w:val="000000"/>
          <w:sz w:val="24"/>
        </w:rPr>
        <w:t>Polymerase Chain Reaction, PCR</w:t>
      </w:r>
      <w:r>
        <w:rPr>
          <w:color w:val="000000"/>
          <w:sz w:val="24"/>
        </w:rPr>
        <w:t>）分别扩增目标基因上下游约</w:t>
      </w:r>
      <w:r>
        <w:rPr>
          <w:color w:val="000000"/>
          <w:sz w:val="24"/>
        </w:rPr>
        <w:t>0.8–1.2 kb</w:t>
      </w:r>
      <w:r>
        <w:rPr>
          <w:color w:val="000000"/>
          <w:sz w:val="24"/>
        </w:rPr>
        <w:t>的同源臂片段，并以</w:t>
      </w:r>
      <w:r>
        <w:rPr>
          <w:color w:val="000000"/>
          <w:sz w:val="24"/>
        </w:rPr>
        <w:t>pJOE8999</w:t>
      </w:r>
      <w:r>
        <w:rPr>
          <w:color w:val="000000"/>
          <w:sz w:val="24"/>
        </w:rPr>
        <w:t>质粒为模板扩增卡那霉素抗性基因（</w:t>
      </w:r>
      <w:r>
        <w:rPr>
          <w:color w:val="000000"/>
          <w:sz w:val="24"/>
        </w:rPr>
        <w:t>Kanamycin resistance marker, KmR</w:t>
      </w:r>
      <w:r>
        <w:rPr>
          <w:color w:val="000000"/>
          <w:sz w:val="24"/>
        </w:rPr>
        <w:t>）。随后采用重叠延伸</w:t>
      </w:r>
      <w:r>
        <w:rPr>
          <w:color w:val="000000"/>
          <w:sz w:val="24"/>
        </w:rPr>
        <w:t>PCR</w:t>
      </w:r>
      <w:r>
        <w:rPr>
          <w:color w:val="000000"/>
          <w:sz w:val="24"/>
        </w:rPr>
        <w:t>技术，将上游同源臂、抗性片段及下游同源臂拼接构建完整的线性打靶片段，为后续电转化及同源重组提供分子基础。</w:t>
      </w:r>
    </w:p>
    <w:p w14:paraId="6B9A2F16"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44" w:name="docfit_s001_Toc4086"/>
      <w:bookmarkStart w:id="45" w:name="_Toc236830355"/>
      <w:r>
        <w:rPr>
          <w:rFonts w:eastAsia="宋体"/>
          <w:color w:val="000000"/>
          <w:sz w:val="24"/>
        </w:rPr>
        <w:t xml:space="preserve">3.1 </w:t>
      </w:r>
      <w:r>
        <w:rPr>
          <w:rFonts w:eastAsia="宋体"/>
          <w:color w:val="000000"/>
          <w:sz w:val="24"/>
        </w:rPr>
        <w:t>实验材料</w:t>
      </w:r>
      <w:bookmarkEnd w:id="44"/>
      <w:bookmarkEnd w:id="45"/>
    </w:p>
    <w:p w14:paraId="150D52C2"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1</w:t>
      </w:r>
      <w:r>
        <w:rPr>
          <w:color w:val="000000"/>
          <w:sz w:val="24"/>
        </w:rPr>
        <w:t>）</w:t>
      </w:r>
      <w:r>
        <w:rPr>
          <w:color w:val="000000"/>
          <w:sz w:val="24"/>
        </w:rPr>
        <w:t>E.Z.N.A.®Gel Extraction Kit</w:t>
      </w:r>
      <w:r>
        <w:rPr>
          <w:color w:val="000000"/>
          <w:sz w:val="24"/>
        </w:rPr>
        <w:t>（</w:t>
      </w:r>
      <w:r>
        <w:rPr>
          <w:color w:val="000000"/>
          <w:sz w:val="24"/>
        </w:rPr>
        <w:t>OMEGA</w:t>
      </w:r>
      <w:r>
        <w:rPr>
          <w:color w:val="000000"/>
          <w:sz w:val="24"/>
        </w:rPr>
        <w:t>胶回收试剂盒），</w:t>
      </w:r>
      <w:r>
        <w:rPr>
          <w:color w:val="000000"/>
          <w:sz w:val="24"/>
        </w:rPr>
        <w:t>pJOE8999</w:t>
      </w:r>
      <w:r>
        <w:rPr>
          <w:color w:val="000000"/>
          <w:sz w:val="24"/>
        </w:rPr>
        <w:t>质粒。</w:t>
      </w:r>
    </w:p>
    <w:p w14:paraId="3B2CA861"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46" w:name="docfit_s001_Toc23714"/>
      <w:bookmarkStart w:id="47" w:name="_Toc236830356"/>
      <w:r>
        <w:rPr>
          <w:rFonts w:eastAsia="宋体"/>
          <w:color w:val="000000"/>
          <w:sz w:val="24"/>
        </w:rPr>
        <w:t xml:space="preserve">3.2 </w:t>
      </w:r>
      <w:r>
        <w:rPr>
          <w:rFonts w:eastAsia="宋体"/>
          <w:color w:val="000000"/>
          <w:sz w:val="24"/>
        </w:rPr>
        <w:t>打靶片段引物设计</w:t>
      </w:r>
      <w:bookmarkEnd w:id="46"/>
      <w:bookmarkEnd w:id="47"/>
    </w:p>
    <w:p w14:paraId="3B446B2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根据</w:t>
      </w:r>
      <w:r>
        <w:rPr>
          <w:color w:val="000000"/>
          <w:sz w:val="24"/>
        </w:rPr>
        <w:t>PGP6</w:t>
      </w:r>
      <w:r>
        <w:rPr>
          <w:color w:val="000000"/>
          <w:sz w:val="24"/>
        </w:rPr>
        <w:t>全基因组注释结果，获取目标基因</w:t>
      </w:r>
      <w:r>
        <w:rPr>
          <w:i/>
          <w:iCs/>
          <w:color w:val="000000"/>
          <w:sz w:val="24"/>
        </w:rPr>
        <w:t>trpA</w:t>
      </w:r>
      <w:r>
        <w:rPr>
          <w:i/>
          <w:iCs/>
          <w:color w:val="000000"/>
          <w:sz w:val="24"/>
        </w:rPr>
        <w:t>、</w:t>
      </w:r>
      <w:r>
        <w:rPr>
          <w:i/>
          <w:iCs/>
          <w:color w:val="000000"/>
          <w:sz w:val="24"/>
        </w:rPr>
        <w:t>trpB</w:t>
      </w:r>
      <w:r>
        <w:rPr>
          <w:i/>
          <w:iCs/>
          <w:color w:val="000000"/>
          <w:sz w:val="24"/>
        </w:rPr>
        <w:t>、</w:t>
      </w:r>
      <w:r>
        <w:rPr>
          <w:i/>
          <w:iCs/>
          <w:color w:val="000000"/>
          <w:sz w:val="24"/>
        </w:rPr>
        <w:t>patB</w:t>
      </w:r>
      <w:r>
        <w:rPr>
          <w:color w:val="000000"/>
          <w:sz w:val="24"/>
        </w:rPr>
        <w:t>及</w:t>
      </w:r>
      <w:r>
        <w:rPr>
          <w:i/>
          <w:iCs/>
          <w:color w:val="000000"/>
          <w:sz w:val="24"/>
        </w:rPr>
        <w:t>iaaH</w:t>
      </w:r>
      <w:r>
        <w:rPr>
          <w:color w:val="000000"/>
          <w:sz w:val="24"/>
        </w:rPr>
        <w:t>的核苷酸序列，并选取其上下游约</w:t>
      </w:r>
      <w:r>
        <w:rPr>
          <w:color w:val="000000"/>
          <w:sz w:val="24"/>
        </w:rPr>
        <w:t>0.8-1.2 kb</w:t>
      </w:r>
      <w:r>
        <w:rPr>
          <w:color w:val="000000"/>
          <w:sz w:val="24"/>
        </w:rPr>
        <w:t>的序列作为同源臂区域。利用</w:t>
      </w:r>
      <w:r>
        <w:rPr>
          <w:color w:val="000000"/>
          <w:sz w:val="24"/>
        </w:rPr>
        <w:t>SnapGene</w:t>
      </w:r>
      <w:r>
        <w:rPr>
          <w:color w:val="000000"/>
          <w:sz w:val="24"/>
        </w:rPr>
        <w:t>软件对目标基因的上下游同源臂区域进行分析，在此基础上设计用于扩增同源臂片段的引物。在引物设计过程中，综合考虑引物长度（通常为</w:t>
      </w:r>
      <w:r>
        <w:rPr>
          <w:color w:val="000000"/>
          <w:sz w:val="24"/>
        </w:rPr>
        <w:t>18-25 bp</w:t>
      </w:r>
      <w:r>
        <w:rPr>
          <w:color w:val="000000"/>
          <w:sz w:val="24"/>
        </w:rPr>
        <w:t>）、退火温度（</w:t>
      </w:r>
      <w:r>
        <w:rPr>
          <w:color w:val="000000"/>
          <w:sz w:val="24"/>
        </w:rPr>
        <w:t>Tm</w:t>
      </w:r>
      <w:r>
        <w:rPr>
          <w:color w:val="000000"/>
          <w:sz w:val="24"/>
        </w:rPr>
        <w:t>值控制在</w:t>
      </w:r>
      <w:r>
        <w:rPr>
          <w:color w:val="000000"/>
          <w:sz w:val="24"/>
        </w:rPr>
        <w:t>55-65℃</w:t>
      </w:r>
      <w:r>
        <w:rPr>
          <w:color w:val="000000"/>
          <w:sz w:val="24"/>
        </w:rPr>
        <w:t>且上下游引物</w:t>
      </w:r>
      <w:r>
        <w:rPr>
          <w:color w:val="000000"/>
          <w:sz w:val="24"/>
        </w:rPr>
        <w:t>Tm</w:t>
      </w:r>
      <w:r>
        <w:rPr>
          <w:color w:val="000000"/>
          <w:sz w:val="24"/>
        </w:rPr>
        <w:t>值相近）及</w:t>
      </w:r>
      <w:r>
        <w:rPr>
          <w:color w:val="000000"/>
          <w:sz w:val="24"/>
        </w:rPr>
        <w:t>GC</w:t>
      </w:r>
      <w:r>
        <w:rPr>
          <w:color w:val="000000"/>
          <w:sz w:val="24"/>
        </w:rPr>
        <w:t>含量（</w:t>
      </w:r>
      <w:r>
        <w:rPr>
          <w:color w:val="000000"/>
          <w:sz w:val="24"/>
        </w:rPr>
        <w:t>40%–60%</w:t>
      </w:r>
      <w:r>
        <w:rPr>
          <w:color w:val="000000"/>
          <w:sz w:val="24"/>
        </w:rPr>
        <w:t>）等关键参数，以保证扩增反应的特异性与稳定性。同时，通过在引物端引入适当的重叠序列，为后续重叠延伸</w:t>
      </w:r>
      <w:r>
        <w:rPr>
          <w:color w:val="000000"/>
          <w:sz w:val="24"/>
        </w:rPr>
        <w:t>PCR</w:t>
      </w:r>
      <w:r>
        <w:rPr>
          <w:color w:val="000000"/>
          <w:sz w:val="24"/>
        </w:rPr>
        <w:t>拼接提供条件。设计完成后，将引物序列提交南京擎科生物科技有限公司进行合成。</w:t>
      </w:r>
    </w:p>
    <w:p w14:paraId="4ACF8FCF"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48" w:name="docfit_s001_Toc22133"/>
      <w:bookmarkStart w:id="49" w:name="_Toc236830357"/>
      <w:r>
        <w:rPr>
          <w:rFonts w:eastAsia="宋体"/>
          <w:color w:val="000000"/>
          <w:sz w:val="24"/>
        </w:rPr>
        <w:t xml:space="preserve">3.3 </w:t>
      </w:r>
      <w:r>
        <w:rPr>
          <w:rFonts w:eastAsia="宋体"/>
          <w:color w:val="000000"/>
          <w:sz w:val="24"/>
        </w:rPr>
        <w:t>打靶片段的扩增、检测及回收</w:t>
      </w:r>
      <w:bookmarkEnd w:id="48"/>
      <w:bookmarkEnd w:id="49"/>
    </w:p>
    <w:p w14:paraId="17CCCD78"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以</w:t>
      </w:r>
      <w:r>
        <w:rPr>
          <w:color w:val="000000"/>
          <w:sz w:val="24"/>
        </w:rPr>
        <w:t>PGP6</w:t>
      </w:r>
      <w:r>
        <w:rPr>
          <w:color w:val="000000"/>
          <w:sz w:val="24"/>
        </w:rPr>
        <w:t>基因组</w:t>
      </w:r>
      <w:r>
        <w:rPr>
          <w:color w:val="000000"/>
          <w:sz w:val="24"/>
        </w:rPr>
        <w:t>DNA</w:t>
      </w:r>
      <w:r>
        <w:rPr>
          <w:color w:val="000000"/>
          <w:sz w:val="24"/>
        </w:rPr>
        <w:t>为模板，通过聚合酶链式反应（</w:t>
      </w:r>
      <w:r>
        <w:rPr>
          <w:color w:val="000000"/>
          <w:sz w:val="24"/>
        </w:rPr>
        <w:t>Polymerase Chain Reaction, PCR</w:t>
      </w:r>
      <w:r>
        <w:rPr>
          <w:color w:val="000000"/>
          <w:sz w:val="24"/>
        </w:rPr>
        <w:t>）分别扩增目标基因</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及</w:t>
      </w:r>
      <w:r>
        <w:rPr>
          <w:i/>
          <w:iCs/>
          <w:color w:val="000000"/>
          <w:sz w:val="24"/>
        </w:rPr>
        <w:t>iaaH</w:t>
      </w:r>
      <w:r>
        <w:rPr>
          <w:color w:val="000000"/>
          <w:sz w:val="24"/>
        </w:rPr>
        <w:t>的上游和下游同源臂片段，同时以</w:t>
      </w:r>
      <w:r>
        <w:rPr>
          <w:color w:val="000000"/>
          <w:sz w:val="24"/>
        </w:rPr>
        <w:t>pJOE8999</w:t>
      </w:r>
      <w:r>
        <w:rPr>
          <w:color w:val="000000"/>
          <w:sz w:val="24"/>
        </w:rPr>
        <w:t>质粒为模板扩增卡那霉素抗性基因（</w:t>
      </w:r>
      <w:r>
        <w:rPr>
          <w:color w:val="000000"/>
          <w:sz w:val="24"/>
        </w:rPr>
        <w:t>Kanamycin resistance marker, KmR</w:t>
      </w:r>
      <w:r>
        <w:rPr>
          <w:color w:val="000000"/>
          <w:sz w:val="24"/>
        </w:rPr>
        <w:t>）片段，对各片段进行</w:t>
      </w:r>
      <w:r>
        <w:rPr>
          <w:color w:val="000000"/>
          <w:sz w:val="24"/>
        </w:rPr>
        <w:t>1%</w:t>
      </w:r>
      <w:r>
        <w:rPr>
          <w:color w:val="000000"/>
          <w:sz w:val="24"/>
        </w:rPr>
        <w:t>琼脂糖凝胶电泳检测及</w:t>
      </w:r>
      <w:r>
        <w:rPr>
          <w:color w:val="000000"/>
          <w:sz w:val="24"/>
        </w:rPr>
        <w:t>DNA</w:t>
      </w:r>
      <w:r>
        <w:rPr>
          <w:color w:val="000000"/>
          <w:sz w:val="24"/>
        </w:rPr>
        <w:t>纯化。在获得各目标片段后，采用重叠延伸</w:t>
      </w:r>
      <w:r>
        <w:rPr>
          <w:color w:val="000000"/>
          <w:sz w:val="24"/>
        </w:rPr>
        <w:t>PCR</w:t>
      </w:r>
      <w:r>
        <w:rPr>
          <w:color w:val="000000"/>
          <w:sz w:val="24"/>
        </w:rPr>
        <w:t>技术将上游同源臂、抗性标记片段及下游同源臂拼接，构建完整的线性打靶片段。扩增产物经琼脂糖凝胶电泳分离，通过凝胶成像系统观察条带大小及特异性，选取与预期长度一致且条带清晰的目标片段。</w:t>
      </w:r>
      <w:r>
        <w:rPr>
          <w:color w:val="000000"/>
          <w:sz w:val="24"/>
        </w:rPr>
        <w:lastRenderedPageBreak/>
        <w:t>随后切取对应条带，使用</w:t>
      </w:r>
      <w:r>
        <w:rPr>
          <w:color w:val="000000"/>
          <w:sz w:val="24"/>
        </w:rPr>
        <w:t>E.Z.N.A.®Gel Extraction Kit</w:t>
      </w:r>
      <w:r>
        <w:rPr>
          <w:color w:val="000000"/>
          <w:sz w:val="24"/>
        </w:rPr>
        <w:t>（</w:t>
      </w:r>
      <w:r>
        <w:rPr>
          <w:color w:val="000000"/>
          <w:sz w:val="24"/>
        </w:rPr>
        <w:t>OMEGA</w:t>
      </w:r>
      <w:r>
        <w:rPr>
          <w:color w:val="000000"/>
          <w:sz w:val="24"/>
        </w:rPr>
        <w:t>）胶回收试剂盒按照说明书进行</w:t>
      </w:r>
      <w:r>
        <w:rPr>
          <w:color w:val="000000"/>
          <w:sz w:val="24"/>
        </w:rPr>
        <w:t>DNA</w:t>
      </w:r>
      <w:r>
        <w:rPr>
          <w:color w:val="000000"/>
          <w:sz w:val="24"/>
        </w:rPr>
        <w:t>纯化，获得纯化的线性打靶片用于后续电转化实验。</w:t>
      </w:r>
    </w:p>
    <w:p w14:paraId="26F34332" w14:textId="77777777" w:rsidR="00651B96" w:rsidRDefault="00721866">
      <w:pPr>
        <w:keepNext/>
        <w:keepLines/>
        <w:autoSpaceDE w:val="0"/>
        <w:autoSpaceDN w:val="0"/>
        <w:spacing w:line="400" w:lineRule="exact"/>
        <w:jc w:val="center"/>
        <w:rPr>
          <w:rFonts w:ascii="宋体" w:hAnsi="宋体"/>
          <w:sz w:val="24"/>
        </w:rPr>
      </w:pPr>
      <w:r>
        <w:rPr>
          <w:color w:val="000000"/>
          <w:szCs w:val="21"/>
        </w:rPr>
        <w:t>表</w:t>
      </w:r>
      <w:r>
        <w:rPr>
          <w:color w:val="000000"/>
          <w:szCs w:val="21"/>
        </w:rPr>
        <w:t xml:space="preserve"> 2-1 PCR</w:t>
      </w:r>
      <w:r>
        <w:rPr>
          <w:color w:val="000000"/>
          <w:szCs w:val="21"/>
        </w:rPr>
        <w:t>反应体系</w:t>
      </w:r>
    </w:p>
    <w:p w14:paraId="5D659D65" w14:textId="77777777" w:rsidR="00651B96" w:rsidRDefault="00721866">
      <w:pPr>
        <w:keepNext/>
        <w:keepLines/>
        <w:autoSpaceDE w:val="0"/>
        <w:autoSpaceDN w:val="0"/>
        <w:spacing w:line="400" w:lineRule="exact"/>
        <w:jc w:val="center"/>
        <w:rPr>
          <w:rFonts w:ascii="宋体" w:hAnsi="宋体"/>
          <w:sz w:val="24"/>
        </w:rPr>
      </w:pPr>
      <w:r>
        <w:rPr>
          <w:color w:val="000000"/>
          <w:szCs w:val="21"/>
        </w:rPr>
        <w:t>Table 2-1 PCR Reaction System</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542"/>
        <w:gridCol w:w="4543"/>
      </w:tblGrid>
      <w:tr w:rsidR="00651B96" w14:paraId="5CA7CEF8" w14:textId="77777777">
        <w:trPr>
          <w:cantSplit/>
          <w:tblHeader/>
          <w:jc w:val="center"/>
        </w:trPr>
        <w:tc>
          <w:tcPr>
            <w:tcW w:w="4542" w:type="dxa"/>
            <w:tcBorders>
              <w:bottom w:val="single" w:sz="4" w:space="0" w:color="000000"/>
            </w:tcBorders>
            <w:shd w:val="clear" w:color="auto" w:fill="FFFFFF"/>
          </w:tcPr>
          <w:p w14:paraId="1E54096E" w14:textId="77777777" w:rsidR="00651B96" w:rsidRDefault="00721866">
            <w:pPr>
              <w:autoSpaceDE w:val="0"/>
              <w:autoSpaceDN w:val="0"/>
              <w:spacing w:line="300" w:lineRule="exact"/>
              <w:jc w:val="center"/>
              <w:rPr>
                <w:rFonts w:ascii="宋体" w:hAnsi="宋体"/>
                <w:sz w:val="24"/>
              </w:rPr>
            </w:pPr>
            <w:r>
              <w:rPr>
                <w:color w:val="000000"/>
                <w:szCs w:val="21"/>
              </w:rPr>
              <w:t>组分</w:t>
            </w:r>
          </w:p>
        </w:tc>
        <w:tc>
          <w:tcPr>
            <w:tcW w:w="4543" w:type="dxa"/>
            <w:tcBorders>
              <w:bottom w:val="single" w:sz="4" w:space="0" w:color="000000"/>
            </w:tcBorders>
            <w:shd w:val="clear" w:color="auto" w:fill="FFFFFF"/>
          </w:tcPr>
          <w:p w14:paraId="18FA7D5B" w14:textId="77777777" w:rsidR="00651B96" w:rsidRDefault="00721866">
            <w:pPr>
              <w:autoSpaceDE w:val="0"/>
              <w:autoSpaceDN w:val="0"/>
              <w:spacing w:line="300" w:lineRule="exact"/>
              <w:jc w:val="center"/>
              <w:rPr>
                <w:rFonts w:ascii="宋体" w:hAnsi="宋体"/>
                <w:sz w:val="24"/>
              </w:rPr>
            </w:pPr>
            <w:r>
              <w:rPr>
                <w:color w:val="000000"/>
                <w:szCs w:val="21"/>
              </w:rPr>
              <w:t>体积</w:t>
            </w:r>
          </w:p>
        </w:tc>
      </w:tr>
      <w:tr w:rsidR="00651B96" w14:paraId="246A8B0C" w14:textId="77777777">
        <w:trPr>
          <w:cantSplit/>
          <w:jc w:val="center"/>
        </w:trPr>
        <w:tc>
          <w:tcPr>
            <w:tcW w:w="4542" w:type="dxa"/>
            <w:shd w:val="clear" w:color="auto" w:fill="FFFFFF"/>
          </w:tcPr>
          <w:p w14:paraId="2CBBE1CD" w14:textId="77777777" w:rsidR="00651B96" w:rsidRDefault="00721866">
            <w:pPr>
              <w:autoSpaceDE w:val="0"/>
              <w:autoSpaceDN w:val="0"/>
              <w:spacing w:line="300" w:lineRule="exact"/>
              <w:jc w:val="center"/>
              <w:rPr>
                <w:rFonts w:ascii="宋体" w:hAnsi="宋体"/>
                <w:sz w:val="24"/>
              </w:rPr>
            </w:pPr>
            <w:r>
              <w:rPr>
                <w:color w:val="000000"/>
                <w:szCs w:val="21"/>
              </w:rPr>
              <w:t>2×Phanta Max Master Mix</w:t>
            </w:r>
          </w:p>
        </w:tc>
        <w:tc>
          <w:tcPr>
            <w:tcW w:w="4543" w:type="dxa"/>
            <w:shd w:val="clear" w:color="auto" w:fill="FFFFFF"/>
          </w:tcPr>
          <w:p w14:paraId="3ED249EB" w14:textId="77777777" w:rsidR="00651B96" w:rsidRDefault="00721866">
            <w:pPr>
              <w:autoSpaceDE w:val="0"/>
              <w:autoSpaceDN w:val="0"/>
              <w:spacing w:line="300" w:lineRule="exact"/>
              <w:jc w:val="center"/>
              <w:rPr>
                <w:rFonts w:ascii="宋体" w:hAnsi="宋体"/>
                <w:sz w:val="24"/>
              </w:rPr>
            </w:pPr>
            <w:r>
              <w:rPr>
                <w:color w:val="000000"/>
                <w:szCs w:val="21"/>
              </w:rPr>
              <w:t>25</w:t>
            </w:r>
            <w:r>
              <w:rPr>
                <w:color w:val="000000"/>
                <w:szCs w:val="21"/>
              </w:rPr>
              <w:t>μL</w:t>
            </w:r>
          </w:p>
        </w:tc>
      </w:tr>
      <w:tr w:rsidR="00651B96" w14:paraId="3CB3AC71" w14:textId="77777777">
        <w:trPr>
          <w:cantSplit/>
          <w:jc w:val="center"/>
        </w:trPr>
        <w:tc>
          <w:tcPr>
            <w:tcW w:w="4542" w:type="dxa"/>
            <w:shd w:val="clear" w:color="auto" w:fill="FFFFFF"/>
          </w:tcPr>
          <w:p w14:paraId="26651A8F" w14:textId="77777777" w:rsidR="00651B96" w:rsidRDefault="00721866">
            <w:pPr>
              <w:autoSpaceDE w:val="0"/>
              <w:autoSpaceDN w:val="0"/>
              <w:spacing w:line="300" w:lineRule="exact"/>
              <w:jc w:val="center"/>
              <w:rPr>
                <w:rFonts w:ascii="宋体" w:hAnsi="宋体"/>
                <w:sz w:val="24"/>
              </w:rPr>
            </w:pPr>
            <w:r>
              <w:rPr>
                <w:color w:val="000000"/>
                <w:szCs w:val="21"/>
              </w:rPr>
              <w:t>Primer_F</w:t>
            </w:r>
          </w:p>
        </w:tc>
        <w:tc>
          <w:tcPr>
            <w:tcW w:w="4543" w:type="dxa"/>
            <w:shd w:val="clear" w:color="auto" w:fill="FFFFFF"/>
          </w:tcPr>
          <w:p w14:paraId="0FB8B991" w14:textId="77777777" w:rsidR="00651B96" w:rsidRDefault="00721866">
            <w:pPr>
              <w:autoSpaceDE w:val="0"/>
              <w:autoSpaceDN w:val="0"/>
              <w:spacing w:line="300" w:lineRule="exact"/>
              <w:jc w:val="center"/>
              <w:rPr>
                <w:rFonts w:ascii="宋体" w:hAnsi="宋体"/>
                <w:sz w:val="24"/>
              </w:rPr>
            </w:pPr>
            <w:r>
              <w:rPr>
                <w:color w:val="000000"/>
                <w:szCs w:val="21"/>
              </w:rPr>
              <w:t>1μL</w:t>
            </w:r>
          </w:p>
        </w:tc>
      </w:tr>
      <w:tr w:rsidR="00651B96" w14:paraId="4341BC81" w14:textId="77777777">
        <w:trPr>
          <w:cantSplit/>
          <w:jc w:val="center"/>
        </w:trPr>
        <w:tc>
          <w:tcPr>
            <w:tcW w:w="4542" w:type="dxa"/>
            <w:shd w:val="clear" w:color="auto" w:fill="FFFFFF"/>
          </w:tcPr>
          <w:p w14:paraId="53EB50CD" w14:textId="77777777" w:rsidR="00651B96" w:rsidRDefault="00721866">
            <w:pPr>
              <w:autoSpaceDE w:val="0"/>
              <w:autoSpaceDN w:val="0"/>
              <w:spacing w:line="300" w:lineRule="exact"/>
              <w:jc w:val="center"/>
              <w:rPr>
                <w:rFonts w:ascii="宋体" w:hAnsi="宋体"/>
                <w:sz w:val="24"/>
              </w:rPr>
            </w:pPr>
            <w:r>
              <w:rPr>
                <w:color w:val="000000"/>
                <w:szCs w:val="21"/>
              </w:rPr>
              <w:t>Primer_R</w:t>
            </w:r>
          </w:p>
        </w:tc>
        <w:tc>
          <w:tcPr>
            <w:tcW w:w="4543" w:type="dxa"/>
            <w:shd w:val="clear" w:color="auto" w:fill="FFFFFF"/>
          </w:tcPr>
          <w:p w14:paraId="0587BBF1" w14:textId="77777777" w:rsidR="00651B96" w:rsidRDefault="00721866">
            <w:pPr>
              <w:autoSpaceDE w:val="0"/>
              <w:autoSpaceDN w:val="0"/>
              <w:spacing w:line="300" w:lineRule="exact"/>
              <w:jc w:val="center"/>
              <w:rPr>
                <w:rFonts w:ascii="宋体" w:hAnsi="宋体"/>
                <w:sz w:val="24"/>
              </w:rPr>
            </w:pPr>
            <w:r>
              <w:rPr>
                <w:color w:val="000000"/>
                <w:szCs w:val="21"/>
              </w:rPr>
              <w:t>1μL</w:t>
            </w:r>
          </w:p>
        </w:tc>
      </w:tr>
      <w:tr w:rsidR="00651B96" w14:paraId="033DBA36" w14:textId="77777777">
        <w:trPr>
          <w:cantSplit/>
          <w:jc w:val="center"/>
        </w:trPr>
        <w:tc>
          <w:tcPr>
            <w:tcW w:w="4542" w:type="dxa"/>
            <w:shd w:val="clear" w:color="auto" w:fill="FFFFFF"/>
          </w:tcPr>
          <w:p w14:paraId="4BE9844B" w14:textId="77777777" w:rsidR="00651B96" w:rsidRDefault="00721866">
            <w:pPr>
              <w:autoSpaceDE w:val="0"/>
              <w:autoSpaceDN w:val="0"/>
              <w:spacing w:line="300" w:lineRule="exact"/>
              <w:jc w:val="center"/>
              <w:rPr>
                <w:rFonts w:ascii="宋体" w:hAnsi="宋体"/>
                <w:sz w:val="24"/>
              </w:rPr>
            </w:pPr>
            <w:r>
              <w:rPr>
                <w:color w:val="000000"/>
                <w:szCs w:val="21"/>
              </w:rPr>
              <w:t>Template DNA</w:t>
            </w:r>
          </w:p>
        </w:tc>
        <w:tc>
          <w:tcPr>
            <w:tcW w:w="4543" w:type="dxa"/>
            <w:shd w:val="clear" w:color="auto" w:fill="FFFFFF"/>
          </w:tcPr>
          <w:p w14:paraId="58850C82" w14:textId="77777777" w:rsidR="00651B96" w:rsidRDefault="00721866">
            <w:pPr>
              <w:autoSpaceDE w:val="0"/>
              <w:autoSpaceDN w:val="0"/>
              <w:spacing w:line="300" w:lineRule="exact"/>
              <w:jc w:val="center"/>
              <w:rPr>
                <w:rFonts w:ascii="宋体" w:hAnsi="宋体"/>
                <w:sz w:val="24"/>
              </w:rPr>
            </w:pPr>
            <w:r>
              <w:rPr>
                <w:color w:val="000000"/>
                <w:szCs w:val="21"/>
              </w:rPr>
              <w:t>2μL</w:t>
            </w:r>
          </w:p>
        </w:tc>
      </w:tr>
      <w:tr w:rsidR="00651B96" w14:paraId="681848AC" w14:textId="77777777">
        <w:trPr>
          <w:cantSplit/>
          <w:jc w:val="center"/>
        </w:trPr>
        <w:tc>
          <w:tcPr>
            <w:tcW w:w="4542" w:type="dxa"/>
            <w:shd w:val="clear" w:color="auto" w:fill="FFFFFF"/>
          </w:tcPr>
          <w:p w14:paraId="721D5B11" w14:textId="77777777" w:rsidR="00651B96" w:rsidRDefault="00721866">
            <w:pPr>
              <w:autoSpaceDE w:val="0"/>
              <w:autoSpaceDN w:val="0"/>
              <w:spacing w:line="300" w:lineRule="exact"/>
              <w:jc w:val="center"/>
              <w:rPr>
                <w:rFonts w:ascii="宋体" w:hAnsi="宋体"/>
                <w:sz w:val="24"/>
              </w:rPr>
            </w:pPr>
            <w:r>
              <w:rPr>
                <w:color w:val="000000"/>
                <w:szCs w:val="21"/>
              </w:rPr>
              <w:t>ddH</w:t>
            </w:r>
            <w:r>
              <w:rPr>
                <w:color w:val="000000"/>
                <w:szCs w:val="21"/>
                <w:vertAlign w:val="subscript"/>
              </w:rPr>
              <w:t>2</w:t>
            </w:r>
            <w:r>
              <w:rPr>
                <w:color w:val="000000"/>
                <w:szCs w:val="21"/>
              </w:rPr>
              <w:t>O</w:t>
            </w:r>
          </w:p>
        </w:tc>
        <w:tc>
          <w:tcPr>
            <w:tcW w:w="4543" w:type="dxa"/>
            <w:shd w:val="clear" w:color="auto" w:fill="FFFFFF"/>
          </w:tcPr>
          <w:p w14:paraId="6B3B96E2" w14:textId="77777777" w:rsidR="00651B96" w:rsidRDefault="00721866">
            <w:pPr>
              <w:autoSpaceDE w:val="0"/>
              <w:autoSpaceDN w:val="0"/>
              <w:spacing w:line="300" w:lineRule="exact"/>
              <w:jc w:val="center"/>
              <w:rPr>
                <w:rFonts w:ascii="宋体" w:hAnsi="宋体"/>
                <w:sz w:val="24"/>
              </w:rPr>
            </w:pPr>
            <w:r>
              <w:rPr>
                <w:color w:val="000000"/>
                <w:szCs w:val="21"/>
              </w:rPr>
              <w:t>up to 50μL</w:t>
            </w:r>
          </w:p>
        </w:tc>
      </w:tr>
    </w:tbl>
    <w:p w14:paraId="06A8CFF8" w14:textId="77777777" w:rsidR="00651B96" w:rsidRDefault="00721866">
      <w:pPr>
        <w:keepNext/>
        <w:keepLines/>
        <w:autoSpaceDE w:val="0"/>
        <w:autoSpaceDN w:val="0"/>
        <w:spacing w:line="400" w:lineRule="exact"/>
        <w:jc w:val="center"/>
        <w:rPr>
          <w:rFonts w:ascii="宋体" w:hAnsi="宋体"/>
          <w:sz w:val="24"/>
        </w:rPr>
      </w:pPr>
      <w:r>
        <w:rPr>
          <w:color w:val="000000"/>
          <w:szCs w:val="21"/>
        </w:rPr>
        <w:t>表</w:t>
      </w:r>
      <w:r>
        <w:rPr>
          <w:color w:val="000000"/>
          <w:szCs w:val="21"/>
        </w:rPr>
        <w:t xml:space="preserve"> 2-2 PCR</w:t>
      </w:r>
      <w:r>
        <w:rPr>
          <w:color w:val="000000"/>
          <w:szCs w:val="21"/>
        </w:rPr>
        <w:t>反应体系</w:t>
      </w:r>
    </w:p>
    <w:p w14:paraId="153F1CA3" w14:textId="77777777" w:rsidR="00651B96" w:rsidRDefault="00721866">
      <w:pPr>
        <w:keepNext/>
        <w:keepLines/>
        <w:autoSpaceDE w:val="0"/>
        <w:autoSpaceDN w:val="0"/>
        <w:spacing w:line="400" w:lineRule="exact"/>
        <w:jc w:val="center"/>
        <w:rPr>
          <w:rFonts w:ascii="宋体" w:hAnsi="宋体"/>
          <w:sz w:val="24"/>
        </w:rPr>
      </w:pPr>
      <w:r>
        <w:rPr>
          <w:color w:val="000000"/>
          <w:szCs w:val="21"/>
        </w:rPr>
        <w:t>Table 2-2 PCR Reaction System</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542"/>
        <w:gridCol w:w="4543"/>
      </w:tblGrid>
      <w:tr w:rsidR="00651B96" w14:paraId="18AF0F1A" w14:textId="77777777">
        <w:trPr>
          <w:cantSplit/>
          <w:tblHeader/>
          <w:jc w:val="center"/>
        </w:trPr>
        <w:tc>
          <w:tcPr>
            <w:tcW w:w="4542" w:type="dxa"/>
            <w:tcBorders>
              <w:bottom w:val="single" w:sz="4" w:space="0" w:color="000000"/>
            </w:tcBorders>
            <w:shd w:val="clear" w:color="auto" w:fill="FFFFFF"/>
          </w:tcPr>
          <w:p w14:paraId="313A4DE4" w14:textId="77777777" w:rsidR="00651B96" w:rsidRDefault="00721866">
            <w:pPr>
              <w:autoSpaceDE w:val="0"/>
              <w:autoSpaceDN w:val="0"/>
              <w:spacing w:line="300" w:lineRule="exact"/>
              <w:jc w:val="center"/>
              <w:rPr>
                <w:rFonts w:ascii="宋体" w:hAnsi="宋体"/>
                <w:sz w:val="24"/>
              </w:rPr>
            </w:pPr>
            <w:r>
              <w:rPr>
                <w:color w:val="000000"/>
                <w:szCs w:val="21"/>
              </w:rPr>
              <w:t>组分</w:t>
            </w:r>
          </w:p>
        </w:tc>
        <w:tc>
          <w:tcPr>
            <w:tcW w:w="4543" w:type="dxa"/>
            <w:tcBorders>
              <w:bottom w:val="single" w:sz="4" w:space="0" w:color="000000"/>
            </w:tcBorders>
            <w:shd w:val="clear" w:color="auto" w:fill="FFFFFF"/>
          </w:tcPr>
          <w:p w14:paraId="24CAF1E8" w14:textId="77777777" w:rsidR="00651B96" w:rsidRDefault="00721866">
            <w:pPr>
              <w:autoSpaceDE w:val="0"/>
              <w:autoSpaceDN w:val="0"/>
              <w:spacing w:line="300" w:lineRule="exact"/>
              <w:jc w:val="center"/>
              <w:rPr>
                <w:rFonts w:ascii="宋体" w:hAnsi="宋体"/>
                <w:sz w:val="24"/>
              </w:rPr>
            </w:pPr>
            <w:r>
              <w:rPr>
                <w:color w:val="000000"/>
                <w:szCs w:val="21"/>
              </w:rPr>
              <w:t>体积</w:t>
            </w:r>
          </w:p>
        </w:tc>
      </w:tr>
      <w:tr w:rsidR="00651B96" w14:paraId="58591F5F" w14:textId="77777777">
        <w:trPr>
          <w:cantSplit/>
          <w:jc w:val="center"/>
        </w:trPr>
        <w:tc>
          <w:tcPr>
            <w:tcW w:w="4542" w:type="dxa"/>
            <w:shd w:val="clear" w:color="auto" w:fill="FFFFFF"/>
          </w:tcPr>
          <w:p w14:paraId="0EE3064E" w14:textId="77777777" w:rsidR="00651B96" w:rsidRDefault="00721866">
            <w:pPr>
              <w:autoSpaceDE w:val="0"/>
              <w:autoSpaceDN w:val="0"/>
              <w:spacing w:line="300" w:lineRule="exact"/>
              <w:jc w:val="center"/>
              <w:rPr>
                <w:rFonts w:ascii="宋体" w:hAnsi="宋体"/>
                <w:sz w:val="24"/>
              </w:rPr>
            </w:pPr>
            <w:r>
              <w:rPr>
                <w:color w:val="000000"/>
                <w:szCs w:val="21"/>
              </w:rPr>
              <w:t>2×Phanta Max Master Mix</w:t>
            </w:r>
          </w:p>
        </w:tc>
        <w:tc>
          <w:tcPr>
            <w:tcW w:w="4543" w:type="dxa"/>
            <w:shd w:val="clear" w:color="auto" w:fill="FFFFFF"/>
          </w:tcPr>
          <w:p w14:paraId="3675981B" w14:textId="77777777" w:rsidR="00651B96" w:rsidRDefault="00721866">
            <w:pPr>
              <w:autoSpaceDE w:val="0"/>
              <w:autoSpaceDN w:val="0"/>
              <w:spacing w:line="300" w:lineRule="exact"/>
              <w:jc w:val="center"/>
              <w:rPr>
                <w:rFonts w:ascii="宋体" w:hAnsi="宋体"/>
                <w:sz w:val="24"/>
              </w:rPr>
            </w:pPr>
            <w:r>
              <w:rPr>
                <w:color w:val="000000"/>
                <w:szCs w:val="21"/>
              </w:rPr>
              <w:t>10</w:t>
            </w:r>
            <w:r>
              <w:rPr>
                <w:color w:val="000000"/>
                <w:szCs w:val="21"/>
              </w:rPr>
              <w:t>μL</w:t>
            </w:r>
          </w:p>
        </w:tc>
      </w:tr>
      <w:tr w:rsidR="00651B96" w14:paraId="32C1B482" w14:textId="77777777">
        <w:trPr>
          <w:cantSplit/>
          <w:jc w:val="center"/>
        </w:trPr>
        <w:tc>
          <w:tcPr>
            <w:tcW w:w="4542" w:type="dxa"/>
            <w:shd w:val="clear" w:color="auto" w:fill="FFFFFF"/>
          </w:tcPr>
          <w:p w14:paraId="6E155800" w14:textId="77777777" w:rsidR="00651B96" w:rsidRDefault="00721866">
            <w:pPr>
              <w:autoSpaceDE w:val="0"/>
              <w:autoSpaceDN w:val="0"/>
              <w:spacing w:line="300" w:lineRule="exact"/>
              <w:jc w:val="center"/>
              <w:rPr>
                <w:rFonts w:ascii="宋体" w:hAnsi="宋体"/>
                <w:sz w:val="24"/>
              </w:rPr>
            </w:pPr>
            <w:r>
              <w:rPr>
                <w:color w:val="000000"/>
                <w:szCs w:val="21"/>
              </w:rPr>
              <w:t>Template B1</w:t>
            </w:r>
          </w:p>
        </w:tc>
        <w:tc>
          <w:tcPr>
            <w:tcW w:w="4543" w:type="dxa"/>
            <w:shd w:val="clear" w:color="auto" w:fill="FFFFFF"/>
          </w:tcPr>
          <w:p w14:paraId="43DDE5B2" w14:textId="77777777" w:rsidR="00651B96" w:rsidRDefault="00721866">
            <w:pPr>
              <w:autoSpaceDE w:val="0"/>
              <w:autoSpaceDN w:val="0"/>
              <w:spacing w:line="300" w:lineRule="exact"/>
              <w:jc w:val="center"/>
              <w:rPr>
                <w:rFonts w:ascii="宋体" w:hAnsi="宋体"/>
                <w:sz w:val="24"/>
              </w:rPr>
            </w:pPr>
            <w:r>
              <w:rPr>
                <w:color w:val="000000"/>
                <w:szCs w:val="21"/>
              </w:rPr>
              <w:t>1μL</w:t>
            </w:r>
          </w:p>
        </w:tc>
      </w:tr>
      <w:tr w:rsidR="00651B96" w14:paraId="72B91102" w14:textId="77777777">
        <w:trPr>
          <w:cantSplit/>
          <w:jc w:val="center"/>
        </w:trPr>
        <w:tc>
          <w:tcPr>
            <w:tcW w:w="4542" w:type="dxa"/>
            <w:shd w:val="clear" w:color="auto" w:fill="FFFFFF"/>
          </w:tcPr>
          <w:p w14:paraId="4C36A6B5" w14:textId="77777777" w:rsidR="00651B96" w:rsidRDefault="00721866">
            <w:pPr>
              <w:autoSpaceDE w:val="0"/>
              <w:autoSpaceDN w:val="0"/>
              <w:spacing w:line="300" w:lineRule="exact"/>
              <w:jc w:val="center"/>
              <w:rPr>
                <w:rFonts w:ascii="宋体" w:hAnsi="宋体"/>
                <w:sz w:val="24"/>
              </w:rPr>
            </w:pPr>
            <w:r>
              <w:rPr>
                <w:color w:val="000000"/>
                <w:szCs w:val="21"/>
              </w:rPr>
              <w:t>Template Km</w:t>
            </w:r>
          </w:p>
        </w:tc>
        <w:tc>
          <w:tcPr>
            <w:tcW w:w="4543" w:type="dxa"/>
            <w:shd w:val="clear" w:color="auto" w:fill="FFFFFF"/>
          </w:tcPr>
          <w:p w14:paraId="67A65288" w14:textId="77777777" w:rsidR="00651B96" w:rsidRDefault="00721866">
            <w:pPr>
              <w:autoSpaceDE w:val="0"/>
              <w:autoSpaceDN w:val="0"/>
              <w:spacing w:line="300" w:lineRule="exact"/>
              <w:jc w:val="center"/>
              <w:rPr>
                <w:rFonts w:ascii="宋体" w:hAnsi="宋体"/>
                <w:sz w:val="24"/>
              </w:rPr>
            </w:pPr>
            <w:r>
              <w:rPr>
                <w:color w:val="000000"/>
                <w:szCs w:val="21"/>
              </w:rPr>
              <w:t>1μL</w:t>
            </w:r>
          </w:p>
        </w:tc>
      </w:tr>
      <w:tr w:rsidR="00651B96" w14:paraId="6CA09D89" w14:textId="77777777">
        <w:trPr>
          <w:cantSplit/>
          <w:jc w:val="center"/>
        </w:trPr>
        <w:tc>
          <w:tcPr>
            <w:tcW w:w="4542" w:type="dxa"/>
            <w:shd w:val="clear" w:color="auto" w:fill="FFFFFF"/>
          </w:tcPr>
          <w:p w14:paraId="40CE5F41" w14:textId="77777777" w:rsidR="00651B96" w:rsidRDefault="00721866">
            <w:pPr>
              <w:autoSpaceDE w:val="0"/>
              <w:autoSpaceDN w:val="0"/>
              <w:spacing w:line="300" w:lineRule="exact"/>
              <w:jc w:val="center"/>
              <w:rPr>
                <w:rFonts w:ascii="宋体" w:hAnsi="宋体"/>
                <w:sz w:val="24"/>
              </w:rPr>
            </w:pPr>
            <w:r>
              <w:rPr>
                <w:color w:val="000000"/>
                <w:szCs w:val="21"/>
              </w:rPr>
              <w:t>Template B2</w:t>
            </w:r>
          </w:p>
        </w:tc>
        <w:tc>
          <w:tcPr>
            <w:tcW w:w="4543" w:type="dxa"/>
            <w:shd w:val="clear" w:color="auto" w:fill="FFFFFF"/>
          </w:tcPr>
          <w:p w14:paraId="48291F3F" w14:textId="77777777" w:rsidR="00651B96" w:rsidRDefault="00721866">
            <w:pPr>
              <w:autoSpaceDE w:val="0"/>
              <w:autoSpaceDN w:val="0"/>
              <w:spacing w:line="300" w:lineRule="exact"/>
              <w:jc w:val="center"/>
              <w:rPr>
                <w:rFonts w:ascii="宋体" w:hAnsi="宋体"/>
                <w:sz w:val="24"/>
              </w:rPr>
            </w:pPr>
            <w:r>
              <w:rPr>
                <w:color w:val="000000"/>
                <w:szCs w:val="21"/>
              </w:rPr>
              <w:t>1μL</w:t>
            </w:r>
          </w:p>
        </w:tc>
      </w:tr>
      <w:tr w:rsidR="00651B96" w14:paraId="24404AE4" w14:textId="77777777">
        <w:trPr>
          <w:cantSplit/>
          <w:jc w:val="center"/>
        </w:trPr>
        <w:tc>
          <w:tcPr>
            <w:tcW w:w="4542" w:type="dxa"/>
            <w:shd w:val="clear" w:color="auto" w:fill="FFFFFF"/>
          </w:tcPr>
          <w:p w14:paraId="68C86EF4" w14:textId="77777777" w:rsidR="00651B96" w:rsidRDefault="00721866">
            <w:pPr>
              <w:autoSpaceDE w:val="0"/>
              <w:autoSpaceDN w:val="0"/>
              <w:spacing w:line="300" w:lineRule="exact"/>
              <w:jc w:val="center"/>
              <w:rPr>
                <w:rFonts w:ascii="宋体" w:hAnsi="宋体"/>
                <w:sz w:val="24"/>
              </w:rPr>
            </w:pPr>
            <w:r>
              <w:rPr>
                <w:color w:val="000000"/>
                <w:szCs w:val="21"/>
              </w:rPr>
              <w:t>ddH</w:t>
            </w:r>
            <w:r>
              <w:rPr>
                <w:color w:val="000000"/>
                <w:szCs w:val="21"/>
                <w:vertAlign w:val="subscript"/>
              </w:rPr>
              <w:t>2</w:t>
            </w:r>
            <w:r>
              <w:rPr>
                <w:color w:val="000000"/>
                <w:szCs w:val="21"/>
              </w:rPr>
              <w:t>O</w:t>
            </w:r>
          </w:p>
        </w:tc>
        <w:tc>
          <w:tcPr>
            <w:tcW w:w="4543" w:type="dxa"/>
            <w:shd w:val="clear" w:color="auto" w:fill="FFFFFF"/>
          </w:tcPr>
          <w:p w14:paraId="6C556CEA" w14:textId="77777777" w:rsidR="00651B96" w:rsidRDefault="00721866">
            <w:pPr>
              <w:autoSpaceDE w:val="0"/>
              <w:autoSpaceDN w:val="0"/>
              <w:spacing w:line="300" w:lineRule="exact"/>
              <w:jc w:val="center"/>
              <w:rPr>
                <w:rFonts w:ascii="宋体" w:hAnsi="宋体"/>
                <w:sz w:val="24"/>
              </w:rPr>
            </w:pPr>
            <w:r>
              <w:rPr>
                <w:color w:val="000000"/>
                <w:szCs w:val="21"/>
              </w:rPr>
              <w:t>up to 20μL</w:t>
            </w:r>
          </w:p>
        </w:tc>
      </w:tr>
    </w:tbl>
    <w:p w14:paraId="5185C64C" w14:textId="77777777" w:rsidR="00651B96" w:rsidRDefault="00721866">
      <w:pPr>
        <w:keepNext/>
        <w:keepLines/>
        <w:autoSpaceDE w:val="0"/>
        <w:autoSpaceDN w:val="0"/>
        <w:spacing w:line="400" w:lineRule="exact"/>
        <w:jc w:val="center"/>
        <w:rPr>
          <w:rFonts w:ascii="宋体" w:hAnsi="宋体"/>
          <w:sz w:val="24"/>
        </w:rPr>
      </w:pPr>
      <w:r>
        <w:rPr>
          <w:color w:val="000000"/>
          <w:szCs w:val="21"/>
        </w:rPr>
        <w:t>表</w:t>
      </w:r>
      <w:r>
        <w:rPr>
          <w:color w:val="000000"/>
          <w:szCs w:val="21"/>
        </w:rPr>
        <w:t xml:space="preserve"> 2-3 PCR</w:t>
      </w:r>
      <w:r>
        <w:rPr>
          <w:color w:val="000000"/>
          <w:szCs w:val="21"/>
        </w:rPr>
        <w:t>反应体系</w:t>
      </w:r>
    </w:p>
    <w:p w14:paraId="141537AA" w14:textId="77777777" w:rsidR="00651B96" w:rsidRDefault="00721866">
      <w:pPr>
        <w:keepNext/>
        <w:keepLines/>
        <w:autoSpaceDE w:val="0"/>
        <w:autoSpaceDN w:val="0"/>
        <w:spacing w:line="400" w:lineRule="exact"/>
        <w:jc w:val="center"/>
        <w:rPr>
          <w:rFonts w:ascii="宋体" w:hAnsi="宋体"/>
          <w:sz w:val="24"/>
        </w:rPr>
      </w:pPr>
      <w:r>
        <w:rPr>
          <w:color w:val="000000"/>
          <w:szCs w:val="21"/>
        </w:rPr>
        <w:t>Table 2-3 PCR Reaction System</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542"/>
        <w:gridCol w:w="4543"/>
      </w:tblGrid>
      <w:tr w:rsidR="00651B96" w14:paraId="11E8FDE6" w14:textId="77777777">
        <w:trPr>
          <w:cantSplit/>
          <w:tblHeader/>
          <w:jc w:val="center"/>
        </w:trPr>
        <w:tc>
          <w:tcPr>
            <w:tcW w:w="4542" w:type="dxa"/>
            <w:tcBorders>
              <w:bottom w:val="single" w:sz="4" w:space="0" w:color="000000"/>
            </w:tcBorders>
            <w:shd w:val="clear" w:color="auto" w:fill="FFFFFF"/>
          </w:tcPr>
          <w:p w14:paraId="0D05375F" w14:textId="77777777" w:rsidR="00651B96" w:rsidRDefault="00721866">
            <w:pPr>
              <w:autoSpaceDE w:val="0"/>
              <w:autoSpaceDN w:val="0"/>
              <w:spacing w:line="300" w:lineRule="exact"/>
              <w:jc w:val="center"/>
              <w:rPr>
                <w:rFonts w:ascii="宋体" w:hAnsi="宋体"/>
                <w:sz w:val="24"/>
              </w:rPr>
            </w:pPr>
            <w:r>
              <w:rPr>
                <w:color w:val="000000"/>
                <w:szCs w:val="21"/>
              </w:rPr>
              <w:t>组分</w:t>
            </w:r>
          </w:p>
        </w:tc>
        <w:tc>
          <w:tcPr>
            <w:tcW w:w="4543" w:type="dxa"/>
            <w:tcBorders>
              <w:bottom w:val="single" w:sz="4" w:space="0" w:color="000000"/>
            </w:tcBorders>
            <w:shd w:val="clear" w:color="auto" w:fill="FFFFFF"/>
          </w:tcPr>
          <w:p w14:paraId="1C29FD59" w14:textId="77777777" w:rsidR="00651B96" w:rsidRDefault="00721866">
            <w:pPr>
              <w:autoSpaceDE w:val="0"/>
              <w:autoSpaceDN w:val="0"/>
              <w:spacing w:line="300" w:lineRule="exact"/>
              <w:jc w:val="center"/>
              <w:rPr>
                <w:rFonts w:ascii="宋体" w:hAnsi="宋体"/>
                <w:sz w:val="24"/>
              </w:rPr>
            </w:pPr>
            <w:r>
              <w:rPr>
                <w:color w:val="000000"/>
                <w:szCs w:val="21"/>
              </w:rPr>
              <w:t>体积</w:t>
            </w:r>
          </w:p>
        </w:tc>
      </w:tr>
      <w:tr w:rsidR="00651B96" w14:paraId="6A270FA6" w14:textId="77777777">
        <w:trPr>
          <w:cantSplit/>
          <w:jc w:val="center"/>
        </w:trPr>
        <w:tc>
          <w:tcPr>
            <w:tcW w:w="4542" w:type="dxa"/>
            <w:shd w:val="clear" w:color="auto" w:fill="FFFFFF"/>
          </w:tcPr>
          <w:p w14:paraId="32612DBB" w14:textId="77777777" w:rsidR="00651B96" w:rsidRDefault="00721866">
            <w:pPr>
              <w:autoSpaceDE w:val="0"/>
              <w:autoSpaceDN w:val="0"/>
              <w:spacing w:line="300" w:lineRule="exact"/>
              <w:jc w:val="center"/>
              <w:rPr>
                <w:rFonts w:ascii="宋体" w:hAnsi="宋体"/>
                <w:sz w:val="24"/>
              </w:rPr>
            </w:pPr>
            <w:r>
              <w:rPr>
                <w:color w:val="000000"/>
                <w:szCs w:val="21"/>
              </w:rPr>
              <w:t>2×Phanta Max Master Mix</w:t>
            </w:r>
          </w:p>
        </w:tc>
        <w:tc>
          <w:tcPr>
            <w:tcW w:w="4543" w:type="dxa"/>
            <w:shd w:val="clear" w:color="auto" w:fill="FFFFFF"/>
          </w:tcPr>
          <w:p w14:paraId="55243C38" w14:textId="77777777" w:rsidR="00651B96" w:rsidRDefault="00721866">
            <w:pPr>
              <w:autoSpaceDE w:val="0"/>
              <w:autoSpaceDN w:val="0"/>
              <w:spacing w:line="300" w:lineRule="exact"/>
              <w:jc w:val="center"/>
              <w:rPr>
                <w:rFonts w:ascii="宋体" w:hAnsi="宋体"/>
                <w:sz w:val="24"/>
              </w:rPr>
            </w:pPr>
            <w:r>
              <w:rPr>
                <w:color w:val="000000"/>
                <w:szCs w:val="21"/>
              </w:rPr>
              <w:t>40</w:t>
            </w:r>
            <w:r>
              <w:rPr>
                <w:color w:val="000000"/>
                <w:szCs w:val="21"/>
              </w:rPr>
              <w:t>μL</w:t>
            </w:r>
          </w:p>
        </w:tc>
      </w:tr>
      <w:tr w:rsidR="00651B96" w14:paraId="72650551" w14:textId="77777777">
        <w:trPr>
          <w:cantSplit/>
          <w:jc w:val="center"/>
        </w:trPr>
        <w:tc>
          <w:tcPr>
            <w:tcW w:w="4542" w:type="dxa"/>
            <w:shd w:val="clear" w:color="auto" w:fill="FFFFFF"/>
          </w:tcPr>
          <w:p w14:paraId="7790554D" w14:textId="77777777" w:rsidR="00651B96" w:rsidRDefault="00721866">
            <w:pPr>
              <w:autoSpaceDE w:val="0"/>
              <w:autoSpaceDN w:val="0"/>
              <w:spacing w:line="300" w:lineRule="exact"/>
              <w:jc w:val="center"/>
              <w:rPr>
                <w:rFonts w:ascii="宋体" w:hAnsi="宋体"/>
                <w:sz w:val="24"/>
              </w:rPr>
            </w:pPr>
            <w:r>
              <w:rPr>
                <w:color w:val="000000"/>
                <w:szCs w:val="21"/>
              </w:rPr>
              <w:t>Primer_F</w:t>
            </w:r>
          </w:p>
        </w:tc>
        <w:tc>
          <w:tcPr>
            <w:tcW w:w="4543" w:type="dxa"/>
            <w:shd w:val="clear" w:color="auto" w:fill="FFFFFF"/>
          </w:tcPr>
          <w:p w14:paraId="772570CB" w14:textId="77777777" w:rsidR="00651B96" w:rsidRDefault="00721866">
            <w:pPr>
              <w:autoSpaceDE w:val="0"/>
              <w:autoSpaceDN w:val="0"/>
              <w:spacing w:line="300" w:lineRule="exact"/>
              <w:jc w:val="center"/>
              <w:rPr>
                <w:rFonts w:ascii="宋体" w:hAnsi="宋体"/>
                <w:sz w:val="24"/>
              </w:rPr>
            </w:pPr>
            <w:r>
              <w:rPr>
                <w:color w:val="000000"/>
                <w:szCs w:val="21"/>
              </w:rPr>
              <w:t>2μL</w:t>
            </w:r>
          </w:p>
        </w:tc>
      </w:tr>
      <w:tr w:rsidR="00651B96" w14:paraId="07884BE0" w14:textId="77777777">
        <w:trPr>
          <w:cantSplit/>
          <w:jc w:val="center"/>
        </w:trPr>
        <w:tc>
          <w:tcPr>
            <w:tcW w:w="4542" w:type="dxa"/>
            <w:shd w:val="clear" w:color="auto" w:fill="FFFFFF"/>
          </w:tcPr>
          <w:p w14:paraId="2889F215" w14:textId="77777777" w:rsidR="00651B96" w:rsidRDefault="00721866">
            <w:pPr>
              <w:autoSpaceDE w:val="0"/>
              <w:autoSpaceDN w:val="0"/>
              <w:spacing w:line="300" w:lineRule="exact"/>
              <w:jc w:val="center"/>
              <w:rPr>
                <w:rFonts w:ascii="宋体" w:hAnsi="宋体"/>
                <w:sz w:val="24"/>
              </w:rPr>
            </w:pPr>
            <w:r>
              <w:rPr>
                <w:color w:val="000000"/>
                <w:szCs w:val="21"/>
              </w:rPr>
              <w:t>Primer_R</w:t>
            </w:r>
          </w:p>
        </w:tc>
        <w:tc>
          <w:tcPr>
            <w:tcW w:w="4543" w:type="dxa"/>
            <w:shd w:val="clear" w:color="auto" w:fill="FFFFFF"/>
          </w:tcPr>
          <w:p w14:paraId="4F18DAA2" w14:textId="77777777" w:rsidR="00651B96" w:rsidRDefault="00721866">
            <w:pPr>
              <w:autoSpaceDE w:val="0"/>
              <w:autoSpaceDN w:val="0"/>
              <w:spacing w:line="300" w:lineRule="exact"/>
              <w:jc w:val="center"/>
              <w:rPr>
                <w:rFonts w:ascii="宋体" w:hAnsi="宋体"/>
                <w:sz w:val="24"/>
              </w:rPr>
            </w:pPr>
            <w:r>
              <w:rPr>
                <w:color w:val="000000"/>
                <w:szCs w:val="21"/>
              </w:rPr>
              <w:t>2μL</w:t>
            </w:r>
          </w:p>
        </w:tc>
      </w:tr>
      <w:tr w:rsidR="00651B96" w14:paraId="44339E9B" w14:textId="77777777">
        <w:trPr>
          <w:cantSplit/>
          <w:jc w:val="center"/>
        </w:trPr>
        <w:tc>
          <w:tcPr>
            <w:tcW w:w="4542" w:type="dxa"/>
            <w:shd w:val="clear" w:color="auto" w:fill="FFFFFF"/>
          </w:tcPr>
          <w:p w14:paraId="12D38DBF" w14:textId="77777777" w:rsidR="00651B96" w:rsidRDefault="00721866">
            <w:pPr>
              <w:autoSpaceDE w:val="0"/>
              <w:autoSpaceDN w:val="0"/>
              <w:spacing w:line="300" w:lineRule="exact"/>
              <w:jc w:val="center"/>
              <w:rPr>
                <w:rFonts w:ascii="宋体" w:hAnsi="宋体"/>
                <w:sz w:val="24"/>
              </w:rPr>
            </w:pPr>
            <w:r>
              <w:rPr>
                <w:color w:val="000000"/>
                <w:szCs w:val="21"/>
              </w:rPr>
              <w:t>Template DNA</w:t>
            </w:r>
          </w:p>
        </w:tc>
        <w:tc>
          <w:tcPr>
            <w:tcW w:w="4543" w:type="dxa"/>
            <w:shd w:val="clear" w:color="auto" w:fill="FFFFFF"/>
          </w:tcPr>
          <w:p w14:paraId="58F182CC" w14:textId="77777777" w:rsidR="00651B96" w:rsidRDefault="00721866">
            <w:pPr>
              <w:autoSpaceDE w:val="0"/>
              <w:autoSpaceDN w:val="0"/>
              <w:spacing w:line="300" w:lineRule="exact"/>
              <w:jc w:val="center"/>
              <w:rPr>
                <w:rFonts w:ascii="宋体" w:hAnsi="宋体"/>
                <w:sz w:val="24"/>
              </w:rPr>
            </w:pPr>
            <w:r>
              <w:rPr>
                <w:color w:val="000000"/>
                <w:szCs w:val="21"/>
              </w:rPr>
              <w:t>4μL</w:t>
            </w:r>
          </w:p>
        </w:tc>
      </w:tr>
      <w:tr w:rsidR="00651B96" w14:paraId="6CE79D79" w14:textId="77777777">
        <w:trPr>
          <w:cantSplit/>
          <w:jc w:val="center"/>
        </w:trPr>
        <w:tc>
          <w:tcPr>
            <w:tcW w:w="4542" w:type="dxa"/>
            <w:shd w:val="clear" w:color="auto" w:fill="FFFFFF"/>
          </w:tcPr>
          <w:p w14:paraId="0B5879A0" w14:textId="77777777" w:rsidR="00651B96" w:rsidRDefault="00721866">
            <w:pPr>
              <w:autoSpaceDE w:val="0"/>
              <w:autoSpaceDN w:val="0"/>
              <w:spacing w:line="300" w:lineRule="exact"/>
              <w:jc w:val="center"/>
              <w:rPr>
                <w:rFonts w:ascii="宋体" w:hAnsi="宋体"/>
                <w:sz w:val="24"/>
              </w:rPr>
            </w:pPr>
            <w:r>
              <w:rPr>
                <w:color w:val="000000"/>
                <w:szCs w:val="21"/>
              </w:rPr>
              <w:t>ddH</w:t>
            </w:r>
            <w:r>
              <w:rPr>
                <w:color w:val="000000"/>
                <w:szCs w:val="21"/>
                <w:vertAlign w:val="subscript"/>
              </w:rPr>
              <w:t>2</w:t>
            </w:r>
            <w:r>
              <w:rPr>
                <w:color w:val="000000"/>
                <w:szCs w:val="21"/>
              </w:rPr>
              <w:t>O</w:t>
            </w:r>
          </w:p>
        </w:tc>
        <w:tc>
          <w:tcPr>
            <w:tcW w:w="4543" w:type="dxa"/>
            <w:shd w:val="clear" w:color="auto" w:fill="FFFFFF"/>
          </w:tcPr>
          <w:p w14:paraId="5C3EB661" w14:textId="77777777" w:rsidR="00651B96" w:rsidRDefault="00721866">
            <w:pPr>
              <w:autoSpaceDE w:val="0"/>
              <w:autoSpaceDN w:val="0"/>
              <w:spacing w:line="300" w:lineRule="exact"/>
              <w:jc w:val="center"/>
              <w:rPr>
                <w:rFonts w:ascii="宋体" w:hAnsi="宋体"/>
                <w:sz w:val="24"/>
              </w:rPr>
            </w:pPr>
            <w:r>
              <w:rPr>
                <w:color w:val="000000"/>
                <w:szCs w:val="21"/>
              </w:rPr>
              <w:t>up to 80μL</w:t>
            </w:r>
          </w:p>
        </w:tc>
      </w:tr>
    </w:tbl>
    <w:p w14:paraId="0C911CED"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50" w:name="docfit_s001_Toc26661"/>
      <w:bookmarkStart w:id="51" w:name="_Toc236830358"/>
      <w:r>
        <w:rPr>
          <w:rFonts w:ascii="黑体" w:hAnsi="黑体" w:cs="黑体"/>
          <w:color w:val="000000"/>
          <w:szCs w:val="28"/>
        </w:rPr>
        <w:t>4 λ-Red</w:t>
      </w:r>
      <w:r>
        <w:rPr>
          <w:rFonts w:ascii="黑体" w:hAnsi="黑体" w:cs="黑体"/>
          <w:color w:val="000000"/>
          <w:szCs w:val="28"/>
        </w:rPr>
        <w:t>同源重组法构建</w:t>
      </w:r>
      <w:r>
        <w:rPr>
          <w:rFonts w:ascii="黑体" w:hAnsi="黑体" w:cs="黑体"/>
          <w:color w:val="000000"/>
          <w:szCs w:val="28"/>
        </w:rPr>
        <w:t>PGP6 ΔtrpA::kan</w:t>
      </w:r>
      <w:r>
        <w:rPr>
          <w:rFonts w:ascii="黑体" w:hAnsi="黑体" w:cs="黑体"/>
          <w:color w:val="000000"/>
          <w:szCs w:val="28"/>
        </w:rPr>
        <w:t>、</w:t>
      </w:r>
      <w:r>
        <w:rPr>
          <w:rFonts w:ascii="黑体" w:hAnsi="黑体" w:cs="黑体"/>
          <w:color w:val="000000"/>
          <w:szCs w:val="28"/>
        </w:rPr>
        <w:t>PGP6 ΔtrpB::kan</w:t>
      </w:r>
      <w:r>
        <w:rPr>
          <w:rFonts w:ascii="黑体" w:hAnsi="黑体" w:cs="黑体"/>
          <w:color w:val="000000"/>
          <w:szCs w:val="28"/>
        </w:rPr>
        <w:t>、</w:t>
      </w:r>
      <w:r>
        <w:rPr>
          <w:rFonts w:ascii="黑体" w:hAnsi="黑体" w:cs="黑体"/>
          <w:color w:val="000000"/>
          <w:szCs w:val="28"/>
        </w:rPr>
        <w:t>PGP6 Δ(trpA-trpB)::kan</w:t>
      </w:r>
      <w:r>
        <w:rPr>
          <w:rFonts w:ascii="黑体" w:hAnsi="黑体" w:cs="黑体"/>
          <w:color w:val="000000"/>
          <w:szCs w:val="28"/>
        </w:rPr>
        <w:t>、</w:t>
      </w:r>
      <w:r>
        <w:rPr>
          <w:rFonts w:ascii="黑体" w:hAnsi="黑体" w:cs="黑体"/>
          <w:color w:val="000000"/>
          <w:szCs w:val="28"/>
        </w:rPr>
        <w:t>PGP6 ΔpatB::kan</w:t>
      </w:r>
      <w:r>
        <w:rPr>
          <w:rFonts w:ascii="黑体" w:hAnsi="黑体" w:cs="黑体"/>
          <w:color w:val="000000"/>
          <w:szCs w:val="28"/>
        </w:rPr>
        <w:t>、</w:t>
      </w:r>
      <w:r>
        <w:rPr>
          <w:rFonts w:ascii="黑体" w:hAnsi="黑体" w:cs="黑体"/>
          <w:color w:val="000000"/>
          <w:szCs w:val="28"/>
        </w:rPr>
        <w:t>PGP6 ΔiaaH::kan</w:t>
      </w:r>
      <w:r>
        <w:rPr>
          <w:rFonts w:ascii="黑体" w:hAnsi="黑体" w:cs="黑体"/>
          <w:color w:val="000000"/>
          <w:szCs w:val="28"/>
        </w:rPr>
        <w:t>基因缺失突变株</w:t>
      </w:r>
      <w:bookmarkEnd w:id="50"/>
      <w:bookmarkEnd w:id="51"/>
    </w:p>
    <w:p w14:paraId="360F6E3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为探究</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w:t>
      </w:r>
      <w:r>
        <w:rPr>
          <w:i/>
          <w:iCs/>
          <w:color w:val="000000"/>
          <w:sz w:val="24"/>
        </w:rPr>
        <w:t>iaaH</w:t>
      </w:r>
      <w:r>
        <w:rPr>
          <w:color w:val="000000"/>
          <w:sz w:val="24"/>
        </w:rPr>
        <w:t>等基因对</w:t>
      </w:r>
      <w:r>
        <w:rPr>
          <w:color w:val="000000"/>
          <w:sz w:val="24"/>
        </w:rPr>
        <w:t>PGP6</w:t>
      </w:r>
      <w:r>
        <w:rPr>
          <w:color w:val="000000"/>
          <w:sz w:val="24"/>
        </w:rPr>
        <w:t>的</w:t>
      </w:r>
      <w:r>
        <w:rPr>
          <w:color w:val="000000"/>
          <w:sz w:val="24"/>
        </w:rPr>
        <w:t>IAA</w:t>
      </w:r>
      <w:r>
        <w:rPr>
          <w:color w:val="000000"/>
          <w:sz w:val="24"/>
        </w:rPr>
        <w:t>产量的贡献</w:t>
      </w:r>
      <w:r>
        <w:rPr>
          <w:color w:val="000000"/>
          <w:sz w:val="24"/>
        </w:rPr>
        <w:t>,</w:t>
      </w:r>
      <w:r>
        <w:rPr>
          <w:color w:val="000000"/>
          <w:sz w:val="24"/>
        </w:rPr>
        <w:t>本研究基于</w:t>
      </w:r>
      <w:r>
        <w:rPr>
          <w:color w:val="000000"/>
          <w:sz w:val="24"/>
        </w:rPr>
        <w:t>λ-Red</w:t>
      </w:r>
      <w:r>
        <w:rPr>
          <w:color w:val="000000"/>
          <w:sz w:val="24"/>
        </w:rPr>
        <w:t>同源重组体系构建相应的基因缺失突变株。该体系依赖于</w:t>
      </w:r>
      <w:r>
        <w:rPr>
          <w:color w:val="000000"/>
          <w:sz w:val="24"/>
        </w:rPr>
        <w:t>pKD46</w:t>
      </w:r>
      <w:r>
        <w:rPr>
          <w:color w:val="000000"/>
          <w:sz w:val="24"/>
        </w:rPr>
        <w:t>质粒在阿拉伯糖诱导条件下表达的</w:t>
      </w:r>
      <w:r>
        <w:rPr>
          <w:color w:val="000000"/>
          <w:sz w:val="24"/>
        </w:rPr>
        <w:t>Exo</w:t>
      </w:r>
      <w:r>
        <w:rPr>
          <w:color w:val="000000"/>
          <w:sz w:val="24"/>
        </w:rPr>
        <w:t>、</w:t>
      </w:r>
      <w:r>
        <w:rPr>
          <w:color w:val="000000"/>
          <w:sz w:val="24"/>
        </w:rPr>
        <w:t>Beta</w:t>
      </w:r>
      <w:r>
        <w:rPr>
          <w:color w:val="000000"/>
          <w:sz w:val="24"/>
        </w:rPr>
        <w:t>和</w:t>
      </w:r>
      <w:r>
        <w:rPr>
          <w:color w:val="000000"/>
          <w:sz w:val="24"/>
        </w:rPr>
        <w:t>Gam</w:t>
      </w:r>
      <w:r>
        <w:rPr>
          <w:color w:val="000000"/>
          <w:sz w:val="24"/>
        </w:rPr>
        <w:t>重组蛋白，能够显著提高外源线性</w:t>
      </w:r>
      <w:r>
        <w:rPr>
          <w:color w:val="000000"/>
          <w:sz w:val="24"/>
        </w:rPr>
        <w:t>DNA</w:t>
      </w:r>
      <w:r>
        <w:rPr>
          <w:color w:val="000000"/>
          <w:sz w:val="24"/>
        </w:rPr>
        <w:t>片段与宿主染色体之间的同源重组效率，从而实现目标基因的敲除。与传统自杀质粒介导的双交换同源重组策略相比，</w:t>
      </w:r>
      <w:r>
        <w:rPr>
          <w:color w:val="000000"/>
          <w:sz w:val="24"/>
        </w:rPr>
        <w:t>λ-Red</w:t>
      </w:r>
      <w:r>
        <w:rPr>
          <w:color w:val="000000"/>
          <w:sz w:val="24"/>
        </w:rPr>
        <w:t>同源重组技术无需预先构建重组自杀载体，也无需进行三亲接合等操作，能在简化实验流程的同时，提高基因敲除的效率与可操作性。</w:t>
      </w:r>
      <w:r>
        <w:rPr>
          <w:color w:val="000000"/>
          <w:sz w:val="24"/>
        </w:rPr>
        <w:t>在成功构建</w:t>
      </w:r>
      <w:r>
        <w:rPr>
          <w:color w:val="000000"/>
          <w:sz w:val="24"/>
        </w:rPr>
        <w:t>PGP6 Δ</w:t>
      </w:r>
      <w:r>
        <w:rPr>
          <w:i/>
          <w:iCs/>
          <w:color w:val="000000"/>
          <w:sz w:val="24"/>
        </w:rPr>
        <w:t>trpA</w:t>
      </w:r>
      <w:r>
        <w:rPr>
          <w:color w:val="000000"/>
          <w:sz w:val="24"/>
        </w:rPr>
        <w:t>::kan</w:t>
      </w:r>
      <w:r>
        <w:rPr>
          <w:color w:val="000000"/>
          <w:sz w:val="24"/>
        </w:rPr>
        <w:t>、</w:t>
      </w:r>
      <w:r>
        <w:rPr>
          <w:color w:val="000000"/>
          <w:sz w:val="24"/>
        </w:rPr>
        <w:t>PGP6 Δ</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trpA</w:t>
      </w:r>
      <w:r>
        <w:rPr>
          <w:color w:val="000000"/>
          <w:sz w:val="24"/>
        </w:rPr>
        <w:t>-</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patB</w:t>
      </w:r>
      <w:r>
        <w:rPr>
          <w:color w:val="000000"/>
          <w:sz w:val="24"/>
        </w:rPr>
        <w:t>::kan</w:t>
      </w:r>
      <w:r>
        <w:rPr>
          <w:color w:val="000000"/>
          <w:sz w:val="24"/>
        </w:rPr>
        <w:t>、</w:t>
      </w:r>
      <w:r>
        <w:rPr>
          <w:color w:val="000000"/>
          <w:sz w:val="24"/>
        </w:rPr>
        <w:t>PGP6 Δ</w:t>
      </w:r>
      <w:r>
        <w:rPr>
          <w:i/>
          <w:iCs/>
          <w:color w:val="000000"/>
          <w:sz w:val="24"/>
        </w:rPr>
        <w:t>iaaH</w:t>
      </w:r>
      <w:r>
        <w:rPr>
          <w:color w:val="000000"/>
          <w:sz w:val="24"/>
        </w:rPr>
        <w:t>::kan</w:t>
      </w:r>
      <w:r>
        <w:rPr>
          <w:color w:val="000000"/>
          <w:sz w:val="24"/>
        </w:rPr>
        <w:t>缺失突变株的基础上，为排除</w:t>
      </w:r>
      <w:r>
        <w:rPr>
          <w:color w:val="000000"/>
          <w:sz w:val="24"/>
        </w:rPr>
        <w:t>λ-Red</w:t>
      </w:r>
      <w:r>
        <w:rPr>
          <w:color w:val="000000"/>
          <w:sz w:val="24"/>
        </w:rPr>
        <w:t>同源重组系统对菌株生理状态的潜在影响，并从功能层面验证各候选基因在</w:t>
      </w:r>
      <w:r>
        <w:rPr>
          <w:color w:val="000000"/>
          <w:sz w:val="24"/>
        </w:rPr>
        <w:t>IAA</w:t>
      </w:r>
      <w:r>
        <w:rPr>
          <w:color w:val="000000"/>
          <w:sz w:val="24"/>
        </w:rPr>
        <w:t>合成过程中的作用，通过温敏诱导去除</w:t>
      </w:r>
      <w:r>
        <w:rPr>
          <w:color w:val="000000"/>
          <w:sz w:val="24"/>
        </w:rPr>
        <w:t>pKD46</w:t>
      </w:r>
      <w:r>
        <w:rPr>
          <w:color w:val="000000"/>
          <w:sz w:val="24"/>
        </w:rPr>
        <w:t>质粒，获得遗传背景稳定的敲除菌株。</w:t>
      </w:r>
    </w:p>
    <w:p w14:paraId="0903FDB7"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52" w:name="docfit_s001_Toc6541"/>
      <w:bookmarkStart w:id="53" w:name="_Toc236830359"/>
      <w:r>
        <w:rPr>
          <w:rFonts w:eastAsia="宋体"/>
          <w:color w:val="000000"/>
          <w:sz w:val="24"/>
        </w:rPr>
        <w:t xml:space="preserve">4.1 </w:t>
      </w:r>
      <w:r>
        <w:rPr>
          <w:rFonts w:eastAsia="宋体"/>
          <w:color w:val="000000"/>
          <w:sz w:val="24"/>
        </w:rPr>
        <w:t>实验材料</w:t>
      </w:r>
      <w:bookmarkEnd w:id="52"/>
      <w:bookmarkEnd w:id="53"/>
    </w:p>
    <w:p w14:paraId="7928FEC3"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1</w:t>
      </w:r>
      <w:r>
        <w:rPr>
          <w:color w:val="000000"/>
          <w:sz w:val="24"/>
        </w:rPr>
        <w:t>）</w:t>
      </w:r>
      <w:r>
        <w:rPr>
          <w:color w:val="000000"/>
          <w:sz w:val="24"/>
        </w:rPr>
        <w:t>质粒：</w:t>
      </w:r>
      <w:r>
        <w:rPr>
          <w:color w:val="000000"/>
          <w:sz w:val="24"/>
        </w:rPr>
        <w:t>pKD46</w:t>
      </w:r>
      <w:r>
        <w:rPr>
          <w:color w:val="000000"/>
          <w:sz w:val="24"/>
        </w:rPr>
        <w:t>（该质粒携带</w:t>
      </w:r>
      <w:r>
        <w:rPr>
          <w:color w:val="000000"/>
          <w:sz w:val="24"/>
        </w:rPr>
        <w:t>λ-Red</w:t>
      </w:r>
      <w:r>
        <w:rPr>
          <w:color w:val="000000"/>
          <w:sz w:val="24"/>
        </w:rPr>
        <w:t>同源重组系统、四环</w:t>
      </w:r>
      <w:r>
        <w:rPr>
          <w:color w:val="000000"/>
          <w:sz w:val="24"/>
        </w:rPr>
        <w:t>素抗性基因</w:t>
      </w:r>
      <w:r>
        <w:rPr>
          <w:color w:val="000000"/>
          <w:sz w:val="24"/>
        </w:rPr>
        <w:t>以及温敏型</w:t>
      </w:r>
      <w:r>
        <w:rPr>
          <w:color w:val="000000"/>
          <w:sz w:val="24"/>
        </w:rPr>
        <w:t>复制</w:t>
      </w:r>
      <w:r>
        <w:rPr>
          <w:color w:val="000000"/>
          <w:sz w:val="24"/>
        </w:rPr>
        <w:lastRenderedPageBreak/>
        <w:t>子</w:t>
      </w:r>
      <w:r>
        <w:rPr>
          <w:color w:val="000000"/>
          <w:sz w:val="24"/>
        </w:rPr>
        <w:t>pSC101</w:t>
      </w:r>
      <w:r>
        <w:rPr>
          <w:color w:val="000000"/>
          <w:sz w:val="24"/>
        </w:rPr>
        <w:t>）可在</w:t>
      </w:r>
      <w:r>
        <w:rPr>
          <w:color w:val="000000"/>
          <w:sz w:val="24"/>
        </w:rPr>
        <w:t>30℃</w:t>
      </w:r>
      <w:r>
        <w:rPr>
          <w:color w:val="000000"/>
          <w:sz w:val="24"/>
        </w:rPr>
        <w:t>条件下稳定维持，</w:t>
      </w:r>
      <w:r>
        <w:rPr>
          <w:color w:val="000000"/>
          <w:sz w:val="24"/>
        </w:rPr>
        <w:t>37℃</w:t>
      </w:r>
      <w:r>
        <w:rPr>
          <w:color w:val="000000"/>
          <w:sz w:val="24"/>
        </w:rPr>
        <w:t>培养下消除。在阿拉伯糖诱导下可以介导外源线性</w:t>
      </w:r>
      <w:r>
        <w:rPr>
          <w:color w:val="000000"/>
          <w:sz w:val="24"/>
        </w:rPr>
        <w:t>DNA</w:t>
      </w:r>
      <w:r>
        <w:rPr>
          <w:color w:val="000000"/>
          <w:sz w:val="24"/>
        </w:rPr>
        <w:t>片段与宿主染色体之间的同源重组。</w:t>
      </w:r>
    </w:p>
    <w:p w14:paraId="34C28244"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2</w:t>
      </w:r>
      <w:r>
        <w:rPr>
          <w:color w:val="000000"/>
          <w:sz w:val="24"/>
        </w:rPr>
        <w:t>）</w:t>
      </w:r>
      <w:r>
        <w:rPr>
          <w:color w:val="000000"/>
          <w:sz w:val="24"/>
        </w:rPr>
        <w:t>卡那霉素</w:t>
      </w:r>
      <w:r>
        <w:rPr>
          <w:color w:val="000000"/>
          <w:sz w:val="24"/>
        </w:rPr>
        <w:t>（</w:t>
      </w:r>
      <w:r>
        <w:rPr>
          <w:color w:val="000000"/>
          <w:sz w:val="24"/>
        </w:rPr>
        <w:t>Kanamycin,Km</w:t>
      </w:r>
      <w:r>
        <w:rPr>
          <w:color w:val="000000"/>
          <w:sz w:val="24"/>
        </w:rPr>
        <w:t>,50mg/ml</w:t>
      </w:r>
      <w:r>
        <w:rPr>
          <w:color w:val="000000"/>
          <w:sz w:val="24"/>
        </w:rPr>
        <w:t>），</w:t>
      </w:r>
      <w:r>
        <w:rPr>
          <w:color w:val="000000"/>
          <w:sz w:val="24"/>
        </w:rPr>
        <w:t>四环素</w:t>
      </w:r>
      <w:r>
        <w:rPr>
          <w:color w:val="000000"/>
          <w:sz w:val="24"/>
        </w:rPr>
        <w:t>(</w:t>
      </w:r>
      <w:r>
        <w:rPr>
          <w:color w:val="000000"/>
          <w:sz w:val="24"/>
        </w:rPr>
        <w:t>Tetracycline,Tet</w:t>
      </w:r>
      <w:r>
        <w:rPr>
          <w:color w:val="000000"/>
          <w:sz w:val="24"/>
        </w:rPr>
        <w:t>,50mg/ml)</w:t>
      </w:r>
      <w:r>
        <w:rPr>
          <w:color w:val="000000"/>
          <w:sz w:val="24"/>
        </w:rPr>
        <w:t>，</w:t>
      </w:r>
      <w:r>
        <w:rPr>
          <w:color w:val="000000"/>
          <w:sz w:val="24"/>
        </w:rPr>
        <w:t>壮观霉素</w:t>
      </w:r>
      <w:r>
        <w:rPr>
          <w:color w:val="000000"/>
          <w:sz w:val="24"/>
        </w:rPr>
        <w:t>(</w:t>
      </w:r>
      <w:r>
        <w:rPr>
          <w:color w:val="000000"/>
          <w:sz w:val="24"/>
        </w:rPr>
        <w:t>Spectinomycin</w:t>
      </w:r>
      <w:r>
        <w:rPr>
          <w:color w:val="000000"/>
          <w:sz w:val="24"/>
        </w:rPr>
        <w:t>,Spc</w:t>
      </w:r>
      <w:r>
        <w:rPr>
          <w:color w:val="000000"/>
          <w:sz w:val="24"/>
        </w:rPr>
        <w:t>,50mg/ml)</w:t>
      </w:r>
      <w:r>
        <w:rPr>
          <w:color w:val="000000"/>
          <w:sz w:val="24"/>
        </w:rPr>
        <w:t>（</w:t>
      </w:r>
      <w:r>
        <w:rPr>
          <w:color w:val="000000"/>
          <w:sz w:val="24"/>
        </w:rPr>
        <w:t>除特殊说明外，后续实验中含相应抗生素的培养基均按以下终质量浓度添加：</w:t>
      </w:r>
      <w:r>
        <w:rPr>
          <w:color w:val="000000"/>
          <w:sz w:val="24"/>
        </w:rPr>
        <w:t xml:space="preserve">Km, </w:t>
      </w:r>
      <w:r>
        <w:rPr>
          <w:color w:val="000000"/>
          <w:sz w:val="24"/>
        </w:rPr>
        <w:t>50</w:t>
      </w:r>
      <w:r>
        <w:rPr>
          <w:color w:val="000000"/>
          <w:sz w:val="24"/>
        </w:rPr>
        <w:t xml:space="preserve"> μg/mL</w:t>
      </w:r>
      <w:r>
        <w:rPr>
          <w:color w:val="000000"/>
          <w:sz w:val="24"/>
        </w:rPr>
        <w:t>、</w:t>
      </w:r>
      <w:r>
        <w:rPr>
          <w:color w:val="000000"/>
          <w:sz w:val="24"/>
        </w:rPr>
        <w:t xml:space="preserve">Tet, </w:t>
      </w:r>
      <w:r>
        <w:rPr>
          <w:color w:val="000000"/>
          <w:sz w:val="24"/>
        </w:rPr>
        <w:t>50</w:t>
      </w:r>
      <w:r>
        <w:rPr>
          <w:color w:val="000000"/>
          <w:sz w:val="24"/>
        </w:rPr>
        <w:t xml:space="preserve"> </w:t>
      </w:r>
      <w:r>
        <w:rPr>
          <w:color w:val="000000"/>
          <w:sz w:val="24"/>
        </w:rPr>
        <w:t>μg/mL</w:t>
      </w:r>
      <w:r>
        <w:rPr>
          <w:color w:val="000000"/>
          <w:sz w:val="24"/>
        </w:rPr>
        <w:t>、</w:t>
      </w:r>
      <w:r>
        <w:rPr>
          <w:color w:val="000000"/>
          <w:sz w:val="24"/>
        </w:rPr>
        <w:t xml:space="preserve">Spc, </w:t>
      </w:r>
      <w:r>
        <w:rPr>
          <w:color w:val="000000"/>
          <w:sz w:val="24"/>
        </w:rPr>
        <w:t>50</w:t>
      </w:r>
      <w:r>
        <w:rPr>
          <w:color w:val="000000"/>
          <w:sz w:val="24"/>
        </w:rPr>
        <w:t xml:space="preserve"> μg/mL</w:t>
      </w:r>
      <w:r>
        <w:rPr>
          <w:color w:val="000000"/>
          <w:sz w:val="24"/>
        </w:rPr>
        <w:t>。</w:t>
      </w:r>
      <w:r>
        <w:rPr>
          <w:color w:val="000000"/>
          <w:sz w:val="24"/>
        </w:rPr>
        <w:t>）</w:t>
      </w:r>
    </w:p>
    <w:p w14:paraId="250C351C"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3</w:t>
      </w:r>
      <w:r>
        <w:rPr>
          <w:color w:val="000000"/>
          <w:sz w:val="24"/>
        </w:rPr>
        <w:t>）</w:t>
      </w:r>
      <w:r>
        <w:rPr>
          <w:color w:val="000000"/>
          <w:sz w:val="24"/>
        </w:rPr>
        <w:t>LB</w:t>
      </w:r>
      <w:r>
        <w:rPr>
          <w:color w:val="000000"/>
          <w:sz w:val="24"/>
        </w:rPr>
        <w:t>固体培养基、</w:t>
      </w:r>
      <w:r>
        <w:rPr>
          <w:color w:val="000000"/>
          <w:sz w:val="24"/>
        </w:rPr>
        <w:t>LB</w:t>
      </w:r>
      <w:r>
        <w:rPr>
          <w:color w:val="000000"/>
          <w:sz w:val="24"/>
        </w:rPr>
        <w:t>液体培养基、阿拉伯糖（</w:t>
      </w:r>
      <w:r>
        <w:rPr>
          <w:color w:val="000000"/>
          <w:sz w:val="24"/>
        </w:rPr>
        <w:t>0.02 mol/L</w:t>
      </w:r>
      <w:r>
        <w:rPr>
          <w:color w:val="000000"/>
          <w:sz w:val="24"/>
        </w:rPr>
        <w:t>）、无菌水、山梨醇（</w:t>
      </w:r>
      <w:r>
        <w:rPr>
          <w:color w:val="000000"/>
          <w:sz w:val="24"/>
        </w:rPr>
        <w:t>1 mol/L</w:t>
      </w:r>
      <w:r>
        <w:rPr>
          <w:color w:val="000000"/>
          <w:sz w:val="24"/>
        </w:rPr>
        <w:t>）等</w:t>
      </w:r>
    </w:p>
    <w:p w14:paraId="605E34CF"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54" w:name="docfit_s001_Toc26143"/>
      <w:bookmarkStart w:id="55" w:name="_Toc236830360"/>
      <w:r>
        <w:rPr>
          <w:rFonts w:eastAsia="宋体"/>
          <w:color w:val="000000"/>
          <w:sz w:val="24"/>
        </w:rPr>
        <w:t xml:space="preserve">4.2 </w:t>
      </w:r>
      <w:r>
        <w:rPr>
          <w:rFonts w:eastAsia="宋体"/>
          <w:color w:val="000000"/>
          <w:sz w:val="24"/>
        </w:rPr>
        <w:t>电转化</w:t>
      </w:r>
      <w:bookmarkEnd w:id="54"/>
      <w:bookmarkEnd w:id="55"/>
    </w:p>
    <w:p w14:paraId="191CC789"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电转化（</w:t>
      </w:r>
      <w:r>
        <w:rPr>
          <w:color w:val="000000"/>
          <w:sz w:val="24"/>
        </w:rPr>
        <w:t>Electroporation</w:t>
      </w:r>
      <w:r>
        <w:rPr>
          <w:color w:val="000000"/>
          <w:sz w:val="24"/>
        </w:rPr>
        <w:t>）是指在瞬时高压电脉冲作用下，使细胞膜形成瞬时可逆的通道，从而促使外源</w:t>
      </w:r>
      <w:r>
        <w:rPr>
          <w:color w:val="000000"/>
          <w:sz w:val="24"/>
        </w:rPr>
        <w:t>DNA</w:t>
      </w:r>
      <w:r>
        <w:rPr>
          <w:color w:val="000000"/>
          <w:sz w:val="24"/>
        </w:rPr>
        <w:t>进入受体细胞内部的一种转化方式。该方法具有操作简便、转化效率较高及适用于线性</w:t>
      </w:r>
      <w:r>
        <w:rPr>
          <w:color w:val="000000"/>
          <w:sz w:val="24"/>
        </w:rPr>
        <w:t>DNA</w:t>
      </w:r>
      <w:r>
        <w:rPr>
          <w:color w:val="000000"/>
          <w:sz w:val="24"/>
        </w:rPr>
        <w:t>导入等优点，因而被广泛应用于细菌遗传操作中。</w:t>
      </w:r>
    </w:p>
    <w:p w14:paraId="001FA08D"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56" w:name="docfit_s001_Toc24955"/>
      <w:bookmarkStart w:id="57" w:name="_Toc236830361"/>
      <w:r>
        <w:rPr>
          <w:rFonts w:eastAsia="宋体"/>
          <w:color w:val="000000"/>
          <w:sz w:val="24"/>
        </w:rPr>
        <w:t>4.3 PGP6</w:t>
      </w:r>
      <w:r>
        <w:rPr>
          <w:rFonts w:eastAsia="宋体"/>
          <w:color w:val="000000"/>
          <w:sz w:val="24"/>
        </w:rPr>
        <w:t>感受态细胞的制备</w:t>
      </w:r>
      <w:bookmarkEnd w:id="56"/>
      <w:bookmarkEnd w:id="57"/>
    </w:p>
    <w:p w14:paraId="585EE32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取</w:t>
      </w:r>
      <w:r>
        <w:rPr>
          <w:color w:val="000000"/>
          <w:sz w:val="24"/>
        </w:rPr>
        <w:t>PGP6</w:t>
      </w:r>
      <w:r>
        <w:rPr>
          <w:color w:val="000000"/>
          <w:sz w:val="24"/>
        </w:rPr>
        <w:t>单菌落于</w:t>
      </w:r>
      <w:r>
        <w:rPr>
          <w:color w:val="000000"/>
          <w:sz w:val="24"/>
        </w:rPr>
        <w:t>3 ml</w:t>
      </w:r>
      <w:r>
        <w:rPr>
          <w:color w:val="000000"/>
          <w:sz w:val="24"/>
        </w:rPr>
        <w:t>的</w:t>
      </w:r>
      <w:r>
        <w:rPr>
          <w:color w:val="000000"/>
          <w:sz w:val="24"/>
        </w:rPr>
        <w:t>LB</w:t>
      </w:r>
      <w:r>
        <w:rPr>
          <w:color w:val="000000"/>
          <w:sz w:val="24"/>
        </w:rPr>
        <w:t>液体培养基中培养</w:t>
      </w:r>
      <w:r>
        <w:rPr>
          <w:color w:val="000000"/>
          <w:sz w:val="24"/>
        </w:rPr>
        <w:t>24h</w:t>
      </w:r>
      <w:r>
        <w:rPr>
          <w:color w:val="000000"/>
          <w:sz w:val="24"/>
        </w:rPr>
        <w:t>。</w:t>
      </w:r>
      <w:r>
        <w:rPr>
          <w:color w:val="000000"/>
          <w:sz w:val="24"/>
        </w:rPr>
        <w:t>按照</w:t>
      </w:r>
      <w:r>
        <w:rPr>
          <w:color w:val="000000"/>
          <w:sz w:val="24"/>
        </w:rPr>
        <w:t>1%</w:t>
      </w:r>
      <w:r>
        <w:rPr>
          <w:color w:val="000000"/>
          <w:sz w:val="24"/>
        </w:rPr>
        <w:t>（</w:t>
      </w:r>
      <w:r>
        <w:rPr>
          <w:color w:val="000000"/>
          <w:sz w:val="24"/>
        </w:rPr>
        <w:t>v/v</w:t>
      </w:r>
      <w:r>
        <w:rPr>
          <w:color w:val="000000"/>
          <w:sz w:val="24"/>
        </w:rPr>
        <w:t>）的接种量接入含有</w:t>
      </w:r>
      <w:r>
        <w:rPr>
          <w:color w:val="000000"/>
          <w:sz w:val="24"/>
        </w:rPr>
        <w:t>100 mL</w:t>
      </w:r>
      <w:r>
        <w:rPr>
          <w:color w:val="000000"/>
          <w:sz w:val="24"/>
        </w:rPr>
        <w:t>的</w:t>
      </w:r>
      <w:r>
        <w:rPr>
          <w:color w:val="000000"/>
          <w:sz w:val="24"/>
        </w:rPr>
        <w:t>LB</w:t>
      </w:r>
      <w:r>
        <w:rPr>
          <w:color w:val="000000"/>
          <w:sz w:val="24"/>
        </w:rPr>
        <w:t>液体培养基的锥形瓶中培养</w:t>
      </w:r>
      <w:r>
        <w:rPr>
          <w:color w:val="000000"/>
          <w:sz w:val="24"/>
        </w:rPr>
        <w:t>24h</w:t>
      </w:r>
      <w:r>
        <w:rPr>
          <w:color w:val="000000"/>
          <w:sz w:val="24"/>
        </w:rPr>
        <w:t>。随后</w:t>
      </w:r>
      <w:r>
        <w:rPr>
          <w:color w:val="000000"/>
          <w:sz w:val="24"/>
        </w:rPr>
        <w:t>将培养后的菌液冰浴中预冷</w:t>
      </w:r>
      <w:r>
        <w:rPr>
          <w:color w:val="000000"/>
          <w:sz w:val="24"/>
        </w:rPr>
        <w:t>30 min</w:t>
      </w:r>
      <w:r>
        <w:rPr>
          <w:color w:val="000000"/>
          <w:sz w:val="24"/>
        </w:rPr>
        <w:t>。</w:t>
      </w:r>
      <w:r>
        <w:rPr>
          <w:color w:val="000000"/>
          <w:sz w:val="24"/>
        </w:rPr>
        <w:t>再将</w:t>
      </w:r>
      <w:r>
        <w:rPr>
          <w:color w:val="000000"/>
          <w:sz w:val="24"/>
        </w:rPr>
        <w:t>预冷</w:t>
      </w:r>
      <w:r>
        <w:rPr>
          <w:color w:val="000000"/>
          <w:sz w:val="24"/>
        </w:rPr>
        <w:t>的菌液</w:t>
      </w:r>
      <w:r>
        <w:rPr>
          <w:color w:val="000000"/>
          <w:sz w:val="24"/>
        </w:rPr>
        <w:t>分装至</w:t>
      </w:r>
      <w:r>
        <w:rPr>
          <w:color w:val="000000"/>
          <w:sz w:val="24"/>
        </w:rPr>
        <w:t>50 mL</w:t>
      </w:r>
      <w:r>
        <w:rPr>
          <w:color w:val="000000"/>
          <w:sz w:val="24"/>
        </w:rPr>
        <w:t>无菌离心管中，配平后于</w:t>
      </w:r>
      <w:r>
        <w:rPr>
          <w:color w:val="000000"/>
          <w:sz w:val="24"/>
        </w:rPr>
        <w:t xml:space="preserve"> 4 ℃</w:t>
      </w:r>
      <w:r>
        <w:rPr>
          <w:color w:val="000000"/>
          <w:sz w:val="24"/>
        </w:rPr>
        <w:t>、</w:t>
      </w:r>
      <w:r>
        <w:rPr>
          <w:color w:val="000000"/>
          <w:sz w:val="24"/>
        </w:rPr>
        <w:t>6000 rpm</w:t>
      </w:r>
      <w:r>
        <w:rPr>
          <w:color w:val="000000"/>
          <w:sz w:val="24"/>
        </w:rPr>
        <w:t>离心</w:t>
      </w:r>
      <w:r>
        <w:rPr>
          <w:color w:val="000000"/>
          <w:sz w:val="24"/>
        </w:rPr>
        <w:t>10 min</w:t>
      </w:r>
      <w:r>
        <w:rPr>
          <w:color w:val="000000"/>
          <w:sz w:val="24"/>
        </w:rPr>
        <w:t>，弃去上清，收集菌体。</w:t>
      </w:r>
      <w:r>
        <w:rPr>
          <w:color w:val="000000"/>
          <w:sz w:val="24"/>
        </w:rPr>
        <w:t>再</w:t>
      </w:r>
      <w:r>
        <w:rPr>
          <w:color w:val="000000"/>
          <w:sz w:val="24"/>
        </w:rPr>
        <w:t>加入</w:t>
      </w:r>
      <w:r>
        <w:rPr>
          <w:color w:val="000000"/>
          <w:sz w:val="24"/>
        </w:rPr>
        <w:t>10%</w:t>
      </w:r>
      <w:r>
        <w:rPr>
          <w:color w:val="000000"/>
          <w:sz w:val="24"/>
        </w:rPr>
        <w:t>（</w:t>
      </w:r>
      <w:r>
        <w:rPr>
          <w:color w:val="000000"/>
          <w:sz w:val="24"/>
        </w:rPr>
        <w:t>v/v</w:t>
      </w:r>
      <w:r>
        <w:rPr>
          <w:color w:val="000000"/>
          <w:sz w:val="24"/>
        </w:rPr>
        <w:t>）无菌甘油重悬菌体，并在相同条件下再次离心。重复洗涤</w:t>
      </w:r>
      <w:r>
        <w:rPr>
          <w:color w:val="000000"/>
          <w:sz w:val="24"/>
        </w:rPr>
        <w:t>2</w:t>
      </w:r>
      <w:r>
        <w:rPr>
          <w:color w:val="000000"/>
          <w:sz w:val="24"/>
        </w:rPr>
        <w:t>次，以去除培养基残留。最</w:t>
      </w:r>
      <w:r>
        <w:rPr>
          <w:color w:val="000000"/>
          <w:sz w:val="24"/>
        </w:rPr>
        <w:t>后</w:t>
      </w:r>
      <w:r>
        <w:rPr>
          <w:color w:val="000000"/>
          <w:sz w:val="24"/>
        </w:rPr>
        <w:t>用</w:t>
      </w:r>
      <w:r>
        <w:rPr>
          <w:color w:val="000000"/>
          <w:sz w:val="24"/>
        </w:rPr>
        <w:t>1mL</w:t>
      </w:r>
      <w:r>
        <w:rPr>
          <w:color w:val="000000"/>
          <w:sz w:val="24"/>
        </w:rPr>
        <w:t>无菌山梨醇重悬菌体，于冰浴条件下分装</w:t>
      </w:r>
      <w:r>
        <w:rPr>
          <w:color w:val="000000"/>
          <w:sz w:val="24"/>
        </w:rPr>
        <w:t>100</w:t>
      </w:r>
      <w:r>
        <w:rPr>
          <w:color w:val="000000"/>
          <w:sz w:val="24"/>
        </w:rPr>
        <w:t>μL</w:t>
      </w:r>
      <w:r>
        <w:rPr>
          <w:color w:val="000000"/>
          <w:sz w:val="24"/>
        </w:rPr>
        <w:t>至无菌</w:t>
      </w:r>
      <w:r>
        <w:rPr>
          <w:color w:val="000000"/>
          <w:sz w:val="24"/>
        </w:rPr>
        <w:t>1.5mL</w:t>
      </w:r>
      <w:r>
        <w:rPr>
          <w:color w:val="000000"/>
          <w:sz w:val="24"/>
        </w:rPr>
        <w:t>离心管中</w:t>
      </w:r>
      <w:r>
        <w:rPr>
          <w:color w:val="000000"/>
          <w:sz w:val="24"/>
        </w:rPr>
        <w:t>，获得电转化感受态细胞备用。</w:t>
      </w:r>
    </w:p>
    <w:p w14:paraId="4B3DA6F6"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58" w:name="docfit_s001_Toc482"/>
      <w:bookmarkStart w:id="59" w:name="_Toc236830362"/>
      <w:r>
        <w:rPr>
          <w:rFonts w:eastAsia="宋体"/>
          <w:color w:val="000000"/>
          <w:sz w:val="24"/>
        </w:rPr>
        <w:t>4.4 PGP6-pKD46</w:t>
      </w:r>
      <w:r>
        <w:rPr>
          <w:rFonts w:eastAsia="宋体"/>
          <w:color w:val="000000"/>
          <w:sz w:val="24"/>
        </w:rPr>
        <w:t>感受态细胞的制备</w:t>
      </w:r>
      <w:bookmarkEnd w:id="58"/>
      <w:bookmarkEnd w:id="59"/>
    </w:p>
    <w:p w14:paraId="173B1864"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同源重组辅助菌株</w:t>
      </w:r>
      <w:r>
        <w:rPr>
          <w:color w:val="000000"/>
          <w:sz w:val="24"/>
        </w:rPr>
        <w:t>PGP6-pKD46</w:t>
      </w:r>
      <w:r>
        <w:rPr>
          <w:color w:val="000000"/>
          <w:sz w:val="24"/>
        </w:rPr>
        <w:t>的准备：取约</w:t>
      </w:r>
      <w:r>
        <w:rPr>
          <w:color w:val="000000"/>
          <w:sz w:val="24"/>
        </w:rPr>
        <w:t>200 ng</w:t>
      </w:r>
      <w:r>
        <w:rPr>
          <w:color w:val="000000"/>
          <w:sz w:val="24"/>
        </w:rPr>
        <w:t>质粒</w:t>
      </w:r>
      <w:r>
        <w:rPr>
          <w:color w:val="000000"/>
          <w:sz w:val="24"/>
        </w:rPr>
        <w:t>pKD46</w:t>
      </w:r>
      <w:r>
        <w:rPr>
          <w:color w:val="000000"/>
          <w:sz w:val="24"/>
        </w:rPr>
        <w:t>与上述制备的</w:t>
      </w:r>
      <w:r>
        <w:rPr>
          <w:color w:val="000000"/>
          <w:sz w:val="24"/>
        </w:rPr>
        <w:t>PGP6</w:t>
      </w:r>
      <w:r>
        <w:rPr>
          <w:color w:val="000000"/>
          <w:sz w:val="24"/>
        </w:rPr>
        <w:t>感受态细胞混合中，转移至预冷的电击杯中，在电转条件（</w:t>
      </w:r>
      <w:r>
        <w:rPr>
          <w:color w:val="000000"/>
          <w:sz w:val="24"/>
        </w:rPr>
        <w:t>2.5 kV</w:t>
      </w:r>
      <w:r>
        <w:rPr>
          <w:color w:val="000000"/>
          <w:sz w:val="24"/>
        </w:rPr>
        <w:t>，约</w:t>
      </w:r>
      <w:r>
        <w:rPr>
          <w:color w:val="000000"/>
          <w:sz w:val="24"/>
        </w:rPr>
        <w:t>5 ms</w:t>
      </w:r>
      <w:r>
        <w:rPr>
          <w:color w:val="000000"/>
          <w:sz w:val="24"/>
        </w:rPr>
        <w:t>）下进行电转化操作。电转结束后立即加入预冷</w:t>
      </w:r>
      <w:r>
        <w:rPr>
          <w:color w:val="000000"/>
          <w:sz w:val="24"/>
        </w:rPr>
        <w:t>LB</w:t>
      </w:r>
      <w:r>
        <w:rPr>
          <w:color w:val="000000"/>
          <w:sz w:val="24"/>
        </w:rPr>
        <w:t>培养基进行复苏，并在</w:t>
      </w:r>
      <w:r>
        <w:rPr>
          <w:color w:val="000000"/>
          <w:sz w:val="24"/>
        </w:rPr>
        <w:t>30℃</w:t>
      </w:r>
      <w:r>
        <w:rPr>
          <w:color w:val="000000"/>
          <w:sz w:val="24"/>
        </w:rPr>
        <w:t>、</w:t>
      </w:r>
      <w:r>
        <w:rPr>
          <w:color w:val="000000"/>
          <w:sz w:val="24"/>
        </w:rPr>
        <w:t>160 rpm</w:t>
      </w:r>
      <w:r>
        <w:rPr>
          <w:color w:val="000000"/>
          <w:sz w:val="24"/>
        </w:rPr>
        <w:t>条件下振荡培养</w:t>
      </w:r>
      <w:r>
        <w:rPr>
          <w:color w:val="000000"/>
          <w:sz w:val="24"/>
        </w:rPr>
        <w:t>1-2 h</w:t>
      </w:r>
      <w:r>
        <w:rPr>
          <w:color w:val="000000"/>
          <w:sz w:val="24"/>
        </w:rPr>
        <w:t>，在复苏过程中持续添加阿拉伯糖以维持</w:t>
      </w:r>
      <w:r>
        <w:rPr>
          <w:color w:val="000000"/>
          <w:sz w:val="24"/>
        </w:rPr>
        <w:t>λ-Red</w:t>
      </w:r>
      <w:r>
        <w:rPr>
          <w:color w:val="000000"/>
          <w:sz w:val="24"/>
        </w:rPr>
        <w:t>系统表达，从而促进外源</w:t>
      </w:r>
      <w:r>
        <w:rPr>
          <w:color w:val="000000"/>
          <w:sz w:val="24"/>
        </w:rPr>
        <w:t>DNA</w:t>
      </w:r>
      <w:r>
        <w:rPr>
          <w:color w:val="000000"/>
          <w:sz w:val="24"/>
        </w:rPr>
        <w:t>与宿主染色体之间发生同源重组。复苏结束后涂布于含四环素</w:t>
      </w:r>
      <w:r>
        <w:rPr>
          <w:color w:val="000000" w:themeColor="text1"/>
          <w:sz w:val="24"/>
        </w:rPr>
        <w:t>（</w:t>
      </w:r>
      <w:r>
        <w:rPr>
          <w:color w:val="000000" w:themeColor="text1"/>
          <w:sz w:val="24"/>
        </w:rPr>
        <w:t>Tet</w:t>
      </w:r>
      <w:r>
        <w:rPr>
          <w:color w:val="000000" w:themeColor="text1"/>
          <w:sz w:val="24"/>
        </w:rPr>
        <w:t>）</w:t>
      </w:r>
      <w:r>
        <w:rPr>
          <w:color w:val="000000"/>
          <w:sz w:val="24"/>
        </w:rPr>
        <w:t>的</w:t>
      </w:r>
      <w:r>
        <w:rPr>
          <w:color w:val="000000"/>
          <w:sz w:val="24"/>
        </w:rPr>
        <w:t>LB</w:t>
      </w:r>
      <w:r>
        <w:rPr>
          <w:color w:val="000000"/>
          <w:sz w:val="24"/>
        </w:rPr>
        <w:t>固体培养基上，于</w:t>
      </w:r>
      <w:r>
        <w:rPr>
          <w:color w:val="000000"/>
          <w:sz w:val="24"/>
        </w:rPr>
        <w:t>30 ℃</w:t>
      </w:r>
      <w:r>
        <w:rPr>
          <w:color w:val="000000"/>
          <w:sz w:val="24"/>
        </w:rPr>
        <w:t>下培养以筛选</w:t>
      </w:r>
      <w:r>
        <w:rPr>
          <w:color w:val="000000"/>
          <w:sz w:val="24"/>
        </w:rPr>
        <w:t>PGP6-pKD46</w:t>
      </w:r>
      <w:r>
        <w:rPr>
          <w:color w:val="000000"/>
          <w:sz w:val="24"/>
        </w:rPr>
        <w:t>转化子。经</w:t>
      </w:r>
      <w:r>
        <w:rPr>
          <w:color w:val="000000"/>
          <w:sz w:val="24"/>
        </w:rPr>
        <w:t>pKD46</w:t>
      </w:r>
      <w:r>
        <w:rPr>
          <w:color w:val="000000"/>
          <w:sz w:val="24"/>
        </w:rPr>
        <w:t>验证引物扩增及测序正确的菌株进行纯化及菌种保藏。</w:t>
      </w:r>
    </w:p>
    <w:p w14:paraId="512372D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取</w:t>
      </w:r>
      <w:r>
        <w:rPr>
          <w:color w:val="000000"/>
          <w:sz w:val="24"/>
        </w:rPr>
        <w:t>PGP6-pKD46</w:t>
      </w:r>
      <w:r>
        <w:rPr>
          <w:color w:val="000000"/>
          <w:sz w:val="24"/>
        </w:rPr>
        <w:t>单菌落接种于</w:t>
      </w:r>
      <w:r>
        <w:rPr>
          <w:color w:val="000000"/>
          <w:sz w:val="24"/>
        </w:rPr>
        <w:t>LB</w:t>
      </w:r>
      <w:r>
        <w:rPr>
          <w:color w:val="000000"/>
          <w:sz w:val="24"/>
        </w:rPr>
        <w:t>液体培养基中培养</w:t>
      </w:r>
      <w:r>
        <w:rPr>
          <w:color w:val="000000"/>
          <w:sz w:val="24"/>
        </w:rPr>
        <w:t>24h</w:t>
      </w:r>
      <w:r>
        <w:rPr>
          <w:color w:val="000000"/>
          <w:sz w:val="24"/>
        </w:rPr>
        <w:t>，再按</w:t>
      </w:r>
      <w:r>
        <w:rPr>
          <w:color w:val="000000"/>
          <w:sz w:val="24"/>
        </w:rPr>
        <w:t>1%</w:t>
      </w:r>
      <w:r>
        <w:rPr>
          <w:color w:val="000000"/>
          <w:sz w:val="24"/>
        </w:rPr>
        <w:t>（</w:t>
      </w:r>
      <w:r>
        <w:rPr>
          <w:color w:val="000000"/>
          <w:sz w:val="24"/>
        </w:rPr>
        <w:t>v/v</w:t>
      </w:r>
      <w:r>
        <w:rPr>
          <w:color w:val="000000"/>
          <w:sz w:val="24"/>
        </w:rPr>
        <w:t>）接种量转接至</w:t>
      </w:r>
      <w:r>
        <w:rPr>
          <w:color w:val="000000"/>
          <w:sz w:val="24"/>
        </w:rPr>
        <w:t>100 mL LB</w:t>
      </w:r>
      <w:r>
        <w:rPr>
          <w:color w:val="000000"/>
          <w:sz w:val="24"/>
        </w:rPr>
        <w:t>液体培养基中，于</w:t>
      </w:r>
      <w:r>
        <w:rPr>
          <w:color w:val="000000"/>
          <w:sz w:val="24"/>
        </w:rPr>
        <w:t>30℃</w:t>
      </w:r>
      <w:r>
        <w:rPr>
          <w:color w:val="000000"/>
          <w:sz w:val="24"/>
        </w:rPr>
        <w:t>、</w:t>
      </w:r>
      <w:r>
        <w:rPr>
          <w:color w:val="000000"/>
          <w:sz w:val="24"/>
        </w:rPr>
        <w:t>220 rpm</w:t>
      </w:r>
      <w:r>
        <w:rPr>
          <w:color w:val="000000"/>
          <w:sz w:val="24"/>
        </w:rPr>
        <w:t>条件下振荡培养。当菌体生长至</w:t>
      </w:r>
      <w:r>
        <w:rPr>
          <w:color w:val="000000"/>
          <w:sz w:val="24"/>
        </w:rPr>
        <w:t>OD</w:t>
      </w:r>
      <w:r>
        <w:rPr>
          <w:color w:val="000000" w:themeColor="text1"/>
          <w:sz w:val="24"/>
          <w:vertAlign w:val="subscript"/>
        </w:rPr>
        <w:t>600</w:t>
      </w:r>
      <w:r>
        <w:rPr>
          <w:color w:val="000000"/>
          <w:sz w:val="24"/>
        </w:rPr>
        <w:t>约为</w:t>
      </w:r>
      <w:r>
        <w:rPr>
          <w:color w:val="000000"/>
          <w:sz w:val="24"/>
        </w:rPr>
        <w:t>0.2</w:t>
      </w:r>
      <w:r>
        <w:rPr>
          <w:color w:val="000000"/>
          <w:sz w:val="24"/>
        </w:rPr>
        <w:t>时，加入终浓度为</w:t>
      </w:r>
      <w:r>
        <w:rPr>
          <w:color w:val="000000"/>
          <w:sz w:val="24"/>
        </w:rPr>
        <w:t>20 mM</w:t>
      </w:r>
      <w:r>
        <w:rPr>
          <w:color w:val="000000"/>
          <w:sz w:val="24"/>
        </w:rPr>
        <w:t>的阿拉伯糖诱导</w:t>
      </w:r>
      <w:r>
        <w:rPr>
          <w:color w:val="000000"/>
          <w:sz w:val="24"/>
        </w:rPr>
        <w:t>λ-Red</w:t>
      </w:r>
      <w:r>
        <w:rPr>
          <w:color w:val="000000"/>
          <w:sz w:val="24"/>
        </w:rPr>
        <w:t>系统表达；继续培养至</w:t>
      </w:r>
      <w:r>
        <w:rPr>
          <w:color w:val="000000"/>
          <w:sz w:val="24"/>
        </w:rPr>
        <w:t>OD</w:t>
      </w:r>
      <w:r>
        <w:rPr>
          <w:color w:val="000000" w:themeColor="text1"/>
          <w:sz w:val="24"/>
          <w:vertAlign w:val="subscript"/>
        </w:rPr>
        <w:t>600</w:t>
      </w:r>
      <w:r>
        <w:rPr>
          <w:color w:val="000000"/>
          <w:sz w:val="24"/>
        </w:rPr>
        <w:t>达到</w:t>
      </w:r>
      <w:r>
        <w:rPr>
          <w:color w:val="000000"/>
          <w:sz w:val="24"/>
        </w:rPr>
        <w:t>0.8-1.0</w:t>
      </w:r>
      <w:r>
        <w:rPr>
          <w:color w:val="000000"/>
          <w:sz w:val="24"/>
        </w:rPr>
        <w:t>时，按</w:t>
      </w:r>
      <w:r>
        <w:rPr>
          <w:color w:val="000000"/>
          <w:sz w:val="24"/>
        </w:rPr>
        <w:t>1.2.2</w:t>
      </w:r>
      <w:r>
        <w:rPr>
          <w:color w:val="000000"/>
          <w:sz w:val="24"/>
        </w:rPr>
        <w:t>的方法进行感受态制备。</w:t>
      </w:r>
    </w:p>
    <w:p w14:paraId="57F8A87F"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60" w:name="docfit_s001_Toc2092"/>
      <w:bookmarkStart w:id="61" w:name="_Toc236830363"/>
      <w:r>
        <w:rPr>
          <w:rFonts w:eastAsia="宋体"/>
          <w:color w:val="000000"/>
          <w:sz w:val="24"/>
        </w:rPr>
        <w:t xml:space="preserve">4.5 </w:t>
      </w:r>
      <w:r>
        <w:rPr>
          <w:rFonts w:eastAsia="宋体"/>
          <w:color w:val="000000"/>
          <w:sz w:val="24"/>
        </w:rPr>
        <w:t>打靶片段的电转化及突变株筛选与验证</w:t>
      </w:r>
      <w:bookmarkEnd w:id="60"/>
      <w:bookmarkEnd w:id="61"/>
    </w:p>
    <w:p w14:paraId="7964F18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取约</w:t>
      </w:r>
      <w:r>
        <w:rPr>
          <w:color w:val="000000"/>
          <w:sz w:val="24"/>
        </w:rPr>
        <w:t>200 ng</w:t>
      </w:r>
      <w:r>
        <w:rPr>
          <w:color w:val="000000"/>
          <w:sz w:val="24"/>
        </w:rPr>
        <w:t>线性打靶片段与上述制备的</w:t>
      </w:r>
      <w:r>
        <w:rPr>
          <w:color w:val="000000"/>
          <w:sz w:val="24"/>
        </w:rPr>
        <w:t>PGP6-pKD46</w:t>
      </w:r>
      <w:r>
        <w:rPr>
          <w:color w:val="000000"/>
          <w:sz w:val="24"/>
        </w:rPr>
        <w:t>感受态细胞混合，转移至预冷的电击杯中，在电转条件（</w:t>
      </w:r>
      <w:r>
        <w:rPr>
          <w:color w:val="000000"/>
          <w:sz w:val="24"/>
        </w:rPr>
        <w:t>2.5 kV</w:t>
      </w:r>
      <w:r>
        <w:rPr>
          <w:color w:val="000000"/>
          <w:sz w:val="24"/>
        </w:rPr>
        <w:t>，约</w:t>
      </w:r>
      <w:r>
        <w:rPr>
          <w:color w:val="000000"/>
          <w:sz w:val="24"/>
        </w:rPr>
        <w:t>5 ms</w:t>
      </w:r>
      <w:r>
        <w:rPr>
          <w:color w:val="000000"/>
          <w:sz w:val="24"/>
        </w:rPr>
        <w:t>）下进行电转化操作。电转结束后立即加入预冷</w:t>
      </w:r>
      <w:r>
        <w:rPr>
          <w:color w:val="000000"/>
          <w:sz w:val="24"/>
        </w:rPr>
        <w:t>LB</w:t>
      </w:r>
      <w:r>
        <w:rPr>
          <w:color w:val="000000"/>
          <w:sz w:val="24"/>
        </w:rPr>
        <w:t>培养基进行复苏，并在</w:t>
      </w:r>
      <w:r>
        <w:rPr>
          <w:color w:val="000000"/>
          <w:sz w:val="24"/>
        </w:rPr>
        <w:t>30℃</w:t>
      </w:r>
      <w:r>
        <w:rPr>
          <w:color w:val="000000"/>
          <w:sz w:val="24"/>
        </w:rPr>
        <w:t>、</w:t>
      </w:r>
      <w:r>
        <w:rPr>
          <w:color w:val="000000"/>
          <w:sz w:val="24"/>
        </w:rPr>
        <w:t>160 rpm</w:t>
      </w:r>
      <w:r>
        <w:rPr>
          <w:color w:val="000000"/>
          <w:sz w:val="24"/>
        </w:rPr>
        <w:t>条件下振荡培养</w:t>
      </w:r>
      <w:r>
        <w:rPr>
          <w:color w:val="000000"/>
          <w:sz w:val="24"/>
        </w:rPr>
        <w:t>1-2 h</w:t>
      </w:r>
      <w:r>
        <w:rPr>
          <w:color w:val="000000"/>
          <w:sz w:val="24"/>
        </w:rPr>
        <w:t>，在复苏过程中持续添加阿拉伯糖以维持</w:t>
      </w:r>
      <w:r>
        <w:rPr>
          <w:color w:val="000000"/>
          <w:sz w:val="24"/>
        </w:rPr>
        <w:t>λ-Red</w:t>
      </w:r>
      <w:r>
        <w:rPr>
          <w:color w:val="000000"/>
          <w:sz w:val="24"/>
        </w:rPr>
        <w:t>系统表达，从而促进外源</w:t>
      </w:r>
      <w:r>
        <w:rPr>
          <w:color w:val="000000"/>
          <w:sz w:val="24"/>
        </w:rPr>
        <w:t>DNA</w:t>
      </w:r>
      <w:r>
        <w:rPr>
          <w:color w:val="000000"/>
          <w:sz w:val="24"/>
        </w:rPr>
        <w:t>与宿主染色体之间发生同源重组。复苏结束后，取</w:t>
      </w:r>
      <w:r>
        <w:rPr>
          <w:color w:val="000000"/>
          <w:sz w:val="24"/>
        </w:rPr>
        <w:t>100μL</w:t>
      </w:r>
      <w:r>
        <w:rPr>
          <w:color w:val="000000"/>
          <w:sz w:val="24"/>
        </w:rPr>
        <w:t>菌液涂布于含</w:t>
      </w:r>
      <w:r>
        <w:rPr>
          <w:color w:val="000000" w:themeColor="text1"/>
          <w:sz w:val="24"/>
        </w:rPr>
        <w:t>卡那霉素、四环素及壮观霉素</w:t>
      </w:r>
      <w:r>
        <w:rPr>
          <w:color w:val="000000"/>
          <w:sz w:val="24"/>
        </w:rPr>
        <w:t>的</w:t>
      </w:r>
      <w:r>
        <w:rPr>
          <w:color w:val="000000"/>
          <w:sz w:val="24"/>
        </w:rPr>
        <w:t>LB</w:t>
      </w:r>
      <w:r>
        <w:rPr>
          <w:color w:val="000000"/>
          <w:sz w:val="24"/>
        </w:rPr>
        <w:t>固体培养基上，在</w:t>
      </w:r>
      <w:r>
        <w:rPr>
          <w:color w:val="000000"/>
          <w:sz w:val="24"/>
        </w:rPr>
        <w:t>30 ℃</w:t>
      </w:r>
      <w:r>
        <w:rPr>
          <w:color w:val="000000"/>
          <w:sz w:val="24"/>
        </w:rPr>
        <w:t>条件下培养</w:t>
      </w:r>
      <w:r>
        <w:rPr>
          <w:color w:val="000000"/>
          <w:sz w:val="24"/>
        </w:rPr>
        <w:t>48 h</w:t>
      </w:r>
      <w:r>
        <w:rPr>
          <w:color w:val="000000"/>
          <w:sz w:val="24"/>
        </w:rPr>
        <w:t>进行</w:t>
      </w:r>
      <w:r>
        <w:rPr>
          <w:color w:val="000000"/>
          <w:sz w:val="24"/>
        </w:rPr>
        <w:lastRenderedPageBreak/>
        <w:t>筛选。培养结束后，挑取平板上单菌落进行活化培养，获得候选突变株。随后以突变株基因组</w:t>
      </w:r>
      <w:r>
        <w:rPr>
          <w:color w:val="000000"/>
          <w:sz w:val="24"/>
        </w:rPr>
        <w:t>DNA</w:t>
      </w:r>
      <w:r>
        <w:rPr>
          <w:color w:val="000000"/>
          <w:sz w:val="24"/>
        </w:rPr>
        <w:t>为模板，采用位于目标基因验证引物进行</w:t>
      </w:r>
      <w:r>
        <w:rPr>
          <w:color w:val="000000"/>
          <w:sz w:val="24"/>
        </w:rPr>
        <w:t>PCR</w:t>
      </w:r>
      <w:r>
        <w:rPr>
          <w:color w:val="000000"/>
          <w:sz w:val="24"/>
        </w:rPr>
        <w:t>扩增，并设野生型</w:t>
      </w:r>
      <w:r>
        <w:rPr>
          <w:color w:val="000000"/>
          <w:sz w:val="24"/>
        </w:rPr>
        <w:t>PGP6</w:t>
      </w:r>
      <w:r>
        <w:rPr>
          <w:color w:val="000000"/>
          <w:sz w:val="24"/>
        </w:rPr>
        <w:t>对照，以判断目标基因是否被成功敲除。对验证结果符合预期的样品进一步送至南京擎科生物科技有限公司进行序列测定，以最终确认基因缺失的准确性。引物附表</w:t>
      </w:r>
    </w:p>
    <w:p w14:paraId="3093406E"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62" w:name="docfit_s001_Toc8704"/>
      <w:bookmarkStart w:id="63" w:name="_Toc236830364"/>
      <w:r>
        <w:rPr>
          <w:rFonts w:eastAsia="宋体"/>
          <w:color w:val="000000"/>
          <w:sz w:val="24"/>
        </w:rPr>
        <w:t xml:space="preserve">4.6 </w:t>
      </w:r>
      <w:r>
        <w:rPr>
          <w:rFonts w:eastAsia="宋体"/>
          <w:color w:val="000000"/>
          <w:sz w:val="24"/>
        </w:rPr>
        <w:t>敲除株中</w:t>
      </w:r>
      <w:r>
        <w:rPr>
          <w:rFonts w:eastAsia="宋体"/>
          <w:color w:val="000000"/>
          <w:sz w:val="24"/>
        </w:rPr>
        <w:t>pKD46</w:t>
      </w:r>
      <w:r>
        <w:rPr>
          <w:rFonts w:eastAsia="宋体"/>
          <w:color w:val="000000"/>
          <w:sz w:val="24"/>
        </w:rPr>
        <w:t>质粒的去除及分子验证</w:t>
      </w:r>
      <w:bookmarkEnd w:id="62"/>
      <w:bookmarkEnd w:id="63"/>
    </w:p>
    <w:p w14:paraId="1C1B9B33"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挑取经</w:t>
      </w:r>
      <w:r>
        <w:rPr>
          <w:color w:val="000000"/>
          <w:sz w:val="24"/>
        </w:rPr>
        <w:t>PCR</w:t>
      </w:r>
      <w:r>
        <w:rPr>
          <w:color w:val="000000"/>
          <w:sz w:val="24"/>
        </w:rPr>
        <w:t>及测序验证正确的候选敲除菌株单菌落，于</w:t>
      </w:r>
      <w:r>
        <w:rPr>
          <w:color w:val="000000"/>
          <w:sz w:val="24"/>
        </w:rPr>
        <w:t>37 ℃</w:t>
      </w:r>
      <w:r>
        <w:rPr>
          <w:color w:val="000000"/>
          <w:sz w:val="24"/>
        </w:rPr>
        <w:t>条件下培养以去除携带温敏复制子的</w:t>
      </w:r>
      <w:r>
        <w:rPr>
          <w:color w:val="000000"/>
          <w:sz w:val="24"/>
        </w:rPr>
        <w:t>pKD46</w:t>
      </w:r>
      <w:r>
        <w:rPr>
          <w:color w:val="000000"/>
          <w:sz w:val="24"/>
        </w:rPr>
        <w:t>质粒。随后将菌株分别划线接种于</w:t>
      </w:r>
      <w:r>
        <w:rPr>
          <w:color w:val="000000" w:themeColor="text1"/>
          <w:sz w:val="24"/>
        </w:rPr>
        <w:t>含卡那霉素与壮观霉素</w:t>
      </w:r>
      <w:r>
        <w:rPr>
          <w:color w:val="000000"/>
          <w:sz w:val="24"/>
        </w:rPr>
        <w:t>的</w:t>
      </w:r>
      <w:r>
        <w:rPr>
          <w:color w:val="000000"/>
          <w:sz w:val="24"/>
        </w:rPr>
        <w:t>LB</w:t>
      </w:r>
      <w:r>
        <w:rPr>
          <w:color w:val="000000"/>
          <w:sz w:val="24"/>
        </w:rPr>
        <w:t>平板（</w:t>
      </w:r>
      <w:r>
        <w:rPr>
          <w:color w:val="000000"/>
          <w:sz w:val="24"/>
        </w:rPr>
        <w:t>Km+Spc</w:t>
      </w:r>
      <w:r>
        <w:rPr>
          <w:color w:val="000000"/>
          <w:sz w:val="24"/>
        </w:rPr>
        <w:t>）以及含</w:t>
      </w:r>
      <w:r>
        <w:rPr>
          <w:color w:val="000000" w:themeColor="text1"/>
          <w:sz w:val="24"/>
        </w:rPr>
        <w:t>卡那霉素、壮观霉素与四环素</w:t>
      </w:r>
      <w:r>
        <w:rPr>
          <w:color w:val="000000"/>
          <w:sz w:val="24"/>
        </w:rPr>
        <w:t>的</w:t>
      </w:r>
      <w:r>
        <w:rPr>
          <w:color w:val="000000"/>
          <w:sz w:val="24"/>
        </w:rPr>
        <w:t>LB</w:t>
      </w:r>
      <w:r>
        <w:rPr>
          <w:color w:val="000000"/>
          <w:sz w:val="24"/>
        </w:rPr>
        <w:t>平板（</w:t>
      </w:r>
      <w:r>
        <w:rPr>
          <w:color w:val="000000"/>
          <w:sz w:val="24"/>
        </w:rPr>
        <w:t>Km+Spc+Tet</w:t>
      </w:r>
      <w:r>
        <w:rPr>
          <w:color w:val="000000"/>
          <w:sz w:val="24"/>
        </w:rPr>
        <w:t>），于</w:t>
      </w:r>
      <w:r>
        <w:rPr>
          <w:color w:val="000000"/>
          <w:sz w:val="24"/>
        </w:rPr>
        <w:t>30 ℃</w:t>
      </w:r>
      <w:r>
        <w:rPr>
          <w:color w:val="000000"/>
          <w:sz w:val="24"/>
        </w:rPr>
        <w:t>条件下培养</w:t>
      </w:r>
      <w:r>
        <w:rPr>
          <w:color w:val="000000"/>
          <w:sz w:val="24"/>
        </w:rPr>
        <w:t>24 h</w:t>
      </w:r>
      <w:r>
        <w:rPr>
          <w:color w:val="000000"/>
          <w:sz w:val="24"/>
        </w:rPr>
        <w:t>，并通过比较不同抗性平板上的生长情况进行初步筛选：在</w:t>
      </w:r>
      <w:r>
        <w:rPr>
          <w:color w:val="000000"/>
          <w:sz w:val="24"/>
        </w:rPr>
        <w:t>Km+Spc</w:t>
      </w:r>
      <w:r>
        <w:rPr>
          <w:color w:val="000000"/>
          <w:sz w:val="24"/>
        </w:rPr>
        <w:t>平板上正常生长而在</w:t>
      </w:r>
      <w:r>
        <w:rPr>
          <w:color w:val="000000"/>
          <w:sz w:val="24"/>
        </w:rPr>
        <w:t>Km+Spc+Tet</w:t>
      </w:r>
      <w:r>
        <w:rPr>
          <w:color w:val="000000"/>
          <w:sz w:val="24"/>
        </w:rPr>
        <w:t>平板上不生长的菌株被判定为可能成功丢失</w:t>
      </w:r>
      <w:r>
        <w:rPr>
          <w:color w:val="000000"/>
          <w:sz w:val="24"/>
        </w:rPr>
        <w:t>pKD46</w:t>
      </w:r>
      <w:r>
        <w:rPr>
          <w:color w:val="000000"/>
          <w:sz w:val="24"/>
        </w:rPr>
        <w:t>质粒的候选菌株。在此基础上，提取筛选菌株的基因组</w:t>
      </w:r>
      <w:r>
        <w:rPr>
          <w:color w:val="000000"/>
          <w:sz w:val="24"/>
        </w:rPr>
        <w:t>DNA</w:t>
      </w:r>
      <w:r>
        <w:rPr>
          <w:color w:val="000000"/>
          <w:sz w:val="24"/>
        </w:rPr>
        <w:t>，以</w:t>
      </w:r>
      <w:r>
        <w:rPr>
          <w:color w:val="000000"/>
          <w:sz w:val="24"/>
        </w:rPr>
        <w:t>pKD46</w:t>
      </w:r>
      <w:r>
        <w:rPr>
          <w:color w:val="000000"/>
          <w:sz w:val="24"/>
        </w:rPr>
        <w:t>特异性引物（如</w:t>
      </w:r>
      <w:r>
        <w:rPr>
          <w:color w:val="000000"/>
          <w:sz w:val="24"/>
        </w:rPr>
        <w:t>Tet</w:t>
      </w:r>
      <w:r>
        <w:rPr>
          <w:color w:val="000000"/>
          <w:sz w:val="24"/>
        </w:rPr>
        <w:t>，</w:t>
      </w:r>
      <w:r>
        <w:rPr>
          <w:color w:val="000000"/>
          <w:sz w:val="24"/>
        </w:rPr>
        <w:t>Gam</w:t>
      </w:r>
      <w:r>
        <w:rPr>
          <w:color w:val="000000"/>
          <w:sz w:val="24"/>
        </w:rPr>
        <w:t>，引物附表）及目标基因上下游外侧引物进行</w:t>
      </w:r>
      <w:r>
        <w:rPr>
          <w:color w:val="000000"/>
          <w:sz w:val="24"/>
        </w:rPr>
        <w:t>PCR</w:t>
      </w:r>
      <w:r>
        <w:rPr>
          <w:color w:val="000000"/>
          <w:sz w:val="24"/>
        </w:rPr>
        <w:t>扩增，通过对相关基因条带的扩增结果进行分析，来判断</w:t>
      </w:r>
      <w:r>
        <w:rPr>
          <w:color w:val="000000"/>
          <w:sz w:val="24"/>
        </w:rPr>
        <w:t>λ-Red</w:t>
      </w:r>
      <w:r>
        <w:rPr>
          <w:color w:val="000000"/>
          <w:sz w:val="24"/>
        </w:rPr>
        <w:t>同源重组系统是否被成功敲除。最终将</w:t>
      </w:r>
      <w:r>
        <w:rPr>
          <w:color w:val="000000"/>
          <w:sz w:val="24"/>
        </w:rPr>
        <w:t>PCR</w:t>
      </w:r>
      <w:r>
        <w:rPr>
          <w:color w:val="000000"/>
          <w:sz w:val="24"/>
        </w:rPr>
        <w:t>产物送至南京擎科生物科技有限公司进行测序，通过比对测序结果与理论序列的一致性，最终确认基因敲除的准确性。</w:t>
      </w:r>
    </w:p>
    <w:p w14:paraId="6A1DA1D5"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64" w:name="docfit_s001_Toc25821"/>
      <w:bookmarkStart w:id="65" w:name="_Toc236830365"/>
      <w:r>
        <w:rPr>
          <w:rFonts w:ascii="黑体" w:hAnsi="黑体" w:cs="黑体"/>
          <w:color w:val="000000"/>
          <w:szCs w:val="28"/>
        </w:rPr>
        <w:t>5 PGP6 ΔtrpA::kan</w:t>
      </w:r>
      <w:r>
        <w:rPr>
          <w:rFonts w:ascii="黑体" w:hAnsi="黑体" w:cs="黑体"/>
          <w:color w:val="000000"/>
          <w:szCs w:val="28"/>
        </w:rPr>
        <w:t>、</w:t>
      </w:r>
      <w:r>
        <w:rPr>
          <w:rFonts w:ascii="黑体" w:hAnsi="黑体" w:cs="黑体"/>
          <w:color w:val="000000"/>
          <w:szCs w:val="28"/>
        </w:rPr>
        <w:t>PGP6 ΔtrpB::kan</w:t>
      </w:r>
      <w:r>
        <w:rPr>
          <w:rFonts w:ascii="黑体" w:hAnsi="黑体" w:cs="黑体"/>
          <w:color w:val="000000"/>
          <w:szCs w:val="28"/>
        </w:rPr>
        <w:t>、</w:t>
      </w:r>
      <w:r>
        <w:rPr>
          <w:rFonts w:ascii="黑体" w:hAnsi="黑体" w:cs="黑体"/>
          <w:color w:val="000000"/>
          <w:szCs w:val="28"/>
        </w:rPr>
        <w:t>PGP6 Δ(trpA-trpB)::kan</w:t>
      </w:r>
      <w:r>
        <w:rPr>
          <w:rFonts w:ascii="黑体" w:hAnsi="黑体" w:cs="黑体"/>
          <w:color w:val="000000"/>
          <w:szCs w:val="28"/>
        </w:rPr>
        <w:t>、</w:t>
      </w:r>
      <w:r>
        <w:rPr>
          <w:rFonts w:ascii="黑体" w:hAnsi="黑体" w:cs="黑体"/>
          <w:color w:val="000000"/>
          <w:szCs w:val="28"/>
        </w:rPr>
        <w:t>PGP6 ΔpatB::kan</w:t>
      </w:r>
      <w:r>
        <w:rPr>
          <w:rFonts w:ascii="黑体" w:hAnsi="黑体" w:cs="黑体"/>
          <w:color w:val="000000"/>
          <w:szCs w:val="28"/>
        </w:rPr>
        <w:t>、</w:t>
      </w:r>
      <w:r>
        <w:rPr>
          <w:rFonts w:ascii="黑体" w:hAnsi="黑体" w:cs="黑体"/>
          <w:color w:val="000000"/>
          <w:szCs w:val="28"/>
        </w:rPr>
        <w:t>PGP6 ΔiaaH::kan</w:t>
      </w:r>
      <w:r>
        <w:rPr>
          <w:rFonts w:ascii="黑体" w:hAnsi="黑体" w:cs="黑体"/>
          <w:color w:val="000000"/>
          <w:szCs w:val="28"/>
        </w:rPr>
        <w:t>敲除株的功能验证</w:t>
      </w:r>
      <w:bookmarkEnd w:id="64"/>
      <w:bookmarkEnd w:id="65"/>
    </w:p>
    <w:p w14:paraId="0DD64BF6"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在前一章成功去除</w:t>
      </w:r>
      <w:r>
        <w:rPr>
          <w:color w:val="000000"/>
          <w:sz w:val="24"/>
        </w:rPr>
        <w:t>pKD46</w:t>
      </w:r>
      <w:r>
        <w:rPr>
          <w:color w:val="000000"/>
          <w:sz w:val="24"/>
        </w:rPr>
        <w:t>质粒，获得遗传背景稳定的敲除菌株的基础上。</w:t>
      </w:r>
      <w:r>
        <w:rPr>
          <w:color w:val="000000"/>
          <w:sz w:val="24"/>
        </w:rPr>
        <w:t>结合抗生素筛选及</w:t>
      </w:r>
      <w:r>
        <w:rPr>
          <w:color w:val="000000"/>
          <w:sz w:val="24"/>
        </w:rPr>
        <w:t>PCR</w:t>
      </w:r>
      <w:r>
        <w:rPr>
          <w:color w:val="000000"/>
          <w:sz w:val="24"/>
        </w:rPr>
        <w:t>扩增对菌株进行进一步分子验证，并通过测序确认基因缺失的准确性。进一步对野生型菌株及各基因缺失突变株的</w:t>
      </w:r>
      <w:r>
        <w:rPr>
          <w:color w:val="000000"/>
          <w:sz w:val="24"/>
        </w:rPr>
        <w:t>IAA</w:t>
      </w:r>
      <w:r>
        <w:rPr>
          <w:color w:val="000000"/>
          <w:sz w:val="24"/>
        </w:rPr>
        <w:t>产量进行定量测定与比较分析，以解析不同基因在</w:t>
      </w:r>
      <w:r>
        <w:rPr>
          <w:color w:val="000000"/>
          <w:sz w:val="24"/>
        </w:rPr>
        <w:t>PGP6</w:t>
      </w:r>
      <w:r>
        <w:rPr>
          <w:color w:val="000000"/>
          <w:sz w:val="24"/>
        </w:rPr>
        <w:t>生长素生物合成过程中的功能差异并通过测序确认基因缺失的准确性。</w:t>
      </w:r>
    </w:p>
    <w:p w14:paraId="712CDF33"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66" w:name="docfit_s001_Toc26607"/>
      <w:bookmarkStart w:id="67" w:name="_Toc236830366"/>
      <w:r>
        <w:rPr>
          <w:rFonts w:eastAsia="宋体"/>
          <w:color w:val="000000"/>
          <w:sz w:val="24"/>
        </w:rPr>
        <w:t xml:space="preserve">5.1 </w:t>
      </w:r>
      <w:r>
        <w:rPr>
          <w:rFonts w:eastAsia="宋体"/>
          <w:color w:val="000000"/>
          <w:sz w:val="24"/>
        </w:rPr>
        <w:t>实验材料</w:t>
      </w:r>
      <w:bookmarkEnd w:id="66"/>
      <w:bookmarkEnd w:id="67"/>
    </w:p>
    <w:p w14:paraId="617BA8A1"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LB</w:t>
      </w:r>
      <w:r>
        <w:rPr>
          <w:color w:val="000000"/>
          <w:sz w:val="24"/>
        </w:rPr>
        <w:t>液体培养基，</w:t>
      </w:r>
      <w:r>
        <w:rPr>
          <w:color w:val="000000"/>
          <w:sz w:val="24"/>
        </w:rPr>
        <w:t>LB</w:t>
      </w:r>
      <w:r>
        <w:rPr>
          <w:color w:val="000000"/>
          <w:sz w:val="24"/>
        </w:rPr>
        <w:t>固体培养基，</w:t>
      </w:r>
      <w:r>
        <w:rPr>
          <w:color w:val="000000"/>
          <w:sz w:val="24"/>
        </w:rPr>
        <w:t>YN</w:t>
      </w:r>
      <w:r>
        <w:rPr>
          <w:color w:val="000000"/>
          <w:sz w:val="24"/>
        </w:rPr>
        <w:t>培养基</w:t>
      </w:r>
      <w:r>
        <w:rPr>
          <w:color w:val="000000"/>
          <w:sz w:val="24"/>
        </w:rPr>
        <w:t>，</w:t>
      </w:r>
      <w:r>
        <w:rPr>
          <w:color w:val="000000"/>
          <w:sz w:val="24"/>
        </w:rPr>
        <w:t>Salkowski</w:t>
      </w:r>
      <w:r>
        <w:rPr>
          <w:color w:val="000000"/>
          <w:sz w:val="24"/>
        </w:rPr>
        <w:t>显色剂，色氨酸溶液（</w:t>
      </w:r>
      <w:r>
        <w:rPr>
          <w:color w:val="000000"/>
          <w:sz w:val="24"/>
        </w:rPr>
        <w:t>2.5</w:t>
      </w:r>
      <w:r>
        <w:rPr>
          <w:color w:val="000000"/>
          <w:sz w:val="24"/>
        </w:rPr>
        <w:t>mg/ml</w:t>
      </w:r>
      <w:r>
        <w:rPr>
          <w:color w:val="000000"/>
          <w:sz w:val="24"/>
        </w:rPr>
        <w:t>）等。</w:t>
      </w:r>
    </w:p>
    <w:p w14:paraId="60010120"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卡那霉素</w:t>
      </w:r>
      <w:r>
        <w:rPr>
          <w:color w:val="000000"/>
          <w:sz w:val="24"/>
        </w:rPr>
        <w:t>（</w:t>
      </w:r>
      <w:r>
        <w:rPr>
          <w:color w:val="000000"/>
          <w:sz w:val="24"/>
        </w:rPr>
        <w:t>Kanamycin,Km</w:t>
      </w:r>
      <w:r>
        <w:rPr>
          <w:color w:val="000000"/>
          <w:sz w:val="24"/>
        </w:rPr>
        <w:t>,50mg/ml</w:t>
      </w:r>
      <w:r>
        <w:rPr>
          <w:color w:val="000000"/>
          <w:sz w:val="24"/>
        </w:rPr>
        <w:t>），</w:t>
      </w:r>
      <w:r>
        <w:rPr>
          <w:color w:val="000000"/>
          <w:sz w:val="24"/>
        </w:rPr>
        <w:t>四环素</w:t>
      </w:r>
      <w:r>
        <w:rPr>
          <w:color w:val="000000"/>
          <w:sz w:val="24"/>
        </w:rPr>
        <w:t>(</w:t>
      </w:r>
      <w:r>
        <w:rPr>
          <w:color w:val="000000"/>
          <w:sz w:val="24"/>
        </w:rPr>
        <w:t>Tetracycline,Tet</w:t>
      </w:r>
      <w:r>
        <w:rPr>
          <w:color w:val="000000"/>
          <w:sz w:val="24"/>
        </w:rPr>
        <w:t>,50mg/ml)</w:t>
      </w:r>
      <w:r>
        <w:rPr>
          <w:color w:val="000000"/>
          <w:sz w:val="24"/>
        </w:rPr>
        <w:t>，</w:t>
      </w:r>
      <w:r>
        <w:rPr>
          <w:color w:val="000000"/>
          <w:sz w:val="24"/>
        </w:rPr>
        <w:t>壮观霉素</w:t>
      </w:r>
      <w:r>
        <w:rPr>
          <w:color w:val="000000"/>
          <w:sz w:val="24"/>
        </w:rPr>
        <w:t>(</w:t>
      </w:r>
      <w:r>
        <w:rPr>
          <w:color w:val="000000"/>
          <w:sz w:val="24"/>
        </w:rPr>
        <w:t>Spectinomycin</w:t>
      </w:r>
      <w:r>
        <w:rPr>
          <w:color w:val="000000"/>
          <w:sz w:val="24"/>
        </w:rPr>
        <w:t>,Spc</w:t>
      </w:r>
      <w:r>
        <w:rPr>
          <w:color w:val="000000"/>
          <w:sz w:val="24"/>
        </w:rPr>
        <w:t>,50mg/ml)</w:t>
      </w:r>
      <w:r>
        <w:rPr>
          <w:color w:val="000000"/>
          <w:sz w:val="24"/>
        </w:rPr>
        <w:t>。</w:t>
      </w:r>
      <w:r>
        <w:rPr>
          <w:color w:val="000000"/>
          <w:sz w:val="24"/>
        </w:rPr>
        <w:t>（</w:t>
      </w:r>
      <w:r>
        <w:rPr>
          <w:color w:val="000000"/>
          <w:sz w:val="24"/>
        </w:rPr>
        <w:t>除特殊说明外，后续实验中含相应抗生素的培养基均按以下终质量浓度添加：</w:t>
      </w:r>
      <w:r>
        <w:rPr>
          <w:color w:val="000000"/>
          <w:sz w:val="24"/>
        </w:rPr>
        <w:t xml:space="preserve">Km, </w:t>
      </w:r>
      <w:r>
        <w:rPr>
          <w:color w:val="000000"/>
          <w:sz w:val="24"/>
        </w:rPr>
        <w:t>50</w:t>
      </w:r>
      <w:r>
        <w:rPr>
          <w:color w:val="000000"/>
          <w:sz w:val="24"/>
        </w:rPr>
        <w:t xml:space="preserve"> μg/mL</w:t>
      </w:r>
      <w:r>
        <w:rPr>
          <w:color w:val="000000"/>
          <w:sz w:val="24"/>
        </w:rPr>
        <w:t>、</w:t>
      </w:r>
      <w:r>
        <w:rPr>
          <w:color w:val="000000"/>
          <w:sz w:val="24"/>
        </w:rPr>
        <w:t xml:space="preserve">Tet, </w:t>
      </w:r>
      <w:r>
        <w:rPr>
          <w:color w:val="000000"/>
          <w:sz w:val="24"/>
        </w:rPr>
        <w:t>50</w:t>
      </w:r>
      <w:r>
        <w:rPr>
          <w:color w:val="000000"/>
          <w:sz w:val="24"/>
        </w:rPr>
        <w:t xml:space="preserve"> μg/mL</w:t>
      </w:r>
      <w:r>
        <w:rPr>
          <w:color w:val="000000"/>
          <w:sz w:val="24"/>
        </w:rPr>
        <w:t>、</w:t>
      </w:r>
      <w:r>
        <w:rPr>
          <w:color w:val="000000"/>
          <w:sz w:val="24"/>
        </w:rPr>
        <w:t xml:space="preserve">Spc, </w:t>
      </w:r>
      <w:r>
        <w:rPr>
          <w:color w:val="000000"/>
          <w:sz w:val="24"/>
        </w:rPr>
        <w:t>50</w:t>
      </w:r>
      <w:r>
        <w:rPr>
          <w:color w:val="000000"/>
          <w:sz w:val="24"/>
        </w:rPr>
        <w:t xml:space="preserve"> μg/mL</w:t>
      </w:r>
      <w:r>
        <w:rPr>
          <w:color w:val="000000"/>
          <w:sz w:val="24"/>
        </w:rPr>
        <w:t>。</w:t>
      </w:r>
      <w:r>
        <w:rPr>
          <w:color w:val="000000"/>
          <w:sz w:val="24"/>
        </w:rPr>
        <w:t>）</w:t>
      </w:r>
    </w:p>
    <w:p w14:paraId="21952442"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68" w:name="docfit_s001_Toc17834"/>
      <w:bookmarkStart w:id="69" w:name="_Toc236830367"/>
      <w:r>
        <w:rPr>
          <w:rFonts w:eastAsia="宋体"/>
          <w:color w:val="000000"/>
          <w:sz w:val="24"/>
        </w:rPr>
        <w:t xml:space="preserve">5.2 </w:t>
      </w:r>
      <w:r>
        <w:rPr>
          <w:rFonts w:eastAsia="宋体"/>
          <w:color w:val="000000"/>
          <w:sz w:val="24"/>
        </w:rPr>
        <w:t>实验方法</w:t>
      </w:r>
      <w:bookmarkEnd w:id="68"/>
      <w:bookmarkEnd w:id="69"/>
    </w:p>
    <w:p w14:paraId="719CC693"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同第二章</w:t>
      </w:r>
      <w:r>
        <w:rPr>
          <w:color w:val="000000"/>
          <w:sz w:val="24"/>
        </w:rPr>
        <w:t>1.2.2</w:t>
      </w:r>
    </w:p>
    <w:p w14:paraId="267AE400" w14:textId="77777777" w:rsidR="00651B96" w:rsidRDefault="00721866">
      <w:pPr>
        <w:pStyle w:val="1"/>
        <w:pageBreakBefore/>
        <w:autoSpaceDE w:val="0"/>
        <w:autoSpaceDN w:val="0"/>
        <w:spacing w:before="480" w:after="360" w:line="400" w:lineRule="exact"/>
      </w:pPr>
      <w:bookmarkStart w:id="70" w:name="docfit_s001_Toc22993"/>
      <w:bookmarkStart w:id="71" w:name="_Toc236830368"/>
      <w:r>
        <w:rPr>
          <w:rFonts w:cs="黑体"/>
          <w:color w:val="000000"/>
          <w:szCs w:val="32"/>
        </w:rPr>
        <w:lastRenderedPageBreak/>
        <w:t>第三章</w:t>
      </w:r>
      <w:r>
        <w:rPr>
          <w:rFonts w:cs="黑体"/>
          <w:color w:val="000000"/>
          <w:szCs w:val="32"/>
        </w:rPr>
        <w:t xml:space="preserve"> </w:t>
      </w:r>
      <w:r>
        <w:rPr>
          <w:rFonts w:cs="黑体"/>
          <w:color w:val="000000"/>
          <w:szCs w:val="32"/>
        </w:rPr>
        <w:t>结果与分析</w:t>
      </w:r>
      <w:bookmarkEnd w:id="70"/>
      <w:bookmarkEnd w:id="71"/>
    </w:p>
    <w:p w14:paraId="53898B5F"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72" w:name="docfit_s001_Toc11973"/>
      <w:bookmarkStart w:id="73" w:name="_Toc236830369"/>
      <w:r>
        <w:rPr>
          <w:rFonts w:ascii="黑体" w:hAnsi="黑体" w:cs="黑体"/>
          <w:color w:val="000000"/>
          <w:szCs w:val="28"/>
        </w:rPr>
        <w:t xml:space="preserve">1 </w:t>
      </w:r>
      <w:r>
        <w:rPr>
          <w:rFonts w:ascii="黑体" w:hAnsi="黑体" w:cs="黑体"/>
          <w:color w:val="000000"/>
          <w:szCs w:val="28"/>
        </w:rPr>
        <w:t>菌株</w:t>
      </w:r>
      <w:r>
        <w:rPr>
          <w:rFonts w:ascii="黑体" w:hAnsi="黑体" w:cs="黑体"/>
          <w:color w:val="000000"/>
          <w:szCs w:val="28"/>
        </w:rPr>
        <w:t>PGP6</w:t>
      </w:r>
      <w:r>
        <w:rPr>
          <w:rFonts w:ascii="黑体" w:hAnsi="黑体" w:cs="黑体"/>
          <w:color w:val="000000"/>
          <w:szCs w:val="28"/>
        </w:rPr>
        <w:t>的活化与保存</w:t>
      </w:r>
      <w:bookmarkEnd w:id="72"/>
      <w:bookmarkEnd w:id="73"/>
    </w:p>
    <w:p w14:paraId="5EB49E44"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74" w:name="docfit_s001_Toc28510"/>
      <w:bookmarkStart w:id="75" w:name="_Toc236830370"/>
      <w:r>
        <w:rPr>
          <w:rFonts w:eastAsia="宋体"/>
          <w:color w:val="000000"/>
          <w:sz w:val="24"/>
        </w:rPr>
        <w:t xml:space="preserve">1.1 </w:t>
      </w:r>
      <w:r>
        <w:rPr>
          <w:rFonts w:eastAsia="宋体"/>
          <w:color w:val="000000"/>
          <w:sz w:val="24"/>
        </w:rPr>
        <w:t>生长素标准曲线的制定</w:t>
      </w:r>
      <w:bookmarkEnd w:id="74"/>
      <w:bookmarkEnd w:id="75"/>
    </w:p>
    <w:p w14:paraId="52287FF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为定量评价</w:t>
      </w:r>
      <w:r>
        <w:rPr>
          <w:color w:val="000000"/>
          <w:sz w:val="24"/>
        </w:rPr>
        <w:t>PGP6</w:t>
      </w:r>
      <w:r>
        <w:rPr>
          <w:color w:val="000000"/>
          <w:sz w:val="24"/>
        </w:rPr>
        <w:t>合成</w:t>
      </w:r>
      <w:r>
        <w:rPr>
          <w:color w:val="000000"/>
          <w:sz w:val="24"/>
        </w:rPr>
        <w:t>IAA</w:t>
      </w:r>
      <w:r>
        <w:rPr>
          <w:color w:val="000000"/>
          <w:sz w:val="24"/>
        </w:rPr>
        <w:t>的能力，</w:t>
      </w:r>
      <w:r>
        <w:rPr>
          <w:color w:val="000000"/>
          <w:sz w:val="24"/>
        </w:rPr>
        <w:t>本研究以不同浓度</w:t>
      </w:r>
      <w:r>
        <w:rPr>
          <w:color w:val="000000"/>
          <w:sz w:val="24"/>
        </w:rPr>
        <w:t>IAA</w:t>
      </w:r>
      <w:r>
        <w:rPr>
          <w:color w:val="000000"/>
          <w:sz w:val="24"/>
        </w:rPr>
        <w:t>标准液建立</w:t>
      </w:r>
      <w:r>
        <w:rPr>
          <w:color w:val="000000" w:themeColor="text1"/>
          <w:sz w:val="24"/>
        </w:rPr>
        <w:t>Sackowki's</w:t>
      </w:r>
      <w:r>
        <w:rPr>
          <w:color w:val="000000"/>
          <w:sz w:val="24"/>
        </w:rPr>
        <w:t>比色检测体系。标准液在</w:t>
      </w:r>
      <w:r>
        <w:rPr>
          <w:color w:val="000000"/>
          <w:sz w:val="24"/>
        </w:rPr>
        <w:t>530 nm</w:t>
      </w:r>
      <w:r>
        <w:rPr>
          <w:color w:val="000000"/>
          <w:sz w:val="24"/>
        </w:rPr>
        <w:t>处的吸光值随</w:t>
      </w:r>
      <w:r>
        <w:rPr>
          <w:color w:val="000000"/>
          <w:sz w:val="24"/>
        </w:rPr>
        <w:t>IAA</w:t>
      </w:r>
      <w:r>
        <w:rPr>
          <w:color w:val="000000"/>
          <w:sz w:val="24"/>
        </w:rPr>
        <w:t>浓度增加而升高，线性回归方程为</w:t>
      </w:r>
      <w:r>
        <w:rPr>
          <w:color w:val="000000"/>
          <w:sz w:val="24"/>
        </w:rPr>
        <w:t>y=0.01505x+0.1027</w:t>
      </w:r>
      <w:r>
        <w:rPr>
          <w:color w:val="000000"/>
          <w:sz w:val="24"/>
        </w:rPr>
        <w:t>，</w:t>
      </w:r>
      <w:r>
        <w:rPr>
          <w:color w:val="000000"/>
          <w:sz w:val="24"/>
        </w:rPr>
        <w:t>R²=0.9662</w:t>
      </w:r>
      <w:r>
        <w:rPr>
          <w:color w:val="000000"/>
          <w:sz w:val="24"/>
        </w:rPr>
        <w:t>（图</w:t>
      </w:r>
      <w:r>
        <w:rPr>
          <w:color w:val="000000"/>
          <w:sz w:val="24"/>
        </w:rPr>
        <w:t>3-1</w:t>
      </w:r>
      <w:r>
        <w:rPr>
          <w:color w:val="000000"/>
          <w:sz w:val="24"/>
        </w:rPr>
        <w:t>），说明在检测浓度范围内</w:t>
      </w:r>
      <w:r>
        <w:rPr>
          <w:color w:val="000000"/>
          <w:sz w:val="24"/>
        </w:rPr>
        <w:t>A530</w:t>
      </w:r>
      <w:r>
        <w:rPr>
          <w:color w:val="000000"/>
          <w:sz w:val="24"/>
        </w:rPr>
        <w:t>与</w:t>
      </w:r>
      <w:r>
        <w:rPr>
          <w:color w:val="000000"/>
          <w:sz w:val="24"/>
        </w:rPr>
        <w:t>IAA</w:t>
      </w:r>
      <w:r>
        <w:rPr>
          <w:color w:val="000000"/>
          <w:sz w:val="24"/>
        </w:rPr>
        <w:t>浓度具有较好的线性关系，可用于发酵液中</w:t>
      </w:r>
      <w:r>
        <w:rPr>
          <w:color w:val="000000"/>
          <w:sz w:val="24"/>
        </w:rPr>
        <w:t>IAA</w:t>
      </w:r>
      <w:r>
        <w:rPr>
          <w:color w:val="000000"/>
          <w:sz w:val="24"/>
        </w:rPr>
        <w:t>含量的换算。为后续评价候选基因缺失对</w:t>
      </w:r>
      <w:r>
        <w:rPr>
          <w:color w:val="000000"/>
          <w:sz w:val="24"/>
        </w:rPr>
        <w:t>IAA</w:t>
      </w:r>
      <w:r>
        <w:rPr>
          <w:color w:val="000000"/>
          <w:sz w:val="24"/>
        </w:rPr>
        <w:t>合成的影响提供了野生型对照基础。</w:t>
      </w:r>
    </w:p>
    <w:p w14:paraId="76C27B86"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0B0BF07C" wp14:editId="64158329">
            <wp:extent cx="5062855" cy="3175000"/>
            <wp:effectExtent l="0" t="0" r="0" b="0"/>
            <wp:docPr id="19" name="图片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8"/>
                    <pic:cNvPicPr>
                      <a:picLocks noChangeAspect="1"/>
                    </pic:cNvPicPr>
                  </pic:nvPicPr>
                  <pic:blipFill>
                    <a:blip r:embed="rId25"/>
                    <a:srcRect l="2278" t="5141" r="1627"/>
                    <a:stretch>
                      <a:fillRect/>
                    </a:stretch>
                  </pic:blipFill>
                  <pic:spPr>
                    <a:xfrm>
                      <a:off x="0" y="0"/>
                      <a:ext cx="5062855" cy="3175000"/>
                    </a:xfrm>
                    <a:prstGeom prst="rect">
                      <a:avLst/>
                    </a:prstGeom>
                  </pic:spPr>
                </pic:pic>
              </a:graphicData>
            </a:graphic>
          </wp:inline>
        </w:drawing>
      </w:r>
    </w:p>
    <w:p w14:paraId="1E09BE7D"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3-1 IAA</w:t>
      </w:r>
      <w:r>
        <w:rPr>
          <w:color w:val="000000"/>
          <w:szCs w:val="21"/>
        </w:rPr>
        <w:t>标准曲线</w:t>
      </w:r>
    </w:p>
    <w:p w14:paraId="76DD9028" w14:textId="77777777" w:rsidR="00651B96" w:rsidRDefault="00721866">
      <w:pPr>
        <w:keepLines/>
        <w:autoSpaceDE w:val="0"/>
        <w:autoSpaceDN w:val="0"/>
        <w:spacing w:line="400" w:lineRule="exact"/>
        <w:jc w:val="center"/>
        <w:rPr>
          <w:rFonts w:ascii="宋体" w:hAnsi="宋体"/>
          <w:sz w:val="24"/>
        </w:rPr>
      </w:pPr>
      <w:r>
        <w:rPr>
          <w:color w:val="000000"/>
          <w:szCs w:val="21"/>
        </w:rPr>
        <w:t>Fig. 3-1 Standard curve for IAA quantification</w:t>
      </w:r>
    </w:p>
    <w:p w14:paraId="2CF04B10"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76" w:name="docfit_s001_Toc21543"/>
      <w:bookmarkStart w:id="77" w:name="_Toc236830371"/>
      <w:r>
        <w:rPr>
          <w:rFonts w:eastAsia="宋体"/>
          <w:color w:val="000000"/>
          <w:sz w:val="24"/>
        </w:rPr>
        <w:t xml:space="preserve">1.2 </w:t>
      </w:r>
      <w:r>
        <w:rPr>
          <w:rFonts w:eastAsia="宋体"/>
          <w:color w:val="000000"/>
          <w:sz w:val="24"/>
        </w:rPr>
        <w:t>菌株</w:t>
      </w:r>
      <w:r>
        <w:rPr>
          <w:rFonts w:eastAsia="宋体"/>
          <w:color w:val="000000"/>
          <w:sz w:val="24"/>
        </w:rPr>
        <w:t>PGP6</w:t>
      </w:r>
      <w:r>
        <w:rPr>
          <w:rFonts w:eastAsia="宋体"/>
          <w:color w:val="000000"/>
          <w:sz w:val="24"/>
        </w:rPr>
        <w:t>的抗生素最小抑菌浓度实验</w:t>
      </w:r>
      <w:bookmarkEnd w:id="76"/>
      <w:bookmarkEnd w:id="77"/>
    </w:p>
    <w:p w14:paraId="197C7A4F"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为确定</w:t>
      </w:r>
      <w:r>
        <w:rPr>
          <w:color w:val="000000"/>
          <w:sz w:val="24"/>
        </w:rPr>
        <w:t>PGP6</w:t>
      </w:r>
      <w:r>
        <w:rPr>
          <w:color w:val="000000"/>
          <w:sz w:val="24"/>
        </w:rPr>
        <w:t>遗传操作中的抗性筛选条件，本研究比较了</w:t>
      </w:r>
      <w:r>
        <w:rPr>
          <w:color w:val="000000"/>
          <w:sz w:val="24"/>
        </w:rPr>
        <w:t>PGP6</w:t>
      </w:r>
      <w:r>
        <w:rPr>
          <w:color w:val="000000"/>
          <w:sz w:val="24"/>
        </w:rPr>
        <w:t>对氨苄青霉素、卡那霉素、壮观霉素、氯霉素、庆大霉素、四环素和链霉素的敏感性。结果显示，不同抗生素对</w:t>
      </w:r>
      <w:r>
        <w:rPr>
          <w:color w:val="000000"/>
          <w:sz w:val="24"/>
        </w:rPr>
        <w:t>PGP6</w:t>
      </w:r>
      <w:r>
        <w:rPr>
          <w:color w:val="000000"/>
          <w:sz w:val="24"/>
        </w:rPr>
        <w:t>的抑制作用存在明显差异（表</w:t>
      </w:r>
      <w:r>
        <w:rPr>
          <w:color w:val="000000"/>
          <w:sz w:val="24"/>
        </w:rPr>
        <w:t>3-1</w:t>
      </w:r>
      <w:r>
        <w:rPr>
          <w:color w:val="000000"/>
          <w:sz w:val="24"/>
        </w:rPr>
        <w:t>）。其中，卡那霉素和四环素在较低浓度下即可抑制</w:t>
      </w:r>
      <w:r>
        <w:rPr>
          <w:color w:val="000000"/>
          <w:sz w:val="24"/>
        </w:rPr>
        <w:t>PGP6</w:t>
      </w:r>
      <w:r>
        <w:rPr>
          <w:color w:val="000000"/>
          <w:sz w:val="24"/>
        </w:rPr>
        <w:t>野生型的可见生长，适合作为后续重组片段和</w:t>
      </w:r>
      <w:r>
        <w:rPr>
          <w:color w:val="000000"/>
          <w:sz w:val="24"/>
        </w:rPr>
        <w:t>pKD46</w:t>
      </w:r>
      <w:r>
        <w:rPr>
          <w:color w:val="000000"/>
          <w:sz w:val="24"/>
        </w:rPr>
        <w:t>辅助质粒的筛选压力；壮观霉素在</w:t>
      </w:r>
      <w:r>
        <w:rPr>
          <w:color w:val="000000"/>
          <w:sz w:val="24"/>
        </w:rPr>
        <w:t>50 μg/mL</w:t>
      </w:r>
      <w:r>
        <w:rPr>
          <w:color w:val="000000"/>
          <w:sz w:val="24"/>
        </w:rPr>
        <w:t>条件下不抑制</w:t>
      </w:r>
      <w:r>
        <w:rPr>
          <w:color w:val="000000"/>
          <w:sz w:val="24"/>
        </w:rPr>
        <w:t>PGP6</w:t>
      </w:r>
      <w:r>
        <w:rPr>
          <w:color w:val="000000"/>
          <w:sz w:val="24"/>
        </w:rPr>
        <w:t>生长，可用于不影响</w:t>
      </w:r>
      <w:r>
        <w:rPr>
          <w:color w:val="000000"/>
          <w:sz w:val="24"/>
        </w:rPr>
        <w:t>PGP6</w:t>
      </w:r>
      <w:r>
        <w:rPr>
          <w:color w:val="000000"/>
          <w:sz w:val="24"/>
        </w:rPr>
        <w:t>背景生长的联合培养条件。</w:t>
      </w:r>
    </w:p>
    <w:p w14:paraId="576CE5D7" w14:textId="77777777" w:rsidR="00651B96" w:rsidRDefault="00721866">
      <w:pPr>
        <w:keepNext/>
        <w:keepLines/>
        <w:autoSpaceDE w:val="0"/>
        <w:autoSpaceDN w:val="0"/>
        <w:spacing w:line="400" w:lineRule="exact"/>
        <w:jc w:val="center"/>
        <w:rPr>
          <w:rFonts w:ascii="宋体" w:hAnsi="宋体"/>
          <w:sz w:val="24"/>
        </w:rPr>
      </w:pPr>
      <w:r>
        <w:rPr>
          <w:color w:val="000000"/>
          <w:szCs w:val="21"/>
        </w:rPr>
        <w:t>表</w:t>
      </w:r>
      <w:r>
        <w:rPr>
          <w:color w:val="000000"/>
          <w:szCs w:val="21"/>
        </w:rPr>
        <w:t xml:space="preserve"> 3-1 PGP6</w:t>
      </w:r>
      <w:r>
        <w:rPr>
          <w:color w:val="000000"/>
          <w:szCs w:val="21"/>
        </w:rPr>
        <w:t>对不同抗生素的敏感性结果</w:t>
      </w:r>
    </w:p>
    <w:p w14:paraId="07BA4B57" w14:textId="77777777" w:rsidR="00651B96" w:rsidRDefault="00721866">
      <w:pPr>
        <w:keepNext/>
        <w:keepLines/>
        <w:autoSpaceDE w:val="0"/>
        <w:autoSpaceDN w:val="0"/>
        <w:spacing w:line="400" w:lineRule="exact"/>
        <w:jc w:val="center"/>
        <w:rPr>
          <w:rFonts w:ascii="宋体" w:hAnsi="宋体"/>
          <w:sz w:val="24"/>
        </w:rPr>
      </w:pPr>
      <w:r>
        <w:rPr>
          <w:color w:val="000000"/>
          <w:szCs w:val="21"/>
        </w:rPr>
        <w:t xml:space="preserve">Table 3-1 </w:t>
      </w:r>
      <w:r>
        <w:rPr>
          <w:color w:val="000000"/>
          <w:szCs w:val="21"/>
        </w:rPr>
        <w:t>Antibiotic susceptibility of PGP6</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28"/>
        <w:gridCol w:w="3028"/>
        <w:gridCol w:w="3029"/>
      </w:tblGrid>
      <w:tr w:rsidR="00651B96" w14:paraId="4DF28D98" w14:textId="77777777">
        <w:trPr>
          <w:cantSplit/>
          <w:tblHeader/>
          <w:jc w:val="center"/>
        </w:trPr>
        <w:tc>
          <w:tcPr>
            <w:tcW w:w="3028" w:type="dxa"/>
            <w:tcBorders>
              <w:bottom w:val="single" w:sz="4" w:space="0" w:color="000000"/>
            </w:tcBorders>
            <w:vAlign w:val="center"/>
          </w:tcPr>
          <w:p w14:paraId="10E9011B" w14:textId="77777777" w:rsidR="00651B96" w:rsidRDefault="00721866">
            <w:pPr>
              <w:autoSpaceDE w:val="0"/>
              <w:autoSpaceDN w:val="0"/>
              <w:spacing w:line="300" w:lineRule="exact"/>
              <w:jc w:val="center"/>
              <w:rPr>
                <w:rFonts w:ascii="宋体" w:hAnsi="宋体"/>
                <w:sz w:val="24"/>
              </w:rPr>
            </w:pPr>
            <w:r>
              <w:rPr>
                <w:color w:val="000000"/>
                <w:szCs w:val="21"/>
              </w:rPr>
              <w:t>抗生素</w:t>
            </w:r>
          </w:p>
        </w:tc>
        <w:tc>
          <w:tcPr>
            <w:tcW w:w="3028" w:type="dxa"/>
            <w:tcBorders>
              <w:bottom w:val="single" w:sz="4" w:space="0" w:color="000000"/>
            </w:tcBorders>
            <w:vAlign w:val="center"/>
          </w:tcPr>
          <w:p w14:paraId="55DC1AA3" w14:textId="77777777" w:rsidR="00651B96" w:rsidRDefault="00721866">
            <w:pPr>
              <w:autoSpaceDE w:val="0"/>
              <w:autoSpaceDN w:val="0"/>
              <w:spacing w:line="300" w:lineRule="exact"/>
              <w:jc w:val="center"/>
              <w:rPr>
                <w:rFonts w:ascii="宋体" w:hAnsi="宋体"/>
                <w:sz w:val="24"/>
              </w:rPr>
            </w:pPr>
            <w:r>
              <w:rPr>
                <w:color w:val="000000"/>
                <w:szCs w:val="21"/>
              </w:rPr>
              <w:t>实验观察结果</w:t>
            </w:r>
          </w:p>
        </w:tc>
        <w:tc>
          <w:tcPr>
            <w:tcW w:w="3029" w:type="dxa"/>
            <w:tcBorders>
              <w:bottom w:val="single" w:sz="4" w:space="0" w:color="000000"/>
            </w:tcBorders>
            <w:vAlign w:val="center"/>
          </w:tcPr>
          <w:p w14:paraId="77F6B109" w14:textId="77777777" w:rsidR="00651B96" w:rsidRDefault="00721866">
            <w:pPr>
              <w:autoSpaceDE w:val="0"/>
              <w:autoSpaceDN w:val="0"/>
              <w:spacing w:line="300" w:lineRule="exact"/>
              <w:jc w:val="center"/>
              <w:rPr>
                <w:rFonts w:ascii="宋体" w:hAnsi="宋体"/>
                <w:sz w:val="24"/>
              </w:rPr>
            </w:pPr>
            <w:r>
              <w:rPr>
                <w:color w:val="000000"/>
                <w:szCs w:val="21"/>
              </w:rPr>
              <w:t>后续遗传操作中的判定</w:t>
            </w:r>
          </w:p>
        </w:tc>
      </w:tr>
      <w:tr w:rsidR="00651B96" w14:paraId="32BDE82E" w14:textId="77777777">
        <w:trPr>
          <w:cantSplit/>
          <w:jc w:val="center"/>
        </w:trPr>
        <w:tc>
          <w:tcPr>
            <w:tcW w:w="3028" w:type="dxa"/>
            <w:vAlign w:val="center"/>
          </w:tcPr>
          <w:p w14:paraId="6D2EECA3" w14:textId="77777777" w:rsidR="00651B96" w:rsidRDefault="00721866">
            <w:pPr>
              <w:autoSpaceDE w:val="0"/>
              <w:autoSpaceDN w:val="0"/>
              <w:spacing w:line="300" w:lineRule="exact"/>
              <w:jc w:val="center"/>
              <w:rPr>
                <w:rFonts w:ascii="宋体" w:hAnsi="宋体"/>
                <w:sz w:val="24"/>
              </w:rPr>
            </w:pPr>
            <w:r>
              <w:rPr>
                <w:color w:val="000000"/>
                <w:szCs w:val="21"/>
              </w:rPr>
              <w:t>氨苄青霉素（</w:t>
            </w:r>
            <w:r>
              <w:rPr>
                <w:color w:val="000000"/>
                <w:szCs w:val="21"/>
              </w:rPr>
              <w:t>Amp</w:t>
            </w:r>
            <w:r>
              <w:rPr>
                <w:color w:val="000000"/>
                <w:szCs w:val="21"/>
              </w:rPr>
              <w:t>）</w:t>
            </w:r>
          </w:p>
        </w:tc>
        <w:tc>
          <w:tcPr>
            <w:tcW w:w="3028" w:type="dxa"/>
            <w:vAlign w:val="center"/>
          </w:tcPr>
          <w:p w14:paraId="3C39230C" w14:textId="77777777" w:rsidR="00651B96" w:rsidRDefault="00721866">
            <w:pPr>
              <w:autoSpaceDE w:val="0"/>
              <w:autoSpaceDN w:val="0"/>
              <w:spacing w:line="300" w:lineRule="exact"/>
              <w:jc w:val="center"/>
              <w:rPr>
                <w:rFonts w:ascii="宋体" w:hAnsi="宋体"/>
                <w:sz w:val="24"/>
              </w:rPr>
            </w:pPr>
            <w:r>
              <w:rPr>
                <w:color w:val="000000"/>
                <w:szCs w:val="21"/>
              </w:rPr>
              <w:t>10-</w:t>
            </w:r>
            <w:r>
              <w:rPr>
                <w:color w:val="000000"/>
                <w:szCs w:val="21"/>
              </w:rPr>
              <w:t>100 μg/mL</w:t>
            </w:r>
            <w:r>
              <w:rPr>
                <w:color w:val="000000"/>
                <w:szCs w:val="21"/>
              </w:rPr>
              <w:t>后期仍可见缓慢生长；</w:t>
            </w:r>
            <w:r>
              <w:rPr>
                <w:color w:val="000000"/>
                <w:szCs w:val="21"/>
              </w:rPr>
              <w:t>200 μg/mL</w:t>
            </w:r>
            <w:r>
              <w:rPr>
                <w:color w:val="000000"/>
                <w:szCs w:val="21"/>
              </w:rPr>
              <w:t>未见可见生长</w:t>
            </w:r>
          </w:p>
        </w:tc>
        <w:tc>
          <w:tcPr>
            <w:tcW w:w="3029" w:type="dxa"/>
            <w:vAlign w:val="center"/>
          </w:tcPr>
          <w:p w14:paraId="77026A88" w14:textId="77777777" w:rsidR="00651B96" w:rsidRDefault="00721866">
            <w:pPr>
              <w:autoSpaceDE w:val="0"/>
              <w:autoSpaceDN w:val="0"/>
              <w:spacing w:line="300" w:lineRule="exact"/>
              <w:jc w:val="center"/>
              <w:rPr>
                <w:rFonts w:ascii="宋体" w:hAnsi="宋体"/>
                <w:sz w:val="24"/>
              </w:rPr>
            </w:pPr>
            <w:r>
              <w:rPr>
                <w:color w:val="000000"/>
                <w:szCs w:val="21"/>
              </w:rPr>
              <w:t>未作为本研究主要遗传筛选抗生素</w:t>
            </w:r>
          </w:p>
        </w:tc>
      </w:tr>
      <w:tr w:rsidR="00651B96" w14:paraId="69C23691" w14:textId="77777777">
        <w:trPr>
          <w:cantSplit/>
          <w:jc w:val="center"/>
        </w:trPr>
        <w:tc>
          <w:tcPr>
            <w:tcW w:w="3028" w:type="dxa"/>
            <w:vAlign w:val="center"/>
          </w:tcPr>
          <w:p w14:paraId="3A810175" w14:textId="77777777" w:rsidR="00651B96" w:rsidRDefault="00721866">
            <w:pPr>
              <w:autoSpaceDE w:val="0"/>
              <w:autoSpaceDN w:val="0"/>
              <w:spacing w:line="300" w:lineRule="exact"/>
              <w:jc w:val="center"/>
              <w:rPr>
                <w:rFonts w:ascii="宋体" w:hAnsi="宋体"/>
                <w:sz w:val="24"/>
              </w:rPr>
            </w:pPr>
            <w:r>
              <w:rPr>
                <w:color w:val="000000"/>
                <w:szCs w:val="21"/>
              </w:rPr>
              <w:lastRenderedPageBreak/>
              <w:t>卡那霉素</w:t>
            </w:r>
            <w:r>
              <w:rPr>
                <w:color w:val="000000"/>
                <w:szCs w:val="21"/>
              </w:rPr>
              <w:t>（</w:t>
            </w:r>
            <w:r>
              <w:rPr>
                <w:color w:val="000000"/>
                <w:szCs w:val="21"/>
              </w:rPr>
              <w:t>Km</w:t>
            </w:r>
            <w:r>
              <w:rPr>
                <w:color w:val="000000"/>
                <w:szCs w:val="21"/>
              </w:rPr>
              <w:t>）</w:t>
            </w:r>
          </w:p>
        </w:tc>
        <w:tc>
          <w:tcPr>
            <w:tcW w:w="3028" w:type="dxa"/>
            <w:vAlign w:val="center"/>
          </w:tcPr>
          <w:p w14:paraId="0221A9B1" w14:textId="77777777" w:rsidR="00651B96" w:rsidRDefault="00721866">
            <w:pPr>
              <w:autoSpaceDE w:val="0"/>
              <w:autoSpaceDN w:val="0"/>
              <w:spacing w:line="300" w:lineRule="exact"/>
              <w:jc w:val="center"/>
              <w:rPr>
                <w:rFonts w:ascii="宋体" w:hAnsi="宋体"/>
                <w:sz w:val="24"/>
              </w:rPr>
            </w:pPr>
            <w:r>
              <w:rPr>
                <w:color w:val="000000"/>
                <w:szCs w:val="21"/>
              </w:rPr>
              <w:t>0</w:t>
            </w:r>
            <w:r>
              <w:rPr>
                <w:color w:val="000000"/>
                <w:szCs w:val="21"/>
              </w:rPr>
              <w:t>-2</w:t>
            </w:r>
            <w:r>
              <w:rPr>
                <w:color w:val="000000"/>
                <w:szCs w:val="21"/>
              </w:rPr>
              <w:t>00 μg/mL</w:t>
            </w:r>
            <w:r>
              <w:rPr>
                <w:color w:val="000000"/>
                <w:szCs w:val="21"/>
              </w:rPr>
              <w:t>未见可见生长</w:t>
            </w:r>
          </w:p>
        </w:tc>
        <w:tc>
          <w:tcPr>
            <w:tcW w:w="3029" w:type="dxa"/>
            <w:vAlign w:val="center"/>
          </w:tcPr>
          <w:p w14:paraId="6077AA04" w14:textId="77777777" w:rsidR="00651B96" w:rsidRDefault="00721866">
            <w:pPr>
              <w:autoSpaceDE w:val="0"/>
              <w:autoSpaceDN w:val="0"/>
              <w:spacing w:line="300" w:lineRule="exact"/>
              <w:jc w:val="center"/>
              <w:rPr>
                <w:rFonts w:ascii="宋体" w:hAnsi="宋体"/>
                <w:sz w:val="24"/>
              </w:rPr>
            </w:pPr>
            <w:r>
              <w:rPr>
                <w:color w:val="000000"/>
                <w:szCs w:val="21"/>
              </w:rPr>
              <w:t>后续以</w:t>
            </w:r>
            <w:r>
              <w:rPr>
                <w:color w:val="000000"/>
                <w:szCs w:val="21"/>
              </w:rPr>
              <w:t>50 μg/mL</w:t>
            </w:r>
            <w:r>
              <w:rPr>
                <w:color w:val="000000"/>
                <w:szCs w:val="21"/>
              </w:rPr>
              <w:t>作为</w:t>
            </w:r>
            <w:r>
              <w:rPr>
                <w:color w:val="000000"/>
                <w:szCs w:val="21"/>
              </w:rPr>
              <w:t>KmR</w:t>
            </w:r>
            <w:r>
              <w:rPr>
                <w:color w:val="000000"/>
                <w:szCs w:val="21"/>
              </w:rPr>
              <w:t>重组子的筛选压力</w:t>
            </w:r>
          </w:p>
        </w:tc>
      </w:tr>
      <w:tr w:rsidR="00651B96" w14:paraId="57657973" w14:textId="77777777">
        <w:trPr>
          <w:cantSplit/>
          <w:jc w:val="center"/>
        </w:trPr>
        <w:tc>
          <w:tcPr>
            <w:tcW w:w="3028" w:type="dxa"/>
            <w:vAlign w:val="center"/>
          </w:tcPr>
          <w:p w14:paraId="5AB444B9" w14:textId="77777777" w:rsidR="00651B96" w:rsidRDefault="00721866">
            <w:pPr>
              <w:autoSpaceDE w:val="0"/>
              <w:autoSpaceDN w:val="0"/>
              <w:spacing w:line="300" w:lineRule="exact"/>
              <w:jc w:val="center"/>
              <w:rPr>
                <w:rFonts w:ascii="宋体" w:hAnsi="宋体"/>
                <w:sz w:val="24"/>
              </w:rPr>
            </w:pPr>
            <w:r>
              <w:rPr>
                <w:color w:val="000000"/>
                <w:szCs w:val="21"/>
              </w:rPr>
              <w:t>壮观霉素</w:t>
            </w:r>
            <w:r>
              <w:rPr>
                <w:color w:val="000000"/>
                <w:szCs w:val="21"/>
              </w:rPr>
              <w:t>（</w:t>
            </w:r>
            <w:r>
              <w:rPr>
                <w:color w:val="000000"/>
                <w:szCs w:val="21"/>
              </w:rPr>
              <w:t>Spc</w:t>
            </w:r>
            <w:r>
              <w:rPr>
                <w:color w:val="000000"/>
                <w:szCs w:val="21"/>
              </w:rPr>
              <w:t>）</w:t>
            </w:r>
          </w:p>
        </w:tc>
        <w:tc>
          <w:tcPr>
            <w:tcW w:w="3028" w:type="dxa"/>
            <w:vAlign w:val="center"/>
          </w:tcPr>
          <w:p w14:paraId="50BD4433" w14:textId="77777777" w:rsidR="00651B96" w:rsidRDefault="00721866">
            <w:pPr>
              <w:autoSpaceDE w:val="0"/>
              <w:autoSpaceDN w:val="0"/>
              <w:spacing w:line="300" w:lineRule="exact"/>
              <w:jc w:val="center"/>
              <w:rPr>
                <w:rFonts w:ascii="宋体" w:hAnsi="宋体"/>
                <w:sz w:val="24"/>
              </w:rPr>
            </w:pPr>
            <w:r>
              <w:rPr>
                <w:color w:val="000000"/>
                <w:szCs w:val="21"/>
              </w:rPr>
              <w:t>30-</w:t>
            </w:r>
            <w:r>
              <w:rPr>
                <w:color w:val="000000"/>
                <w:szCs w:val="21"/>
              </w:rPr>
              <w:t>50 μg/mL</w:t>
            </w:r>
            <w:r>
              <w:rPr>
                <w:color w:val="000000"/>
                <w:szCs w:val="21"/>
              </w:rPr>
              <w:t>可生长，</w:t>
            </w:r>
            <w:r>
              <w:rPr>
                <w:color w:val="000000"/>
                <w:szCs w:val="21"/>
              </w:rPr>
              <w:t>PGP6</w:t>
            </w:r>
            <w:r>
              <w:rPr>
                <w:color w:val="000000"/>
                <w:szCs w:val="21"/>
              </w:rPr>
              <w:t>对该抗生素具有一定耐受性</w:t>
            </w:r>
          </w:p>
        </w:tc>
        <w:tc>
          <w:tcPr>
            <w:tcW w:w="3029" w:type="dxa"/>
            <w:vAlign w:val="center"/>
          </w:tcPr>
          <w:p w14:paraId="07EE2DF3" w14:textId="77777777" w:rsidR="00651B96" w:rsidRDefault="00721866">
            <w:pPr>
              <w:autoSpaceDE w:val="0"/>
              <w:autoSpaceDN w:val="0"/>
              <w:spacing w:line="300" w:lineRule="exact"/>
              <w:jc w:val="center"/>
              <w:rPr>
                <w:rFonts w:ascii="宋体" w:hAnsi="宋体"/>
                <w:sz w:val="24"/>
              </w:rPr>
            </w:pPr>
            <w:r>
              <w:rPr>
                <w:color w:val="000000"/>
                <w:szCs w:val="21"/>
              </w:rPr>
              <w:t>50 μg/mL</w:t>
            </w:r>
            <w:r>
              <w:rPr>
                <w:color w:val="000000"/>
                <w:szCs w:val="21"/>
              </w:rPr>
              <w:t>不抑制</w:t>
            </w:r>
            <w:r>
              <w:rPr>
                <w:color w:val="000000"/>
                <w:szCs w:val="21"/>
              </w:rPr>
              <w:t>PGP6</w:t>
            </w:r>
            <w:r>
              <w:rPr>
                <w:color w:val="000000"/>
                <w:szCs w:val="21"/>
              </w:rPr>
              <w:t>背景生长，可与其他抗性条件联合使用</w:t>
            </w:r>
          </w:p>
        </w:tc>
      </w:tr>
      <w:tr w:rsidR="00651B96" w14:paraId="0C33126C" w14:textId="77777777">
        <w:trPr>
          <w:cantSplit/>
          <w:jc w:val="center"/>
        </w:trPr>
        <w:tc>
          <w:tcPr>
            <w:tcW w:w="3028" w:type="dxa"/>
            <w:vAlign w:val="center"/>
          </w:tcPr>
          <w:p w14:paraId="6AF11721" w14:textId="77777777" w:rsidR="00651B96" w:rsidRDefault="00721866">
            <w:pPr>
              <w:autoSpaceDE w:val="0"/>
              <w:autoSpaceDN w:val="0"/>
              <w:spacing w:line="300" w:lineRule="exact"/>
              <w:jc w:val="center"/>
              <w:rPr>
                <w:rFonts w:ascii="宋体" w:hAnsi="宋体"/>
                <w:sz w:val="24"/>
              </w:rPr>
            </w:pPr>
            <w:r>
              <w:rPr>
                <w:color w:val="000000"/>
                <w:szCs w:val="21"/>
              </w:rPr>
              <w:t>氯霉素</w:t>
            </w:r>
            <w:r>
              <w:rPr>
                <w:color w:val="000000"/>
                <w:szCs w:val="21"/>
              </w:rPr>
              <w:t>（</w:t>
            </w:r>
            <w:r>
              <w:rPr>
                <w:color w:val="000000"/>
                <w:szCs w:val="21"/>
              </w:rPr>
              <w:t>Cm</w:t>
            </w:r>
            <w:r>
              <w:rPr>
                <w:color w:val="000000"/>
                <w:szCs w:val="21"/>
              </w:rPr>
              <w:t>）</w:t>
            </w:r>
          </w:p>
        </w:tc>
        <w:tc>
          <w:tcPr>
            <w:tcW w:w="3028" w:type="dxa"/>
            <w:vAlign w:val="center"/>
          </w:tcPr>
          <w:p w14:paraId="3E112B79" w14:textId="77777777" w:rsidR="00651B96" w:rsidRDefault="00721866">
            <w:pPr>
              <w:autoSpaceDE w:val="0"/>
              <w:autoSpaceDN w:val="0"/>
              <w:spacing w:line="300" w:lineRule="exact"/>
              <w:jc w:val="center"/>
              <w:rPr>
                <w:rFonts w:ascii="宋体" w:hAnsi="宋体"/>
                <w:sz w:val="24"/>
              </w:rPr>
            </w:pPr>
            <w:r>
              <w:rPr>
                <w:color w:val="000000"/>
                <w:szCs w:val="21"/>
              </w:rPr>
              <w:t>30-</w:t>
            </w:r>
            <w:r>
              <w:rPr>
                <w:color w:val="000000"/>
                <w:szCs w:val="21"/>
              </w:rPr>
              <w:t>100 μg/mL</w:t>
            </w:r>
            <w:r>
              <w:rPr>
                <w:color w:val="000000"/>
                <w:szCs w:val="21"/>
              </w:rPr>
              <w:t>可见生长</w:t>
            </w:r>
          </w:p>
        </w:tc>
        <w:tc>
          <w:tcPr>
            <w:tcW w:w="3029" w:type="dxa"/>
            <w:vAlign w:val="center"/>
          </w:tcPr>
          <w:p w14:paraId="33BD9CBF" w14:textId="77777777" w:rsidR="00651B96" w:rsidRDefault="00721866">
            <w:pPr>
              <w:autoSpaceDE w:val="0"/>
              <w:autoSpaceDN w:val="0"/>
              <w:spacing w:line="300" w:lineRule="exact"/>
              <w:jc w:val="center"/>
              <w:rPr>
                <w:rFonts w:ascii="宋体" w:hAnsi="宋体"/>
                <w:sz w:val="24"/>
              </w:rPr>
            </w:pPr>
            <w:r>
              <w:rPr>
                <w:color w:val="000000"/>
                <w:szCs w:val="21"/>
              </w:rPr>
              <w:t>未作为本研究主要遗传筛选抗生素</w:t>
            </w:r>
          </w:p>
        </w:tc>
      </w:tr>
      <w:tr w:rsidR="00651B96" w14:paraId="5E9CDF81" w14:textId="77777777">
        <w:trPr>
          <w:cantSplit/>
          <w:jc w:val="center"/>
        </w:trPr>
        <w:tc>
          <w:tcPr>
            <w:tcW w:w="3028" w:type="dxa"/>
            <w:vAlign w:val="center"/>
          </w:tcPr>
          <w:p w14:paraId="1E567435" w14:textId="77777777" w:rsidR="00651B96" w:rsidRDefault="00721866">
            <w:pPr>
              <w:autoSpaceDE w:val="0"/>
              <w:autoSpaceDN w:val="0"/>
              <w:spacing w:line="300" w:lineRule="exact"/>
              <w:jc w:val="center"/>
              <w:rPr>
                <w:rFonts w:ascii="宋体" w:hAnsi="宋体"/>
                <w:sz w:val="24"/>
              </w:rPr>
            </w:pPr>
            <w:r>
              <w:rPr>
                <w:color w:val="000000"/>
                <w:szCs w:val="21"/>
              </w:rPr>
              <w:t>庆大霉素</w:t>
            </w:r>
            <w:r>
              <w:rPr>
                <w:color w:val="000000"/>
                <w:szCs w:val="21"/>
              </w:rPr>
              <w:t>（</w:t>
            </w:r>
            <w:r>
              <w:rPr>
                <w:color w:val="000000"/>
                <w:szCs w:val="21"/>
              </w:rPr>
              <w:t>Gm</w:t>
            </w:r>
            <w:r>
              <w:rPr>
                <w:color w:val="000000"/>
                <w:szCs w:val="21"/>
              </w:rPr>
              <w:t>）</w:t>
            </w:r>
          </w:p>
        </w:tc>
        <w:tc>
          <w:tcPr>
            <w:tcW w:w="3028" w:type="dxa"/>
            <w:vAlign w:val="center"/>
          </w:tcPr>
          <w:p w14:paraId="75B4C6DA" w14:textId="77777777" w:rsidR="00651B96" w:rsidRDefault="00721866">
            <w:pPr>
              <w:autoSpaceDE w:val="0"/>
              <w:autoSpaceDN w:val="0"/>
              <w:spacing w:line="300" w:lineRule="exact"/>
              <w:jc w:val="center"/>
              <w:rPr>
                <w:rFonts w:ascii="宋体" w:hAnsi="宋体"/>
                <w:sz w:val="24"/>
              </w:rPr>
            </w:pPr>
            <w:r>
              <w:rPr>
                <w:color w:val="000000"/>
                <w:szCs w:val="21"/>
              </w:rPr>
              <w:t>20</w:t>
            </w:r>
            <w:r>
              <w:rPr>
                <w:color w:val="000000"/>
                <w:szCs w:val="21"/>
              </w:rPr>
              <w:t>-</w:t>
            </w:r>
            <w:r>
              <w:rPr>
                <w:color w:val="000000"/>
                <w:szCs w:val="21"/>
              </w:rPr>
              <w:t>80 μg/mL</w:t>
            </w:r>
            <w:r>
              <w:rPr>
                <w:color w:val="000000"/>
                <w:szCs w:val="21"/>
              </w:rPr>
              <w:t>未见可见生长</w:t>
            </w:r>
          </w:p>
        </w:tc>
        <w:tc>
          <w:tcPr>
            <w:tcW w:w="3029" w:type="dxa"/>
            <w:vAlign w:val="center"/>
          </w:tcPr>
          <w:p w14:paraId="333DA2D7" w14:textId="77777777" w:rsidR="00651B96" w:rsidRDefault="00721866">
            <w:pPr>
              <w:autoSpaceDE w:val="0"/>
              <w:autoSpaceDN w:val="0"/>
              <w:spacing w:line="300" w:lineRule="exact"/>
              <w:jc w:val="center"/>
              <w:rPr>
                <w:rFonts w:ascii="宋体" w:hAnsi="宋体"/>
                <w:sz w:val="24"/>
              </w:rPr>
            </w:pPr>
            <w:r>
              <w:rPr>
                <w:color w:val="000000"/>
                <w:szCs w:val="21"/>
              </w:rPr>
              <w:t>抑菌作用明确，本研究未作为主要筛选标记</w:t>
            </w:r>
          </w:p>
        </w:tc>
      </w:tr>
      <w:tr w:rsidR="00651B96" w14:paraId="5C53A603" w14:textId="77777777">
        <w:trPr>
          <w:cantSplit/>
          <w:jc w:val="center"/>
        </w:trPr>
        <w:tc>
          <w:tcPr>
            <w:tcW w:w="3028" w:type="dxa"/>
            <w:vAlign w:val="center"/>
          </w:tcPr>
          <w:p w14:paraId="43374A0E" w14:textId="77777777" w:rsidR="00651B96" w:rsidRDefault="00721866">
            <w:pPr>
              <w:autoSpaceDE w:val="0"/>
              <w:autoSpaceDN w:val="0"/>
              <w:spacing w:line="300" w:lineRule="exact"/>
              <w:jc w:val="center"/>
              <w:rPr>
                <w:rFonts w:ascii="宋体" w:hAnsi="宋体"/>
                <w:sz w:val="24"/>
              </w:rPr>
            </w:pPr>
            <w:r>
              <w:rPr>
                <w:color w:val="000000"/>
                <w:szCs w:val="21"/>
              </w:rPr>
              <w:t>四环素</w:t>
            </w:r>
            <w:r>
              <w:rPr>
                <w:color w:val="000000"/>
                <w:szCs w:val="21"/>
              </w:rPr>
              <w:t>（</w:t>
            </w:r>
            <w:r>
              <w:rPr>
                <w:color w:val="000000"/>
                <w:szCs w:val="21"/>
              </w:rPr>
              <w:t>Tet</w:t>
            </w:r>
            <w:r>
              <w:rPr>
                <w:color w:val="000000"/>
                <w:szCs w:val="21"/>
              </w:rPr>
              <w:t>）</w:t>
            </w:r>
          </w:p>
        </w:tc>
        <w:tc>
          <w:tcPr>
            <w:tcW w:w="3028" w:type="dxa"/>
            <w:vAlign w:val="center"/>
          </w:tcPr>
          <w:p w14:paraId="3B20CE08" w14:textId="77777777" w:rsidR="00651B96" w:rsidRDefault="00721866">
            <w:pPr>
              <w:autoSpaceDE w:val="0"/>
              <w:autoSpaceDN w:val="0"/>
              <w:spacing w:line="300" w:lineRule="exact"/>
              <w:jc w:val="center"/>
              <w:rPr>
                <w:rFonts w:ascii="宋体" w:hAnsi="宋体"/>
                <w:sz w:val="24"/>
              </w:rPr>
            </w:pPr>
            <w:r>
              <w:rPr>
                <w:color w:val="000000"/>
                <w:szCs w:val="21"/>
              </w:rPr>
              <w:t>10</w:t>
            </w:r>
            <w:r>
              <w:rPr>
                <w:color w:val="000000"/>
                <w:szCs w:val="21"/>
              </w:rPr>
              <w:t>-</w:t>
            </w:r>
            <w:r>
              <w:rPr>
                <w:color w:val="000000"/>
                <w:szCs w:val="21"/>
              </w:rPr>
              <w:t>50 μg/mL</w:t>
            </w:r>
            <w:r>
              <w:rPr>
                <w:color w:val="000000"/>
                <w:szCs w:val="21"/>
              </w:rPr>
              <w:t>未见可见生长</w:t>
            </w:r>
          </w:p>
        </w:tc>
        <w:tc>
          <w:tcPr>
            <w:tcW w:w="3029" w:type="dxa"/>
            <w:vAlign w:val="center"/>
          </w:tcPr>
          <w:p w14:paraId="748CE5AA" w14:textId="77777777" w:rsidR="00651B96" w:rsidRDefault="00721866">
            <w:pPr>
              <w:autoSpaceDE w:val="0"/>
              <w:autoSpaceDN w:val="0"/>
              <w:spacing w:line="300" w:lineRule="exact"/>
              <w:jc w:val="center"/>
              <w:rPr>
                <w:rFonts w:ascii="宋体" w:hAnsi="宋体"/>
                <w:sz w:val="24"/>
              </w:rPr>
            </w:pPr>
            <w:r>
              <w:rPr>
                <w:color w:val="000000"/>
                <w:szCs w:val="21"/>
              </w:rPr>
              <w:t>后续以</w:t>
            </w:r>
            <w:r>
              <w:rPr>
                <w:color w:val="000000"/>
                <w:szCs w:val="21"/>
              </w:rPr>
              <w:t>50 μg/mL</w:t>
            </w:r>
            <w:r>
              <w:rPr>
                <w:color w:val="000000"/>
                <w:szCs w:val="21"/>
              </w:rPr>
              <w:t>用于</w:t>
            </w:r>
            <w:r>
              <w:rPr>
                <w:color w:val="000000"/>
                <w:szCs w:val="21"/>
              </w:rPr>
              <w:t>pKD46</w:t>
            </w:r>
            <w:r>
              <w:rPr>
                <w:color w:val="000000"/>
                <w:szCs w:val="21"/>
              </w:rPr>
              <w:t>辅助质粒筛选</w:t>
            </w:r>
          </w:p>
        </w:tc>
      </w:tr>
      <w:tr w:rsidR="00651B96" w14:paraId="6200A562" w14:textId="77777777">
        <w:trPr>
          <w:cantSplit/>
          <w:jc w:val="center"/>
        </w:trPr>
        <w:tc>
          <w:tcPr>
            <w:tcW w:w="3028" w:type="dxa"/>
            <w:vAlign w:val="center"/>
          </w:tcPr>
          <w:p w14:paraId="1014B9A7" w14:textId="77777777" w:rsidR="00651B96" w:rsidRDefault="00721866">
            <w:pPr>
              <w:autoSpaceDE w:val="0"/>
              <w:autoSpaceDN w:val="0"/>
              <w:spacing w:line="300" w:lineRule="exact"/>
              <w:jc w:val="center"/>
              <w:rPr>
                <w:rFonts w:ascii="宋体" w:hAnsi="宋体"/>
                <w:sz w:val="24"/>
              </w:rPr>
            </w:pPr>
            <w:r>
              <w:rPr>
                <w:color w:val="000000"/>
                <w:szCs w:val="21"/>
              </w:rPr>
              <w:t>链霉素</w:t>
            </w:r>
            <w:r>
              <w:rPr>
                <w:color w:val="000000"/>
                <w:szCs w:val="21"/>
              </w:rPr>
              <w:t>（</w:t>
            </w:r>
            <w:r>
              <w:rPr>
                <w:color w:val="000000"/>
                <w:szCs w:val="21"/>
              </w:rPr>
              <w:t>Str</w:t>
            </w:r>
            <w:r>
              <w:rPr>
                <w:color w:val="000000"/>
                <w:szCs w:val="21"/>
              </w:rPr>
              <w:t>）</w:t>
            </w:r>
          </w:p>
        </w:tc>
        <w:tc>
          <w:tcPr>
            <w:tcW w:w="3028" w:type="dxa"/>
            <w:vAlign w:val="center"/>
          </w:tcPr>
          <w:p w14:paraId="0622F91D" w14:textId="77777777" w:rsidR="00651B96" w:rsidRDefault="00721866">
            <w:pPr>
              <w:autoSpaceDE w:val="0"/>
              <w:autoSpaceDN w:val="0"/>
              <w:spacing w:line="300" w:lineRule="exact"/>
              <w:jc w:val="center"/>
              <w:rPr>
                <w:rFonts w:ascii="宋体" w:hAnsi="宋体"/>
                <w:sz w:val="24"/>
              </w:rPr>
            </w:pPr>
            <w:r>
              <w:rPr>
                <w:color w:val="000000"/>
                <w:szCs w:val="21"/>
              </w:rPr>
              <w:t>低温</w:t>
            </w:r>
            <w:r>
              <w:rPr>
                <w:color w:val="000000"/>
                <w:szCs w:val="21"/>
              </w:rPr>
              <w:t>低浓度条件下仍可见或延迟生长，抑菌稳定性弱于</w:t>
            </w:r>
            <w:r>
              <w:rPr>
                <w:color w:val="000000"/>
                <w:szCs w:val="21"/>
              </w:rPr>
              <w:t>Km</w:t>
            </w:r>
            <w:r>
              <w:rPr>
                <w:color w:val="000000"/>
                <w:szCs w:val="21"/>
              </w:rPr>
              <w:t>和</w:t>
            </w:r>
            <w:r>
              <w:rPr>
                <w:color w:val="000000"/>
                <w:szCs w:val="21"/>
              </w:rPr>
              <w:t>Tet</w:t>
            </w:r>
          </w:p>
        </w:tc>
        <w:tc>
          <w:tcPr>
            <w:tcW w:w="3029" w:type="dxa"/>
            <w:vAlign w:val="center"/>
          </w:tcPr>
          <w:p w14:paraId="06BB7EEB" w14:textId="77777777" w:rsidR="00651B96" w:rsidRDefault="00721866">
            <w:pPr>
              <w:autoSpaceDE w:val="0"/>
              <w:autoSpaceDN w:val="0"/>
              <w:spacing w:line="300" w:lineRule="exact"/>
              <w:jc w:val="center"/>
              <w:rPr>
                <w:rFonts w:ascii="宋体" w:hAnsi="宋体"/>
                <w:sz w:val="24"/>
              </w:rPr>
            </w:pPr>
            <w:r>
              <w:rPr>
                <w:color w:val="000000"/>
                <w:szCs w:val="21"/>
              </w:rPr>
              <w:t>未作为本研究主要遗传筛选抗生素</w:t>
            </w:r>
          </w:p>
        </w:tc>
      </w:tr>
    </w:tbl>
    <w:p w14:paraId="4DD57A4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综合</w:t>
      </w:r>
      <w:r>
        <w:rPr>
          <w:color w:val="000000"/>
          <w:sz w:val="24"/>
        </w:rPr>
        <w:t>MIC</w:t>
      </w:r>
      <w:r>
        <w:rPr>
          <w:color w:val="000000"/>
          <w:sz w:val="24"/>
        </w:rPr>
        <w:t>实验结果，本研究后续遗传操作中采用</w:t>
      </w:r>
      <w:r>
        <w:rPr>
          <w:color w:val="000000"/>
          <w:sz w:val="24"/>
        </w:rPr>
        <w:t>Km 50 μg/mL</w:t>
      </w:r>
      <w:r>
        <w:rPr>
          <w:color w:val="000000"/>
          <w:sz w:val="24"/>
        </w:rPr>
        <w:t>筛选携带卡那霉素抗性替换片段的重组子，采用</w:t>
      </w:r>
      <w:r>
        <w:rPr>
          <w:color w:val="000000"/>
          <w:sz w:val="24"/>
        </w:rPr>
        <w:t>Tet 50 μg/mL</w:t>
      </w:r>
      <w:r>
        <w:rPr>
          <w:color w:val="000000"/>
          <w:sz w:val="24"/>
        </w:rPr>
        <w:t>筛选或维持</w:t>
      </w:r>
      <w:r>
        <w:rPr>
          <w:color w:val="000000"/>
          <w:sz w:val="24"/>
        </w:rPr>
        <w:t>pKD46</w:t>
      </w:r>
      <w:r>
        <w:rPr>
          <w:color w:val="000000"/>
          <w:sz w:val="24"/>
        </w:rPr>
        <w:t>辅助质粒</w:t>
      </w:r>
      <w:r>
        <w:rPr>
          <w:color w:val="000000"/>
          <w:sz w:val="24"/>
        </w:rPr>
        <w:t>，</w:t>
      </w:r>
      <w:r>
        <w:rPr>
          <w:color w:val="000000"/>
          <w:sz w:val="24"/>
        </w:rPr>
        <w:t>同时采用</w:t>
      </w:r>
      <w:r>
        <w:rPr>
          <w:color w:val="000000"/>
          <w:sz w:val="24"/>
        </w:rPr>
        <w:t>Spc</w:t>
      </w:r>
      <w:r>
        <w:rPr>
          <w:color w:val="000000"/>
          <w:sz w:val="24"/>
        </w:rPr>
        <w:t xml:space="preserve"> 50 μg/mL</w:t>
      </w:r>
      <w:r>
        <w:rPr>
          <w:color w:val="000000"/>
          <w:sz w:val="24"/>
        </w:rPr>
        <w:t>与其他抗性条件联合使用。该筛选浓度能够提供明确的抗性选择压力。</w:t>
      </w:r>
    </w:p>
    <w:p w14:paraId="11C152FC"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78" w:name="docfit_s001_Toc17220"/>
      <w:bookmarkStart w:id="79" w:name="_Toc236830372"/>
      <w:r>
        <w:rPr>
          <w:rFonts w:ascii="黑体" w:hAnsi="黑体" w:cs="黑体"/>
          <w:color w:val="000000"/>
          <w:szCs w:val="28"/>
        </w:rPr>
        <w:t xml:space="preserve">2 </w:t>
      </w:r>
      <w:r>
        <w:rPr>
          <w:rFonts w:ascii="黑体" w:hAnsi="黑体" w:cs="黑体"/>
          <w:color w:val="000000"/>
          <w:szCs w:val="28"/>
        </w:rPr>
        <w:t>PGP6</w:t>
      </w:r>
      <w:r>
        <w:rPr>
          <w:rFonts w:ascii="黑体" w:hAnsi="黑体" w:cs="黑体"/>
          <w:color w:val="000000"/>
          <w:szCs w:val="28"/>
        </w:rPr>
        <w:t>中</w:t>
      </w:r>
      <w:r>
        <w:rPr>
          <w:rFonts w:ascii="黑体" w:hAnsi="黑体" w:cs="黑体"/>
          <w:color w:val="000000"/>
          <w:szCs w:val="28"/>
        </w:rPr>
        <w:t>IAA</w:t>
      </w:r>
      <w:r>
        <w:rPr>
          <w:rFonts w:ascii="黑体" w:hAnsi="黑体" w:cs="黑体"/>
          <w:color w:val="000000"/>
          <w:szCs w:val="28"/>
        </w:rPr>
        <w:t>合成候选基因的定位</w:t>
      </w:r>
      <w:bookmarkEnd w:id="78"/>
      <w:bookmarkEnd w:id="79"/>
    </w:p>
    <w:p w14:paraId="409948D1"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80" w:name="docfit_s001_Toc10738"/>
      <w:bookmarkStart w:id="81" w:name="_Toc236830373"/>
      <w:r>
        <w:rPr>
          <w:rFonts w:eastAsia="宋体"/>
          <w:color w:val="000000"/>
          <w:sz w:val="24"/>
        </w:rPr>
        <w:t>2.1 IAA</w:t>
      </w:r>
      <w:r>
        <w:rPr>
          <w:rFonts w:eastAsia="宋体"/>
          <w:color w:val="000000"/>
          <w:sz w:val="24"/>
        </w:rPr>
        <w:t>合成候选基因的定位</w:t>
      </w:r>
      <w:bookmarkEnd w:id="80"/>
      <w:bookmarkEnd w:id="81"/>
    </w:p>
    <w:p w14:paraId="538B476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IAA</w:t>
      </w:r>
      <w:r>
        <w:rPr>
          <w:color w:val="000000"/>
          <w:sz w:val="24"/>
        </w:rPr>
        <w:t>生物合成通常与色氨酸代谢密切相关，因此本研究首先在</w:t>
      </w:r>
      <w:r>
        <w:rPr>
          <w:color w:val="000000"/>
          <w:sz w:val="24"/>
        </w:rPr>
        <w:t>PGP6</w:t>
      </w:r>
      <w:r>
        <w:rPr>
          <w:color w:val="000000"/>
          <w:sz w:val="24"/>
        </w:rPr>
        <w:t>全基因组注释结果中检索与色氨酸合成及转化相关的基因。结果显示，</w:t>
      </w:r>
      <w:r>
        <w:rPr>
          <w:color w:val="000000"/>
          <w:sz w:val="24"/>
        </w:rPr>
        <w:t>PGP6</w:t>
      </w:r>
      <w:r>
        <w:rPr>
          <w:color w:val="000000"/>
          <w:sz w:val="24"/>
        </w:rPr>
        <w:t>基因组中存在</w:t>
      </w:r>
      <w:r>
        <w:rPr>
          <w:i/>
          <w:iCs/>
          <w:color w:val="000000"/>
          <w:sz w:val="24"/>
        </w:rPr>
        <w:t>trpA</w:t>
      </w:r>
      <w:r>
        <w:rPr>
          <w:color w:val="000000"/>
          <w:sz w:val="24"/>
        </w:rPr>
        <w:t>、</w:t>
      </w:r>
      <w:r>
        <w:rPr>
          <w:i/>
          <w:iCs/>
          <w:color w:val="000000"/>
          <w:sz w:val="24"/>
        </w:rPr>
        <w:t>trpB</w:t>
      </w:r>
      <w:r>
        <w:rPr>
          <w:color w:val="000000"/>
          <w:sz w:val="24"/>
        </w:rPr>
        <w:t>等色氨酸代谢相关基因，其中</w:t>
      </w:r>
      <w:r>
        <w:rPr>
          <w:i/>
          <w:iCs/>
          <w:color w:val="000000"/>
          <w:sz w:val="24"/>
        </w:rPr>
        <w:t>trpA</w:t>
      </w:r>
      <w:r>
        <w:rPr>
          <w:color w:val="000000"/>
          <w:sz w:val="24"/>
        </w:rPr>
        <w:t>与</w:t>
      </w:r>
      <w:r>
        <w:rPr>
          <w:i/>
          <w:iCs/>
          <w:color w:val="000000"/>
          <w:sz w:val="24"/>
        </w:rPr>
        <w:t>trpB</w:t>
      </w:r>
      <w:r>
        <w:rPr>
          <w:color w:val="000000"/>
          <w:sz w:val="24"/>
        </w:rPr>
        <w:t>分别编码色氨酸合成酶相关亚基，是影响色氨酸合成与供给的重要基因（图</w:t>
      </w:r>
      <w:r>
        <w:rPr>
          <w:color w:val="000000"/>
          <w:sz w:val="24"/>
        </w:rPr>
        <w:t>3-</w:t>
      </w:r>
      <w:r>
        <w:rPr>
          <w:color w:val="000000"/>
          <w:sz w:val="24"/>
        </w:rPr>
        <w:t>1</w:t>
      </w:r>
      <w:r>
        <w:rPr>
          <w:color w:val="000000"/>
          <w:sz w:val="24"/>
        </w:rPr>
        <w:t>）</w:t>
      </w:r>
    </w:p>
    <w:p w14:paraId="213F0D3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除色氨酸合成相关基因外，本研究进一步检索可能参与</w:t>
      </w:r>
      <w:r>
        <w:rPr>
          <w:color w:val="000000"/>
          <w:sz w:val="24"/>
        </w:rPr>
        <w:t>IAA</w:t>
      </w:r>
      <w:r>
        <w:rPr>
          <w:color w:val="000000"/>
          <w:sz w:val="24"/>
        </w:rPr>
        <w:t>合成中间步骤的候选基因。基因组注释结果显示，</w:t>
      </w:r>
      <w:r>
        <w:rPr>
          <w:color w:val="000000"/>
          <w:sz w:val="24"/>
        </w:rPr>
        <w:t>PGP6</w:t>
      </w:r>
      <w:r>
        <w:rPr>
          <w:color w:val="000000"/>
          <w:sz w:val="24"/>
        </w:rPr>
        <w:t>中存在</w:t>
      </w:r>
      <w:r>
        <w:rPr>
          <w:i/>
          <w:iCs/>
          <w:color w:val="000000"/>
          <w:sz w:val="24"/>
        </w:rPr>
        <w:t>patB</w:t>
      </w:r>
      <w:r>
        <w:rPr>
          <w:color w:val="000000"/>
          <w:sz w:val="24"/>
        </w:rPr>
        <w:t>和</w:t>
      </w:r>
      <w:r>
        <w:rPr>
          <w:i/>
          <w:iCs/>
          <w:color w:val="000000"/>
          <w:sz w:val="24"/>
        </w:rPr>
        <w:t>iaaH</w:t>
      </w:r>
      <w:r>
        <w:rPr>
          <w:color w:val="000000"/>
          <w:sz w:val="24"/>
        </w:rPr>
        <w:t>等候选基因，其中</w:t>
      </w:r>
      <w:r>
        <w:rPr>
          <w:i/>
          <w:iCs/>
          <w:color w:val="000000"/>
          <w:sz w:val="24"/>
        </w:rPr>
        <w:t>patB</w:t>
      </w:r>
      <w:r>
        <w:rPr>
          <w:color w:val="000000"/>
          <w:sz w:val="24"/>
        </w:rPr>
        <w:t>编码的氨基转移酶可能参与色氨酸向吲哚</w:t>
      </w:r>
      <w:r>
        <w:rPr>
          <w:color w:val="000000"/>
          <w:sz w:val="24"/>
        </w:rPr>
        <w:t>-3-</w:t>
      </w:r>
      <w:r>
        <w:rPr>
          <w:color w:val="000000"/>
          <w:sz w:val="24"/>
        </w:rPr>
        <w:t>丙酮酸等中间产物的转化，</w:t>
      </w:r>
      <w:r>
        <w:rPr>
          <w:i/>
          <w:iCs/>
          <w:color w:val="000000"/>
          <w:sz w:val="24"/>
        </w:rPr>
        <w:t>iaaH</w:t>
      </w:r>
      <w:r>
        <w:rPr>
          <w:color w:val="000000"/>
          <w:sz w:val="24"/>
        </w:rPr>
        <w:t>则可能与吲哚乙酰胺途径中</w:t>
      </w:r>
      <w:r>
        <w:rPr>
          <w:color w:val="000000"/>
          <w:sz w:val="24"/>
        </w:rPr>
        <w:t>IAA</w:t>
      </w:r>
      <w:r>
        <w:rPr>
          <w:color w:val="000000"/>
          <w:sz w:val="24"/>
        </w:rPr>
        <w:t>生成步骤有关（图</w:t>
      </w:r>
      <w:r>
        <w:rPr>
          <w:color w:val="000000"/>
          <w:sz w:val="24"/>
        </w:rPr>
        <w:t>3-</w:t>
      </w:r>
      <w:r>
        <w:rPr>
          <w:color w:val="000000"/>
          <w:sz w:val="24"/>
        </w:rPr>
        <w:t>2</w:t>
      </w:r>
      <w:r>
        <w:rPr>
          <w:color w:val="000000"/>
          <w:sz w:val="24"/>
        </w:rPr>
        <w:t>）。结合候选基因的功能注释及其在</w:t>
      </w:r>
      <w:r>
        <w:rPr>
          <w:color w:val="000000"/>
          <w:sz w:val="24"/>
        </w:rPr>
        <w:t>IAA</w:t>
      </w:r>
      <w:r>
        <w:rPr>
          <w:color w:val="000000"/>
          <w:sz w:val="24"/>
        </w:rPr>
        <w:t>合成途径中的潜在位置，本研究最终选择</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和</w:t>
      </w:r>
      <w:r>
        <w:rPr>
          <w:i/>
          <w:iCs/>
          <w:color w:val="000000"/>
          <w:sz w:val="24"/>
        </w:rPr>
        <w:t>iaaH</w:t>
      </w:r>
      <w:r>
        <w:rPr>
          <w:color w:val="000000"/>
          <w:sz w:val="24"/>
        </w:rPr>
        <w:t>作为后续基因敲除靶点。</w:t>
      </w:r>
    </w:p>
    <w:p w14:paraId="0AEAC5CF"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2855ABFD" wp14:editId="79B3D88E">
            <wp:extent cx="5267325" cy="1273810"/>
            <wp:effectExtent l="0" t="0" r="5715" b="6350"/>
            <wp:docPr id="21" name="图片 1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21"/>
                    <pic:cNvPicPr>
                      <a:picLocks noChangeAspect="1"/>
                    </pic:cNvPicPr>
                  </pic:nvPicPr>
                  <pic:blipFill>
                    <a:blip r:embed="rId26"/>
                    <a:stretch>
                      <a:fillRect/>
                    </a:stretch>
                  </pic:blipFill>
                  <pic:spPr>
                    <a:xfrm>
                      <a:off x="0" y="0"/>
                      <a:ext cx="5267325" cy="1273810"/>
                    </a:xfrm>
                    <a:prstGeom prst="rect">
                      <a:avLst/>
                    </a:prstGeom>
                  </pic:spPr>
                </pic:pic>
              </a:graphicData>
            </a:graphic>
          </wp:inline>
        </w:drawing>
      </w:r>
    </w:p>
    <w:p w14:paraId="6BB34CF8"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3-2 PGP6</w:t>
      </w:r>
      <w:r>
        <w:rPr>
          <w:color w:val="000000"/>
          <w:szCs w:val="21"/>
        </w:rPr>
        <w:t>基因组中</w:t>
      </w:r>
      <w:r>
        <w:rPr>
          <w:color w:val="000000"/>
          <w:szCs w:val="21"/>
        </w:rPr>
        <w:t>trpA</w:t>
      </w:r>
      <w:r>
        <w:rPr>
          <w:color w:val="000000"/>
          <w:szCs w:val="21"/>
        </w:rPr>
        <w:t>、</w:t>
      </w:r>
      <w:r>
        <w:rPr>
          <w:color w:val="000000"/>
          <w:szCs w:val="21"/>
        </w:rPr>
        <w:t>trpB</w:t>
      </w:r>
      <w:r>
        <w:rPr>
          <w:color w:val="000000"/>
          <w:szCs w:val="21"/>
        </w:rPr>
        <w:t>、</w:t>
      </w:r>
      <w:r>
        <w:rPr>
          <w:color w:val="000000"/>
          <w:szCs w:val="21"/>
        </w:rPr>
        <w:t>patB</w:t>
      </w:r>
      <w:r>
        <w:rPr>
          <w:color w:val="000000"/>
          <w:szCs w:val="21"/>
        </w:rPr>
        <w:t>相关区域定位</w:t>
      </w:r>
    </w:p>
    <w:p w14:paraId="589CBDD4" w14:textId="77777777" w:rsidR="00651B96" w:rsidRDefault="00721866">
      <w:pPr>
        <w:keepLines/>
        <w:autoSpaceDE w:val="0"/>
        <w:autoSpaceDN w:val="0"/>
        <w:spacing w:line="400" w:lineRule="exact"/>
        <w:jc w:val="center"/>
        <w:rPr>
          <w:rFonts w:ascii="宋体" w:hAnsi="宋体"/>
          <w:sz w:val="24"/>
        </w:rPr>
      </w:pPr>
      <w:r>
        <w:rPr>
          <w:color w:val="000000"/>
          <w:szCs w:val="21"/>
        </w:rPr>
        <w:t>Fig. 3-2 Genomic localization of the trpA, trpB, and patB</w:t>
      </w:r>
      <w:r>
        <w:rPr>
          <w:color w:val="000000"/>
          <w:szCs w:val="21"/>
        </w:rPr>
        <w:t xml:space="preserve"> </w:t>
      </w:r>
      <w:r>
        <w:rPr>
          <w:color w:val="000000"/>
          <w:szCs w:val="21"/>
        </w:rPr>
        <w:t>associated regions in the PGP6 genome</w:t>
      </w:r>
    </w:p>
    <w:p w14:paraId="102B51E6" w14:textId="77777777" w:rsidR="00651B96" w:rsidRDefault="00721866">
      <w:pPr>
        <w:keepNext/>
        <w:keepLines/>
        <w:autoSpaceDE w:val="0"/>
        <w:autoSpaceDN w:val="0"/>
        <w:jc w:val="center"/>
        <w:rPr>
          <w:rFonts w:ascii="宋体" w:hAnsi="宋体"/>
          <w:sz w:val="24"/>
        </w:rPr>
      </w:pPr>
      <w:r>
        <w:rPr>
          <w:noProof/>
          <w:color w:val="000000"/>
          <w:sz w:val="24"/>
        </w:rPr>
        <w:lastRenderedPageBreak/>
        <w:drawing>
          <wp:inline distT="0" distB="0" distL="114300" distR="114300" wp14:anchorId="0387C304" wp14:editId="0A51147F">
            <wp:extent cx="3361055" cy="1522095"/>
            <wp:effectExtent l="0" t="0" r="6985" b="1905"/>
            <wp:docPr id="23" name="图片 1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descr="13"/>
                    <pic:cNvPicPr>
                      <a:picLocks noChangeAspect="1"/>
                    </pic:cNvPicPr>
                  </pic:nvPicPr>
                  <pic:blipFill>
                    <a:blip r:embed="rId27"/>
                    <a:srcRect l="35187" t="8285" r="33004" b="869"/>
                    <a:stretch>
                      <a:fillRect/>
                    </a:stretch>
                  </pic:blipFill>
                  <pic:spPr>
                    <a:xfrm>
                      <a:off x="0" y="0"/>
                      <a:ext cx="3361055" cy="1522095"/>
                    </a:xfrm>
                    <a:prstGeom prst="rect">
                      <a:avLst/>
                    </a:prstGeom>
                  </pic:spPr>
                </pic:pic>
              </a:graphicData>
            </a:graphic>
          </wp:inline>
        </w:drawing>
      </w:r>
    </w:p>
    <w:p w14:paraId="68F19CE6"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3-3 PGP6</w:t>
      </w:r>
      <w:r>
        <w:rPr>
          <w:color w:val="000000"/>
          <w:szCs w:val="21"/>
        </w:rPr>
        <w:t>基因组中</w:t>
      </w:r>
      <w:r>
        <w:rPr>
          <w:color w:val="000000"/>
          <w:szCs w:val="21"/>
        </w:rPr>
        <w:t>iaaH</w:t>
      </w:r>
      <w:r>
        <w:rPr>
          <w:color w:val="000000"/>
          <w:szCs w:val="21"/>
        </w:rPr>
        <w:t>相关区域定位</w:t>
      </w:r>
    </w:p>
    <w:p w14:paraId="181D142D" w14:textId="77777777" w:rsidR="00651B96" w:rsidRDefault="00721866">
      <w:pPr>
        <w:keepLines/>
        <w:autoSpaceDE w:val="0"/>
        <w:autoSpaceDN w:val="0"/>
        <w:spacing w:line="400" w:lineRule="exact"/>
        <w:jc w:val="center"/>
        <w:rPr>
          <w:rFonts w:ascii="宋体" w:hAnsi="宋体"/>
          <w:sz w:val="24"/>
        </w:rPr>
      </w:pPr>
      <w:r>
        <w:rPr>
          <w:color w:val="000000"/>
          <w:szCs w:val="21"/>
        </w:rPr>
        <w:t>Fig. 3-3 Genomic localization of the iaaH-associated region in PGP6</w:t>
      </w:r>
    </w:p>
    <w:p w14:paraId="2E9BB60D" w14:textId="77777777" w:rsidR="00651B96" w:rsidRDefault="00721866">
      <w:pPr>
        <w:keepNext/>
        <w:keepLines/>
        <w:autoSpaceDE w:val="0"/>
        <w:autoSpaceDN w:val="0"/>
        <w:spacing w:line="400" w:lineRule="exact"/>
        <w:jc w:val="center"/>
        <w:rPr>
          <w:rFonts w:ascii="宋体" w:hAnsi="宋体"/>
          <w:sz w:val="24"/>
        </w:rPr>
      </w:pPr>
      <w:r>
        <w:rPr>
          <w:color w:val="000000"/>
          <w:szCs w:val="21"/>
        </w:rPr>
        <w:t>表</w:t>
      </w:r>
      <w:r>
        <w:rPr>
          <w:color w:val="000000"/>
          <w:szCs w:val="21"/>
        </w:rPr>
        <w:t xml:space="preserve"> 3-2 PGP6</w:t>
      </w:r>
      <w:r>
        <w:rPr>
          <w:color w:val="000000"/>
          <w:szCs w:val="21"/>
        </w:rPr>
        <w:t>中</w:t>
      </w:r>
      <w:r>
        <w:rPr>
          <w:color w:val="000000"/>
          <w:szCs w:val="21"/>
        </w:rPr>
        <w:t>IAA</w:t>
      </w:r>
      <w:r>
        <w:rPr>
          <w:color w:val="000000"/>
          <w:szCs w:val="21"/>
        </w:rPr>
        <w:t>合成候选基因及功能预测</w:t>
      </w:r>
    </w:p>
    <w:p w14:paraId="26A3D0F0" w14:textId="77777777" w:rsidR="00651B96" w:rsidRDefault="00721866">
      <w:pPr>
        <w:keepNext/>
        <w:keepLines/>
        <w:autoSpaceDE w:val="0"/>
        <w:autoSpaceDN w:val="0"/>
        <w:spacing w:line="400" w:lineRule="exact"/>
        <w:jc w:val="center"/>
        <w:rPr>
          <w:rFonts w:ascii="宋体" w:hAnsi="宋体"/>
          <w:sz w:val="24"/>
        </w:rPr>
      </w:pPr>
      <w:r>
        <w:rPr>
          <w:color w:val="000000"/>
          <w:szCs w:val="21"/>
        </w:rPr>
        <w:t>Table 3-2 Candidate genes related to IAA biosynthesis in PGP6</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28"/>
        <w:gridCol w:w="3028"/>
        <w:gridCol w:w="3029"/>
      </w:tblGrid>
      <w:tr w:rsidR="00651B96" w14:paraId="5EA9E5EF" w14:textId="77777777">
        <w:trPr>
          <w:cantSplit/>
          <w:tblHeader/>
          <w:jc w:val="center"/>
        </w:trPr>
        <w:tc>
          <w:tcPr>
            <w:tcW w:w="3028" w:type="dxa"/>
            <w:tcBorders>
              <w:bottom w:val="single" w:sz="4" w:space="0" w:color="000000"/>
            </w:tcBorders>
            <w:vAlign w:val="center"/>
          </w:tcPr>
          <w:p w14:paraId="75935436" w14:textId="77777777" w:rsidR="00651B96" w:rsidRDefault="00721866">
            <w:pPr>
              <w:autoSpaceDE w:val="0"/>
              <w:autoSpaceDN w:val="0"/>
              <w:spacing w:line="300" w:lineRule="exact"/>
              <w:jc w:val="center"/>
              <w:rPr>
                <w:rFonts w:ascii="宋体" w:hAnsi="宋体"/>
                <w:sz w:val="24"/>
              </w:rPr>
            </w:pPr>
            <w:r>
              <w:rPr>
                <w:color w:val="000000"/>
                <w:szCs w:val="21"/>
              </w:rPr>
              <w:t>候选基因</w:t>
            </w:r>
          </w:p>
        </w:tc>
        <w:tc>
          <w:tcPr>
            <w:tcW w:w="3028" w:type="dxa"/>
            <w:tcBorders>
              <w:bottom w:val="single" w:sz="4" w:space="0" w:color="000000"/>
            </w:tcBorders>
            <w:vAlign w:val="center"/>
          </w:tcPr>
          <w:p w14:paraId="30129155" w14:textId="77777777" w:rsidR="00651B96" w:rsidRDefault="00721866">
            <w:pPr>
              <w:autoSpaceDE w:val="0"/>
              <w:autoSpaceDN w:val="0"/>
              <w:spacing w:line="300" w:lineRule="exact"/>
              <w:jc w:val="center"/>
              <w:rPr>
                <w:rFonts w:ascii="宋体" w:hAnsi="宋体"/>
                <w:sz w:val="24"/>
              </w:rPr>
            </w:pPr>
            <w:r>
              <w:rPr>
                <w:color w:val="000000"/>
                <w:szCs w:val="21"/>
              </w:rPr>
              <w:t>注释功能</w:t>
            </w:r>
          </w:p>
        </w:tc>
        <w:tc>
          <w:tcPr>
            <w:tcW w:w="3029" w:type="dxa"/>
            <w:tcBorders>
              <w:bottom w:val="single" w:sz="4" w:space="0" w:color="000000"/>
            </w:tcBorders>
            <w:vAlign w:val="center"/>
          </w:tcPr>
          <w:p w14:paraId="535E2B24" w14:textId="77777777" w:rsidR="00651B96" w:rsidRDefault="00721866">
            <w:pPr>
              <w:autoSpaceDE w:val="0"/>
              <w:autoSpaceDN w:val="0"/>
              <w:spacing w:line="300" w:lineRule="exact"/>
              <w:jc w:val="center"/>
              <w:rPr>
                <w:rFonts w:ascii="宋体" w:hAnsi="宋体"/>
                <w:sz w:val="24"/>
              </w:rPr>
            </w:pPr>
            <w:r>
              <w:rPr>
                <w:color w:val="000000"/>
                <w:szCs w:val="21"/>
              </w:rPr>
              <w:t>可能参与的</w:t>
            </w:r>
            <w:r>
              <w:rPr>
                <w:color w:val="000000"/>
                <w:szCs w:val="21"/>
              </w:rPr>
              <w:t>IAA</w:t>
            </w:r>
            <w:r>
              <w:rPr>
                <w:color w:val="000000"/>
                <w:szCs w:val="21"/>
              </w:rPr>
              <w:t>合成环节</w:t>
            </w:r>
          </w:p>
        </w:tc>
      </w:tr>
      <w:tr w:rsidR="00651B96" w14:paraId="41660D09" w14:textId="77777777">
        <w:trPr>
          <w:cantSplit/>
          <w:jc w:val="center"/>
        </w:trPr>
        <w:tc>
          <w:tcPr>
            <w:tcW w:w="3028" w:type="dxa"/>
            <w:vAlign w:val="center"/>
          </w:tcPr>
          <w:p w14:paraId="36E6E435" w14:textId="77777777" w:rsidR="00651B96" w:rsidRDefault="00721866">
            <w:pPr>
              <w:autoSpaceDE w:val="0"/>
              <w:autoSpaceDN w:val="0"/>
              <w:spacing w:line="300" w:lineRule="exact"/>
              <w:jc w:val="center"/>
              <w:rPr>
                <w:rFonts w:ascii="宋体" w:hAnsi="宋体"/>
                <w:sz w:val="24"/>
              </w:rPr>
            </w:pPr>
            <w:r>
              <w:rPr>
                <w:color w:val="000000"/>
                <w:szCs w:val="21"/>
              </w:rPr>
              <w:t>trpA</w:t>
            </w:r>
          </w:p>
        </w:tc>
        <w:tc>
          <w:tcPr>
            <w:tcW w:w="3028" w:type="dxa"/>
            <w:vAlign w:val="center"/>
          </w:tcPr>
          <w:p w14:paraId="52CD8BB0" w14:textId="77777777" w:rsidR="00651B96" w:rsidRDefault="00721866">
            <w:pPr>
              <w:autoSpaceDE w:val="0"/>
              <w:autoSpaceDN w:val="0"/>
              <w:spacing w:line="300" w:lineRule="exact"/>
              <w:jc w:val="center"/>
              <w:rPr>
                <w:rFonts w:ascii="宋体" w:hAnsi="宋体"/>
                <w:sz w:val="24"/>
              </w:rPr>
            </w:pPr>
            <w:r>
              <w:rPr>
                <w:color w:val="000000"/>
                <w:szCs w:val="21"/>
              </w:rPr>
              <w:t>色氨酸合成酶</w:t>
            </w:r>
            <w:r>
              <w:rPr>
                <w:color w:val="000000"/>
                <w:szCs w:val="21"/>
              </w:rPr>
              <w:t>α</w:t>
            </w:r>
            <w:r>
              <w:rPr>
                <w:color w:val="000000"/>
                <w:szCs w:val="21"/>
              </w:rPr>
              <w:t>亚基相关基因</w:t>
            </w:r>
          </w:p>
        </w:tc>
        <w:tc>
          <w:tcPr>
            <w:tcW w:w="3029" w:type="dxa"/>
            <w:vAlign w:val="center"/>
          </w:tcPr>
          <w:p w14:paraId="3274AEE3" w14:textId="77777777" w:rsidR="00651B96" w:rsidRDefault="00721866">
            <w:pPr>
              <w:autoSpaceDE w:val="0"/>
              <w:autoSpaceDN w:val="0"/>
              <w:spacing w:line="300" w:lineRule="exact"/>
              <w:jc w:val="center"/>
              <w:rPr>
                <w:rFonts w:ascii="宋体" w:hAnsi="宋体"/>
                <w:sz w:val="24"/>
              </w:rPr>
            </w:pPr>
            <w:r>
              <w:rPr>
                <w:color w:val="000000"/>
                <w:szCs w:val="21"/>
              </w:rPr>
              <w:t>参与色氨酸生物合成，影响</w:t>
            </w:r>
            <w:r>
              <w:rPr>
                <w:color w:val="000000"/>
                <w:szCs w:val="21"/>
              </w:rPr>
              <w:t>IAA</w:t>
            </w:r>
            <w:r>
              <w:rPr>
                <w:color w:val="000000"/>
                <w:szCs w:val="21"/>
              </w:rPr>
              <w:t>合成底物供给</w:t>
            </w:r>
          </w:p>
        </w:tc>
      </w:tr>
      <w:tr w:rsidR="00651B96" w14:paraId="14A4C097" w14:textId="77777777">
        <w:trPr>
          <w:cantSplit/>
          <w:jc w:val="center"/>
        </w:trPr>
        <w:tc>
          <w:tcPr>
            <w:tcW w:w="3028" w:type="dxa"/>
            <w:vAlign w:val="center"/>
          </w:tcPr>
          <w:p w14:paraId="030EF28E" w14:textId="77777777" w:rsidR="00651B96" w:rsidRDefault="00721866">
            <w:pPr>
              <w:autoSpaceDE w:val="0"/>
              <w:autoSpaceDN w:val="0"/>
              <w:spacing w:line="300" w:lineRule="exact"/>
              <w:jc w:val="center"/>
              <w:rPr>
                <w:rFonts w:ascii="宋体" w:hAnsi="宋体"/>
                <w:sz w:val="24"/>
              </w:rPr>
            </w:pPr>
            <w:r>
              <w:rPr>
                <w:color w:val="000000"/>
                <w:szCs w:val="21"/>
              </w:rPr>
              <w:t>trpB</w:t>
            </w:r>
          </w:p>
        </w:tc>
        <w:tc>
          <w:tcPr>
            <w:tcW w:w="3028" w:type="dxa"/>
            <w:vAlign w:val="center"/>
          </w:tcPr>
          <w:p w14:paraId="6F7BF4B8" w14:textId="77777777" w:rsidR="00651B96" w:rsidRDefault="00721866">
            <w:pPr>
              <w:autoSpaceDE w:val="0"/>
              <w:autoSpaceDN w:val="0"/>
              <w:spacing w:line="300" w:lineRule="exact"/>
              <w:jc w:val="center"/>
              <w:rPr>
                <w:rFonts w:ascii="宋体" w:hAnsi="宋体"/>
                <w:sz w:val="24"/>
              </w:rPr>
            </w:pPr>
            <w:r>
              <w:rPr>
                <w:color w:val="000000"/>
                <w:szCs w:val="21"/>
              </w:rPr>
              <w:t>色氨酸合成酶</w:t>
            </w:r>
            <w:r>
              <w:rPr>
                <w:color w:val="000000"/>
                <w:szCs w:val="21"/>
              </w:rPr>
              <w:t>β</w:t>
            </w:r>
            <w:r>
              <w:rPr>
                <w:color w:val="000000"/>
                <w:szCs w:val="21"/>
              </w:rPr>
              <w:t>亚基相关基因</w:t>
            </w:r>
          </w:p>
        </w:tc>
        <w:tc>
          <w:tcPr>
            <w:tcW w:w="3029" w:type="dxa"/>
            <w:vAlign w:val="center"/>
          </w:tcPr>
          <w:p w14:paraId="01682D76" w14:textId="77777777" w:rsidR="00651B96" w:rsidRDefault="00721866">
            <w:pPr>
              <w:autoSpaceDE w:val="0"/>
              <w:autoSpaceDN w:val="0"/>
              <w:spacing w:line="300" w:lineRule="exact"/>
              <w:jc w:val="center"/>
              <w:rPr>
                <w:rFonts w:ascii="宋体" w:hAnsi="宋体"/>
                <w:sz w:val="24"/>
              </w:rPr>
            </w:pPr>
            <w:r>
              <w:rPr>
                <w:color w:val="000000"/>
                <w:szCs w:val="21"/>
              </w:rPr>
              <w:t>参与色氨酸生物合成，与</w:t>
            </w:r>
            <w:r>
              <w:rPr>
                <w:color w:val="000000"/>
                <w:szCs w:val="21"/>
              </w:rPr>
              <w:t>trp</w:t>
            </w:r>
            <w:r>
              <w:rPr>
                <w:color w:val="000000"/>
                <w:szCs w:val="21"/>
              </w:rPr>
              <w:t>A</w:t>
            </w:r>
            <w:r>
              <w:rPr>
                <w:color w:val="000000"/>
                <w:szCs w:val="21"/>
              </w:rPr>
              <w:t>共同影响色氨酸代谢通量</w:t>
            </w:r>
          </w:p>
        </w:tc>
      </w:tr>
      <w:tr w:rsidR="00651B96" w14:paraId="08650BA1" w14:textId="77777777">
        <w:trPr>
          <w:cantSplit/>
          <w:jc w:val="center"/>
        </w:trPr>
        <w:tc>
          <w:tcPr>
            <w:tcW w:w="3028" w:type="dxa"/>
            <w:vAlign w:val="center"/>
          </w:tcPr>
          <w:p w14:paraId="0F7D2798" w14:textId="77777777" w:rsidR="00651B96" w:rsidRDefault="00721866">
            <w:pPr>
              <w:autoSpaceDE w:val="0"/>
              <w:autoSpaceDN w:val="0"/>
              <w:spacing w:line="300" w:lineRule="exact"/>
              <w:jc w:val="center"/>
              <w:rPr>
                <w:rFonts w:ascii="宋体" w:hAnsi="宋体"/>
                <w:sz w:val="24"/>
              </w:rPr>
            </w:pPr>
            <w:r>
              <w:rPr>
                <w:color w:val="000000"/>
                <w:szCs w:val="21"/>
              </w:rPr>
              <w:t>patB</w:t>
            </w:r>
          </w:p>
        </w:tc>
        <w:tc>
          <w:tcPr>
            <w:tcW w:w="3028" w:type="dxa"/>
            <w:vAlign w:val="center"/>
          </w:tcPr>
          <w:p w14:paraId="4F649CD1" w14:textId="77777777" w:rsidR="00651B96" w:rsidRDefault="00721866">
            <w:pPr>
              <w:autoSpaceDE w:val="0"/>
              <w:autoSpaceDN w:val="0"/>
              <w:spacing w:line="300" w:lineRule="exact"/>
              <w:jc w:val="center"/>
              <w:rPr>
                <w:rFonts w:ascii="宋体" w:hAnsi="宋体"/>
                <w:sz w:val="24"/>
              </w:rPr>
            </w:pPr>
            <w:r>
              <w:rPr>
                <w:color w:val="000000"/>
                <w:szCs w:val="21"/>
              </w:rPr>
              <w:t>氨基转移酶相关候选基因</w:t>
            </w:r>
          </w:p>
        </w:tc>
        <w:tc>
          <w:tcPr>
            <w:tcW w:w="3029" w:type="dxa"/>
            <w:vAlign w:val="center"/>
          </w:tcPr>
          <w:p w14:paraId="61E0CEA9" w14:textId="77777777" w:rsidR="00651B96" w:rsidRDefault="00721866">
            <w:pPr>
              <w:autoSpaceDE w:val="0"/>
              <w:autoSpaceDN w:val="0"/>
              <w:spacing w:line="300" w:lineRule="exact"/>
              <w:jc w:val="center"/>
              <w:rPr>
                <w:rFonts w:ascii="宋体" w:hAnsi="宋体"/>
                <w:sz w:val="24"/>
              </w:rPr>
            </w:pPr>
            <w:r>
              <w:rPr>
                <w:color w:val="000000"/>
                <w:szCs w:val="21"/>
              </w:rPr>
              <w:t>可能参与色氨酸向吲哚</w:t>
            </w:r>
            <w:r>
              <w:rPr>
                <w:color w:val="000000"/>
                <w:szCs w:val="21"/>
              </w:rPr>
              <w:t>-3</w:t>
            </w:r>
            <w:r>
              <w:rPr>
                <w:color w:val="000000"/>
                <w:szCs w:val="21"/>
              </w:rPr>
              <w:t>-</w:t>
            </w:r>
            <w:r>
              <w:rPr>
                <w:color w:val="000000"/>
                <w:szCs w:val="21"/>
              </w:rPr>
              <w:t>丙酮酸等中间产物的转化</w:t>
            </w:r>
          </w:p>
        </w:tc>
      </w:tr>
      <w:tr w:rsidR="00651B96" w14:paraId="2AF75003" w14:textId="77777777">
        <w:trPr>
          <w:cantSplit/>
          <w:jc w:val="center"/>
        </w:trPr>
        <w:tc>
          <w:tcPr>
            <w:tcW w:w="3028" w:type="dxa"/>
            <w:vAlign w:val="center"/>
          </w:tcPr>
          <w:p w14:paraId="277BD7FC" w14:textId="77777777" w:rsidR="00651B96" w:rsidRDefault="00721866">
            <w:pPr>
              <w:autoSpaceDE w:val="0"/>
              <w:autoSpaceDN w:val="0"/>
              <w:spacing w:line="300" w:lineRule="exact"/>
              <w:jc w:val="center"/>
              <w:rPr>
                <w:rFonts w:ascii="宋体" w:hAnsi="宋体"/>
                <w:sz w:val="24"/>
              </w:rPr>
            </w:pPr>
            <w:r>
              <w:rPr>
                <w:color w:val="000000"/>
                <w:szCs w:val="21"/>
              </w:rPr>
              <w:t>iaaH</w:t>
            </w:r>
          </w:p>
        </w:tc>
        <w:tc>
          <w:tcPr>
            <w:tcW w:w="3028" w:type="dxa"/>
            <w:vAlign w:val="center"/>
          </w:tcPr>
          <w:p w14:paraId="5519B6BD" w14:textId="77777777" w:rsidR="00651B96" w:rsidRDefault="00721866">
            <w:pPr>
              <w:autoSpaceDE w:val="0"/>
              <w:autoSpaceDN w:val="0"/>
              <w:spacing w:line="300" w:lineRule="exact"/>
              <w:jc w:val="center"/>
              <w:rPr>
                <w:rFonts w:ascii="宋体" w:hAnsi="宋体"/>
                <w:sz w:val="24"/>
              </w:rPr>
            </w:pPr>
            <w:r>
              <w:rPr>
                <w:color w:val="000000"/>
                <w:szCs w:val="21"/>
              </w:rPr>
              <w:t>吲哚乙酰胺水解酶相关候选基因</w:t>
            </w:r>
          </w:p>
        </w:tc>
        <w:tc>
          <w:tcPr>
            <w:tcW w:w="3029" w:type="dxa"/>
            <w:vAlign w:val="center"/>
          </w:tcPr>
          <w:p w14:paraId="5684427B" w14:textId="77777777" w:rsidR="00651B96" w:rsidRDefault="00721866">
            <w:pPr>
              <w:autoSpaceDE w:val="0"/>
              <w:autoSpaceDN w:val="0"/>
              <w:spacing w:line="300" w:lineRule="exact"/>
              <w:jc w:val="center"/>
              <w:rPr>
                <w:rFonts w:ascii="宋体" w:hAnsi="宋体"/>
                <w:sz w:val="24"/>
              </w:rPr>
            </w:pPr>
            <w:r>
              <w:rPr>
                <w:color w:val="000000"/>
                <w:szCs w:val="21"/>
              </w:rPr>
              <w:t>可能参与吲哚乙酰胺途径中</w:t>
            </w:r>
            <w:r>
              <w:rPr>
                <w:color w:val="000000"/>
                <w:szCs w:val="21"/>
              </w:rPr>
              <w:t>IAA</w:t>
            </w:r>
            <w:r>
              <w:rPr>
                <w:color w:val="000000"/>
                <w:szCs w:val="21"/>
              </w:rPr>
              <w:t>生成步骤</w:t>
            </w:r>
          </w:p>
        </w:tc>
      </w:tr>
    </w:tbl>
    <w:p w14:paraId="6CC54912"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82" w:name="docfit_s001_Toc29827"/>
      <w:bookmarkStart w:id="83" w:name="_Toc236830374"/>
      <w:r>
        <w:rPr>
          <w:rFonts w:ascii="黑体" w:hAnsi="黑体" w:cs="黑体"/>
          <w:color w:val="000000"/>
          <w:szCs w:val="28"/>
        </w:rPr>
        <w:t xml:space="preserve">3 </w:t>
      </w:r>
      <w:r>
        <w:rPr>
          <w:rFonts w:ascii="黑体" w:hAnsi="黑体" w:cs="黑体"/>
          <w:color w:val="000000"/>
          <w:szCs w:val="28"/>
        </w:rPr>
        <w:t>打靶片段的设计与构建</w:t>
      </w:r>
      <w:bookmarkEnd w:id="82"/>
      <w:bookmarkEnd w:id="83"/>
    </w:p>
    <w:p w14:paraId="67912A67"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84" w:name="docfit_s001_Toc2287"/>
      <w:bookmarkStart w:id="85" w:name="_Toc236830375"/>
      <w:r>
        <w:rPr>
          <w:rFonts w:eastAsia="宋体"/>
          <w:color w:val="000000"/>
          <w:sz w:val="24"/>
        </w:rPr>
        <w:t>3.1 trpA</w:t>
      </w:r>
      <w:r>
        <w:rPr>
          <w:rFonts w:eastAsia="宋体"/>
          <w:color w:val="000000"/>
          <w:sz w:val="24"/>
        </w:rPr>
        <w:t>、</w:t>
      </w:r>
      <w:r>
        <w:rPr>
          <w:rFonts w:eastAsia="宋体"/>
          <w:color w:val="000000"/>
          <w:sz w:val="24"/>
        </w:rPr>
        <w:t>trpB</w:t>
      </w:r>
      <w:r>
        <w:rPr>
          <w:rFonts w:eastAsia="宋体"/>
          <w:color w:val="000000"/>
          <w:sz w:val="24"/>
        </w:rPr>
        <w:t>、</w:t>
      </w:r>
      <w:r>
        <w:rPr>
          <w:rFonts w:eastAsia="宋体"/>
          <w:color w:val="000000"/>
          <w:sz w:val="24"/>
        </w:rPr>
        <w:t>trpA</w:t>
      </w:r>
      <w:r>
        <w:rPr>
          <w:rFonts w:eastAsia="宋体"/>
          <w:color w:val="000000"/>
          <w:sz w:val="24"/>
        </w:rPr>
        <w:t>与</w:t>
      </w:r>
      <w:r>
        <w:rPr>
          <w:rFonts w:eastAsia="宋体"/>
          <w:color w:val="000000"/>
          <w:sz w:val="24"/>
        </w:rPr>
        <w:t>trpB</w:t>
      </w:r>
      <w:r>
        <w:rPr>
          <w:rFonts w:eastAsia="宋体"/>
          <w:color w:val="000000"/>
          <w:sz w:val="24"/>
        </w:rPr>
        <w:t>、</w:t>
      </w:r>
      <w:r>
        <w:rPr>
          <w:rFonts w:eastAsia="宋体"/>
          <w:color w:val="000000"/>
          <w:sz w:val="24"/>
        </w:rPr>
        <w:t>patB</w:t>
      </w:r>
      <w:r>
        <w:rPr>
          <w:rFonts w:eastAsia="宋体"/>
          <w:color w:val="000000"/>
          <w:sz w:val="24"/>
        </w:rPr>
        <w:t>及</w:t>
      </w:r>
      <w:r>
        <w:rPr>
          <w:rFonts w:eastAsia="宋体"/>
          <w:color w:val="000000"/>
          <w:sz w:val="24"/>
        </w:rPr>
        <w:t>iaaH</w:t>
      </w:r>
      <w:r>
        <w:rPr>
          <w:rFonts w:eastAsia="宋体"/>
          <w:color w:val="000000"/>
          <w:sz w:val="24"/>
        </w:rPr>
        <w:t>的打靶片段</w:t>
      </w:r>
      <w:bookmarkEnd w:id="84"/>
      <w:bookmarkEnd w:id="85"/>
    </w:p>
    <w:p w14:paraId="47149CC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为实现目标基因的定向敲除，本研究分别针对</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 xml:space="preserve"> </w:t>
      </w:r>
      <w:r>
        <w:rPr>
          <w:color w:val="000000"/>
          <w:sz w:val="24"/>
        </w:rPr>
        <w:t>及</w:t>
      </w:r>
      <w:r>
        <w:rPr>
          <w:i/>
          <w:iCs/>
          <w:color w:val="000000"/>
          <w:sz w:val="24"/>
        </w:rPr>
        <w:t>iaaH</w:t>
      </w:r>
      <w:r>
        <w:rPr>
          <w:color w:val="000000"/>
          <w:sz w:val="24"/>
        </w:rPr>
        <w:t>设计线性打靶片段。每个打靶片段由目标基因上游同源臂、卡那霉素抗性标记和下游同源臂组成，其中上下游同源臂用于引导打靶片段与宿主染色体靶位点发生同源重组，</w:t>
      </w:r>
      <w:r>
        <w:rPr>
          <w:color w:val="000000"/>
          <w:sz w:val="24"/>
        </w:rPr>
        <w:t>卡那霉素</w:t>
      </w:r>
      <w:r>
        <w:rPr>
          <w:color w:val="000000"/>
          <w:sz w:val="24"/>
        </w:rPr>
        <w:t>抗性标记用于后续阳性重组子的筛选。</w:t>
      </w:r>
    </w:p>
    <w:p w14:paraId="7CCFD662"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以</w:t>
      </w:r>
      <w:r>
        <w:rPr>
          <w:color w:val="000000"/>
          <w:sz w:val="24"/>
        </w:rPr>
        <w:t>PGP6</w:t>
      </w:r>
      <w:r>
        <w:rPr>
          <w:color w:val="000000"/>
          <w:sz w:val="24"/>
        </w:rPr>
        <w:t>基因组</w:t>
      </w:r>
      <w:r>
        <w:rPr>
          <w:color w:val="000000"/>
          <w:sz w:val="24"/>
        </w:rPr>
        <w:t>DNA</w:t>
      </w:r>
      <w:r>
        <w:rPr>
          <w:color w:val="000000"/>
          <w:sz w:val="24"/>
        </w:rPr>
        <w:t>为模板扩增各目标基因上下游同源臂，并以</w:t>
      </w:r>
      <w:r>
        <w:rPr>
          <w:color w:val="000000"/>
          <w:sz w:val="24"/>
        </w:rPr>
        <w:t>pJOE8999</w:t>
      </w:r>
      <w:r>
        <w:rPr>
          <w:color w:val="000000"/>
          <w:sz w:val="24"/>
        </w:rPr>
        <w:t>质粒为模板扩增卡那霉素抗性基因片段。随后采用重叠延伸</w:t>
      </w:r>
      <w:r>
        <w:rPr>
          <w:color w:val="000000"/>
          <w:sz w:val="24"/>
        </w:rPr>
        <w:t>PCR</w:t>
      </w:r>
      <w:r>
        <w:rPr>
          <w:color w:val="000000"/>
          <w:sz w:val="24"/>
        </w:rPr>
        <w:t>将上游同源臂、抗性标记及下游同源臂进行拼接，获得完整线性打靶片段。最后进行</w:t>
      </w:r>
      <w:r>
        <w:rPr>
          <w:color w:val="000000"/>
          <w:sz w:val="24"/>
        </w:rPr>
        <w:t>琼脂糖凝胶电泳</w:t>
      </w:r>
      <w:r>
        <w:rPr>
          <w:color w:val="000000"/>
          <w:sz w:val="24"/>
        </w:rPr>
        <w:t>。</w:t>
      </w:r>
      <w:r>
        <w:rPr>
          <w:color w:val="000000"/>
          <w:sz w:val="24"/>
        </w:rPr>
        <w:t>结果显示，各目标基因上下游同源臂及卡那霉素抗性片段均扩增出清晰条带，片段大小与预期基本一致；重叠延伸</w:t>
      </w:r>
      <w:r>
        <w:rPr>
          <w:color w:val="000000"/>
          <w:sz w:val="24"/>
        </w:rPr>
        <w:t>PCR</w:t>
      </w:r>
      <w:r>
        <w:rPr>
          <w:color w:val="000000"/>
          <w:sz w:val="24"/>
        </w:rPr>
        <w:t>后获得的完整线性打靶片段在约</w:t>
      </w:r>
      <w:r>
        <w:rPr>
          <w:color w:val="000000"/>
          <w:sz w:val="24"/>
        </w:rPr>
        <w:t>2000–3000 bp</w:t>
      </w:r>
      <w:r>
        <w:rPr>
          <w:color w:val="000000"/>
          <w:sz w:val="24"/>
        </w:rPr>
        <w:t>范围内出现特异性条带（图</w:t>
      </w:r>
      <w:r>
        <w:rPr>
          <w:color w:val="000000"/>
          <w:sz w:val="24"/>
        </w:rPr>
        <w:t>3-4</w:t>
      </w:r>
      <w:r>
        <w:rPr>
          <w:color w:val="000000"/>
          <w:sz w:val="24"/>
        </w:rPr>
        <w:t>、图</w:t>
      </w:r>
      <w:r>
        <w:rPr>
          <w:color w:val="000000"/>
          <w:sz w:val="24"/>
        </w:rPr>
        <w:t>3-5</w:t>
      </w:r>
      <w:r>
        <w:rPr>
          <w:color w:val="000000"/>
          <w:sz w:val="24"/>
        </w:rPr>
        <w:t>）。结果表明，</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及</w:t>
      </w:r>
      <w:r>
        <w:rPr>
          <w:i/>
          <w:iCs/>
          <w:color w:val="000000"/>
          <w:sz w:val="24"/>
        </w:rPr>
        <w:t>iaaH</w:t>
      </w:r>
      <w:r>
        <w:rPr>
          <w:color w:val="000000"/>
          <w:sz w:val="24"/>
        </w:rPr>
        <w:t>的线性打靶片段均构建成功，可作为后续</w:t>
      </w:r>
      <w:r>
        <w:rPr>
          <w:color w:val="000000"/>
          <w:sz w:val="24"/>
        </w:rPr>
        <w:t>λ-Red</w:t>
      </w:r>
      <w:r>
        <w:rPr>
          <w:color w:val="000000"/>
          <w:sz w:val="24"/>
        </w:rPr>
        <w:t>同源重组的外源</w:t>
      </w:r>
      <w:r>
        <w:rPr>
          <w:color w:val="000000"/>
          <w:sz w:val="24"/>
        </w:rPr>
        <w:t>DNA</w:t>
      </w:r>
      <w:r>
        <w:rPr>
          <w:color w:val="000000"/>
          <w:sz w:val="24"/>
        </w:rPr>
        <w:t>底物。</w:t>
      </w:r>
    </w:p>
    <w:p w14:paraId="4C60681C" w14:textId="77777777" w:rsidR="00651B96" w:rsidRDefault="00721866">
      <w:pPr>
        <w:keepNext/>
        <w:keepLines/>
        <w:autoSpaceDE w:val="0"/>
        <w:autoSpaceDN w:val="0"/>
        <w:jc w:val="center"/>
        <w:rPr>
          <w:rFonts w:ascii="宋体" w:hAnsi="宋体"/>
          <w:sz w:val="24"/>
        </w:rPr>
      </w:pPr>
      <w:r>
        <w:rPr>
          <w:noProof/>
          <w:color w:val="000000"/>
          <w:sz w:val="24"/>
        </w:rPr>
        <w:lastRenderedPageBreak/>
        <w:drawing>
          <wp:inline distT="0" distB="0" distL="114300" distR="114300" wp14:anchorId="638C0DC6" wp14:editId="0EF94345">
            <wp:extent cx="4722495" cy="2211070"/>
            <wp:effectExtent l="0" t="0" r="0" b="0"/>
            <wp:docPr id="25"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1"/>
                    <pic:cNvPicPr>
                      <a:picLocks noChangeAspect="1"/>
                    </pic:cNvPicPr>
                  </pic:nvPicPr>
                  <pic:blipFill>
                    <a:blip r:embed="rId28"/>
                    <a:srcRect l="6990" t="1917" r="3386" b="-85"/>
                    <a:stretch>
                      <a:fillRect/>
                    </a:stretch>
                  </pic:blipFill>
                  <pic:spPr>
                    <a:xfrm>
                      <a:off x="0" y="0"/>
                      <a:ext cx="4722495" cy="2211070"/>
                    </a:xfrm>
                    <a:prstGeom prst="rect">
                      <a:avLst/>
                    </a:prstGeom>
                  </pic:spPr>
                </pic:pic>
              </a:graphicData>
            </a:graphic>
          </wp:inline>
        </w:drawing>
      </w:r>
    </w:p>
    <w:p w14:paraId="2986D36A"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3-4 trpA</w:t>
      </w:r>
      <w:r>
        <w:rPr>
          <w:color w:val="000000"/>
          <w:szCs w:val="21"/>
        </w:rPr>
        <w:t>、</w:t>
      </w:r>
      <w:r>
        <w:rPr>
          <w:color w:val="000000"/>
          <w:szCs w:val="21"/>
        </w:rPr>
        <w:t>trpB</w:t>
      </w:r>
      <w:r>
        <w:rPr>
          <w:color w:val="000000"/>
          <w:szCs w:val="21"/>
        </w:rPr>
        <w:t>及</w:t>
      </w:r>
      <w:r>
        <w:rPr>
          <w:color w:val="000000"/>
          <w:szCs w:val="21"/>
        </w:rPr>
        <w:t>trpA-trpB</w:t>
      </w:r>
      <w:r>
        <w:rPr>
          <w:color w:val="000000"/>
          <w:szCs w:val="21"/>
        </w:rPr>
        <w:t>线性打靶片段扩增验证</w:t>
      </w:r>
    </w:p>
    <w:p w14:paraId="346949CC" w14:textId="77777777" w:rsidR="00651B96" w:rsidRDefault="00721866">
      <w:pPr>
        <w:keepLines/>
        <w:autoSpaceDE w:val="0"/>
        <w:autoSpaceDN w:val="0"/>
        <w:spacing w:line="400" w:lineRule="exact"/>
        <w:jc w:val="center"/>
        <w:rPr>
          <w:rFonts w:ascii="宋体" w:hAnsi="宋体"/>
          <w:sz w:val="24"/>
        </w:rPr>
      </w:pPr>
      <w:r>
        <w:rPr>
          <w:color w:val="000000"/>
          <w:szCs w:val="21"/>
        </w:rPr>
        <w:t>Fig. 3-4 PCR validation of linear targeting fragments for trpA, trpB, and trpA-trpB</w:t>
      </w:r>
    </w:p>
    <w:p w14:paraId="4640EB1B"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0B96557B" wp14:editId="215A17FE">
            <wp:extent cx="4845050" cy="2039620"/>
            <wp:effectExtent l="0" t="0" r="0" b="0"/>
            <wp:docPr id="27" name="图片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descr="2"/>
                    <pic:cNvPicPr>
                      <a:picLocks noChangeAspect="1"/>
                    </pic:cNvPicPr>
                  </pic:nvPicPr>
                  <pic:blipFill>
                    <a:blip r:embed="rId29"/>
                    <a:srcRect l="4928" t="1618" r="3145" b="305"/>
                    <a:stretch>
                      <a:fillRect/>
                    </a:stretch>
                  </pic:blipFill>
                  <pic:spPr>
                    <a:xfrm>
                      <a:off x="0" y="0"/>
                      <a:ext cx="4845050" cy="2039620"/>
                    </a:xfrm>
                    <a:prstGeom prst="rect">
                      <a:avLst/>
                    </a:prstGeom>
                  </pic:spPr>
                </pic:pic>
              </a:graphicData>
            </a:graphic>
          </wp:inline>
        </w:drawing>
      </w:r>
    </w:p>
    <w:p w14:paraId="43883609"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3-5 patB</w:t>
      </w:r>
      <w:r>
        <w:rPr>
          <w:color w:val="000000"/>
          <w:szCs w:val="21"/>
        </w:rPr>
        <w:t>及</w:t>
      </w:r>
      <w:r>
        <w:rPr>
          <w:color w:val="000000"/>
          <w:szCs w:val="21"/>
        </w:rPr>
        <w:t>iaaH</w:t>
      </w:r>
      <w:r>
        <w:rPr>
          <w:color w:val="000000"/>
          <w:szCs w:val="21"/>
        </w:rPr>
        <w:t>线性打靶片段扩增验证</w:t>
      </w:r>
    </w:p>
    <w:p w14:paraId="5B8DDF32" w14:textId="77777777" w:rsidR="00651B96" w:rsidRDefault="00721866">
      <w:pPr>
        <w:keepLines/>
        <w:autoSpaceDE w:val="0"/>
        <w:autoSpaceDN w:val="0"/>
        <w:spacing w:line="400" w:lineRule="exact"/>
        <w:jc w:val="center"/>
        <w:rPr>
          <w:rFonts w:ascii="宋体" w:hAnsi="宋体"/>
          <w:sz w:val="24"/>
        </w:rPr>
      </w:pPr>
      <w:r>
        <w:rPr>
          <w:color w:val="000000"/>
          <w:szCs w:val="21"/>
        </w:rPr>
        <w:t>Fig. 3-5 PCR validation of linear targeting fragments for patB and iaaH</w:t>
      </w:r>
    </w:p>
    <w:p w14:paraId="6CB85887"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86" w:name="docfit_s001_Toc24450"/>
      <w:bookmarkStart w:id="87" w:name="_Toc236830376"/>
      <w:r>
        <w:rPr>
          <w:rFonts w:ascii="黑体" w:hAnsi="黑体" w:cs="黑体"/>
          <w:color w:val="000000"/>
          <w:szCs w:val="28"/>
        </w:rPr>
        <w:t>4 PGP6 ΔtrpA::kan</w:t>
      </w:r>
      <w:r>
        <w:rPr>
          <w:rFonts w:ascii="黑体" w:hAnsi="黑体" w:cs="黑体"/>
          <w:color w:val="000000"/>
          <w:szCs w:val="28"/>
        </w:rPr>
        <w:t>、</w:t>
      </w:r>
      <w:r>
        <w:rPr>
          <w:rFonts w:ascii="黑体" w:hAnsi="黑体" w:cs="黑体"/>
          <w:color w:val="000000"/>
          <w:szCs w:val="28"/>
        </w:rPr>
        <w:t>PGP6 ΔtrpB::kan</w:t>
      </w:r>
      <w:r>
        <w:rPr>
          <w:rFonts w:ascii="黑体" w:hAnsi="黑体" w:cs="黑体"/>
          <w:color w:val="000000"/>
          <w:szCs w:val="28"/>
        </w:rPr>
        <w:t>、</w:t>
      </w:r>
      <w:r>
        <w:rPr>
          <w:rFonts w:ascii="黑体" w:hAnsi="黑体" w:cs="黑体"/>
          <w:color w:val="000000"/>
          <w:szCs w:val="28"/>
        </w:rPr>
        <w:t>PGP6 Δ(trpA-trpB)::kan</w:t>
      </w:r>
      <w:r>
        <w:rPr>
          <w:rFonts w:ascii="黑体" w:hAnsi="黑体" w:cs="黑体"/>
          <w:color w:val="000000"/>
          <w:szCs w:val="28"/>
        </w:rPr>
        <w:t>、</w:t>
      </w:r>
      <w:r>
        <w:rPr>
          <w:rFonts w:ascii="黑体" w:hAnsi="黑体" w:cs="黑体"/>
          <w:color w:val="000000"/>
          <w:szCs w:val="28"/>
        </w:rPr>
        <w:t>PGP6 ΔpatB::kan</w:t>
      </w:r>
      <w:r>
        <w:rPr>
          <w:rFonts w:ascii="黑体" w:hAnsi="黑体" w:cs="黑体"/>
          <w:color w:val="000000"/>
          <w:szCs w:val="28"/>
        </w:rPr>
        <w:t>、</w:t>
      </w:r>
      <w:r>
        <w:rPr>
          <w:rFonts w:ascii="黑体" w:hAnsi="黑体" w:cs="黑体"/>
          <w:color w:val="000000"/>
          <w:szCs w:val="28"/>
        </w:rPr>
        <w:t>PGP6 ΔiaaH::kan</w:t>
      </w:r>
      <w:r>
        <w:rPr>
          <w:rFonts w:ascii="黑体" w:hAnsi="黑体" w:cs="黑体"/>
          <w:color w:val="000000"/>
          <w:szCs w:val="28"/>
        </w:rPr>
        <w:t>基因缺失突变株</w:t>
      </w:r>
      <w:r>
        <w:rPr>
          <w:rFonts w:ascii="黑体" w:hAnsi="黑体" w:cs="黑体"/>
          <w:color w:val="000000"/>
          <w:szCs w:val="28"/>
        </w:rPr>
        <w:t>的构建与分子验证</w:t>
      </w:r>
      <w:bookmarkEnd w:id="86"/>
      <w:bookmarkEnd w:id="87"/>
    </w:p>
    <w:p w14:paraId="77292B4D"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88" w:name="docfit_s001_Toc4025"/>
      <w:bookmarkStart w:id="89" w:name="_Toc236830377"/>
      <w:r>
        <w:rPr>
          <w:rFonts w:eastAsia="宋体"/>
          <w:color w:val="000000"/>
          <w:sz w:val="24"/>
        </w:rPr>
        <w:t xml:space="preserve">4.1 </w:t>
      </w:r>
      <w:r>
        <w:rPr>
          <w:rFonts w:eastAsia="宋体"/>
          <w:color w:val="000000"/>
          <w:sz w:val="24"/>
        </w:rPr>
        <w:t>基因缺失突变株的</w:t>
      </w:r>
      <w:r>
        <w:rPr>
          <w:rFonts w:eastAsia="宋体"/>
          <w:color w:val="000000"/>
          <w:sz w:val="24"/>
        </w:rPr>
        <w:t>PCR</w:t>
      </w:r>
      <w:r>
        <w:rPr>
          <w:rFonts w:eastAsia="宋体"/>
          <w:color w:val="000000"/>
          <w:sz w:val="24"/>
        </w:rPr>
        <w:t>验证结果</w:t>
      </w:r>
      <w:bookmarkEnd w:id="88"/>
      <w:bookmarkEnd w:id="89"/>
    </w:p>
    <w:p w14:paraId="016F1759"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将上述线性打靶片段分别电转化至经</w:t>
      </w:r>
      <w:r>
        <w:rPr>
          <w:color w:val="000000"/>
          <w:sz w:val="24"/>
        </w:rPr>
        <w:t>L-</w:t>
      </w:r>
      <w:r>
        <w:rPr>
          <w:color w:val="000000"/>
          <w:sz w:val="24"/>
        </w:rPr>
        <w:t>阿拉伯糖诱导的</w:t>
      </w:r>
      <w:r>
        <w:rPr>
          <w:color w:val="000000"/>
          <w:sz w:val="24"/>
        </w:rPr>
        <w:t>PGP6-pKD46</w:t>
      </w:r>
      <w:r>
        <w:rPr>
          <w:color w:val="000000"/>
          <w:sz w:val="24"/>
        </w:rPr>
        <w:t>感受态细胞中，经抗性平板筛选获得候选重组菌落。随后以候选菌株基因组</w:t>
      </w:r>
      <w:r>
        <w:rPr>
          <w:color w:val="000000"/>
          <w:sz w:val="24"/>
        </w:rPr>
        <w:t>DNA</w:t>
      </w:r>
      <w:r>
        <w:rPr>
          <w:color w:val="000000"/>
          <w:sz w:val="24"/>
        </w:rPr>
        <w:t>为模板，采用位于目标基因上下游外侧的验证引物进行</w:t>
      </w:r>
      <w:r>
        <w:rPr>
          <w:color w:val="000000"/>
          <w:sz w:val="24"/>
        </w:rPr>
        <w:t>PCR</w:t>
      </w:r>
      <w:r>
        <w:rPr>
          <w:color w:val="000000"/>
          <w:sz w:val="24"/>
        </w:rPr>
        <w:t>扩增，并以野生型</w:t>
      </w:r>
      <w:r>
        <w:rPr>
          <w:color w:val="000000"/>
          <w:sz w:val="24"/>
        </w:rPr>
        <w:t>PGP6</w:t>
      </w:r>
      <w:r>
        <w:rPr>
          <w:color w:val="000000"/>
          <w:sz w:val="24"/>
        </w:rPr>
        <w:t>作为对照，以判断目标基因区域是否发生预期替换。</w:t>
      </w:r>
    </w:p>
    <w:p w14:paraId="1DDF53E0"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PCR</w:t>
      </w:r>
      <w:r>
        <w:rPr>
          <w:color w:val="000000"/>
          <w:sz w:val="24"/>
        </w:rPr>
        <w:t>结果显示，</w:t>
      </w:r>
      <w:r>
        <w:rPr>
          <w:color w:val="000000"/>
          <w:sz w:val="24"/>
        </w:rPr>
        <w:t>PGP6 Δ</w:t>
      </w:r>
      <w:r>
        <w:rPr>
          <w:i/>
          <w:iCs/>
          <w:color w:val="000000"/>
          <w:sz w:val="24"/>
        </w:rPr>
        <w:t>trpA</w:t>
      </w:r>
      <w:r>
        <w:rPr>
          <w:color w:val="000000"/>
          <w:sz w:val="24"/>
        </w:rPr>
        <w:t>::kan</w:t>
      </w:r>
      <w:r>
        <w:rPr>
          <w:color w:val="000000"/>
          <w:sz w:val="24"/>
        </w:rPr>
        <w:t>、</w:t>
      </w:r>
      <w:r>
        <w:rPr>
          <w:color w:val="000000"/>
          <w:sz w:val="24"/>
        </w:rPr>
        <w:t>PGP6 Δ</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trpA</w:t>
      </w:r>
      <w:r>
        <w:rPr>
          <w:color w:val="000000"/>
          <w:sz w:val="24"/>
        </w:rPr>
        <w:t>-</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patB</w:t>
      </w:r>
      <w:r>
        <w:rPr>
          <w:color w:val="000000"/>
          <w:sz w:val="24"/>
        </w:rPr>
        <w:t>::kan</w:t>
      </w:r>
      <w:r>
        <w:rPr>
          <w:color w:val="000000"/>
          <w:sz w:val="24"/>
        </w:rPr>
        <w:t>和</w:t>
      </w:r>
      <w:r>
        <w:rPr>
          <w:color w:val="000000"/>
          <w:sz w:val="24"/>
        </w:rPr>
        <w:t>PGP6 Δ</w:t>
      </w:r>
      <w:r>
        <w:rPr>
          <w:i/>
          <w:iCs/>
          <w:color w:val="000000"/>
          <w:sz w:val="24"/>
        </w:rPr>
        <w:t>iaaH</w:t>
      </w:r>
      <w:r>
        <w:rPr>
          <w:color w:val="000000"/>
          <w:sz w:val="24"/>
        </w:rPr>
        <w:t>::kan</w:t>
      </w:r>
      <w:r>
        <w:rPr>
          <w:color w:val="000000"/>
          <w:sz w:val="24"/>
        </w:rPr>
        <w:t>候选菌株均扩增出与理论重组片段一致的条带，且与野生型</w:t>
      </w:r>
      <w:r>
        <w:rPr>
          <w:color w:val="000000"/>
          <w:sz w:val="24"/>
        </w:rPr>
        <w:t>PGP6</w:t>
      </w:r>
      <w:r>
        <w:rPr>
          <w:color w:val="000000"/>
          <w:sz w:val="24"/>
        </w:rPr>
        <w:t>对应扩增产物存在明显差异（图</w:t>
      </w:r>
      <w:r>
        <w:rPr>
          <w:color w:val="000000"/>
          <w:sz w:val="24"/>
        </w:rPr>
        <w:t>3-6</w:t>
      </w:r>
      <w:r>
        <w:rPr>
          <w:color w:val="000000"/>
          <w:sz w:val="24"/>
        </w:rPr>
        <w:t>、图</w:t>
      </w:r>
      <w:r>
        <w:rPr>
          <w:color w:val="000000"/>
          <w:sz w:val="24"/>
        </w:rPr>
        <w:t>3-7</w:t>
      </w:r>
      <w:r>
        <w:rPr>
          <w:color w:val="000000"/>
          <w:sz w:val="24"/>
        </w:rPr>
        <w:t>）。该结果说明卡那霉素抗性片段已按照预期替换目标基因区域。结合后续测序结果，可确认上述基因缺失突变株构建成功。</w:t>
      </w:r>
    </w:p>
    <w:p w14:paraId="1BA1881A" w14:textId="77777777" w:rsidR="00651B96" w:rsidRDefault="00721866">
      <w:pPr>
        <w:keepNext/>
        <w:keepLines/>
        <w:autoSpaceDE w:val="0"/>
        <w:autoSpaceDN w:val="0"/>
        <w:jc w:val="center"/>
        <w:rPr>
          <w:rFonts w:ascii="宋体" w:hAnsi="宋体"/>
          <w:sz w:val="24"/>
        </w:rPr>
      </w:pPr>
      <w:r>
        <w:rPr>
          <w:noProof/>
          <w:color w:val="000000"/>
          <w:sz w:val="24"/>
        </w:rPr>
        <w:lastRenderedPageBreak/>
        <w:drawing>
          <wp:inline distT="0" distB="0" distL="114300" distR="114300" wp14:anchorId="1857299E" wp14:editId="62E44AAB">
            <wp:extent cx="5187950" cy="2508250"/>
            <wp:effectExtent l="0" t="0" r="0" b="0"/>
            <wp:docPr id="29" name="图片 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descr="3"/>
                    <pic:cNvPicPr>
                      <a:picLocks noChangeAspect="1"/>
                    </pic:cNvPicPr>
                  </pic:nvPicPr>
                  <pic:blipFill>
                    <a:blip r:embed="rId30"/>
                    <a:srcRect l="1626" b="903"/>
                    <a:stretch>
                      <a:fillRect/>
                    </a:stretch>
                  </pic:blipFill>
                  <pic:spPr>
                    <a:xfrm>
                      <a:off x="0" y="0"/>
                      <a:ext cx="5187950" cy="2508250"/>
                    </a:xfrm>
                    <a:prstGeom prst="rect">
                      <a:avLst/>
                    </a:prstGeom>
                  </pic:spPr>
                </pic:pic>
              </a:graphicData>
            </a:graphic>
          </wp:inline>
        </w:drawing>
      </w:r>
    </w:p>
    <w:p w14:paraId="1EEF169D"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3-6 ΔtrpA</w:t>
      </w:r>
      <w:r>
        <w:rPr>
          <w:color w:val="000000"/>
          <w:szCs w:val="21"/>
        </w:rPr>
        <w:t>、</w:t>
      </w:r>
      <w:r>
        <w:rPr>
          <w:color w:val="000000"/>
          <w:szCs w:val="21"/>
        </w:rPr>
        <w:t>ΔtrpB</w:t>
      </w:r>
      <w:r>
        <w:rPr>
          <w:color w:val="000000"/>
          <w:szCs w:val="21"/>
        </w:rPr>
        <w:t>及</w:t>
      </w:r>
      <w:r>
        <w:rPr>
          <w:color w:val="000000"/>
          <w:szCs w:val="21"/>
        </w:rPr>
        <w:t>Δ(trpA-trpB)</w:t>
      </w:r>
      <w:r>
        <w:rPr>
          <w:color w:val="000000"/>
          <w:szCs w:val="21"/>
        </w:rPr>
        <w:t>突变株</w:t>
      </w:r>
      <w:r>
        <w:rPr>
          <w:color w:val="000000"/>
          <w:szCs w:val="21"/>
        </w:rPr>
        <w:t>PCR</w:t>
      </w:r>
      <w:r>
        <w:rPr>
          <w:color w:val="000000"/>
          <w:szCs w:val="21"/>
        </w:rPr>
        <w:t>验证</w:t>
      </w:r>
    </w:p>
    <w:p w14:paraId="554359F7" w14:textId="77777777" w:rsidR="00651B96" w:rsidRDefault="00721866">
      <w:pPr>
        <w:keepLines/>
        <w:autoSpaceDE w:val="0"/>
        <w:autoSpaceDN w:val="0"/>
        <w:spacing w:line="400" w:lineRule="exact"/>
        <w:jc w:val="center"/>
        <w:rPr>
          <w:rFonts w:ascii="宋体" w:hAnsi="宋体"/>
          <w:sz w:val="24"/>
        </w:rPr>
      </w:pPr>
      <w:r>
        <w:rPr>
          <w:color w:val="000000"/>
          <w:szCs w:val="21"/>
        </w:rPr>
        <w:t>Fig. 3-6 PCR validation of ΔtrpA, ΔtrpB, and Δ(trpA-trpB) mutantsmutants</w:t>
      </w:r>
    </w:p>
    <w:p w14:paraId="13DF4185"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6B116BC5" wp14:editId="166042C1">
            <wp:extent cx="4660265" cy="2815590"/>
            <wp:effectExtent l="0" t="0" r="0" b="0"/>
            <wp:docPr id="31" name="图片 2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4"/>
                    <pic:cNvPicPr>
                      <a:picLocks noChangeAspect="1"/>
                    </pic:cNvPicPr>
                  </pic:nvPicPr>
                  <pic:blipFill>
                    <a:blip r:embed="rId31"/>
                    <a:srcRect l="8125" r="3400" b="2227"/>
                    <a:stretch>
                      <a:fillRect/>
                    </a:stretch>
                  </pic:blipFill>
                  <pic:spPr>
                    <a:xfrm>
                      <a:off x="0" y="0"/>
                      <a:ext cx="4660265" cy="2815590"/>
                    </a:xfrm>
                    <a:prstGeom prst="rect">
                      <a:avLst/>
                    </a:prstGeom>
                  </pic:spPr>
                </pic:pic>
              </a:graphicData>
            </a:graphic>
          </wp:inline>
        </w:drawing>
      </w:r>
    </w:p>
    <w:p w14:paraId="76E152F2"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3-7 ΔpatB</w:t>
      </w:r>
      <w:r>
        <w:rPr>
          <w:color w:val="000000"/>
          <w:szCs w:val="21"/>
        </w:rPr>
        <w:t>及</w:t>
      </w:r>
      <w:r>
        <w:rPr>
          <w:color w:val="000000"/>
          <w:szCs w:val="21"/>
        </w:rPr>
        <w:t>ΔiaaH</w:t>
      </w:r>
      <w:r>
        <w:rPr>
          <w:color w:val="000000"/>
          <w:szCs w:val="21"/>
        </w:rPr>
        <w:t>突变株</w:t>
      </w:r>
      <w:r>
        <w:rPr>
          <w:color w:val="000000"/>
          <w:szCs w:val="21"/>
        </w:rPr>
        <w:t>PCR</w:t>
      </w:r>
      <w:r>
        <w:rPr>
          <w:color w:val="000000"/>
          <w:szCs w:val="21"/>
        </w:rPr>
        <w:t>验证</w:t>
      </w:r>
    </w:p>
    <w:p w14:paraId="3D3800A1" w14:textId="77777777" w:rsidR="00651B96" w:rsidRDefault="00721866">
      <w:pPr>
        <w:keepLines/>
        <w:autoSpaceDE w:val="0"/>
        <w:autoSpaceDN w:val="0"/>
        <w:spacing w:line="400" w:lineRule="exact"/>
        <w:jc w:val="center"/>
        <w:rPr>
          <w:rFonts w:ascii="宋体" w:hAnsi="宋体"/>
          <w:sz w:val="24"/>
        </w:rPr>
      </w:pPr>
      <w:r>
        <w:rPr>
          <w:color w:val="000000"/>
          <w:szCs w:val="21"/>
        </w:rPr>
        <w:t>Fig. 3-7 PCR validation of ΔpatB</w:t>
      </w:r>
      <w:r>
        <w:rPr>
          <w:color w:val="000000"/>
          <w:szCs w:val="21"/>
        </w:rPr>
        <w:t xml:space="preserve"> and ΔiaaH mutants</w:t>
      </w:r>
    </w:p>
    <w:p w14:paraId="287CFDED"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90" w:name="docfit_s001_Toc21745"/>
      <w:bookmarkStart w:id="91" w:name="_Toc236830378"/>
      <w:r>
        <w:rPr>
          <w:rFonts w:eastAsia="宋体"/>
          <w:color w:val="000000"/>
          <w:sz w:val="24"/>
        </w:rPr>
        <w:t>4.2 pKD46</w:t>
      </w:r>
      <w:r>
        <w:rPr>
          <w:rFonts w:eastAsia="宋体"/>
          <w:color w:val="000000"/>
          <w:sz w:val="24"/>
        </w:rPr>
        <w:t>辅助质粒的温敏去除及验证</w:t>
      </w:r>
      <w:bookmarkEnd w:id="90"/>
      <w:bookmarkEnd w:id="91"/>
    </w:p>
    <w:p w14:paraId="5E2633F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由于</w:t>
      </w:r>
      <w:r>
        <w:rPr>
          <w:color w:val="000000"/>
          <w:sz w:val="24"/>
        </w:rPr>
        <w:t>pKD46</w:t>
      </w:r>
      <w:r>
        <w:rPr>
          <w:color w:val="000000"/>
          <w:sz w:val="24"/>
        </w:rPr>
        <w:t>质粒仅用于</w:t>
      </w:r>
      <w:r>
        <w:rPr>
          <w:color w:val="000000"/>
          <w:sz w:val="24"/>
        </w:rPr>
        <w:t>λ-Red</w:t>
      </w:r>
      <w:r>
        <w:rPr>
          <w:color w:val="000000"/>
          <w:sz w:val="24"/>
        </w:rPr>
        <w:t>重组蛋白的诱导表达，完成目标基因敲除后需将其从突变株中去除，以获得遗传背景相对稳定的基因缺失突变株。</w:t>
      </w:r>
      <w:r>
        <w:rPr>
          <w:color w:val="000000"/>
          <w:sz w:val="24"/>
        </w:rPr>
        <w:t>pKD46</w:t>
      </w:r>
      <w:r>
        <w:rPr>
          <w:color w:val="000000"/>
          <w:sz w:val="24"/>
        </w:rPr>
        <w:t>含有温敏型复制子，在较高温度条件下无法稳定复制。因此，将</w:t>
      </w:r>
      <w:r>
        <w:rPr>
          <w:color w:val="000000"/>
          <w:sz w:val="24"/>
        </w:rPr>
        <w:t>PCR</w:t>
      </w:r>
      <w:r>
        <w:rPr>
          <w:color w:val="000000"/>
          <w:sz w:val="24"/>
        </w:rPr>
        <w:t>验证阳性的候选突变株接种于不含氨苄青霉素的</w:t>
      </w:r>
      <w:r>
        <w:rPr>
          <w:color w:val="000000"/>
          <w:sz w:val="24"/>
        </w:rPr>
        <w:t>LB</w:t>
      </w:r>
      <w:r>
        <w:rPr>
          <w:color w:val="000000"/>
          <w:sz w:val="24"/>
        </w:rPr>
        <w:t>液体培养基中，于</w:t>
      </w:r>
      <w:r>
        <w:rPr>
          <w:color w:val="000000"/>
          <w:sz w:val="24"/>
        </w:rPr>
        <w:t>37 ℃</w:t>
      </w:r>
      <w:r>
        <w:rPr>
          <w:color w:val="000000"/>
          <w:sz w:val="24"/>
        </w:rPr>
        <w:t>条件下培养</w:t>
      </w:r>
      <w:r>
        <w:rPr>
          <w:color w:val="000000"/>
          <w:sz w:val="24"/>
        </w:rPr>
        <w:t>24h</w:t>
      </w:r>
      <w:r>
        <w:rPr>
          <w:color w:val="000000"/>
          <w:sz w:val="24"/>
        </w:rPr>
        <w:t>，以促进</w:t>
      </w:r>
      <w:r>
        <w:rPr>
          <w:color w:val="000000"/>
          <w:sz w:val="24"/>
        </w:rPr>
        <w:t>pKD46</w:t>
      </w:r>
      <w:r>
        <w:rPr>
          <w:color w:val="000000"/>
          <w:sz w:val="24"/>
        </w:rPr>
        <w:t>辅助质粒丢失。</w:t>
      </w:r>
    </w:p>
    <w:p w14:paraId="7AA4F793"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培养后，将菌液稀释涂布于</w:t>
      </w:r>
      <w:r>
        <w:rPr>
          <w:color w:val="000000"/>
          <w:sz w:val="24"/>
        </w:rPr>
        <w:t>LB</w:t>
      </w:r>
      <w:r>
        <w:rPr>
          <w:color w:val="000000"/>
          <w:sz w:val="24"/>
        </w:rPr>
        <w:t>固体培养基上，挑取单菌落分别接种于含</w:t>
      </w:r>
      <w:r>
        <w:rPr>
          <w:color w:val="000000" w:themeColor="text1"/>
          <w:sz w:val="24"/>
        </w:rPr>
        <w:t>卡那霉素、壮观霉素</w:t>
      </w:r>
      <w:r>
        <w:rPr>
          <w:color w:val="000000"/>
          <w:sz w:val="24"/>
        </w:rPr>
        <w:t>和含</w:t>
      </w:r>
      <w:r>
        <w:rPr>
          <w:color w:val="000000" w:themeColor="text1"/>
          <w:sz w:val="24"/>
        </w:rPr>
        <w:t>卡那霉素、壮观霉素与四环素</w:t>
      </w:r>
      <w:r>
        <w:rPr>
          <w:color w:val="000000"/>
          <w:sz w:val="24"/>
        </w:rPr>
        <w:t>的</w:t>
      </w:r>
      <w:r>
        <w:rPr>
          <w:color w:val="000000"/>
          <w:sz w:val="24"/>
        </w:rPr>
        <w:t>LB</w:t>
      </w:r>
      <w:r>
        <w:rPr>
          <w:color w:val="000000"/>
          <w:sz w:val="24"/>
        </w:rPr>
        <w:t>培养基中进行抗性验证。结果显示，候选突变株能够在含</w:t>
      </w:r>
      <w:r>
        <w:rPr>
          <w:color w:val="000000" w:themeColor="text1"/>
          <w:sz w:val="24"/>
        </w:rPr>
        <w:t>卡那霉素、壮观霉素</w:t>
      </w:r>
      <w:r>
        <w:rPr>
          <w:color w:val="000000"/>
          <w:sz w:val="24"/>
        </w:rPr>
        <w:t>培养基上正常生长，而在含</w:t>
      </w:r>
      <w:r>
        <w:rPr>
          <w:color w:val="000000" w:themeColor="text1"/>
          <w:sz w:val="24"/>
        </w:rPr>
        <w:t>卡那霉素、壮观霉素与四环素</w:t>
      </w:r>
      <w:r>
        <w:rPr>
          <w:color w:val="000000"/>
          <w:sz w:val="24"/>
        </w:rPr>
        <w:t>培养基上不能生长，表明菌株仍保留染色体上的卡那霉素抗性替换片段，但已丢失携带氨苄青霉素抗性标记的</w:t>
      </w:r>
      <w:r>
        <w:rPr>
          <w:color w:val="000000"/>
          <w:sz w:val="24"/>
        </w:rPr>
        <w:t>pKD46</w:t>
      </w:r>
      <w:r>
        <w:rPr>
          <w:color w:val="000000"/>
          <w:sz w:val="24"/>
        </w:rPr>
        <w:t>质粒。</w:t>
      </w:r>
    </w:p>
    <w:p w14:paraId="25BAC8FA"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lastRenderedPageBreak/>
        <w:t>进一步采用</w:t>
      </w:r>
      <w:r>
        <w:rPr>
          <w:color w:val="000000"/>
          <w:sz w:val="24"/>
        </w:rPr>
        <w:t>pKD46</w:t>
      </w:r>
      <w:r>
        <w:rPr>
          <w:color w:val="000000"/>
          <w:sz w:val="24"/>
        </w:rPr>
        <w:t>特异性引物进行</w:t>
      </w:r>
      <w:r>
        <w:rPr>
          <w:color w:val="000000"/>
          <w:sz w:val="24"/>
        </w:rPr>
        <w:t>PCR</w:t>
      </w:r>
      <w:r>
        <w:rPr>
          <w:color w:val="000000"/>
          <w:sz w:val="24"/>
        </w:rPr>
        <w:t>验证，结果显示，经</w:t>
      </w:r>
      <w:r>
        <w:rPr>
          <w:color w:val="000000"/>
          <w:sz w:val="24"/>
        </w:rPr>
        <w:t>37 ℃</w:t>
      </w:r>
      <w:r>
        <w:rPr>
          <w:color w:val="000000"/>
          <w:sz w:val="24"/>
        </w:rPr>
        <w:t>培养处理后的候选突变株未扩增出</w:t>
      </w:r>
      <w:r>
        <w:rPr>
          <w:color w:val="000000"/>
          <w:sz w:val="24"/>
        </w:rPr>
        <w:t>pKD46</w:t>
      </w:r>
      <w:r>
        <w:rPr>
          <w:color w:val="000000"/>
          <w:sz w:val="24"/>
        </w:rPr>
        <w:t>特异性条带，而目标基因位点仍保持重组后的预期条带。该结果说明</w:t>
      </w:r>
      <w:r>
        <w:rPr>
          <w:color w:val="000000"/>
          <w:sz w:val="24"/>
        </w:rPr>
        <w:t>pKD46</w:t>
      </w:r>
      <w:r>
        <w:rPr>
          <w:color w:val="000000"/>
          <w:sz w:val="24"/>
        </w:rPr>
        <w:t>辅助质粒已成功去除，且目标基因缺失位点保持稳定。最终获得不含</w:t>
      </w:r>
      <w:r>
        <w:rPr>
          <w:color w:val="000000"/>
          <w:sz w:val="24"/>
        </w:rPr>
        <w:t>pKD46</w:t>
      </w:r>
      <w:r>
        <w:rPr>
          <w:color w:val="000000"/>
          <w:sz w:val="24"/>
        </w:rPr>
        <w:t>辅助质粒的</w:t>
      </w:r>
      <w:r>
        <w:rPr>
          <w:color w:val="000000"/>
          <w:sz w:val="24"/>
        </w:rPr>
        <w:t xml:space="preserve">PGP6 </w:t>
      </w:r>
      <w:r>
        <w:rPr>
          <w:color w:val="000000"/>
          <w:sz w:val="24"/>
        </w:rPr>
        <w:t>Δ</w:t>
      </w:r>
      <w:r>
        <w:rPr>
          <w:i/>
          <w:iCs/>
          <w:color w:val="000000"/>
          <w:sz w:val="24"/>
        </w:rPr>
        <w:t>trpA</w:t>
      </w:r>
      <w:r>
        <w:rPr>
          <w:color w:val="000000"/>
          <w:sz w:val="24"/>
        </w:rPr>
        <w:t>::kan</w:t>
      </w:r>
      <w:r>
        <w:rPr>
          <w:color w:val="000000"/>
          <w:sz w:val="24"/>
        </w:rPr>
        <w:t>、</w:t>
      </w:r>
      <w:r>
        <w:rPr>
          <w:color w:val="000000"/>
          <w:sz w:val="24"/>
        </w:rPr>
        <w:t>PGP6 Δ</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trpA</w:t>
      </w:r>
      <w:r>
        <w:rPr>
          <w:color w:val="000000"/>
          <w:sz w:val="24"/>
        </w:rPr>
        <w:t>-</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patB</w:t>
      </w:r>
      <w:r>
        <w:rPr>
          <w:color w:val="000000"/>
          <w:sz w:val="24"/>
        </w:rPr>
        <w:t>::kan</w:t>
      </w:r>
      <w:r>
        <w:rPr>
          <w:color w:val="000000"/>
          <w:sz w:val="24"/>
        </w:rPr>
        <w:t>、</w:t>
      </w:r>
      <w:r>
        <w:rPr>
          <w:color w:val="000000"/>
          <w:sz w:val="24"/>
        </w:rPr>
        <w:t>PGP6 Δ</w:t>
      </w:r>
      <w:r>
        <w:rPr>
          <w:i/>
          <w:iCs/>
          <w:color w:val="000000"/>
          <w:sz w:val="24"/>
        </w:rPr>
        <w:t>iaaH</w:t>
      </w:r>
      <w:r>
        <w:rPr>
          <w:color w:val="000000"/>
          <w:sz w:val="24"/>
        </w:rPr>
        <w:t>::kan</w:t>
      </w:r>
      <w:r>
        <w:rPr>
          <w:color w:val="000000"/>
          <w:sz w:val="24"/>
        </w:rPr>
        <w:t>缺失突变株</w:t>
      </w:r>
      <w:r>
        <w:rPr>
          <w:color w:val="000000"/>
          <w:sz w:val="24"/>
        </w:rPr>
        <w:t>(</w:t>
      </w:r>
      <w:r>
        <w:rPr>
          <w:color w:val="000000"/>
          <w:sz w:val="24"/>
        </w:rPr>
        <w:t>图</w:t>
      </w:r>
      <w:r>
        <w:rPr>
          <w:color w:val="000000"/>
          <w:sz w:val="24"/>
        </w:rPr>
        <w:t>3-8</w:t>
      </w:r>
      <w:r>
        <w:rPr>
          <w:color w:val="000000"/>
          <w:sz w:val="24"/>
        </w:rPr>
        <w:t>、图</w:t>
      </w:r>
      <w:r>
        <w:rPr>
          <w:color w:val="000000"/>
          <w:sz w:val="24"/>
        </w:rPr>
        <w:t>3-9</w:t>
      </w:r>
      <w:r>
        <w:rPr>
          <w:color w:val="000000"/>
          <w:sz w:val="24"/>
        </w:rPr>
        <w:t>、图</w:t>
      </w:r>
      <w:r>
        <w:rPr>
          <w:color w:val="000000"/>
          <w:sz w:val="24"/>
        </w:rPr>
        <w:t>3-10</w:t>
      </w:r>
      <w:r>
        <w:rPr>
          <w:color w:val="000000"/>
          <w:sz w:val="24"/>
        </w:rPr>
        <w:t>)</w:t>
      </w:r>
      <w:r>
        <w:rPr>
          <w:color w:val="000000"/>
          <w:sz w:val="24"/>
        </w:rPr>
        <w:t>，可用于后续</w:t>
      </w:r>
      <w:r>
        <w:rPr>
          <w:color w:val="000000"/>
          <w:sz w:val="24"/>
        </w:rPr>
        <w:t>IAA</w:t>
      </w:r>
      <w:r>
        <w:rPr>
          <w:color w:val="000000"/>
          <w:sz w:val="24"/>
        </w:rPr>
        <w:t>合成能力测定。</w:t>
      </w:r>
    </w:p>
    <w:p w14:paraId="09BCDAFE"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05EDA608" wp14:editId="09073210">
            <wp:extent cx="5269230" cy="2072005"/>
            <wp:effectExtent l="0" t="0" r="3810" b="635"/>
            <wp:docPr id="3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descr="5"/>
                    <pic:cNvPicPr>
                      <a:picLocks noChangeAspect="1"/>
                    </pic:cNvPicPr>
                  </pic:nvPicPr>
                  <pic:blipFill>
                    <a:blip r:embed="rId32"/>
                    <a:stretch>
                      <a:fillRect/>
                    </a:stretch>
                  </pic:blipFill>
                  <pic:spPr>
                    <a:xfrm>
                      <a:off x="0" y="0"/>
                      <a:ext cx="5269230" cy="2072005"/>
                    </a:xfrm>
                    <a:prstGeom prst="rect">
                      <a:avLst/>
                    </a:prstGeom>
                  </pic:spPr>
                </pic:pic>
              </a:graphicData>
            </a:graphic>
          </wp:inline>
        </w:drawing>
      </w:r>
    </w:p>
    <w:p w14:paraId="2D29F048"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3-8 ΔtrpA</w:t>
      </w:r>
      <w:r>
        <w:rPr>
          <w:color w:val="000000"/>
          <w:szCs w:val="21"/>
        </w:rPr>
        <w:t>和</w:t>
      </w:r>
      <w:r>
        <w:rPr>
          <w:color w:val="000000"/>
          <w:szCs w:val="21"/>
        </w:rPr>
        <w:t>ΔtrpB</w:t>
      </w:r>
      <w:r>
        <w:rPr>
          <w:color w:val="000000"/>
          <w:szCs w:val="21"/>
        </w:rPr>
        <w:t>突变株中</w:t>
      </w:r>
      <w:r>
        <w:rPr>
          <w:color w:val="000000"/>
          <w:szCs w:val="21"/>
        </w:rPr>
        <w:t>pKD46</w:t>
      </w:r>
      <w:r>
        <w:rPr>
          <w:color w:val="000000"/>
          <w:szCs w:val="21"/>
        </w:rPr>
        <w:t>去除验证</w:t>
      </w:r>
    </w:p>
    <w:p w14:paraId="3CF3C1DD" w14:textId="77777777" w:rsidR="00651B96" w:rsidRDefault="00721866">
      <w:pPr>
        <w:keepLines/>
        <w:autoSpaceDE w:val="0"/>
        <w:autoSpaceDN w:val="0"/>
        <w:spacing w:line="400" w:lineRule="exact"/>
        <w:jc w:val="center"/>
        <w:rPr>
          <w:rFonts w:ascii="宋体" w:hAnsi="宋体"/>
          <w:sz w:val="24"/>
        </w:rPr>
      </w:pPr>
      <w:r>
        <w:rPr>
          <w:color w:val="000000"/>
          <w:szCs w:val="21"/>
        </w:rPr>
        <w:t>Fig. 3-8 Verification of pKD46 curing in ΔtrpA, ΔtrpB</w:t>
      </w:r>
      <w:r>
        <w:rPr>
          <w:color w:val="000000"/>
          <w:szCs w:val="21"/>
        </w:rPr>
        <w:t xml:space="preserve"> </w:t>
      </w:r>
      <w:r>
        <w:rPr>
          <w:color w:val="000000"/>
          <w:szCs w:val="21"/>
        </w:rPr>
        <w:t>mutants</w:t>
      </w:r>
    </w:p>
    <w:p w14:paraId="6E610E9A"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74184948" wp14:editId="62C03535">
            <wp:extent cx="5268595" cy="2141220"/>
            <wp:effectExtent l="0" t="0" r="4445" b="7620"/>
            <wp:docPr id="35"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descr="2"/>
                    <pic:cNvPicPr>
                      <a:picLocks noChangeAspect="1"/>
                    </pic:cNvPicPr>
                  </pic:nvPicPr>
                  <pic:blipFill>
                    <a:blip r:embed="rId33"/>
                    <a:stretch>
                      <a:fillRect/>
                    </a:stretch>
                  </pic:blipFill>
                  <pic:spPr>
                    <a:xfrm>
                      <a:off x="0" y="0"/>
                      <a:ext cx="5268595" cy="2141220"/>
                    </a:xfrm>
                    <a:prstGeom prst="rect">
                      <a:avLst/>
                    </a:prstGeom>
                  </pic:spPr>
                </pic:pic>
              </a:graphicData>
            </a:graphic>
          </wp:inline>
        </w:drawing>
      </w:r>
    </w:p>
    <w:p w14:paraId="1C7A298D"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3-9 Δ(trpA-trpB)</w:t>
      </w:r>
      <w:r>
        <w:rPr>
          <w:color w:val="000000"/>
          <w:szCs w:val="21"/>
        </w:rPr>
        <w:t>和</w:t>
      </w:r>
      <w:r>
        <w:rPr>
          <w:color w:val="000000"/>
          <w:szCs w:val="21"/>
        </w:rPr>
        <w:t>ΔpatB</w:t>
      </w:r>
      <w:r>
        <w:rPr>
          <w:color w:val="000000"/>
          <w:szCs w:val="21"/>
        </w:rPr>
        <w:t>突变株中</w:t>
      </w:r>
      <w:r>
        <w:rPr>
          <w:color w:val="000000"/>
          <w:szCs w:val="21"/>
        </w:rPr>
        <w:t>pKD46</w:t>
      </w:r>
      <w:r>
        <w:rPr>
          <w:color w:val="000000"/>
          <w:szCs w:val="21"/>
        </w:rPr>
        <w:t>去除验证</w:t>
      </w:r>
    </w:p>
    <w:p w14:paraId="1598C697" w14:textId="77777777" w:rsidR="00651B96" w:rsidRDefault="00721866">
      <w:pPr>
        <w:keepLines/>
        <w:autoSpaceDE w:val="0"/>
        <w:autoSpaceDN w:val="0"/>
        <w:spacing w:line="400" w:lineRule="exact"/>
        <w:jc w:val="center"/>
        <w:rPr>
          <w:rFonts w:ascii="宋体" w:hAnsi="宋体"/>
          <w:sz w:val="24"/>
        </w:rPr>
      </w:pPr>
      <w:r>
        <w:rPr>
          <w:color w:val="000000"/>
          <w:szCs w:val="21"/>
        </w:rPr>
        <w:t>Fig. 3-9 Verification of pKD46 curing in the ΔpatB, Δ(trpA-trpB) mutant</w:t>
      </w:r>
    </w:p>
    <w:p w14:paraId="21074375" w14:textId="77777777" w:rsidR="00651B96" w:rsidRDefault="00721866">
      <w:pPr>
        <w:keepNext/>
        <w:keepLines/>
        <w:autoSpaceDE w:val="0"/>
        <w:autoSpaceDN w:val="0"/>
        <w:jc w:val="center"/>
        <w:rPr>
          <w:rFonts w:ascii="宋体" w:hAnsi="宋体"/>
          <w:sz w:val="24"/>
        </w:rPr>
      </w:pPr>
      <w:r>
        <w:rPr>
          <w:noProof/>
          <w:color w:val="000000"/>
          <w:sz w:val="24"/>
        </w:rPr>
        <w:lastRenderedPageBreak/>
        <w:drawing>
          <wp:inline distT="0" distB="0" distL="114300" distR="114300" wp14:anchorId="02C61B3C" wp14:editId="050F6C45">
            <wp:extent cx="5267325" cy="3068320"/>
            <wp:effectExtent l="0" t="0" r="5715" b="10160"/>
            <wp:docPr id="37" name="图片 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7"/>
                    <pic:cNvPicPr>
                      <a:picLocks noChangeAspect="1"/>
                    </pic:cNvPicPr>
                  </pic:nvPicPr>
                  <pic:blipFill>
                    <a:blip r:embed="rId34"/>
                    <a:stretch>
                      <a:fillRect/>
                    </a:stretch>
                  </pic:blipFill>
                  <pic:spPr>
                    <a:xfrm>
                      <a:off x="0" y="0"/>
                      <a:ext cx="5267325" cy="3068320"/>
                    </a:xfrm>
                    <a:prstGeom prst="rect">
                      <a:avLst/>
                    </a:prstGeom>
                  </pic:spPr>
                </pic:pic>
              </a:graphicData>
            </a:graphic>
          </wp:inline>
        </w:drawing>
      </w:r>
    </w:p>
    <w:p w14:paraId="2EB3A69D"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3-10 ΔiaaH</w:t>
      </w:r>
      <w:r>
        <w:rPr>
          <w:color w:val="000000"/>
          <w:szCs w:val="21"/>
        </w:rPr>
        <w:t>突变株中</w:t>
      </w:r>
      <w:r>
        <w:rPr>
          <w:color w:val="000000"/>
          <w:szCs w:val="21"/>
        </w:rPr>
        <w:t>pKD46</w:t>
      </w:r>
      <w:r>
        <w:rPr>
          <w:color w:val="000000"/>
          <w:szCs w:val="21"/>
        </w:rPr>
        <w:t>去除验证</w:t>
      </w:r>
    </w:p>
    <w:p w14:paraId="3D0B96F9" w14:textId="77777777" w:rsidR="00651B96" w:rsidRDefault="00721866">
      <w:pPr>
        <w:keepLines/>
        <w:autoSpaceDE w:val="0"/>
        <w:autoSpaceDN w:val="0"/>
        <w:spacing w:line="400" w:lineRule="exact"/>
        <w:jc w:val="center"/>
        <w:rPr>
          <w:rFonts w:ascii="宋体" w:hAnsi="宋体"/>
          <w:sz w:val="24"/>
        </w:rPr>
      </w:pPr>
      <w:r>
        <w:rPr>
          <w:color w:val="000000"/>
          <w:szCs w:val="21"/>
        </w:rPr>
        <w:t>Fig. 3-10 Verification of pKD46 curing in the ΔiaaH mutant</w:t>
      </w:r>
    </w:p>
    <w:p w14:paraId="00ABA24E"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92" w:name="docfit_s001_Toc28320"/>
      <w:bookmarkStart w:id="93" w:name="_Toc236830379"/>
      <w:r>
        <w:rPr>
          <w:rFonts w:ascii="黑体" w:hAnsi="黑体" w:cs="黑体"/>
          <w:color w:val="000000"/>
          <w:szCs w:val="28"/>
        </w:rPr>
        <w:t>5 PGP6 ΔtrpA::kan</w:t>
      </w:r>
      <w:r>
        <w:rPr>
          <w:rFonts w:ascii="黑体" w:hAnsi="黑体" w:cs="黑体"/>
          <w:color w:val="000000"/>
          <w:szCs w:val="28"/>
        </w:rPr>
        <w:t>、</w:t>
      </w:r>
      <w:r>
        <w:rPr>
          <w:rFonts w:ascii="黑体" w:hAnsi="黑体" w:cs="黑体"/>
          <w:color w:val="000000"/>
          <w:szCs w:val="28"/>
        </w:rPr>
        <w:t>PGP6 ΔtrpB::kan</w:t>
      </w:r>
      <w:r>
        <w:rPr>
          <w:rFonts w:ascii="黑体" w:hAnsi="黑体" w:cs="黑体"/>
          <w:color w:val="000000"/>
          <w:szCs w:val="28"/>
        </w:rPr>
        <w:t>、</w:t>
      </w:r>
      <w:r>
        <w:rPr>
          <w:rFonts w:ascii="黑体" w:hAnsi="黑体" w:cs="黑体"/>
          <w:color w:val="000000"/>
          <w:szCs w:val="28"/>
        </w:rPr>
        <w:t>PGP6 Δ(trpA-trpB)::kan</w:t>
      </w:r>
      <w:r>
        <w:rPr>
          <w:rFonts w:ascii="黑体" w:hAnsi="黑体" w:cs="黑体"/>
          <w:color w:val="000000"/>
          <w:szCs w:val="28"/>
        </w:rPr>
        <w:t>、</w:t>
      </w:r>
      <w:r>
        <w:rPr>
          <w:rFonts w:ascii="黑体" w:hAnsi="黑体" w:cs="黑体"/>
          <w:color w:val="000000"/>
          <w:szCs w:val="28"/>
        </w:rPr>
        <w:t>PGP6 ΔpatB::kan</w:t>
      </w:r>
      <w:r>
        <w:rPr>
          <w:rFonts w:ascii="黑体" w:hAnsi="黑体" w:cs="黑体"/>
          <w:color w:val="000000"/>
          <w:szCs w:val="28"/>
        </w:rPr>
        <w:t>、</w:t>
      </w:r>
      <w:r>
        <w:rPr>
          <w:rFonts w:ascii="黑体" w:hAnsi="黑体" w:cs="黑体"/>
          <w:color w:val="000000"/>
          <w:szCs w:val="28"/>
        </w:rPr>
        <w:t>PGP6 ΔiaaH::kan</w:t>
      </w:r>
      <w:r>
        <w:rPr>
          <w:rFonts w:ascii="黑体" w:hAnsi="黑体" w:cs="黑体"/>
          <w:color w:val="000000"/>
          <w:szCs w:val="28"/>
        </w:rPr>
        <w:t>敲除株的功能验证</w:t>
      </w:r>
      <w:bookmarkEnd w:id="92"/>
      <w:bookmarkEnd w:id="93"/>
    </w:p>
    <w:p w14:paraId="537E47A0"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94" w:name="docfit_s001_Toc25791"/>
      <w:bookmarkStart w:id="95" w:name="_Toc236830380"/>
      <w:r>
        <w:rPr>
          <w:rFonts w:eastAsia="宋体"/>
          <w:color w:val="000000"/>
          <w:sz w:val="24"/>
        </w:rPr>
        <w:t xml:space="preserve">5.1 </w:t>
      </w:r>
      <w:r>
        <w:rPr>
          <w:rFonts w:eastAsia="宋体"/>
          <w:color w:val="000000"/>
          <w:sz w:val="24"/>
        </w:rPr>
        <w:t>敲除株</w:t>
      </w:r>
      <w:r>
        <w:rPr>
          <w:rFonts w:eastAsia="宋体"/>
          <w:color w:val="000000"/>
          <w:sz w:val="24"/>
        </w:rPr>
        <w:t>IAA</w:t>
      </w:r>
      <w:r>
        <w:rPr>
          <w:rFonts w:eastAsia="宋体"/>
          <w:color w:val="000000"/>
          <w:sz w:val="24"/>
        </w:rPr>
        <w:t>合成能力分析</w:t>
      </w:r>
      <w:bookmarkEnd w:id="94"/>
      <w:bookmarkEnd w:id="95"/>
    </w:p>
    <w:p w14:paraId="2E8EB54C"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为进一步判断候选基因对</w:t>
      </w:r>
      <w:r>
        <w:rPr>
          <w:color w:val="000000"/>
          <w:sz w:val="24"/>
        </w:rPr>
        <w:t>PGP6</w:t>
      </w:r>
      <w:r>
        <w:rPr>
          <w:color w:val="000000"/>
          <w:sz w:val="24"/>
        </w:rPr>
        <w:t>产</w:t>
      </w:r>
      <w:r>
        <w:rPr>
          <w:color w:val="000000"/>
          <w:sz w:val="24"/>
        </w:rPr>
        <w:t>IAA</w:t>
      </w:r>
      <w:r>
        <w:rPr>
          <w:color w:val="000000"/>
          <w:sz w:val="24"/>
        </w:rPr>
        <w:t>能力的影响，本研究在相同培养条件下测定野生型</w:t>
      </w:r>
      <w:r>
        <w:rPr>
          <w:color w:val="000000"/>
          <w:sz w:val="24"/>
        </w:rPr>
        <w:t>PGP6</w:t>
      </w:r>
      <w:r>
        <w:rPr>
          <w:color w:val="000000"/>
          <w:sz w:val="24"/>
        </w:rPr>
        <w:t>及各缺失突变株发酵上清液的</w:t>
      </w:r>
      <w:r>
        <w:rPr>
          <w:color w:val="000000"/>
          <w:sz w:val="24"/>
        </w:rPr>
        <w:t>A530</w:t>
      </w:r>
      <w:r>
        <w:rPr>
          <w:color w:val="000000"/>
          <w:sz w:val="24"/>
        </w:rPr>
        <w:t>，并依据标准曲线换算</w:t>
      </w:r>
      <w:r>
        <w:rPr>
          <w:color w:val="000000"/>
          <w:sz w:val="24"/>
        </w:rPr>
        <w:t>IAA</w:t>
      </w:r>
      <w:r>
        <w:rPr>
          <w:color w:val="000000"/>
          <w:sz w:val="24"/>
        </w:rPr>
        <w:t>含量。</w:t>
      </w:r>
      <w:r>
        <w:rPr>
          <w:color w:val="000000"/>
          <w:sz w:val="24"/>
        </w:rPr>
        <w:t>PGP6</w:t>
      </w:r>
      <w:r>
        <w:rPr>
          <w:color w:val="000000"/>
          <w:sz w:val="24"/>
        </w:rPr>
        <w:t>在添加</w:t>
      </w:r>
      <w:r>
        <w:rPr>
          <w:color w:val="000000"/>
          <w:sz w:val="24"/>
        </w:rPr>
        <w:t>0.5 mg/mL</w:t>
      </w:r>
      <w:r>
        <w:rPr>
          <w:color w:val="000000"/>
          <w:sz w:val="24"/>
        </w:rPr>
        <w:t>色氨酸的</w:t>
      </w:r>
      <w:r>
        <w:rPr>
          <w:color w:val="000000"/>
          <w:sz w:val="24"/>
        </w:rPr>
        <w:t>YN</w:t>
      </w:r>
      <w:r>
        <w:rPr>
          <w:color w:val="000000"/>
          <w:sz w:val="24"/>
        </w:rPr>
        <w:t>培养基中培养</w:t>
      </w:r>
      <w:r>
        <w:rPr>
          <w:color w:val="000000"/>
          <w:sz w:val="24"/>
        </w:rPr>
        <w:t>72 h</w:t>
      </w:r>
      <w:r>
        <w:rPr>
          <w:color w:val="000000"/>
          <w:sz w:val="24"/>
        </w:rPr>
        <w:t>后，发酵上清液与</w:t>
      </w:r>
      <w:r>
        <w:rPr>
          <w:color w:val="000000" w:themeColor="text1"/>
          <w:sz w:val="24"/>
        </w:rPr>
        <w:t>Sackowki's</w:t>
      </w:r>
      <w:r>
        <w:rPr>
          <w:color w:val="000000"/>
          <w:sz w:val="24"/>
        </w:rPr>
        <w:t>显色剂反应呈粉红色，表明其能够合成吲哚类生长素物质。根据标准曲线计算，野生型</w:t>
      </w:r>
      <w:r>
        <w:rPr>
          <w:color w:val="000000"/>
          <w:sz w:val="24"/>
        </w:rPr>
        <w:t>PGP6</w:t>
      </w:r>
      <w:r>
        <w:rPr>
          <w:color w:val="000000"/>
          <w:sz w:val="24"/>
        </w:rPr>
        <w:t>发酵液</w:t>
      </w:r>
      <w:r>
        <w:rPr>
          <w:color w:val="000000"/>
          <w:sz w:val="24"/>
        </w:rPr>
        <w:t>IAA</w:t>
      </w:r>
      <w:r>
        <w:rPr>
          <w:color w:val="000000"/>
          <w:sz w:val="24"/>
        </w:rPr>
        <w:t>含量为</w:t>
      </w:r>
      <w:r>
        <w:rPr>
          <w:color w:val="000000"/>
          <w:sz w:val="24"/>
        </w:rPr>
        <w:t>80.81±2.95 mg/L</w:t>
      </w:r>
      <w:r>
        <w:rPr>
          <w:color w:val="000000"/>
          <w:sz w:val="24"/>
        </w:rPr>
        <w:t>（</w:t>
      </w:r>
      <w:r>
        <w:rPr>
          <w:color w:val="000000"/>
          <w:sz w:val="24"/>
        </w:rPr>
        <w:t>表</w:t>
      </w:r>
      <w:r>
        <w:rPr>
          <w:color w:val="000000"/>
          <w:sz w:val="24"/>
        </w:rPr>
        <w:t>3-1</w:t>
      </w:r>
      <w:r>
        <w:rPr>
          <w:color w:val="000000"/>
          <w:sz w:val="24"/>
        </w:rPr>
        <w:t>）</w:t>
      </w:r>
      <w:r>
        <w:rPr>
          <w:color w:val="000000"/>
          <w:sz w:val="24"/>
        </w:rPr>
        <w:t>。</w:t>
      </w:r>
    </w:p>
    <w:p w14:paraId="33CDE054"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PGP6 Δ</w:t>
      </w:r>
      <w:r>
        <w:rPr>
          <w:i/>
          <w:iCs/>
          <w:color w:val="000000"/>
          <w:sz w:val="24"/>
        </w:rPr>
        <w:t>trpA</w:t>
      </w:r>
      <w:r>
        <w:rPr>
          <w:color w:val="000000"/>
          <w:sz w:val="24"/>
        </w:rPr>
        <w:t>::kan</w:t>
      </w:r>
      <w:r>
        <w:rPr>
          <w:color w:val="000000"/>
          <w:sz w:val="24"/>
        </w:rPr>
        <w:t>、</w:t>
      </w:r>
      <w:r>
        <w:rPr>
          <w:color w:val="000000"/>
          <w:sz w:val="24"/>
        </w:rPr>
        <w:t>PGP6 Δ</w:t>
      </w:r>
      <w:r>
        <w:rPr>
          <w:i/>
          <w:iCs/>
          <w:color w:val="000000"/>
          <w:sz w:val="24"/>
        </w:rPr>
        <w:t>trpB</w:t>
      </w:r>
      <w:r>
        <w:rPr>
          <w:color w:val="000000"/>
          <w:sz w:val="24"/>
        </w:rPr>
        <w:t>::kan</w:t>
      </w:r>
      <w:r>
        <w:rPr>
          <w:color w:val="000000"/>
          <w:sz w:val="24"/>
        </w:rPr>
        <w:t>和</w:t>
      </w:r>
      <w:r>
        <w:rPr>
          <w:color w:val="000000"/>
          <w:sz w:val="24"/>
        </w:rPr>
        <w:t>PGP6 Δ(</w:t>
      </w:r>
      <w:r>
        <w:rPr>
          <w:i/>
          <w:iCs/>
          <w:color w:val="000000"/>
          <w:sz w:val="24"/>
        </w:rPr>
        <w:t>trpA</w:t>
      </w:r>
      <w:r>
        <w:rPr>
          <w:color w:val="000000"/>
          <w:sz w:val="24"/>
        </w:rPr>
        <w:t>-</w:t>
      </w:r>
      <w:r>
        <w:rPr>
          <w:i/>
          <w:iCs/>
          <w:color w:val="000000"/>
          <w:sz w:val="24"/>
        </w:rPr>
        <w:t>trpB</w:t>
      </w:r>
      <w:r>
        <w:rPr>
          <w:color w:val="000000"/>
          <w:sz w:val="24"/>
        </w:rPr>
        <w:t>)::kan</w:t>
      </w:r>
      <w:r>
        <w:rPr>
          <w:color w:val="000000"/>
          <w:sz w:val="24"/>
        </w:rPr>
        <w:t>突变株的</w:t>
      </w:r>
      <w:r>
        <w:rPr>
          <w:color w:val="000000"/>
          <w:sz w:val="24"/>
        </w:rPr>
        <w:t>IAA</w:t>
      </w:r>
      <w:r>
        <w:rPr>
          <w:color w:val="000000"/>
          <w:sz w:val="24"/>
        </w:rPr>
        <w:t>产量分别较野生型下降</w:t>
      </w:r>
      <w:r>
        <w:rPr>
          <w:color w:val="000000"/>
          <w:sz w:val="24"/>
        </w:rPr>
        <w:t>9.42%</w:t>
      </w:r>
      <w:r>
        <w:rPr>
          <w:color w:val="000000"/>
          <w:sz w:val="24"/>
        </w:rPr>
        <w:t>、</w:t>
      </w:r>
      <w:r>
        <w:rPr>
          <w:color w:val="000000"/>
          <w:sz w:val="24"/>
        </w:rPr>
        <w:t>8.50%</w:t>
      </w:r>
      <w:r>
        <w:rPr>
          <w:color w:val="000000"/>
          <w:sz w:val="24"/>
        </w:rPr>
        <w:t>和</w:t>
      </w:r>
      <w:r>
        <w:rPr>
          <w:color w:val="000000"/>
          <w:sz w:val="24"/>
        </w:rPr>
        <w:t>8.18%</w:t>
      </w:r>
      <w:r>
        <w:rPr>
          <w:color w:val="000000"/>
          <w:sz w:val="24"/>
        </w:rPr>
        <w:t>（</w:t>
      </w:r>
      <w:r>
        <w:rPr>
          <w:color w:val="000000"/>
          <w:sz w:val="24"/>
        </w:rPr>
        <w:t>表</w:t>
      </w:r>
      <w:r>
        <w:rPr>
          <w:color w:val="000000"/>
          <w:sz w:val="24"/>
        </w:rPr>
        <w:t>3-1</w:t>
      </w:r>
      <w:r>
        <w:rPr>
          <w:color w:val="000000"/>
          <w:sz w:val="24"/>
        </w:rPr>
        <w:t>）</w:t>
      </w:r>
      <w:r>
        <w:rPr>
          <w:color w:val="000000"/>
          <w:sz w:val="24"/>
        </w:rPr>
        <w:t>。其中，</w:t>
      </w:r>
      <w:r>
        <w:rPr>
          <w:i/>
          <w:iCs/>
          <w:color w:val="000000"/>
          <w:sz w:val="24"/>
        </w:rPr>
        <w:t>trpA</w:t>
      </w:r>
      <w:r>
        <w:rPr>
          <w:color w:val="000000"/>
          <w:sz w:val="24"/>
        </w:rPr>
        <w:t>和</w:t>
      </w:r>
      <w:r>
        <w:rPr>
          <w:i/>
          <w:iCs/>
          <w:color w:val="000000"/>
          <w:sz w:val="24"/>
        </w:rPr>
        <w:t>trpB</w:t>
      </w:r>
      <w:r>
        <w:rPr>
          <w:color w:val="000000"/>
          <w:sz w:val="24"/>
        </w:rPr>
        <w:t>均与色氨酸合成相关，但在外源添加色氨酸的培养条件下，单缺失或联合缺失并未导致</w:t>
      </w:r>
      <w:r>
        <w:rPr>
          <w:color w:val="000000"/>
          <w:sz w:val="24"/>
        </w:rPr>
        <w:t>IAA</w:t>
      </w:r>
      <w:r>
        <w:rPr>
          <w:color w:val="000000"/>
          <w:sz w:val="24"/>
        </w:rPr>
        <w:t>产量大幅下降，说明外源色氨酸可能部分补偿了内源色氨酸合成受阻造成的影响，也提示</w:t>
      </w:r>
      <w:r>
        <w:rPr>
          <w:color w:val="000000"/>
          <w:sz w:val="24"/>
        </w:rPr>
        <w:t>PGP6</w:t>
      </w:r>
      <w:r>
        <w:rPr>
          <w:color w:val="000000"/>
          <w:sz w:val="24"/>
        </w:rPr>
        <w:t>的</w:t>
      </w:r>
      <w:r>
        <w:rPr>
          <w:color w:val="000000"/>
          <w:sz w:val="24"/>
        </w:rPr>
        <w:t>IAA</w:t>
      </w:r>
      <w:r>
        <w:rPr>
          <w:color w:val="000000"/>
          <w:sz w:val="24"/>
        </w:rPr>
        <w:t>合成不完全依赖</w:t>
      </w:r>
      <w:r>
        <w:rPr>
          <w:i/>
          <w:iCs/>
          <w:color w:val="000000"/>
          <w:sz w:val="24"/>
        </w:rPr>
        <w:t>trpA</w:t>
      </w:r>
      <w:r>
        <w:rPr>
          <w:color w:val="000000"/>
          <w:sz w:val="24"/>
        </w:rPr>
        <w:t>/</w:t>
      </w:r>
      <w:r>
        <w:rPr>
          <w:i/>
          <w:iCs/>
          <w:color w:val="000000"/>
          <w:sz w:val="24"/>
        </w:rPr>
        <w:t>trpB</w:t>
      </w:r>
      <w:r>
        <w:rPr>
          <w:color w:val="000000"/>
          <w:sz w:val="24"/>
        </w:rPr>
        <w:t>所介导的内源色氨酸供给。</w:t>
      </w:r>
    </w:p>
    <w:p w14:paraId="7C23C76F"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 xml:space="preserve">PGP6 </w:t>
      </w:r>
      <w:r>
        <w:rPr>
          <w:color w:val="000000"/>
          <w:sz w:val="24"/>
        </w:rPr>
        <w:t>Δ</w:t>
      </w:r>
      <w:r>
        <w:rPr>
          <w:i/>
          <w:iCs/>
          <w:color w:val="000000"/>
          <w:sz w:val="24"/>
        </w:rPr>
        <w:t>patB</w:t>
      </w:r>
      <w:r>
        <w:rPr>
          <w:color w:val="000000"/>
          <w:sz w:val="24"/>
        </w:rPr>
        <w:t>::kan</w:t>
      </w:r>
      <w:r>
        <w:rPr>
          <w:color w:val="000000"/>
          <w:sz w:val="24"/>
        </w:rPr>
        <w:t>突变株的平均</w:t>
      </w:r>
      <w:r>
        <w:rPr>
          <w:color w:val="000000"/>
          <w:sz w:val="24"/>
        </w:rPr>
        <w:t>IAA</w:t>
      </w:r>
      <w:r>
        <w:rPr>
          <w:color w:val="000000"/>
          <w:sz w:val="24"/>
        </w:rPr>
        <w:t>产量为</w:t>
      </w:r>
      <w:r>
        <w:rPr>
          <w:color w:val="000000"/>
          <w:sz w:val="24"/>
        </w:rPr>
        <w:t>65.22±15.65 mg/L</w:t>
      </w:r>
      <w:r>
        <w:rPr>
          <w:color w:val="000000"/>
          <w:sz w:val="24"/>
        </w:rPr>
        <w:t>（</w:t>
      </w:r>
      <w:r>
        <w:rPr>
          <w:color w:val="000000"/>
          <w:sz w:val="24"/>
        </w:rPr>
        <w:t>表</w:t>
      </w:r>
      <w:r>
        <w:rPr>
          <w:color w:val="000000"/>
          <w:sz w:val="24"/>
        </w:rPr>
        <w:t>3-1</w:t>
      </w:r>
      <w:r>
        <w:rPr>
          <w:color w:val="000000"/>
          <w:sz w:val="24"/>
        </w:rPr>
        <w:t>）</w:t>
      </w:r>
      <w:r>
        <w:rPr>
          <w:color w:val="000000"/>
          <w:sz w:val="24"/>
        </w:rPr>
        <w:t>，较野生型下降</w:t>
      </w:r>
      <w:r>
        <w:rPr>
          <w:color w:val="000000"/>
          <w:sz w:val="24"/>
        </w:rPr>
        <w:t>19.29%</w:t>
      </w:r>
      <w:r>
        <w:rPr>
          <w:color w:val="000000"/>
          <w:sz w:val="24"/>
        </w:rPr>
        <w:t>，为各突变株中降幅最大的类型。由于</w:t>
      </w:r>
      <w:r>
        <w:rPr>
          <w:i/>
          <w:iCs/>
          <w:color w:val="000000"/>
          <w:sz w:val="24"/>
        </w:rPr>
        <w:t>patB</w:t>
      </w:r>
      <w:r>
        <w:rPr>
          <w:color w:val="000000"/>
          <w:sz w:val="24"/>
        </w:rPr>
        <w:t>编码产物可能与氨基转移反应有关，其缺失可能影响色氨酸向吲哚</w:t>
      </w:r>
      <w:r>
        <w:rPr>
          <w:color w:val="000000"/>
          <w:sz w:val="24"/>
        </w:rPr>
        <w:t>-3-</w:t>
      </w:r>
      <w:r>
        <w:rPr>
          <w:color w:val="000000"/>
          <w:sz w:val="24"/>
        </w:rPr>
        <w:t>丙酮酸等中间产物的转化，从而降低</w:t>
      </w:r>
      <w:r>
        <w:rPr>
          <w:color w:val="000000"/>
          <w:sz w:val="24"/>
        </w:rPr>
        <w:t>IAA</w:t>
      </w:r>
      <w:r>
        <w:rPr>
          <w:color w:val="000000"/>
          <w:sz w:val="24"/>
        </w:rPr>
        <w:t>合成通量。但该组重复间离散程度较高，说明仍需通过增加重复、构建互补菌株以及采用更高特异性的</w:t>
      </w:r>
      <w:r>
        <w:rPr>
          <w:color w:val="000000"/>
          <w:sz w:val="24"/>
        </w:rPr>
        <w:t>IAA</w:t>
      </w:r>
      <w:r>
        <w:rPr>
          <w:color w:val="000000"/>
          <w:sz w:val="24"/>
        </w:rPr>
        <w:t>定量方法进一步验证。</w:t>
      </w:r>
    </w:p>
    <w:p w14:paraId="03A6F420"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 xml:space="preserve">PGP6 </w:t>
      </w:r>
      <w:r>
        <w:rPr>
          <w:color w:val="000000"/>
          <w:sz w:val="24"/>
        </w:rPr>
        <w:t>Δ</w:t>
      </w:r>
      <w:r>
        <w:rPr>
          <w:i/>
          <w:iCs/>
          <w:color w:val="000000"/>
          <w:sz w:val="24"/>
        </w:rPr>
        <w:t>iaaH</w:t>
      </w:r>
      <w:r>
        <w:rPr>
          <w:color w:val="000000"/>
          <w:sz w:val="24"/>
        </w:rPr>
        <w:t>::kan</w:t>
      </w:r>
      <w:r>
        <w:rPr>
          <w:color w:val="000000"/>
          <w:sz w:val="24"/>
        </w:rPr>
        <w:t>突变株的</w:t>
      </w:r>
      <w:r>
        <w:rPr>
          <w:color w:val="000000"/>
          <w:sz w:val="24"/>
        </w:rPr>
        <w:t>IAA</w:t>
      </w:r>
      <w:r>
        <w:rPr>
          <w:color w:val="000000"/>
          <w:sz w:val="24"/>
        </w:rPr>
        <w:t>产量为</w:t>
      </w:r>
      <w:r>
        <w:rPr>
          <w:color w:val="000000"/>
          <w:sz w:val="24"/>
        </w:rPr>
        <w:t>73.44±3.63 mg/L</w:t>
      </w:r>
      <w:r>
        <w:rPr>
          <w:color w:val="000000"/>
          <w:sz w:val="24"/>
        </w:rPr>
        <w:t>（</w:t>
      </w:r>
      <w:r>
        <w:rPr>
          <w:color w:val="000000"/>
          <w:sz w:val="24"/>
        </w:rPr>
        <w:t>表</w:t>
      </w:r>
      <w:r>
        <w:rPr>
          <w:color w:val="000000"/>
          <w:sz w:val="24"/>
        </w:rPr>
        <w:t>3-1</w:t>
      </w:r>
      <w:r>
        <w:rPr>
          <w:color w:val="000000"/>
          <w:sz w:val="24"/>
        </w:rPr>
        <w:t>）</w:t>
      </w:r>
      <w:r>
        <w:rPr>
          <w:color w:val="000000"/>
          <w:sz w:val="24"/>
        </w:rPr>
        <w:t>，较野生型下降</w:t>
      </w:r>
      <w:r>
        <w:rPr>
          <w:color w:val="000000"/>
          <w:sz w:val="24"/>
        </w:rPr>
        <w:t>9.12%</w:t>
      </w:r>
      <w:r>
        <w:rPr>
          <w:color w:val="000000"/>
          <w:sz w:val="24"/>
        </w:rPr>
        <w:t>。</w:t>
      </w:r>
      <w:r>
        <w:rPr>
          <w:i/>
          <w:iCs/>
          <w:color w:val="000000"/>
          <w:sz w:val="24"/>
        </w:rPr>
        <w:t>iaaH</w:t>
      </w:r>
      <w:r>
        <w:rPr>
          <w:color w:val="000000"/>
          <w:sz w:val="24"/>
        </w:rPr>
        <w:t>可能参与吲哚乙酰胺途径中吲哚乙酰胺向</w:t>
      </w:r>
      <w:r>
        <w:rPr>
          <w:color w:val="000000"/>
          <w:sz w:val="24"/>
        </w:rPr>
        <w:t>IAA</w:t>
      </w:r>
      <w:r>
        <w:rPr>
          <w:color w:val="000000"/>
          <w:sz w:val="24"/>
        </w:rPr>
        <w:t>的水解过程，但其缺失后</w:t>
      </w:r>
      <w:r>
        <w:rPr>
          <w:color w:val="000000"/>
          <w:sz w:val="24"/>
        </w:rPr>
        <w:t>PGP6</w:t>
      </w:r>
      <w:r>
        <w:rPr>
          <w:color w:val="000000"/>
          <w:sz w:val="24"/>
        </w:rPr>
        <w:t>仍保持较高</w:t>
      </w:r>
      <w:r>
        <w:rPr>
          <w:color w:val="000000"/>
          <w:sz w:val="24"/>
        </w:rPr>
        <w:t>IAA</w:t>
      </w:r>
      <w:r>
        <w:rPr>
          <w:color w:val="000000"/>
          <w:sz w:val="24"/>
        </w:rPr>
        <w:t>合成能力，说明</w:t>
      </w:r>
      <w:r>
        <w:rPr>
          <w:i/>
          <w:iCs/>
          <w:color w:val="000000"/>
          <w:sz w:val="24"/>
        </w:rPr>
        <w:t>iaaH</w:t>
      </w:r>
      <w:r>
        <w:rPr>
          <w:color w:val="000000"/>
          <w:sz w:val="24"/>
        </w:rPr>
        <w:t>可能并非</w:t>
      </w:r>
      <w:r>
        <w:rPr>
          <w:color w:val="000000"/>
          <w:sz w:val="24"/>
        </w:rPr>
        <w:t>PGP6</w:t>
      </w:r>
      <w:r>
        <w:rPr>
          <w:color w:val="000000"/>
          <w:sz w:val="24"/>
        </w:rPr>
        <w:t>产</w:t>
      </w:r>
      <w:r>
        <w:rPr>
          <w:color w:val="000000"/>
          <w:sz w:val="24"/>
        </w:rPr>
        <w:t>IAA</w:t>
      </w:r>
      <w:r>
        <w:rPr>
          <w:color w:val="000000"/>
          <w:sz w:val="24"/>
        </w:rPr>
        <w:t>的唯一关键基因，或者</w:t>
      </w:r>
      <w:r>
        <w:rPr>
          <w:color w:val="000000"/>
          <w:sz w:val="24"/>
        </w:rPr>
        <w:t>PGP6</w:t>
      </w:r>
      <w:r>
        <w:rPr>
          <w:color w:val="000000"/>
          <w:sz w:val="24"/>
        </w:rPr>
        <w:t>同时存在其他色氨酸依</w:t>
      </w:r>
      <w:r>
        <w:rPr>
          <w:color w:val="000000"/>
          <w:sz w:val="24"/>
        </w:rPr>
        <w:lastRenderedPageBreak/>
        <w:t>赖型</w:t>
      </w:r>
      <w:r>
        <w:rPr>
          <w:color w:val="000000"/>
          <w:sz w:val="24"/>
        </w:rPr>
        <w:t>IAA</w:t>
      </w:r>
      <w:r>
        <w:rPr>
          <w:color w:val="000000"/>
          <w:sz w:val="24"/>
        </w:rPr>
        <w:t>合成途径。总体来看，各候选基因缺失均降低了</w:t>
      </w:r>
      <w:r>
        <w:rPr>
          <w:color w:val="000000"/>
          <w:sz w:val="24"/>
        </w:rPr>
        <w:t>PGP6</w:t>
      </w:r>
      <w:r>
        <w:rPr>
          <w:color w:val="000000"/>
          <w:sz w:val="24"/>
        </w:rPr>
        <w:t>的平均</w:t>
      </w:r>
      <w:r>
        <w:rPr>
          <w:color w:val="000000"/>
          <w:sz w:val="24"/>
        </w:rPr>
        <w:t>IAA</w:t>
      </w:r>
      <w:r>
        <w:rPr>
          <w:color w:val="000000"/>
          <w:sz w:val="24"/>
        </w:rPr>
        <w:t>产量，但未完全阻断</w:t>
      </w:r>
      <w:r>
        <w:rPr>
          <w:color w:val="000000"/>
          <w:sz w:val="24"/>
        </w:rPr>
        <w:t>IAA</w:t>
      </w:r>
      <w:r>
        <w:rPr>
          <w:color w:val="000000"/>
          <w:sz w:val="24"/>
        </w:rPr>
        <w:t>产生，提示</w:t>
      </w:r>
      <w:r>
        <w:rPr>
          <w:color w:val="000000"/>
          <w:sz w:val="24"/>
        </w:rPr>
        <w:t>PGP6</w:t>
      </w:r>
      <w:r>
        <w:rPr>
          <w:color w:val="000000"/>
          <w:sz w:val="24"/>
        </w:rPr>
        <w:t>的</w:t>
      </w:r>
      <w:r>
        <w:rPr>
          <w:color w:val="000000"/>
          <w:sz w:val="24"/>
        </w:rPr>
        <w:t>IAA</w:t>
      </w:r>
      <w:r>
        <w:rPr>
          <w:color w:val="000000"/>
          <w:sz w:val="24"/>
        </w:rPr>
        <w:t>合成可能由多个基因或多条代谢支路共同调控。</w:t>
      </w:r>
    </w:p>
    <w:p w14:paraId="36F01A69" w14:textId="77777777" w:rsidR="00651B96" w:rsidRDefault="00721866">
      <w:pPr>
        <w:keepNext/>
        <w:keepLines/>
        <w:autoSpaceDE w:val="0"/>
        <w:autoSpaceDN w:val="0"/>
        <w:spacing w:line="400" w:lineRule="exact"/>
        <w:jc w:val="center"/>
        <w:rPr>
          <w:rFonts w:ascii="宋体" w:hAnsi="宋体"/>
          <w:sz w:val="24"/>
        </w:rPr>
      </w:pPr>
      <w:r>
        <w:rPr>
          <w:color w:val="000000"/>
          <w:szCs w:val="21"/>
        </w:rPr>
        <w:t>表</w:t>
      </w:r>
      <w:r>
        <w:rPr>
          <w:color w:val="000000"/>
          <w:szCs w:val="21"/>
        </w:rPr>
        <w:t xml:space="preserve"> 3-3 </w:t>
      </w:r>
      <w:r>
        <w:rPr>
          <w:color w:val="000000"/>
          <w:szCs w:val="21"/>
        </w:rPr>
        <w:t>野生型</w:t>
      </w:r>
      <w:r>
        <w:rPr>
          <w:color w:val="000000"/>
          <w:szCs w:val="21"/>
        </w:rPr>
        <w:t>PGP6</w:t>
      </w:r>
      <w:r>
        <w:rPr>
          <w:color w:val="000000"/>
          <w:szCs w:val="21"/>
        </w:rPr>
        <w:t>及各缺失突变株</w:t>
      </w:r>
      <w:r>
        <w:rPr>
          <w:color w:val="000000"/>
          <w:szCs w:val="21"/>
        </w:rPr>
        <w:t>IAA</w:t>
      </w:r>
      <w:r>
        <w:rPr>
          <w:color w:val="000000"/>
          <w:szCs w:val="21"/>
        </w:rPr>
        <w:t>产量</w:t>
      </w:r>
    </w:p>
    <w:p w14:paraId="3431FD1F" w14:textId="77777777" w:rsidR="00651B96" w:rsidRDefault="00721866">
      <w:pPr>
        <w:keepNext/>
        <w:keepLines/>
        <w:autoSpaceDE w:val="0"/>
        <w:autoSpaceDN w:val="0"/>
        <w:spacing w:line="400" w:lineRule="exact"/>
        <w:jc w:val="center"/>
        <w:rPr>
          <w:rFonts w:ascii="宋体" w:hAnsi="宋体"/>
          <w:sz w:val="24"/>
        </w:rPr>
      </w:pPr>
      <w:r>
        <w:rPr>
          <w:color w:val="000000"/>
          <w:szCs w:val="21"/>
        </w:rPr>
        <w:t>Table 3-3 IAA production by wild-type PGP6 and mutant strains</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072"/>
        <w:gridCol w:w="1753"/>
        <w:gridCol w:w="1753"/>
        <w:gridCol w:w="1753"/>
        <w:gridCol w:w="1754"/>
      </w:tblGrid>
      <w:tr w:rsidR="00651B96" w14:paraId="2A5DB976" w14:textId="77777777">
        <w:trPr>
          <w:cantSplit/>
          <w:tblHeader/>
          <w:jc w:val="center"/>
        </w:trPr>
        <w:tc>
          <w:tcPr>
            <w:tcW w:w="2072" w:type="dxa"/>
            <w:tcBorders>
              <w:bottom w:val="single" w:sz="4" w:space="0" w:color="000000"/>
            </w:tcBorders>
            <w:vAlign w:val="center"/>
          </w:tcPr>
          <w:p w14:paraId="7CC852F8" w14:textId="77777777" w:rsidR="00651B96" w:rsidRDefault="00721866">
            <w:pPr>
              <w:autoSpaceDE w:val="0"/>
              <w:autoSpaceDN w:val="0"/>
              <w:spacing w:line="300" w:lineRule="exact"/>
              <w:jc w:val="center"/>
              <w:rPr>
                <w:rFonts w:ascii="宋体" w:hAnsi="宋体"/>
                <w:sz w:val="24"/>
              </w:rPr>
            </w:pPr>
            <w:r>
              <w:rPr>
                <w:color w:val="000000"/>
                <w:szCs w:val="21"/>
              </w:rPr>
              <w:t>菌株</w:t>
            </w:r>
          </w:p>
        </w:tc>
        <w:tc>
          <w:tcPr>
            <w:tcW w:w="1753" w:type="dxa"/>
            <w:tcBorders>
              <w:bottom w:val="single" w:sz="4" w:space="0" w:color="000000"/>
            </w:tcBorders>
            <w:vAlign w:val="center"/>
          </w:tcPr>
          <w:p w14:paraId="2C23E397" w14:textId="77777777" w:rsidR="00651B96" w:rsidRDefault="00721866">
            <w:pPr>
              <w:autoSpaceDE w:val="0"/>
              <w:autoSpaceDN w:val="0"/>
              <w:spacing w:line="300" w:lineRule="exact"/>
              <w:jc w:val="center"/>
              <w:rPr>
                <w:rFonts w:ascii="宋体" w:hAnsi="宋体"/>
                <w:sz w:val="24"/>
              </w:rPr>
            </w:pPr>
            <w:r>
              <w:rPr>
                <w:color w:val="000000"/>
                <w:szCs w:val="21"/>
              </w:rPr>
              <w:t>重复数</w:t>
            </w:r>
          </w:p>
        </w:tc>
        <w:tc>
          <w:tcPr>
            <w:tcW w:w="1753" w:type="dxa"/>
            <w:tcBorders>
              <w:bottom w:val="single" w:sz="4" w:space="0" w:color="000000"/>
            </w:tcBorders>
            <w:vAlign w:val="center"/>
          </w:tcPr>
          <w:p w14:paraId="77DED61E" w14:textId="77777777" w:rsidR="00651B96" w:rsidRDefault="00721866">
            <w:pPr>
              <w:autoSpaceDE w:val="0"/>
              <w:autoSpaceDN w:val="0"/>
              <w:spacing w:line="300" w:lineRule="exact"/>
              <w:jc w:val="center"/>
              <w:rPr>
                <w:rFonts w:ascii="宋体" w:hAnsi="宋体"/>
                <w:sz w:val="24"/>
              </w:rPr>
            </w:pPr>
            <w:r>
              <w:rPr>
                <w:color w:val="000000"/>
                <w:szCs w:val="21"/>
              </w:rPr>
              <w:t>A530</w:t>
            </w:r>
          </w:p>
        </w:tc>
        <w:tc>
          <w:tcPr>
            <w:tcW w:w="1753" w:type="dxa"/>
            <w:tcBorders>
              <w:bottom w:val="single" w:sz="4" w:space="0" w:color="000000"/>
            </w:tcBorders>
            <w:vAlign w:val="center"/>
          </w:tcPr>
          <w:p w14:paraId="3AC93AEE" w14:textId="77777777" w:rsidR="00651B96" w:rsidRDefault="00721866">
            <w:pPr>
              <w:autoSpaceDE w:val="0"/>
              <w:autoSpaceDN w:val="0"/>
              <w:spacing w:line="300" w:lineRule="exact"/>
              <w:jc w:val="center"/>
              <w:rPr>
                <w:rFonts w:ascii="宋体" w:hAnsi="宋体"/>
                <w:sz w:val="24"/>
              </w:rPr>
            </w:pPr>
            <w:r>
              <w:rPr>
                <w:color w:val="000000"/>
                <w:szCs w:val="21"/>
              </w:rPr>
              <w:t>IAA</w:t>
            </w:r>
            <w:r>
              <w:rPr>
                <w:color w:val="000000"/>
                <w:szCs w:val="21"/>
              </w:rPr>
              <w:t>含量（</w:t>
            </w:r>
            <w:r>
              <w:rPr>
                <w:color w:val="000000"/>
                <w:szCs w:val="21"/>
              </w:rPr>
              <w:t>mg/L</w:t>
            </w:r>
            <w:r>
              <w:rPr>
                <w:color w:val="000000"/>
                <w:szCs w:val="21"/>
              </w:rPr>
              <w:t>）</w:t>
            </w:r>
          </w:p>
        </w:tc>
        <w:tc>
          <w:tcPr>
            <w:tcW w:w="1754" w:type="dxa"/>
            <w:tcBorders>
              <w:bottom w:val="single" w:sz="4" w:space="0" w:color="000000"/>
            </w:tcBorders>
            <w:vAlign w:val="center"/>
          </w:tcPr>
          <w:p w14:paraId="54E683DE" w14:textId="77777777" w:rsidR="00651B96" w:rsidRDefault="00721866">
            <w:pPr>
              <w:autoSpaceDE w:val="0"/>
              <w:autoSpaceDN w:val="0"/>
              <w:spacing w:line="300" w:lineRule="exact"/>
              <w:jc w:val="center"/>
              <w:rPr>
                <w:rFonts w:ascii="宋体" w:hAnsi="宋体"/>
                <w:sz w:val="24"/>
              </w:rPr>
            </w:pPr>
            <w:r>
              <w:rPr>
                <w:color w:val="000000"/>
                <w:szCs w:val="21"/>
              </w:rPr>
              <w:t>较野生型下降幅度（</w:t>
            </w:r>
            <w:r>
              <w:rPr>
                <w:color w:val="000000"/>
                <w:szCs w:val="21"/>
              </w:rPr>
              <w:t>%</w:t>
            </w:r>
            <w:r>
              <w:rPr>
                <w:color w:val="000000"/>
                <w:szCs w:val="21"/>
              </w:rPr>
              <w:t>）</w:t>
            </w:r>
          </w:p>
        </w:tc>
      </w:tr>
      <w:tr w:rsidR="00651B96" w14:paraId="41F28F12" w14:textId="77777777">
        <w:trPr>
          <w:cantSplit/>
          <w:jc w:val="center"/>
        </w:trPr>
        <w:tc>
          <w:tcPr>
            <w:tcW w:w="2072" w:type="dxa"/>
            <w:vAlign w:val="center"/>
          </w:tcPr>
          <w:p w14:paraId="68A0A73A" w14:textId="77777777" w:rsidR="00651B96" w:rsidRDefault="00721866">
            <w:pPr>
              <w:autoSpaceDE w:val="0"/>
              <w:autoSpaceDN w:val="0"/>
              <w:spacing w:line="300" w:lineRule="exact"/>
              <w:jc w:val="center"/>
              <w:rPr>
                <w:rFonts w:ascii="宋体" w:hAnsi="宋体"/>
                <w:sz w:val="24"/>
              </w:rPr>
            </w:pPr>
            <w:r>
              <w:rPr>
                <w:color w:val="000000"/>
                <w:szCs w:val="21"/>
              </w:rPr>
              <w:t>PGP6</w:t>
            </w:r>
          </w:p>
        </w:tc>
        <w:tc>
          <w:tcPr>
            <w:tcW w:w="1753" w:type="dxa"/>
            <w:vAlign w:val="center"/>
          </w:tcPr>
          <w:p w14:paraId="763C4138" w14:textId="77777777" w:rsidR="00651B96" w:rsidRDefault="00721866">
            <w:pPr>
              <w:autoSpaceDE w:val="0"/>
              <w:autoSpaceDN w:val="0"/>
              <w:spacing w:line="300" w:lineRule="exact"/>
              <w:jc w:val="center"/>
              <w:rPr>
                <w:rFonts w:ascii="宋体" w:hAnsi="宋体"/>
                <w:sz w:val="24"/>
              </w:rPr>
            </w:pPr>
            <w:r>
              <w:rPr>
                <w:color w:val="000000"/>
                <w:szCs w:val="21"/>
              </w:rPr>
              <w:t>6</w:t>
            </w:r>
          </w:p>
        </w:tc>
        <w:tc>
          <w:tcPr>
            <w:tcW w:w="1753" w:type="dxa"/>
            <w:vAlign w:val="center"/>
          </w:tcPr>
          <w:p w14:paraId="009F09CB" w14:textId="77777777" w:rsidR="00651B96" w:rsidRDefault="00721866">
            <w:pPr>
              <w:autoSpaceDE w:val="0"/>
              <w:autoSpaceDN w:val="0"/>
              <w:spacing w:line="300" w:lineRule="exact"/>
              <w:jc w:val="center"/>
              <w:rPr>
                <w:rFonts w:ascii="宋体" w:hAnsi="宋体"/>
                <w:sz w:val="24"/>
              </w:rPr>
            </w:pPr>
            <w:r>
              <w:rPr>
                <w:color w:val="000000"/>
                <w:szCs w:val="21"/>
              </w:rPr>
              <w:t>1.319±0.044</w:t>
            </w:r>
          </w:p>
        </w:tc>
        <w:tc>
          <w:tcPr>
            <w:tcW w:w="1753" w:type="dxa"/>
            <w:vAlign w:val="center"/>
          </w:tcPr>
          <w:p w14:paraId="70475B61" w14:textId="77777777" w:rsidR="00651B96" w:rsidRDefault="00721866">
            <w:pPr>
              <w:autoSpaceDE w:val="0"/>
              <w:autoSpaceDN w:val="0"/>
              <w:spacing w:line="300" w:lineRule="exact"/>
              <w:jc w:val="center"/>
              <w:rPr>
                <w:rFonts w:ascii="宋体" w:hAnsi="宋体"/>
                <w:sz w:val="24"/>
              </w:rPr>
            </w:pPr>
            <w:r>
              <w:rPr>
                <w:color w:val="000000"/>
                <w:szCs w:val="21"/>
              </w:rPr>
              <w:t>80.81±2.95</w:t>
            </w:r>
          </w:p>
        </w:tc>
        <w:tc>
          <w:tcPr>
            <w:tcW w:w="1754" w:type="dxa"/>
            <w:vAlign w:val="center"/>
          </w:tcPr>
          <w:p w14:paraId="7C897FA3" w14:textId="77777777" w:rsidR="00651B96" w:rsidRDefault="00721866">
            <w:pPr>
              <w:autoSpaceDE w:val="0"/>
              <w:autoSpaceDN w:val="0"/>
              <w:spacing w:line="300" w:lineRule="exact"/>
              <w:jc w:val="center"/>
              <w:rPr>
                <w:rFonts w:ascii="宋体" w:hAnsi="宋体"/>
                <w:sz w:val="24"/>
              </w:rPr>
            </w:pPr>
            <w:r>
              <w:rPr>
                <w:color w:val="000000"/>
                <w:szCs w:val="21"/>
              </w:rPr>
              <w:t>—</w:t>
            </w:r>
          </w:p>
        </w:tc>
      </w:tr>
      <w:tr w:rsidR="00651B96" w14:paraId="1E61D2D3" w14:textId="77777777">
        <w:trPr>
          <w:cantSplit/>
          <w:jc w:val="center"/>
        </w:trPr>
        <w:tc>
          <w:tcPr>
            <w:tcW w:w="2072" w:type="dxa"/>
            <w:vAlign w:val="center"/>
          </w:tcPr>
          <w:p w14:paraId="11676CF3" w14:textId="77777777" w:rsidR="00651B96" w:rsidRDefault="00721866">
            <w:pPr>
              <w:autoSpaceDE w:val="0"/>
              <w:autoSpaceDN w:val="0"/>
              <w:spacing w:line="300" w:lineRule="exact"/>
              <w:jc w:val="center"/>
              <w:rPr>
                <w:rFonts w:ascii="宋体" w:hAnsi="宋体"/>
                <w:sz w:val="24"/>
              </w:rPr>
            </w:pPr>
            <w:r>
              <w:rPr>
                <w:color w:val="000000"/>
                <w:szCs w:val="21"/>
              </w:rPr>
              <w:t>PGP6 ΔtrpA::kan</w:t>
            </w:r>
          </w:p>
        </w:tc>
        <w:tc>
          <w:tcPr>
            <w:tcW w:w="1753" w:type="dxa"/>
            <w:vAlign w:val="center"/>
          </w:tcPr>
          <w:p w14:paraId="47CB5DB9" w14:textId="77777777" w:rsidR="00651B96" w:rsidRDefault="00721866">
            <w:pPr>
              <w:autoSpaceDE w:val="0"/>
              <w:autoSpaceDN w:val="0"/>
              <w:spacing w:line="300" w:lineRule="exact"/>
              <w:jc w:val="center"/>
              <w:rPr>
                <w:rFonts w:ascii="宋体" w:hAnsi="宋体"/>
                <w:sz w:val="24"/>
              </w:rPr>
            </w:pPr>
            <w:r>
              <w:rPr>
                <w:color w:val="000000"/>
                <w:szCs w:val="21"/>
              </w:rPr>
              <w:t>6</w:t>
            </w:r>
          </w:p>
        </w:tc>
        <w:tc>
          <w:tcPr>
            <w:tcW w:w="1753" w:type="dxa"/>
            <w:vAlign w:val="center"/>
          </w:tcPr>
          <w:p w14:paraId="5FD76BEE" w14:textId="77777777" w:rsidR="00651B96" w:rsidRDefault="00721866">
            <w:pPr>
              <w:autoSpaceDE w:val="0"/>
              <w:autoSpaceDN w:val="0"/>
              <w:spacing w:line="300" w:lineRule="exact"/>
              <w:jc w:val="center"/>
              <w:rPr>
                <w:rFonts w:ascii="宋体" w:hAnsi="宋体"/>
                <w:sz w:val="24"/>
              </w:rPr>
            </w:pPr>
            <w:r>
              <w:rPr>
                <w:color w:val="000000"/>
                <w:szCs w:val="21"/>
              </w:rPr>
              <w:t>1.204±0.037</w:t>
            </w:r>
          </w:p>
        </w:tc>
        <w:tc>
          <w:tcPr>
            <w:tcW w:w="1753" w:type="dxa"/>
            <w:vAlign w:val="center"/>
          </w:tcPr>
          <w:p w14:paraId="66546E9D" w14:textId="77777777" w:rsidR="00651B96" w:rsidRDefault="00721866">
            <w:pPr>
              <w:autoSpaceDE w:val="0"/>
              <w:autoSpaceDN w:val="0"/>
              <w:spacing w:line="300" w:lineRule="exact"/>
              <w:jc w:val="center"/>
              <w:rPr>
                <w:rFonts w:ascii="宋体" w:hAnsi="宋体"/>
                <w:sz w:val="24"/>
              </w:rPr>
            </w:pPr>
            <w:r>
              <w:rPr>
                <w:color w:val="000000"/>
                <w:szCs w:val="21"/>
              </w:rPr>
              <w:t>73.20±2.47</w:t>
            </w:r>
          </w:p>
        </w:tc>
        <w:tc>
          <w:tcPr>
            <w:tcW w:w="1754" w:type="dxa"/>
            <w:vAlign w:val="center"/>
          </w:tcPr>
          <w:p w14:paraId="50245F1E" w14:textId="77777777" w:rsidR="00651B96" w:rsidRDefault="00721866">
            <w:pPr>
              <w:autoSpaceDE w:val="0"/>
              <w:autoSpaceDN w:val="0"/>
              <w:spacing w:line="300" w:lineRule="exact"/>
              <w:jc w:val="center"/>
              <w:rPr>
                <w:rFonts w:ascii="宋体" w:hAnsi="宋体"/>
                <w:sz w:val="24"/>
              </w:rPr>
            </w:pPr>
            <w:r>
              <w:rPr>
                <w:color w:val="000000"/>
                <w:szCs w:val="21"/>
              </w:rPr>
              <w:t>9.42</w:t>
            </w:r>
          </w:p>
        </w:tc>
      </w:tr>
      <w:tr w:rsidR="00651B96" w14:paraId="3476BB53" w14:textId="77777777">
        <w:trPr>
          <w:cantSplit/>
          <w:jc w:val="center"/>
        </w:trPr>
        <w:tc>
          <w:tcPr>
            <w:tcW w:w="2072" w:type="dxa"/>
            <w:vAlign w:val="center"/>
          </w:tcPr>
          <w:p w14:paraId="29E1A2B9" w14:textId="77777777" w:rsidR="00651B96" w:rsidRDefault="00721866">
            <w:pPr>
              <w:autoSpaceDE w:val="0"/>
              <w:autoSpaceDN w:val="0"/>
              <w:spacing w:line="300" w:lineRule="exact"/>
              <w:jc w:val="center"/>
              <w:rPr>
                <w:rFonts w:ascii="宋体" w:hAnsi="宋体"/>
                <w:sz w:val="24"/>
              </w:rPr>
            </w:pPr>
            <w:r>
              <w:rPr>
                <w:color w:val="000000"/>
                <w:szCs w:val="21"/>
              </w:rPr>
              <w:t>PGP6 ΔtrpB::kan</w:t>
            </w:r>
          </w:p>
        </w:tc>
        <w:tc>
          <w:tcPr>
            <w:tcW w:w="1753" w:type="dxa"/>
            <w:vAlign w:val="center"/>
          </w:tcPr>
          <w:p w14:paraId="502C6447" w14:textId="77777777" w:rsidR="00651B96" w:rsidRDefault="00721866">
            <w:pPr>
              <w:autoSpaceDE w:val="0"/>
              <w:autoSpaceDN w:val="0"/>
              <w:spacing w:line="300" w:lineRule="exact"/>
              <w:jc w:val="center"/>
              <w:rPr>
                <w:rFonts w:ascii="宋体" w:hAnsi="宋体"/>
                <w:sz w:val="24"/>
              </w:rPr>
            </w:pPr>
            <w:r>
              <w:rPr>
                <w:color w:val="000000"/>
                <w:szCs w:val="21"/>
              </w:rPr>
              <w:t>6</w:t>
            </w:r>
          </w:p>
        </w:tc>
        <w:tc>
          <w:tcPr>
            <w:tcW w:w="1753" w:type="dxa"/>
            <w:vAlign w:val="center"/>
          </w:tcPr>
          <w:p w14:paraId="520FE629" w14:textId="77777777" w:rsidR="00651B96" w:rsidRDefault="00721866">
            <w:pPr>
              <w:autoSpaceDE w:val="0"/>
              <w:autoSpaceDN w:val="0"/>
              <w:spacing w:line="300" w:lineRule="exact"/>
              <w:jc w:val="center"/>
              <w:rPr>
                <w:rFonts w:ascii="宋体" w:hAnsi="宋体"/>
                <w:sz w:val="24"/>
              </w:rPr>
            </w:pPr>
            <w:r>
              <w:rPr>
                <w:color w:val="000000"/>
                <w:szCs w:val="21"/>
              </w:rPr>
              <w:t>1.216±0.028</w:t>
            </w:r>
          </w:p>
        </w:tc>
        <w:tc>
          <w:tcPr>
            <w:tcW w:w="1753" w:type="dxa"/>
            <w:vAlign w:val="center"/>
          </w:tcPr>
          <w:p w14:paraId="46FDA217" w14:textId="77777777" w:rsidR="00651B96" w:rsidRDefault="00721866">
            <w:pPr>
              <w:autoSpaceDE w:val="0"/>
              <w:autoSpaceDN w:val="0"/>
              <w:spacing w:line="300" w:lineRule="exact"/>
              <w:jc w:val="center"/>
              <w:rPr>
                <w:rFonts w:ascii="宋体" w:hAnsi="宋体"/>
                <w:sz w:val="24"/>
              </w:rPr>
            </w:pPr>
            <w:r>
              <w:rPr>
                <w:color w:val="000000"/>
                <w:szCs w:val="21"/>
              </w:rPr>
              <w:t>73.94±1.83</w:t>
            </w:r>
          </w:p>
        </w:tc>
        <w:tc>
          <w:tcPr>
            <w:tcW w:w="1754" w:type="dxa"/>
            <w:vAlign w:val="center"/>
          </w:tcPr>
          <w:p w14:paraId="0B40151D" w14:textId="77777777" w:rsidR="00651B96" w:rsidRDefault="00721866">
            <w:pPr>
              <w:autoSpaceDE w:val="0"/>
              <w:autoSpaceDN w:val="0"/>
              <w:spacing w:line="300" w:lineRule="exact"/>
              <w:jc w:val="center"/>
              <w:rPr>
                <w:rFonts w:ascii="宋体" w:hAnsi="宋体"/>
                <w:sz w:val="24"/>
              </w:rPr>
            </w:pPr>
            <w:r>
              <w:rPr>
                <w:color w:val="000000"/>
                <w:szCs w:val="21"/>
              </w:rPr>
              <w:t>8.50</w:t>
            </w:r>
          </w:p>
        </w:tc>
      </w:tr>
      <w:tr w:rsidR="00651B96" w14:paraId="5306BB0A" w14:textId="77777777">
        <w:trPr>
          <w:cantSplit/>
          <w:jc w:val="center"/>
        </w:trPr>
        <w:tc>
          <w:tcPr>
            <w:tcW w:w="2072" w:type="dxa"/>
            <w:vAlign w:val="center"/>
          </w:tcPr>
          <w:p w14:paraId="49FD250F" w14:textId="77777777" w:rsidR="00651B96" w:rsidRDefault="00721866">
            <w:pPr>
              <w:autoSpaceDE w:val="0"/>
              <w:autoSpaceDN w:val="0"/>
              <w:spacing w:line="300" w:lineRule="exact"/>
              <w:jc w:val="center"/>
              <w:rPr>
                <w:rFonts w:ascii="宋体" w:hAnsi="宋体"/>
                <w:sz w:val="24"/>
              </w:rPr>
            </w:pPr>
            <w:r>
              <w:rPr>
                <w:color w:val="000000"/>
                <w:szCs w:val="21"/>
              </w:rPr>
              <w:t>PGP6 Δ(trpA-trpB)::kan</w:t>
            </w:r>
          </w:p>
        </w:tc>
        <w:tc>
          <w:tcPr>
            <w:tcW w:w="1753" w:type="dxa"/>
            <w:vAlign w:val="center"/>
          </w:tcPr>
          <w:p w14:paraId="0F839C59" w14:textId="77777777" w:rsidR="00651B96" w:rsidRDefault="00721866">
            <w:pPr>
              <w:autoSpaceDE w:val="0"/>
              <w:autoSpaceDN w:val="0"/>
              <w:spacing w:line="300" w:lineRule="exact"/>
              <w:jc w:val="center"/>
              <w:rPr>
                <w:rFonts w:ascii="宋体" w:hAnsi="宋体"/>
                <w:sz w:val="24"/>
              </w:rPr>
            </w:pPr>
            <w:r>
              <w:rPr>
                <w:color w:val="000000"/>
                <w:szCs w:val="21"/>
              </w:rPr>
              <w:t>6</w:t>
            </w:r>
          </w:p>
        </w:tc>
        <w:tc>
          <w:tcPr>
            <w:tcW w:w="1753" w:type="dxa"/>
            <w:vAlign w:val="center"/>
          </w:tcPr>
          <w:p w14:paraId="4711CB63" w14:textId="77777777" w:rsidR="00651B96" w:rsidRDefault="00721866">
            <w:pPr>
              <w:autoSpaceDE w:val="0"/>
              <w:autoSpaceDN w:val="0"/>
              <w:spacing w:line="300" w:lineRule="exact"/>
              <w:jc w:val="center"/>
              <w:rPr>
                <w:rFonts w:ascii="宋体" w:hAnsi="宋体"/>
                <w:sz w:val="24"/>
              </w:rPr>
            </w:pPr>
            <w:r>
              <w:rPr>
                <w:color w:val="000000"/>
                <w:szCs w:val="21"/>
              </w:rPr>
              <w:t>1.219±0.045</w:t>
            </w:r>
          </w:p>
        </w:tc>
        <w:tc>
          <w:tcPr>
            <w:tcW w:w="1753" w:type="dxa"/>
            <w:vAlign w:val="center"/>
          </w:tcPr>
          <w:p w14:paraId="10B472A1" w14:textId="77777777" w:rsidR="00651B96" w:rsidRDefault="00721866">
            <w:pPr>
              <w:autoSpaceDE w:val="0"/>
              <w:autoSpaceDN w:val="0"/>
              <w:spacing w:line="300" w:lineRule="exact"/>
              <w:jc w:val="center"/>
              <w:rPr>
                <w:rFonts w:ascii="宋体" w:hAnsi="宋体"/>
                <w:sz w:val="24"/>
              </w:rPr>
            </w:pPr>
            <w:r>
              <w:rPr>
                <w:color w:val="000000"/>
                <w:szCs w:val="21"/>
              </w:rPr>
              <w:t>74.20±2.96</w:t>
            </w:r>
          </w:p>
        </w:tc>
        <w:tc>
          <w:tcPr>
            <w:tcW w:w="1754" w:type="dxa"/>
            <w:vAlign w:val="center"/>
          </w:tcPr>
          <w:p w14:paraId="759E3FE9" w14:textId="77777777" w:rsidR="00651B96" w:rsidRDefault="00721866">
            <w:pPr>
              <w:autoSpaceDE w:val="0"/>
              <w:autoSpaceDN w:val="0"/>
              <w:spacing w:line="300" w:lineRule="exact"/>
              <w:jc w:val="center"/>
              <w:rPr>
                <w:rFonts w:ascii="宋体" w:hAnsi="宋体"/>
                <w:sz w:val="24"/>
              </w:rPr>
            </w:pPr>
            <w:r>
              <w:rPr>
                <w:color w:val="000000"/>
                <w:szCs w:val="21"/>
              </w:rPr>
              <w:t>8.18</w:t>
            </w:r>
          </w:p>
        </w:tc>
      </w:tr>
      <w:tr w:rsidR="00651B96" w14:paraId="7F220BAA" w14:textId="77777777">
        <w:trPr>
          <w:cantSplit/>
          <w:jc w:val="center"/>
        </w:trPr>
        <w:tc>
          <w:tcPr>
            <w:tcW w:w="2072" w:type="dxa"/>
            <w:vAlign w:val="center"/>
          </w:tcPr>
          <w:p w14:paraId="44424FF7" w14:textId="77777777" w:rsidR="00651B96" w:rsidRDefault="00721866">
            <w:pPr>
              <w:autoSpaceDE w:val="0"/>
              <w:autoSpaceDN w:val="0"/>
              <w:spacing w:line="300" w:lineRule="exact"/>
              <w:jc w:val="center"/>
              <w:rPr>
                <w:rFonts w:ascii="宋体" w:hAnsi="宋体"/>
                <w:sz w:val="24"/>
              </w:rPr>
            </w:pPr>
            <w:r>
              <w:rPr>
                <w:color w:val="000000"/>
                <w:szCs w:val="21"/>
              </w:rPr>
              <w:t>PGP6 ΔpatB::kan</w:t>
            </w:r>
          </w:p>
        </w:tc>
        <w:tc>
          <w:tcPr>
            <w:tcW w:w="1753" w:type="dxa"/>
            <w:vAlign w:val="center"/>
          </w:tcPr>
          <w:p w14:paraId="3F028EB2" w14:textId="77777777" w:rsidR="00651B96" w:rsidRDefault="00721866">
            <w:pPr>
              <w:autoSpaceDE w:val="0"/>
              <w:autoSpaceDN w:val="0"/>
              <w:spacing w:line="300" w:lineRule="exact"/>
              <w:jc w:val="center"/>
              <w:rPr>
                <w:rFonts w:ascii="宋体" w:hAnsi="宋体"/>
                <w:sz w:val="24"/>
              </w:rPr>
            </w:pPr>
            <w:r>
              <w:rPr>
                <w:color w:val="000000"/>
                <w:szCs w:val="21"/>
              </w:rPr>
              <w:t>6</w:t>
            </w:r>
          </w:p>
        </w:tc>
        <w:tc>
          <w:tcPr>
            <w:tcW w:w="1753" w:type="dxa"/>
            <w:vAlign w:val="center"/>
          </w:tcPr>
          <w:p w14:paraId="602925F1" w14:textId="77777777" w:rsidR="00651B96" w:rsidRDefault="00721866">
            <w:pPr>
              <w:autoSpaceDE w:val="0"/>
              <w:autoSpaceDN w:val="0"/>
              <w:spacing w:line="300" w:lineRule="exact"/>
              <w:jc w:val="center"/>
              <w:rPr>
                <w:rFonts w:ascii="宋体" w:hAnsi="宋体"/>
                <w:sz w:val="24"/>
              </w:rPr>
            </w:pPr>
            <w:r>
              <w:rPr>
                <w:color w:val="000000"/>
                <w:szCs w:val="21"/>
              </w:rPr>
              <w:t>1.084±0.236</w:t>
            </w:r>
          </w:p>
        </w:tc>
        <w:tc>
          <w:tcPr>
            <w:tcW w:w="1753" w:type="dxa"/>
            <w:vAlign w:val="center"/>
          </w:tcPr>
          <w:p w14:paraId="25A1823E" w14:textId="77777777" w:rsidR="00651B96" w:rsidRDefault="00721866">
            <w:pPr>
              <w:autoSpaceDE w:val="0"/>
              <w:autoSpaceDN w:val="0"/>
              <w:spacing w:line="300" w:lineRule="exact"/>
              <w:jc w:val="center"/>
              <w:rPr>
                <w:rFonts w:ascii="宋体" w:hAnsi="宋体"/>
                <w:sz w:val="24"/>
              </w:rPr>
            </w:pPr>
            <w:r>
              <w:rPr>
                <w:color w:val="000000"/>
                <w:szCs w:val="21"/>
              </w:rPr>
              <w:t>65.22±15.65</w:t>
            </w:r>
          </w:p>
        </w:tc>
        <w:tc>
          <w:tcPr>
            <w:tcW w:w="1754" w:type="dxa"/>
            <w:vAlign w:val="center"/>
          </w:tcPr>
          <w:p w14:paraId="400E4962" w14:textId="77777777" w:rsidR="00651B96" w:rsidRDefault="00721866">
            <w:pPr>
              <w:autoSpaceDE w:val="0"/>
              <w:autoSpaceDN w:val="0"/>
              <w:spacing w:line="300" w:lineRule="exact"/>
              <w:jc w:val="center"/>
              <w:rPr>
                <w:rFonts w:ascii="宋体" w:hAnsi="宋体"/>
                <w:sz w:val="24"/>
              </w:rPr>
            </w:pPr>
            <w:r>
              <w:rPr>
                <w:color w:val="000000"/>
                <w:szCs w:val="21"/>
              </w:rPr>
              <w:t>19.29</w:t>
            </w:r>
          </w:p>
        </w:tc>
      </w:tr>
      <w:tr w:rsidR="00651B96" w14:paraId="0B3852F0" w14:textId="77777777">
        <w:trPr>
          <w:cantSplit/>
          <w:jc w:val="center"/>
        </w:trPr>
        <w:tc>
          <w:tcPr>
            <w:tcW w:w="2072" w:type="dxa"/>
            <w:vAlign w:val="center"/>
          </w:tcPr>
          <w:p w14:paraId="58267B82" w14:textId="77777777" w:rsidR="00651B96" w:rsidRDefault="00721866">
            <w:pPr>
              <w:autoSpaceDE w:val="0"/>
              <w:autoSpaceDN w:val="0"/>
              <w:spacing w:line="300" w:lineRule="exact"/>
              <w:jc w:val="center"/>
              <w:rPr>
                <w:rFonts w:ascii="宋体" w:hAnsi="宋体"/>
                <w:sz w:val="24"/>
              </w:rPr>
            </w:pPr>
            <w:r>
              <w:rPr>
                <w:color w:val="000000"/>
                <w:szCs w:val="21"/>
              </w:rPr>
              <w:t>PGP6 ΔiaaH::kan</w:t>
            </w:r>
          </w:p>
        </w:tc>
        <w:tc>
          <w:tcPr>
            <w:tcW w:w="1753" w:type="dxa"/>
            <w:vAlign w:val="center"/>
          </w:tcPr>
          <w:p w14:paraId="575D02B7" w14:textId="77777777" w:rsidR="00651B96" w:rsidRDefault="00721866">
            <w:pPr>
              <w:autoSpaceDE w:val="0"/>
              <w:autoSpaceDN w:val="0"/>
              <w:spacing w:line="300" w:lineRule="exact"/>
              <w:jc w:val="center"/>
              <w:rPr>
                <w:rFonts w:ascii="宋体" w:hAnsi="宋体"/>
                <w:sz w:val="24"/>
              </w:rPr>
            </w:pPr>
            <w:r>
              <w:rPr>
                <w:color w:val="000000"/>
                <w:szCs w:val="21"/>
              </w:rPr>
              <w:t>6</w:t>
            </w:r>
          </w:p>
        </w:tc>
        <w:tc>
          <w:tcPr>
            <w:tcW w:w="1753" w:type="dxa"/>
            <w:vAlign w:val="center"/>
          </w:tcPr>
          <w:p w14:paraId="263E142D" w14:textId="77777777" w:rsidR="00651B96" w:rsidRDefault="00721866">
            <w:pPr>
              <w:autoSpaceDE w:val="0"/>
              <w:autoSpaceDN w:val="0"/>
              <w:spacing w:line="300" w:lineRule="exact"/>
              <w:jc w:val="center"/>
              <w:rPr>
                <w:rFonts w:ascii="宋体" w:hAnsi="宋体"/>
                <w:sz w:val="24"/>
              </w:rPr>
            </w:pPr>
            <w:r>
              <w:rPr>
                <w:color w:val="000000"/>
                <w:szCs w:val="21"/>
              </w:rPr>
              <w:t>1.208±0.055</w:t>
            </w:r>
          </w:p>
        </w:tc>
        <w:tc>
          <w:tcPr>
            <w:tcW w:w="1753" w:type="dxa"/>
            <w:vAlign w:val="center"/>
          </w:tcPr>
          <w:p w14:paraId="3698D931" w14:textId="77777777" w:rsidR="00651B96" w:rsidRDefault="00721866">
            <w:pPr>
              <w:autoSpaceDE w:val="0"/>
              <w:autoSpaceDN w:val="0"/>
              <w:spacing w:line="300" w:lineRule="exact"/>
              <w:jc w:val="center"/>
              <w:rPr>
                <w:rFonts w:ascii="宋体" w:hAnsi="宋体"/>
                <w:sz w:val="24"/>
              </w:rPr>
            </w:pPr>
            <w:r>
              <w:rPr>
                <w:color w:val="000000"/>
                <w:szCs w:val="21"/>
              </w:rPr>
              <w:t>73.44±3.63</w:t>
            </w:r>
          </w:p>
        </w:tc>
        <w:tc>
          <w:tcPr>
            <w:tcW w:w="1754" w:type="dxa"/>
            <w:vAlign w:val="center"/>
          </w:tcPr>
          <w:p w14:paraId="20D0F449" w14:textId="77777777" w:rsidR="00651B96" w:rsidRDefault="00721866">
            <w:pPr>
              <w:autoSpaceDE w:val="0"/>
              <w:autoSpaceDN w:val="0"/>
              <w:spacing w:line="300" w:lineRule="exact"/>
              <w:jc w:val="center"/>
              <w:rPr>
                <w:rFonts w:ascii="宋体" w:hAnsi="宋体"/>
                <w:sz w:val="24"/>
              </w:rPr>
            </w:pPr>
            <w:r>
              <w:rPr>
                <w:color w:val="000000"/>
                <w:szCs w:val="21"/>
              </w:rPr>
              <w:t>9.12</w:t>
            </w:r>
          </w:p>
        </w:tc>
      </w:tr>
    </w:tbl>
    <w:p w14:paraId="0AD2806E" w14:textId="77777777" w:rsidR="00651B96" w:rsidRDefault="00721866">
      <w:pPr>
        <w:keepNext/>
        <w:keepLines/>
        <w:autoSpaceDE w:val="0"/>
        <w:autoSpaceDN w:val="0"/>
        <w:jc w:val="center"/>
        <w:rPr>
          <w:rFonts w:ascii="宋体" w:hAnsi="宋体"/>
          <w:sz w:val="24"/>
        </w:rPr>
      </w:pPr>
      <w:r>
        <w:rPr>
          <w:noProof/>
          <w:color w:val="000000"/>
          <w:sz w:val="24"/>
        </w:rPr>
        <w:drawing>
          <wp:inline distT="0" distB="0" distL="114300" distR="114300" wp14:anchorId="3BB951A2" wp14:editId="4F7D9806">
            <wp:extent cx="5167630" cy="3073400"/>
            <wp:effectExtent l="0" t="0" r="0" b="0"/>
            <wp:docPr id="39" name="图片 1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5png"/>
                    <pic:cNvPicPr>
                      <a:picLocks noChangeAspect="1"/>
                    </pic:cNvPicPr>
                  </pic:nvPicPr>
                  <pic:blipFill>
                    <a:blip r:embed="rId35"/>
                    <a:srcRect l="931" t="878" r="725" b="6774"/>
                    <a:stretch>
                      <a:fillRect/>
                    </a:stretch>
                  </pic:blipFill>
                  <pic:spPr>
                    <a:xfrm>
                      <a:off x="0" y="0"/>
                      <a:ext cx="5167630" cy="3073400"/>
                    </a:xfrm>
                    <a:prstGeom prst="rect">
                      <a:avLst/>
                    </a:prstGeom>
                  </pic:spPr>
                </pic:pic>
              </a:graphicData>
            </a:graphic>
          </wp:inline>
        </w:drawing>
      </w:r>
    </w:p>
    <w:p w14:paraId="4895BB20" w14:textId="77777777" w:rsidR="00651B96" w:rsidRDefault="00721866">
      <w:pPr>
        <w:keepNext/>
        <w:keepLines/>
        <w:autoSpaceDE w:val="0"/>
        <w:autoSpaceDN w:val="0"/>
        <w:spacing w:line="400" w:lineRule="exact"/>
        <w:jc w:val="center"/>
        <w:rPr>
          <w:rFonts w:ascii="宋体" w:hAnsi="宋体"/>
          <w:sz w:val="24"/>
        </w:rPr>
      </w:pPr>
      <w:r>
        <w:rPr>
          <w:color w:val="000000"/>
          <w:szCs w:val="21"/>
        </w:rPr>
        <w:t>图</w:t>
      </w:r>
      <w:r>
        <w:rPr>
          <w:color w:val="000000"/>
          <w:szCs w:val="21"/>
        </w:rPr>
        <w:t xml:space="preserve"> 3-11 </w:t>
      </w:r>
      <w:r>
        <w:rPr>
          <w:color w:val="000000"/>
          <w:szCs w:val="21"/>
        </w:rPr>
        <w:t>野生型</w:t>
      </w:r>
      <w:r>
        <w:rPr>
          <w:color w:val="000000"/>
          <w:szCs w:val="21"/>
        </w:rPr>
        <w:t>PGP6</w:t>
      </w:r>
      <w:r>
        <w:rPr>
          <w:color w:val="000000"/>
          <w:szCs w:val="21"/>
        </w:rPr>
        <w:t>及各缺失突变株</w:t>
      </w:r>
      <w:r>
        <w:rPr>
          <w:color w:val="000000"/>
          <w:szCs w:val="21"/>
        </w:rPr>
        <w:t>IAA</w:t>
      </w:r>
      <w:r>
        <w:rPr>
          <w:color w:val="000000"/>
          <w:szCs w:val="21"/>
        </w:rPr>
        <w:t>产量比较</w:t>
      </w:r>
    </w:p>
    <w:p w14:paraId="33389930" w14:textId="77777777" w:rsidR="00651B96" w:rsidRDefault="00721866">
      <w:pPr>
        <w:keepLines/>
        <w:autoSpaceDE w:val="0"/>
        <w:autoSpaceDN w:val="0"/>
        <w:spacing w:line="400" w:lineRule="exact"/>
        <w:jc w:val="center"/>
        <w:rPr>
          <w:rFonts w:ascii="宋体" w:hAnsi="宋体"/>
          <w:sz w:val="24"/>
        </w:rPr>
      </w:pPr>
      <w:r>
        <w:rPr>
          <w:color w:val="000000"/>
          <w:szCs w:val="21"/>
        </w:rPr>
        <w:t>Fig. 3-11 Comparison of IAA production between wild-type PGP6 and mutant strains</w:t>
      </w:r>
    </w:p>
    <w:p w14:paraId="1D5982C2" w14:textId="77777777" w:rsidR="000921BD" w:rsidRDefault="000921BD" w:rsidP="000921BD">
      <w:pPr>
        <w:pStyle w:val="23"/>
        <w:spacing w:beforeLines="0" w:afterLines="0" w:line="400" w:lineRule="exact"/>
        <w:jc w:val="left"/>
        <w:outlineLvl w:val="2"/>
        <w:rPr>
          <w:rFonts w:ascii="宋体" w:eastAsia="宋体" w:hAnsi="宋体"/>
          <w:b/>
          <w:sz w:val="24"/>
        </w:rPr>
      </w:pPr>
    </w:p>
    <w:p w14:paraId="0DFA086C" w14:textId="77777777"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36"/>
          <w:pgSz w:w="11906" w:h="16838" w:code="9"/>
          <w:pgMar w:top="1134" w:right="1134" w:bottom="1134" w:left="1134" w:header="850" w:footer="992" w:gutter="0"/>
          <w:cols w:space="425"/>
          <w:docGrid w:linePitch="312"/>
        </w:sectPr>
      </w:pPr>
    </w:p>
    <w:p w14:paraId="4C21D6B3" w14:textId="77777777" w:rsidR="00651B96" w:rsidRDefault="00721866">
      <w:pPr>
        <w:pStyle w:val="1"/>
        <w:autoSpaceDE w:val="0"/>
        <w:autoSpaceDN w:val="0"/>
        <w:spacing w:before="480" w:after="360" w:line="400" w:lineRule="exact"/>
      </w:pPr>
      <w:bookmarkStart w:id="96" w:name="docfit_s001_Toc31562"/>
      <w:bookmarkStart w:id="97" w:name="_Toc236830381"/>
      <w:r>
        <w:rPr>
          <w:rFonts w:cs="黑体"/>
          <w:color w:val="000000"/>
          <w:szCs w:val="32"/>
        </w:rPr>
        <w:lastRenderedPageBreak/>
        <w:t>第四章</w:t>
      </w:r>
      <w:r>
        <w:rPr>
          <w:rFonts w:cs="黑体"/>
          <w:color w:val="000000"/>
          <w:szCs w:val="32"/>
        </w:rPr>
        <w:t xml:space="preserve"> </w:t>
      </w:r>
      <w:r>
        <w:rPr>
          <w:rFonts w:cs="黑体"/>
          <w:color w:val="000000"/>
          <w:szCs w:val="32"/>
        </w:rPr>
        <w:t>结论与展望</w:t>
      </w:r>
      <w:bookmarkEnd w:id="96"/>
      <w:bookmarkEnd w:id="97"/>
    </w:p>
    <w:p w14:paraId="49366519"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98" w:name="docfit_s001_Toc32036"/>
      <w:bookmarkStart w:id="99" w:name="docfit_s001_Toc17829"/>
      <w:bookmarkStart w:id="100" w:name="docfit_s001_Toc165"/>
      <w:bookmarkStart w:id="101" w:name="_Toc236830382"/>
      <w:r>
        <w:rPr>
          <w:rFonts w:ascii="黑体" w:hAnsi="黑体" w:cs="黑体"/>
          <w:color w:val="000000"/>
          <w:szCs w:val="28"/>
        </w:rPr>
        <w:t xml:space="preserve">1 </w:t>
      </w:r>
      <w:r>
        <w:rPr>
          <w:rFonts w:ascii="黑体" w:hAnsi="黑体" w:cs="黑体"/>
          <w:color w:val="000000"/>
          <w:szCs w:val="28"/>
        </w:rPr>
        <w:t>实验结论</w:t>
      </w:r>
      <w:bookmarkEnd w:id="98"/>
      <w:bookmarkEnd w:id="99"/>
      <w:bookmarkEnd w:id="100"/>
      <w:bookmarkEnd w:id="101"/>
    </w:p>
    <w:p w14:paraId="46D1424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本研究以植物根际促生菌</w:t>
      </w:r>
      <w:r>
        <w:rPr>
          <w:color w:val="000000"/>
          <w:sz w:val="24"/>
        </w:rPr>
        <w:t>PGP6</w:t>
      </w:r>
      <w:r>
        <w:rPr>
          <w:color w:val="000000"/>
          <w:sz w:val="24"/>
        </w:rPr>
        <w:t>为对象，围绕其</w:t>
      </w:r>
      <w:r>
        <w:rPr>
          <w:color w:val="000000"/>
          <w:sz w:val="24"/>
        </w:rPr>
        <w:t>IAA</w:t>
      </w:r>
      <w:r>
        <w:rPr>
          <w:color w:val="000000"/>
          <w:sz w:val="24"/>
        </w:rPr>
        <w:t>合成相关候选基因开展定位、敲除和功能验证。通过</w:t>
      </w:r>
      <w:r>
        <w:rPr>
          <w:color w:val="000000"/>
          <w:sz w:val="24"/>
        </w:rPr>
        <w:t>Salkowski</w:t>
      </w:r>
      <w:r>
        <w:rPr>
          <w:color w:val="000000"/>
          <w:sz w:val="24"/>
        </w:rPr>
        <w:t>比色法建立</w:t>
      </w:r>
      <w:r>
        <w:rPr>
          <w:color w:val="000000"/>
          <w:sz w:val="24"/>
        </w:rPr>
        <w:t>IAA</w:t>
      </w:r>
      <w:r>
        <w:rPr>
          <w:color w:val="000000"/>
          <w:sz w:val="24"/>
        </w:rPr>
        <w:t>标准曲线，获得线性回归方程</w:t>
      </w:r>
      <w:r>
        <w:rPr>
          <w:color w:val="000000"/>
          <w:sz w:val="24"/>
        </w:rPr>
        <w:t>y=0.01505x+0.1027</w:t>
      </w:r>
      <w:r>
        <w:rPr>
          <w:color w:val="000000"/>
          <w:sz w:val="24"/>
        </w:rPr>
        <w:t>，</w:t>
      </w:r>
      <w:r>
        <w:rPr>
          <w:color w:val="000000"/>
          <w:sz w:val="24"/>
        </w:rPr>
        <w:t>R²=0.9662</w:t>
      </w:r>
      <w:r>
        <w:rPr>
          <w:color w:val="000000"/>
          <w:sz w:val="24"/>
        </w:rPr>
        <w:t>；</w:t>
      </w:r>
      <w:r>
        <w:rPr>
          <w:color w:val="000000"/>
          <w:sz w:val="24"/>
        </w:rPr>
        <w:t>在后续的实验中，</w:t>
      </w:r>
      <w:r>
        <w:rPr>
          <w:color w:val="000000"/>
          <w:sz w:val="24"/>
        </w:rPr>
        <w:t>野生型</w:t>
      </w:r>
      <w:r>
        <w:rPr>
          <w:color w:val="000000"/>
          <w:sz w:val="24"/>
        </w:rPr>
        <w:t>PGP6</w:t>
      </w:r>
      <w:r>
        <w:rPr>
          <w:color w:val="000000"/>
          <w:sz w:val="24"/>
        </w:rPr>
        <w:t>在含</w:t>
      </w:r>
      <w:r>
        <w:rPr>
          <w:color w:val="000000"/>
          <w:sz w:val="24"/>
        </w:rPr>
        <w:t>0.5 mg/mL</w:t>
      </w:r>
      <w:r>
        <w:rPr>
          <w:color w:val="000000"/>
          <w:sz w:val="24"/>
        </w:rPr>
        <w:t>色氨酸的</w:t>
      </w:r>
      <w:r>
        <w:rPr>
          <w:color w:val="000000"/>
          <w:sz w:val="24"/>
        </w:rPr>
        <w:t>YN</w:t>
      </w:r>
      <w:r>
        <w:rPr>
          <w:color w:val="000000"/>
          <w:sz w:val="24"/>
        </w:rPr>
        <w:t>培养基中培养</w:t>
      </w:r>
      <w:r>
        <w:rPr>
          <w:color w:val="000000"/>
          <w:sz w:val="24"/>
        </w:rPr>
        <w:t>72 h</w:t>
      </w:r>
      <w:r>
        <w:rPr>
          <w:color w:val="000000"/>
          <w:sz w:val="24"/>
        </w:rPr>
        <w:t>后，</w:t>
      </w:r>
      <w:r>
        <w:rPr>
          <w:color w:val="000000"/>
          <w:sz w:val="24"/>
        </w:rPr>
        <w:t>IAA</w:t>
      </w:r>
      <w:r>
        <w:rPr>
          <w:color w:val="000000"/>
          <w:sz w:val="24"/>
        </w:rPr>
        <w:t>产量为</w:t>
      </w:r>
      <w:r>
        <w:rPr>
          <w:color w:val="000000"/>
          <w:sz w:val="24"/>
        </w:rPr>
        <w:t>80.81±2.95 mg/L</w:t>
      </w:r>
      <w:r>
        <w:rPr>
          <w:color w:val="000000"/>
          <w:sz w:val="24"/>
        </w:rPr>
        <w:t>，表明该菌株具有稳定合成</w:t>
      </w:r>
      <w:r>
        <w:rPr>
          <w:color w:val="000000"/>
          <w:sz w:val="24"/>
        </w:rPr>
        <w:t>IAA</w:t>
      </w:r>
      <w:r>
        <w:rPr>
          <w:color w:val="000000"/>
          <w:sz w:val="24"/>
        </w:rPr>
        <w:t>的能力。</w:t>
      </w:r>
    </w:p>
    <w:p w14:paraId="64E88198"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抗生素</w:t>
      </w:r>
      <w:r>
        <w:rPr>
          <w:color w:val="000000"/>
          <w:sz w:val="24"/>
        </w:rPr>
        <w:t>MIC</w:t>
      </w:r>
      <w:r>
        <w:rPr>
          <w:color w:val="000000"/>
          <w:sz w:val="24"/>
        </w:rPr>
        <w:t>实验结果表明，</w:t>
      </w:r>
      <w:r>
        <w:rPr>
          <w:color w:val="000000"/>
          <w:sz w:val="24"/>
        </w:rPr>
        <w:t>PGP6</w:t>
      </w:r>
      <w:r>
        <w:rPr>
          <w:color w:val="000000"/>
          <w:sz w:val="24"/>
        </w:rPr>
        <w:t>对不同抗生素的敏感性存在差异。其中卡那霉素和四环素对</w:t>
      </w:r>
      <w:r>
        <w:rPr>
          <w:color w:val="000000"/>
          <w:sz w:val="24"/>
        </w:rPr>
        <w:t>PGP6</w:t>
      </w:r>
      <w:r>
        <w:rPr>
          <w:color w:val="000000"/>
          <w:sz w:val="24"/>
        </w:rPr>
        <w:t>野生型具有明确抑制作用，因此本研究采用</w:t>
      </w:r>
      <w:r>
        <w:rPr>
          <w:color w:val="000000"/>
          <w:sz w:val="24"/>
        </w:rPr>
        <w:t>Km 50 μg/mL</w:t>
      </w:r>
      <w:r>
        <w:rPr>
          <w:color w:val="000000"/>
          <w:sz w:val="24"/>
        </w:rPr>
        <w:t>筛选卡那霉素抗性替换重组子，采用</w:t>
      </w:r>
      <w:r>
        <w:rPr>
          <w:color w:val="000000"/>
          <w:sz w:val="24"/>
        </w:rPr>
        <w:t>Tet 50 μg/mL</w:t>
      </w:r>
      <w:r>
        <w:rPr>
          <w:color w:val="000000"/>
          <w:sz w:val="24"/>
        </w:rPr>
        <w:t>筛选或维持</w:t>
      </w:r>
      <w:r>
        <w:rPr>
          <w:color w:val="000000"/>
          <w:sz w:val="24"/>
        </w:rPr>
        <w:t>pKD46</w:t>
      </w:r>
      <w:r>
        <w:rPr>
          <w:color w:val="000000"/>
          <w:sz w:val="24"/>
        </w:rPr>
        <w:t>辅助质粒，为后续</w:t>
      </w:r>
      <w:r>
        <w:rPr>
          <w:color w:val="000000"/>
          <w:sz w:val="24"/>
        </w:rPr>
        <w:t>λ-Red</w:t>
      </w:r>
      <w:r>
        <w:rPr>
          <w:color w:val="000000"/>
          <w:sz w:val="24"/>
        </w:rPr>
        <w:t>同源重组实验建立了可靠的抗性筛选条件。</w:t>
      </w:r>
    </w:p>
    <w:p w14:paraId="46C0A253"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基于</w:t>
      </w:r>
      <w:r>
        <w:rPr>
          <w:color w:val="000000"/>
          <w:sz w:val="24"/>
        </w:rPr>
        <w:t>PGP6</w:t>
      </w:r>
      <w:r>
        <w:rPr>
          <w:color w:val="000000"/>
          <w:sz w:val="24"/>
        </w:rPr>
        <w:t>全基因组注释结果，本研究定位到</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和</w:t>
      </w:r>
      <w:r>
        <w:rPr>
          <w:i/>
          <w:iCs/>
          <w:color w:val="000000"/>
          <w:sz w:val="24"/>
        </w:rPr>
        <w:t>iaaH</w:t>
      </w:r>
      <w:r>
        <w:rPr>
          <w:color w:val="000000"/>
          <w:sz w:val="24"/>
        </w:rPr>
        <w:t>等</w:t>
      </w:r>
      <w:r>
        <w:rPr>
          <w:color w:val="000000"/>
          <w:sz w:val="24"/>
        </w:rPr>
        <w:t>IAA</w:t>
      </w:r>
      <w:r>
        <w:rPr>
          <w:color w:val="000000"/>
          <w:sz w:val="24"/>
        </w:rPr>
        <w:t>合成相关候选基因，并成功构建</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及</w:t>
      </w:r>
      <w:r>
        <w:rPr>
          <w:i/>
          <w:iCs/>
          <w:color w:val="000000"/>
          <w:sz w:val="24"/>
        </w:rPr>
        <w:t>iaaH</w:t>
      </w:r>
      <w:r>
        <w:rPr>
          <w:color w:val="000000"/>
          <w:sz w:val="24"/>
        </w:rPr>
        <w:t>的线性打靶片段。进一步利用</w:t>
      </w:r>
      <w:r>
        <w:rPr>
          <w:color w:val="000000"/>
          <w:sz w:val="24"/>
        </w:rPr>
        <w:t>pKD46</w:t>
      </w:r>
      <w:r>
        <w:rPr>
          <w:color w:val="000000"/>
          <w:sz w:val="24"/>
        </w:rPr>
        <w:t>介导的</w:t>
      </w:r>
      <w:r>
        <w:rPr>
          <w:color w:val="000000"/>
          <w:sz w:val="24"/>
        </w:rPr>
        <w:t>λ-Red</w:t>
      </w:r>
      <w:r>
        <w:rPr>
          <w:color w:val="000000"/>
          <w:sz w:val="24"/>
        </w:rPr>
        <w:t>同源重组体系获得</w:t>
      </w:r>
      <w:r>
        <w:rPr>
          <w:color w:val="000000"/>
          <w:sz w:val="24"/>
        </w:rPr>
        <w:t>PGP6 Δ</w:t>
      </w:r>
      <w:r>
        <w:rPr>
          <w:i/>
          <w:iCs/>
          <w:color w:val="000000"/>
          <w:sz w:val="24"/>
        </w:rPr>
        <w:t>trpA</w:t>
      </w:r>
      <w:r>
        <w:rPr>
          <w:color w:val="000000"/>
          <w:sz w:val="24"/>
        </w:rPr>
        <w:t>::kan</w:t>
      </w:r>
      <w:r>
        <w:rPr>
          <w:color w:val="000000"/>
          <w:sz w:val="24"/>
        </w:rPr>
        <w:t>、</w:t>
      </w:r>
      <w:r>
        <w:rPr>
          <w:color w:val="000000"/>
          <w:sz w:val="24"/>
        </w:rPr>
        <w:t>PGP6 Δ</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trpA</w:t>
      </w:r>
      <w:r>
        <w:rPr>
          <w:color w:val="000000"/>
          <w:sz w:val="24"/>
        </w:rPr>
        <w:t>-</w:t>
      </w:r>
      <w:r>
        <w:rPr>
          <w:i/>
          <w:iCs/>
          <w:color w:val="000000"/>
          <w:sz w:val="24"/>
        </w:rPr>
        <w:t>trpB</w:t>
      </w:r>
      <w:r>
        <w:rPr>
          <w:color w:val="000000"/>
          <w:sz w:val="24"/>
        </w:rPr>
        <w:t>)::kan</w:t>
      </w:r>
      <w:r>
        <w:rPr>
          <w:color w:val="000000"/>
          <w:sz w:val="24"/>
        </w:rPr>
        <w:t>、</w:t>
      </w:r>
      <w:r>
        <w:rPr>
          <w:color w:val="000000"/>
          <w:sz w:val="24"/>
        </w:rPr>
        <w:t>PGP6 Δ</w:t>
      </w:r>
      <w:r>
        <w:rPr>
          <w:i/>
          <w:iCs/>
          <w:color w:val="000000"/>
          <w:sz w:val="24"/>
        </w:rPr>
        <w:t>patB</w:t>
      </w:r>
      <w:r>
        <w:rPr>
          <w:color w:val="000000"/>
          <w:sz w:val="24"/>
        </w:rPr>
        <w:t>::kan</w:t>
      </w:r>
      <w:r>
        <w:rPr>
          <w:color w:val="000000"/>
          <w:sz w:val="24"/>
        </w:rPr>
        <w:t>和</w:t>
      </w:r>
      <w:r>
        <w:rPr>
          <w:color w:val="000000"/>
          <w:sz w:val="24"/>
        </w:rPr>
        <w:t>PGP6 Δ</w:t>
      </w:r>
      <w:r>
        <w:rPr>
          <w:i/>
          <w:iCs/>
          <w:color w:val="000000"/>
          <w:sz w:val="24"/>
        </w:rPr>
        <w:t>iaaH</w:t>
      </w:r>
      <w:r>
        <w:rPr>
          <w:color w:val="000000"/>
          <w:sz w:val="24"/>
        </w:rPr>
        <w:t>::kan</w:t>
      </w:r>
      <w:r>
        <w:rPr>
          <w:color w:val="000000"/>
          <w:sz w:val="24"/>
        </w:rPr>
        <w:t>缺失突变株，并通过</w:t>
      </w:r>
      <w:r>
        <w:rPr>
          <w:color w:val="000000"/>
          <w:sz w:val="24"/>
        </w:rPr>
        <w:t>PCR</w:t>
      </w:r>
      <w:r>
        <w:rPr>
          <w:color w:val="000000"/>
          <w:sz w:val="24"/>
        </w:rPr>
        <w:t>及测序验证目标基因位点发生预期重组。经</w:t>
      </w:r>
      <w:r>
        <w:rPr>
          <w:color w:val="000000"/>
          <w:sz w:val="24"/>
        </w:rPr>
        <w:t>37 ℃</w:t>
      </w:r>
      <w:r>
        <w:rPr>
          <w:color w:val="000000"/>
          <w:sz w:val="24"/>
        </w:rPr>
        <w:t>温敏培养后，</w:t>
      </w:r>
      <w:r>
        <w:rPr>
          <w:color w:val="000000"/>
          <w:sz w:val="24"/>
        </w:rPr>
        <w:t>pKD46</w:t>
      </w:r>
      <w:r>
        <w:rPr>
          <w:color w:val="000000"/>
          <w:sz w:val="24"/>
        </w:rPr>
        <w:t>辅助质粒被成功去除，获得遗传背景相对稳定的缺失突变株。</w:t>
      </w:r>
    </w:p>
    <w:p w14:paraId="67201886"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功能验证结果表明，与野生型</w:t>
      </w:r>
      <w:r>
        <w:rPr>
          <w:color w:val="000000"/>
          <w:sz w:val="24"/>
        </w:rPr>
        <w:t>PGP6</w:t>
      </w:r>
      <w:r>
        <w:rPr>
          <w:color w:val="000000"/>
          <w:sz w:val="24"/>
        </w:rPr>
        <w:t>相比，所有缺失突变株的平均</w:t>
      </w:r>
      <w:r>
        <w:rPr>
          <w:color w:val="000000"/>
          <w:sz w:val="24"/>
        </w:rPr>
        <w:t>IAA</w:t>
      </w:r>
      <w:r>
        <w:rPr>
          <w:color w:val="000000"/>
          <w:sz w:val="24"/>
        </w:rPr>
        <w:t>产量均有所降低，其中</w:t>
      </w:r>
      <w:r>
        <w:rPr>
          <w:color w:val="000000"/>
          <w:sz w:val="24"/>
        </w:rPr>
        <w:t>Δ</w:t>
      </w:r>
      <w:r>
        <w:rPr>
          <w:i/>
          <w:iCs/>
          <w:color w:val="000000"/>
          <w:sz w:val="24"/>
        </w:rPr>
        <w:t>trpA</w:t>
      </w:r>
      <w:r>
        <w:rPr>
          <w:color w:val="000000"/>
          <w:sz w:val="24"/>
        </w:rPr>
        <w:t>::kan</w:t>
      </w:r>
      <w:r>
        <w:rPr>
          <w:color w:val="000000"/>
          <w:sz w:val="24"/>
        </w:rPr>
        <w:t>、</w:t>
      </w:r>
      <w:r>
        <w:rPr>
          <w:color w:val="000000"/>
          <w:sz w:val="24"/>
        </w:rPr>
        <w:t>Δ</w:t>
      </w:r>
      <w:r>
        <w:rPr>
          <w:i/>
          <w:iCs/>
          <w:color w:val="000000"/>
          <w:sz w:val="24"/>
        </w:rPr>
        <w:t>trpB</w:t>
      </w:r>
      <w:r>
        <w:rPr>
          <w:color w:val="000000"/>
          <w:sz w:val="24"/>
        </w:rPr>
        <w:t>::kan</w:t>
      </w:r>
      <w:r>
        <w:rPr>
          <w:color w:val="000000"/>
          <w:sz w:val="24"/>
        </w:rPr>
        <w:t>、</w:t>
      </w:r>
      <w:r>
        <w:rPr>
          <w:color w:val="000000"/>
          <w:sz w:val="24"/>
        </w:rPr>
        <w:t>Δ(</w:t>
      </w:r>
      <w:r>
        <w:rPr>
          <w:i/>
          <w:iCs/>
          <w:color w:val="000000"/>
          <w:sz w:val="24"/>
        </w:rPr>
        <w:t>trpA</w:t>
      </w:r>
      <w:r>
        <w:rPr>
          <w:color w:val="000000"/>
          <w:sz w:val="24"/>
        </w:rPr>
        <w:t>-</w:t>
      </w:r>
      <w:r>
        <w:rPr>
          <w:i/>
          <w:iCs/>
          <w:color w:val="000000"/>
          <w:sz w:val="24"/>
        </w:rPr>
        <w:t>trpB</w:t>
      </w:r>
      <w:r>
        <w:rPr>
          <w:color w:val="000000"/>
          <w:sz w:val="24"/>
        </w:rPr>
        <w:t>)::kan</w:t>
      </w:r>
      <w:r>
        <w:rPr>
          <w:color w:val="000000"/>
          <w:sz w:val="24"/>
        </w:rPr>
        <w:t>和</w:t>
      </w:r>
      <w:r>
        <w:rPr>
          <w:color w:val="000000"/>
          <w:sz w:val="24"/>
        </w:rPr>
        <w:t>Δ</w:t>
      </w:r>
      <w:r>
        <w:rPr>
          <w:i/>
          <w:iCs/>
          <w:color w:val="000000"/>
          <w:sz w:val="24"/>
        </w:rPr>
        <w:t>iaaH</w:t>
      </w:r>
      <w:r>
        <w:rPr>
          <w:color w:val="000000"/>
          <w:sz w:val="24"/>
        </w:rPr>
        <w:t>::kan</w:t>
      </w:r>
      <w:r>
        <w:rPr>
          <w:color w:val="000000"/>
          <w:sz w:val="24"/>
        </w:rPr>
        <w:t>的</w:t>
      </w:r>
      <w:r>
        <w:rPr>
          <w:color w:val="000000"/>
          <w:sz w:val="24"/>
        </w:rPr>
        <w:t>IAA</w:t>
      </w:r>
      <w:r>
        <w:rPr>
          <w:color w:val="000000"/>
          <w:sz w:val="24"/>
        </w:rPr>
        <w:t>产量降幅约为</w:t>
      </w:r>
      <w:r>
        <w:rPr>
          <w:color w:val="000000"/>
          <w:sz w:val="24"/>
        </w:rPr>
        <w:t>8%–9%</w:t>
      </w:r>
      <w:r>
        <w:rPr>
          <w:color w:val="000000"/>
          <w:sz w:val="24"/>
        </w:rPr>
        <w:t>，</w:t>
      </w:r>
      <w:r>
        <w:rPr>
          <w:color w:val="000000"/>
          <w:sz w:val="24"/>
        </w:rPr>
        <w:t>Δ</w:t>
      </w:r>
      <w:r>
        <w:rPr>
          <w:i/>
          <w:iCs/>
          <w:color w:val="000000"/>
          <w:sz w:val="24"/>
        </w:rPr>
        <w:t>patB</w:t>
      </w:r>
      <w:r>
        <w:rPr>
          <w:color w:val="000000"/>
          <w:sz w:val="24"/>
        </w:rPr>
        <w:t>::kan</w:t>
      </w:r>
      <w:r>
        <w:rPr>
          <w:color w:val="000000"/>
          <w:sz w:val="24"/>
        </w:rPr>
        <w:t>的平均降幅最大，达到</w:t>
      </w:r>
      <w:r>
        <w:rPr>
          <w:color w:val="000000"/>
          <w:sz w:val="24"/>
        </w:rPr>
        <w:t>19.29%</w:t>
      </w:r>
      <w:r>
        <w:rPr>
          <w:color w:val="000000"/>
          <w:sz w:val="24"/>
        </w:rPr>
        <w:t>。该结果说明</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和</w:t>
      </w:r>
      <w:r>
        <w:rPr>
          <w:i/>
          <w:iCs/>
          <w:color w:val="000000"/>
          <w:sz w:val="24"/>
        </w:rPr>
        <w:t>iaaH</w:t>
      </w:r>
      <w:r>
        <w:rPr>
          <w:color w:val="000000"/>
          <w:sz w:val="24"/>
        </w:rPr>
        <w:t>均可能参与</w:t>
      </w:r>
      <w:r>
        <w:rPr>
          <w:color w:val="000000"/>
          <w:sz w:val="24"/>
        </w:rPr>
        <w:t>PGP6</w:t>
      </w:r>
      <w:r>
        <w:rPr>
          <w:color w:val="000000"/>
          <w:sz w:val="24"/>
        </w:rPr>
        <w:t>的</w:t>
      </w:r>
      <w:r>
        <w:rPr>
          <w:color w:val="000000"/>
          <w:sz w:val="24"/>
        </w:rPr>
        <w:t>IAA</w:t>
      </w:r>
      <w:r>
        <w:rPr>
          <w:color w:val="000000"/>
          <w:sz w:val="24"/>
        </w:rPr>
        <w:t>合成或其前体代谢过程，但任一候选基因缺失均未完全阻断</w:t>
      </w:r>
      <w:r>
        <w:rPr>
          <w:color w:val="000000"/>
          <w:sz w:val="24"/>
        </w:rPr>
        <w:t>IAA</w:t>
      </w:r>
      <w:r>
        <w:rPr>
          <w:color w:val="000000"/>
          <w:sz w:val="24"/>
        </w:rPr>
        <w:t>产生，提示</w:t>
      </w:r>
      <w:r>
        <w:rPr>
          <w:color w:val="000000"/>
          <w:sz w:val="24"/>
        </w:rPr>
        <w:t>PGP6</w:t>
      </w:r>
      <w:r>
        <w:rPr>
          <w:color w:val="000000"/>
          <w:sz w:val="24"/>
        </w:rPr>
        <w:t>的</w:t>
      </w:r>
      <w:r>
        <w:rPr>
          <w:color w:val="000000"/>
          <w:sz w:val="24"/>
        </w:rPr>
        <w:t>IAA</w:t>
      </w:r>
      <w:r>
        <w:rPr>
          <w:color w:val="000000"/>
          <w:sz w:val="24"/>
        </w:rPr>
        <w:t>合成可能存在多基因协同调控或替代代谢途径。</w:t>
      </w:r>
    </w:p>
    <w:p w14:paraId="5559CCBB"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102" w:name="docfit_s001_Toc26660"/>
      <w:bookmarkStart w:id="103" w:name="docfit_s001_Toc4752"/>
      <w:bookmarkStart w:id="104" w:name="docfit_s001_Toc20746"/>
      <w:bookmarkStart w:id="105" w:name="_Toc236830383"/>
      <w:r>
        <w:rPr>
          <w:rFonts w:ascii="黑体" w:hAnsi="黑体" w:cs="黑体"/>
          <w:color w:val="000000"/>
          <w:szCs w:val="28"/>
        </w:rPr>
        <w:t xml:space="preserve">2 </w:t>
      </w:r>
      <w:r>
        <w:rPr>
          <w:rFonts w:ascii="黑体" w:hAnsi="黑体" w:cs="黑体"/>
          <w:color w:val="000000"/>
          <w:szCs w:val="28"/>
        </w:rPr>
        <w:t>实验的不足与创新性</w:t>
      </w:r>
      <w:bookmarkEnd w:id="102"/>
      <w:bookmarkEnd w:id="103"/>
      <w:bookmarkEnd w:id="104"/>
      <w:bookmarkEnd w:id="105"/>
    </w:p>
    <w:p w14:paraId="71100C08"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106" w:name="docfit_s001_Toc26129"/>
      <w:bookmarkStart w:id="107" w:name="docfit_s001_Toc1944"/>
      <w:bookmarkStart w:id="108" w:name="docfit_s001_Toc21530"/>
      <w:bookmarkStart w:id="109" w:name="_Toc236830384"/>
      <w:r>
        <w:rPr>
          <w:rFonts w:eastAsia="宋体"/>
          <w:color w:val="000000"/>
          <w:sz w:val="24"/>
        </w:rPr>
        <w:t xml:space="preserve">2.1 </w:t>
      </w:r>
      <w:r>
        <w:rPr>
          <w:rFonts w:eastAsia="宋体"/>
          <w:color w:val="000000"/>
          <w:sz w:val="24"/>
        </w:rPr>
        <w:t>实验的不足</w:t>
      </w:r>
      <w:bookmarkEnd w:id="106"/>
      <w:bookmarkEnd w:id="107"/>
      <w:bookmarkEnd w:id="108"/>
      <w:bookmarkEnd w:id="109"/>
    </w:p>
    <w:p w14:paraId="0FAA708B"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本研究仍存在一定不足。首先，</w:t>
      </w:r>
      <w:r>
        <w:rPr>
          <w:color w:val="000000"/>
          <w:sz w:val="24"/>
        </w:rPr>
        <w:t>IAA</w:t>
      </w:r>
      <w:r>
        <w:rPr>
          <w:color w:val="000000"/>
          <w:sz w:val="24"/>
        </w:rPr>
        <w:t>含量测定采用</w:t>
      </w:r>
      <w:r>
        <w:rPr>
          <w:color w:val="000000"/>
          <w:sz w:val="24"/>
        </w:rPr>
        <w:t>Salkowski</w:t>
      </w:r>
      <w:r>
        <w:rPr>
          <w:color w:val="000000"/>
          <w:sz w:val="24"/>
        </w:rPr>
        <w:t>比色法，该方法操作简便、适合初步筛选，但对吲哚类化合物的特异性有限，后续需结合高效液相色谱或液质联用技术对</w:t>
      </w:r>
      <w:r>
        <w:rPr>
          <w:color w:val="000000"/>
          <w:sz w:val="24"/>
        </w:rPr>
        <w:t>IAA</w:t>
      </w:r>
      <w:r>
        <w:rPr>
          <w:color w:val="000000"/>
          <w:sz w:val="24"/>
        </w:rPr>
        <w:t>进行更精确定量。其次，本研究已获得缺失突变株，但尚未构建相应互补菌株，因此对目标基因功能的归因仍需通过互补实验进一步确认。第三，</w:t>
      </w:r>
      <w:r>
        <w:rPr>
          <w:color w:val="000000"/>
          <w:sz w:val="24"/>
        </w:rPr>
        <w:t>IAA</w:t>
      </w:r>
      <w:r>
        <w:rPr>
          <w:color w:val="000000"/>
          <w:sz w:val="24"/>
        </w:rPr>
        <w:t>产量主要依据发酵上清液吸光值换算，尚未充分结合菌体生长量、细胞数或干重进行归一化处理，后续需要排除菌体生长差异对</w:t>
      </w:r>
      <w:r>
        <w:rPr>
          <w:color w:val="000000"/>
          <w:sz w:val="24"/>
        </w:rPr>
        <w:t>IAA</w:t>
      </w:r>
      <w:r>
        <w:rPr>
          <w:color w:val="000000"/>
          <w:sz w:val="24"/>
        </w:rPr>
        <w:t>产量比较的影响。仍需通过增加生物学重复、优化培养条件和开展时间梯度实验进一步验证。</w:t>
      </w:r>
    </w:p>
    <w:p w14:paraId="18AC2BB0" w14:textId="77777777" w:rsidR="00651B96" w:rsidRDefault="00721866">
      <w:pPr>
        <w:pStyle w:val="23"/>
        <w:autoSpaceDE w:val="0"/>
        <w:autoSpaceDN w:val="0"/>
        <w:spacing w:beforeLines="0" w:afterLines="0" w:line="400" w:lineRule="exact"/>
        <w:jc w:val="left"/>
        <w:outlineLvl w:val="2"/>
        <w:rPr>
          <w:rFonts w:ascii="宋体" w:eastAsia="宋体" w:hAnsi="宋体"/>
          <w:sz w:val="24"/>
        </w:rPr>
      </w:pPr>
      <w:bookmarkStart w:id="110" w:name="docfit_s001_Toc13135"/>
      <w:bookmarkStart w:id="111" w:name="docfit_s001_Toc16949"/>
      <w:bookmarkStart w:id="112" w:name="docfit_s001_Toc21474"/>
      <w:bookmarkStart w:id="113" w:name="_Toc236830385"/>
      <w:r>
        <w:rPr>
          <w:rFonts w:eastAsia="宋体"/>
          <w:color w:val="000000"/>
          <w:sz w:val="24"/>
        </w:rPr>
        <w:t xml:space="preserve">2.2 </w:t>
      </w:r>
      <w:r>
        <w:rPr>
          <w:rFonts w:eastAsia="宋体"/>
          <w:color w:val="000000"/>
          <w:sz w:val="24"/>
        </w:rPr>
        <w:t>实验的创新性</w:t>
      </w:r>
      <w:bookmarkEnd w:id="110"/>
      <w:bookmarkEnd w:id="111"/>
      <w:bookmarkEnd w:id="112"/>
      <w:bookmarkEnd w:id="113"/>
    </w:p>
    <w:p w14:paraId="2014B25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本研究的创新性主要体现在以下方面：一是以来源于重金属污染农田根际土壤的</w:t>
      </w:r>
      <w:r>
        <w:rPr>
          <w:color w:val="000000"/>
          <w:sz w:val="24"/>
        </w:rPr>
        <w:t>PGP6</w:t>
      </w:r>
      <w:r>
        <w:rPr>
          <w:color w:val="000000"/>
          <w:sz w:val="24"/>
        </w:rPr>
        <w:t>为对象，将</w:t>
      </w:r>
      <w:r>
        <w:rPr>
          <w:color w:val="000000"/>
          <w:sz w:val="24"/>
        </w:rPr>
        <w:t>IAA</w:t>
      </w:r>
      <w:r>
        <w:rPr>
          <w:color w:val="000000"/>
          <w:sz w:val="24"/>
        </w:rPr>
        <w:t>合成能力与候选功能基因的遗传学验证相结合，为解析该菌株促生机制提供了直接证据；二是建立了适用于</w:t>
      </w:r>
      <w:r>
        <w:rPr>
          <w:color w:val="000000"/>
          <w:sz w:val="24"/>
        </w:rPr>
        <w:t>PGP6</w:t>
      </w:r>
      <w:r>
        <w:rPr>
          <w:color w:val="000000"/>
          <w:sz w:val="24"/>
        </w:rPr>
        <w:t>的抗生素筛选条件和</w:t>
      </w:r>
      <w:r>
        <w:rPr>
          <w:color w:val="000000"/>
          <w:sz w:val="24"/>
        </w:rPr>
        <w:t>λ-Red</w:t>
      </w:r>
      <w:r>
        <w:rPr>
          <w:color w:val="000000"/>
          <w:sz w:val="24"/>
        </w:rPr>
        <w:t>同源重组操作流程，并成功获</w:t>
      </w:r>
      <w:r>
        <w:rPr>
          <w:color w:val="000000"/>
          <w:sz w:val="24"/>
        </w:rPr>
        <w:lastRenderedPageBreak/>
        <w:t>得多个</w:t>
      </w:r>
      <w:r>
        <w:rPr>
          <w:color w:val="000000"/>
          <w:sz w:val="24"/>
        </w:rPr>
        <w:t>IAA</w:t>
      </w:r>
      <w:r>
        <w:rPr>
          <w:color w:val="000000"/>
          <w:sz w:val="24"/>
        </w:rPr>
        <w:t>合成候选基因缺失突变株；三是同时比较</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和</w:t>
      </w:r>
      <w:r>
        <w:rPr>
          <w:i/>
          <w:iCs/>
          <w:color w:val="000000"/>
          <w:sz w:val="24"/>
        </w:rPr>
        <w:t>iaaH</w:t>
      </w:r>
      <w:r>
        <w:rPr>
          <w:color w:val="000000"/>
          <w:sz w:val="24"/>
        </w:rPr>
        <w:t>缺失对</w:t>
      </w:r>
      <w:r>
        <w:rPr>
          <w:color w:val="000000"/>
          <w:sz w:val="24"/>
        </w:rPr>
        <w:t>IAA</w:t>
      </w:r>
      <w:r>
        <w:rPr>
          <w:color w:val="000000"/>
          <w:sz w:val="24"/>
        </w:rPr>
        <w:t>产量的影响，为判断</w:t>
      </w:r>
      <w:r>
        <w:rPr>
          <w:color w:val="000000"/>
          <w:sz w:val="24"/>
        </w:rPr>
        <w:t>PGP6</w:t>
      </w:r>
      <w:r>
        <w:rPr>
          <w:color w:val="000000"/>
          <w:sz w:val="24"/>
        </w:rPr>
        <w:t>中不同代谢节点对</w:t>
      </w:r>
      <w:r>
        <w:rPr>
          <w:color w:val="000000"/>
          <w:sz w:val="24"/>
        </w:rPr>
        <w:t>IAA</w:t>
      </w:r>
      <w:r>
        <w:rPr>
          <w:color w:val="000000"/>
          <w:sz w:val="24"/>
        </w:rPr>
        <w:t>合成的贡献提供了实验依据。</w:t>
      </w:r>
    </w:p>
    <w:p w14:paraId="550A7E4F" w14:textId="77777777" w:rsidR="00651B96" w:rsidRDefault="00721866">
      <w:pPr>
        <w:pStyle w:val="23"/>
        <w:autoSpaceDE w:val="0"/>
        <w:autoSpaceDN w:val="0"/>
        <w:spacing w:beforeLines="0" w:afterLines="0" w:line="400" w:lineRule="exact"/>
        <w:jc w:val="left"/>
        <w:outlineLvl w:val="1"/>
        <w:rPr>
          <w:rFonts w:ascii="黑体" w:hAnsi="黑体"/>
          <w:szCs w:val="28"/>
        </w:rPr>
      </w:pPr>
      <w:bookmarkStart w:id="114" w:name="docfit_s001_Toc18580"/>
      <w:bookmarkStart w:id="115" w:name="docfit_s001_Toc20383"/>
      <w:bookmarkStart w:id="116" w:name="docfit_s001_Toc22912"/>
      <w:bookmarkStart w:id="117" w:name="_Toc236830386"/>
      <w:r>
        <w:rPr>
          <w:rFonts w:ascii="黑体" w:hAnsi="黑体" w:cs="黑体"/>
          <w:color w:val="000000"/>
          <w:szCs w:val="28"/>
        </w:rPr>
        <w:t xml:space="preserve">3 </w:t>
      </w:r>
      <w:r>
        <w:rPr>
          <w:rFonts w:ascii="黑体" w:hAnsi="黑体" w:cs="黑体"/>
          <w:color w:val="000000"/>
          <w:szCs w:val="28"/>
        </w:rPr>
        <w:t>展望</w:t>
      </w:r>
      <w:bookmarkEnd w:id="114"/>
      <w:bookmarkEnd w:id="115"/>
      <w:bookmarkEnd w:id="116"/>
      <w:bookmarkEnd w:id="117"/>
    </w:p>
    <w:p w14:paraId="0E9C7A37"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后续研究可从以下几个方面进一步深化。首先，应构建目标基因互补菌株及无抗性标记的缺失突变株，通过</w:t>
      </w:r>
      <w:r>
        <w:rPr>
          <w:color w:val="000000"/>
          <w:sz w:val="24"/>
        </w:rPr>
        <w:t>“</w:t>
      </w:r>
      <w:r>
        <w:rPr>
          <w:color w:val="000000"/>
          <w:sz w:val="24"/>
        </w:rPr>
        <w:t>缺失</w:t>
      </w:r>
      <w:r>
        <w:rPr>
          <w:color w:val="000000"/>
          <w:sz w:val="24"/>
        </w:rPr>
        <w:t>—</w:t>
      </w:r>
      <w:r>
        <w:rPr>
          <w:color w:val="000000"/>
          <w:sz w:val="24"/>
        </w:rPr>
        <w:t>互补</w:t>
      </w:r>
      <w:r>
        <w:rPr>
          <w:color w:val="000000"/>
          <w:sz w:val="24"/>
        </w:rPr>
        <w:t>”</w:t>
      </w:r>
      <w:r>
        <w:rPr>
          <w:color w:val="000000"/>
          <w:sz w:val="24"/>
        </w:rPr>
        <w:t>体系进一步验证</w:t>
      </w:r>
      <w:r>
        <w:rPr>
          <w:i/>
          <w:iCs/>
          <w:color w:val="000000"/>
          <w:sz w:val="24"/>
        </w:rPr>
        <w:t>trpA</w:t>
      </w:r>
      <w:r>
        <w:rPr>
          <w:color w:val="000000"/>
          <w:sz w:val="24"/>
        </w:rPr>
        <w:t>、</w:t>
      </w:r>
      <w:r>
        <w:rPr>
          <w:i/>
          <w:iCs/>
          <w:color w:val="000000"/>
          <w:sz w:val="24"/>
        </w:rPr>
        <w:t>trpB</w:t>
      </w:r>
      <w:r>
        <w:rPr>
          <w:color w:val="000000"/>
          <w:sz w:val="24"/>
        </w:rPr>
        <w:t>、</w:t>
      </w:r>
      <w:r>
        <w:rPr>
          <w:i/>
          <w:iCs/>
          <w:color w:val="000000"/>
          <w:sz w:val="24"/>
        </w:rPr>
        <w:t>patB</w:t>
      </w:r>
      <w:r>
        <w:rPr>
          <w:color w:val="000000"/>
          <w:sz w:val="24"/>
        </w:rPr>
        <w:t>及</w:t>
      </w:r>
      <w:r>
        <w:rPr>
          <w:i/>
          <w:iCs/>
          <w:color w:val="000000"/>
          <w:sz w:val="24"/>
        </w:rPr>
        <w:t>iaaH</w:t>
      </w:r>
      <w:r>
        <w:rPr>
          <w:color w:val="000000"/>
          <w:sz w:val="24"/>
        </w:rPr>
        <w:t>对</w:t>
      </w:r>
      <w:r>
        <w:rPr>
          <w:color w:val="000000"/>
          <w:sz w:val="24"/>
        </w:rPr>
        <w:t>IAA</w:t>
      </w:r>
      <w:r>
        <w:rPr>
          <w:color w:val="000000"/>
          <w:sz w:val="24"/>
        </w:rPr>
        <w:t>合成的真实贡献。其次，可采用</w:t>
      </w:r>
      <w:r>
        <w:rPr>
          <w:color w:val="000000"/>
          <w:sz w:val="24"/>
        </w:rPr>
        <w:t>HPLC</w:t>
      </w:r>
      <w:r>
        <w:rPr>
          <w:color w:val="000000"/>
          <w:sz w:val="24"/>
        </w:rPr>
        <w:t>或</w:t>
      </w:r>
      <w:r>
        <w:rPr>
          <w:color w:val="000000"/>
          <w:sz w:val="24"/>
        </w:rPr>
        <w:t>LC-MS/MS</w:t>
      </w:r>
      <w:r>
        <w:rPr>
          <w:color w:val="000000"/>
          <w:sz w:val="24"/>
        </w:rPr>
        <w:t>定量</w:t>
      </w:r>
      <w:r>
        <w:rPr>
          <w:color w:val="000000"/>
          <w:sz w:val="24"/>
        </w:rPr>
        <w:t>IAA</w:t>
      </w:r>
      <w:r>
        <w:rPr>
          <w:color w:val="000000"/>
          <w:sz w:val="24"/>
        </w:rPr>
        <w:t>及其代谢中间产物，结合转录组、代谢组或同位素示踪分析，系统解析</w:t>
      </w:r>
      <w:r>
        <w:rPr>
          <w:color w:val="000000"/>
          <w:sz w:val="24"/>
        </w:rPr>
        <w:t>PGP6</w:t>
      </w:r>
      <w:r>
        <w:rPr>
          <w:color w:val="000000"/>
          <w:sz w:val="24"/>
        </w:rPr>
        <w:t>中</w:t>
      </w:r>
      <w:r>
        <w:rPr>
          <w:color w:val="000000"/>
          <w:sz w:val="24"/>
        </w:rPr>
        <w:t>IAA</w:t>
      </w:r>
      <w:r>
        <w:rPr>
          <w:color w:val="000000"/>
          <w:sz w:val="24"/>
        </w:rPr>
        <w:t>合成通路及关键代谢流向。第三，可在外源色氨酸浓度梯度、培养时间梯度及重金属胁迫条件下比较野生型与突变株的</w:t>
      </w:r>
      <w:r>
        <w:rPr>
          <w:color w:val="000000"/>
          <w:sz w:val="24"/>
        </w:rPr>
        <w:t>IAA</w:t>
      </w:r>
      <w:r>
        <w:rPr>
          <w:color w:val="000000"/>
          <w:sz w:val="24"/>
        </w:rPr>
        <w:t>产量，以明确相关基因在不同环境条件下的调控作用。第四，应进一步开展植物接种实验，比较各突变株对水稻、龙葵等宿主植物根系构型、抗氧化能力和重金属耐受性的影响，从而将细菌</w:t>
      </w:r>
      <w:r>
        <w:rPr>
          <w:color w:val="000000"/>
          <w:sz w:val="24"/>
        </w:rPr>
        <w:t>IAA</w:t>
      </w:r>
      <w:r>
        <w:rPr>
          <w:color w:val="000000"/>
          <w:sz w:val="24"/>
        </w:rPr>
        <w:t>合成基因功能与植物促生表型直接关联。最终，可在明确关键功能基因和安全性的基础上，推动</w:t>
      </w:r>
      <w:r>
        <w:rPr>
          <w:color w:val="000000"/>
          <w:sz w:val="24"/>
        </w:rPr>
        <w:t>PGP6</w:t>
      </w:r>
      <w:r>
        <w:rPr>
          <w:color w:val="000000"/>
          <w:sz w:val="24"/>
        </w:rPr>
        <w:t>及其改良菌株在植物促生菌剂和重金属污染土壤植物</w:t>
      </w:r>
      <w:r>
        <w:rPr>
          <w:color w:val="000000"/>
          <w:sz w:val="24"/>
        </w:rPr>
        <w:t>-</w:t>
      </w:r>
      <w:r>
        <w:rPr>
          <w:color w:val="000000"/>
          <w:sz w:val="24"/>
        </w:rPr>
        <w:t>微生物联合修复中的应用。</w:t>
      </w:r>
    </w:p>
    <w:p w14:paraId="24093778" w14:textId="77777777"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37"/>
          <w:pgSz w:w="11906" w:h="16838" w:code="9"/>
          <w:pgMar w:top="1134" w:right="1134" w:bottom="1134" w:left="1134" w:header="850" w:footer="992" w:gutter="0"/>
          <w:cols w:space="425"/>
          <w:docGrid w:linePitch="312"/>
        </w:sectPr>
      </w:pPr>
      <w:r>
        <w:br w:type="page"/>
      </w:r>
    </w:p>
    <w:p w14:paraId="10A1C5DF" w14:textId="77777777" w:rsidR="00300069" w:rsidRPr="00D515D0" w:rsidRDefault="00300069" w:rsidP="00FF0BC2">
      <w:pPr>
        <w:pStyle w:val="1"/>
        <w:spacing w:before="480" w:after="360" w:line="400" w:lineRule="exact"/>
      </w:pPr>
      <w:bookmarkStart w:id="118" w:name="_Toc236830387"/>
      <w:r>
        <w:rPr>
          <w:rFonts w:hint="eastAsia"/>
          <w:color w:val="000000"/>
        </w:rPr>
        <w:lastRenderedPageBreak/>
        <w:t>参考文献</w:t>
      </w:r>
      <w:bookmarkEnd w:id="118"/>
    </w:p>
    <w:p w14:paraId="2930B63C"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19" w:name="docfit_s001_Ref145"/>
      <w:bookmarkStart w:id="120" w:name="docfit_ref_1"/>
      <w:r>
        <w:rPr>
          <w:color w:val="000000"/>
          <w:sz w:val="24"/>
        </w:rPr>
        <w:t>Kloepper J W, Schroth M N. Plant growth-promoting rhizobacteria on radishes[A]//Proceedings of the 4th International Conference on Plant Pathogenic Bacteria[C]. Angers: INRA, 1978: 879-882.</w:t>
      </w:r>
      <w:bookmarkEnd w:id="119"/>
      <w:bookmarkEnd w:id="120"/>
    </w:p>
    <w:p w14:paraId="4CCBD471"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21" w:name="docfit_s001_Ref1840"/>
      <w:bookmarkStart w:id="122" w:name="docfit_ref_2"/>
      <w:r>
        <w:rPr>
          <w:color w:val="000000"/>
          <w:sz w:val="24"/>
        </w:rPr>
        <w:t>Lugtenberg B, Kamilova F. Plant-growth-promoting rhizobacteria[J]. Annual Review of Microbiology, 2009, 63: 541-556. DOI:10.1146/annurev.micro.62.081307.162918.</w:t>
      </w:r>
      <w:bookmarkEnd w:id="121"/>
      <w:bookmarkEnd w:id="122"/>
    </w:p>
    <w:p w14:paraId="42A1D92E"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23" w:name="docfit_s001_Ref1964"/>
      <w:bookmarkStart w:id="124" w:name="docfit_ref_3"/>
      <w:r>
        <w:rPr>
          <w:color w:val="000000"/>
          <w:sz w:val="24"/>
        </w:rPr>
        <w:t>Pii Y, Mimmo T, Tomasi N, et al. Microbial interactions in the rhizosphere: beneficial influences of plant growth-promoting rhizobacteria on nutrient acquisition process: a review[J]. Biology and Fertility of Soils, 2015, 51(4): 403-415. DOI:10.1007/s00374-015-0996-1.</w:t>
      </w:r>
      <w:bookmarkEnd w:id="123"/>
      <w:bookmarkEnd w:id="124"/>
    </w:p>
    <w:p w14:paraId="5615834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25" w:name="docfit_s001_Ref2104"/>
      <w:bookmarkStart w:id="126" w:name="docfit_ref_4"/>
      <w:r>
        <w:rPr>
          <w:color w:val="000000"/>
          <w:sz w:val="24"/>
        </w:rPr>
        <w:t>Zhang P, Jin T, Sahu S K, et al. The distribution of tryptophan-dependent indole-3-acetic acid synthesis pathways in bacteria unraveled by large-scale genomic analysis[J]. Molecules, 2019, 24(7): 1411. DOI:10.3390/molecules24071411.</w:t>
      </w:r>
      <w:bookmarkEnd w:id="125"/>
      <w:bookmarkEnd w:id="126"/>
    </w:p>
    <w:p w14:paraId="125A95F6"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27" w:name="docfit_s001_Ref2300"/>
      <w:bookmarkStart w:id="128" w:name="docfit_ref_5"/>
      <w:r>
        <w:rPr>
          <w:color w:val="000000"/>
          <w:sz w:val="24"/>
        </w:rPr>
        <w:t>Glick B R. Bacteria with ACC deaminase can promote plant growth and help to feed the world[J]. Microbiological Research, 2014, 169(1): 30-39. DOI:10.1016/j.micres.2013.09.009.</w:t>
      </w:r>
      <w:bookmarkEnd w:id="127"/>
      <w:bookmarkEnd w:id="128"/>
    </w:p>
    <w:p w14:paraId="3837BD4F"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29" w:name="docfit_s001_Ref2447"/>
      <w:bookmarkStart w:id="130" w:name="docfit_ref_6"/>
      <w:r>
        <w:rPr>
          <w:color w:val="000000"/>
          <w:sz w:val="24"/>
        </w:rPr>
        <w:t>Meena K R, Kanwar S S. Lipopeptides as the antifungal and antibacterial agents: applications in food safety and therapeutics[J]. BioMed Research International, 2015, 2015: 473050. DOI:10.1155/2015/473050.</w:t>
      </w:r>
      <w:bookmarkEnd w:id="129"/>
      <w:bookmarkEnd w:id="130"/>
    </w:p>
    <w:p w14:paraId="4D66495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31" w:name="docfit_s001_Ref2561"/>
      <w:bookmarkStart w:id="132" w:name="docfit_ref_7"/>
      <w:r>
        <w:rPr>
          <w:color w:val="000000"/>
          <w:sz w:val="24"/>
        </w:rPr>
        <w:t>Zhu L, Huang J, Lu X, et al. Development of plant systemic resistance by beneficial rhizobacteria: recognition, initiation, elicitation and regulation[J]. Frontiers in Plant Science, 2022, 13: 952397. DOI:10.3389/fpls.2022.952397.</w:t>
      </w:r>
      <w:bookmarkEnd w:id="131"/>
      <w:bookmarkEnd w:id="132"/>
    </w:p>
    <w:p w14:paraId="6818F0BD"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33" w:name="docfit_s001_Ref2636"/>
      <w:bookmarkStart w:id="134" w:name="docfit_ref_8"/>
      <w:r>
        <w:rPr>
          <w:color w:val="000000"/>
          <w:sz w:val="24"/>
        </w:rPr>
        <w:t>Fatima S, Anjum T. Identification of a potential ISR determinant from Pseudomonas aeruginosa PM12 against Fusarium wilt in tomato[J]. Frontiers in Plant Science, 2017, 8: 848. DOI:10.3389/fpls.2017.00848.</w:t>
      </w:r>
      <w:bookmarkEnd w:id="133"/>
      <w:bookmarkEnd w:id="134"/>
    </w:p>
    <w:p w14:paraId="1FD863D8"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35" w:name="docfit_s001_Ref2725"/>
      <w:bookmarkStart w:id="136" w:name="docfit_ref_9"/>
      <w:r>
        <w:rPr>
          <w:color w:val="000000"/>
          <w:sz w:val="24"/>
        </w:rPr>
        <w:t>Gu S, Wei Z, Shao Z, et al. Competition for iron drives phytopathogen control by natural rhizosphere microbiomes[J]. Nature Microbiology, 2020, 5(8): 1002-1010. DOI:10.1038/s41564-020-0719-8.</w:t>
      </w:r>
      <w:bookmarkEnd w:id="135"/>
      <w:bookmarkEnd w:id="136"/>
    </w:p>
    <w:p w14:paraId="4B7B1F7F"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37" w:name="docfit_s001_Ref2816"/>
      <w:bookmarkStart w:id="138" w:name="docfit_ref_10"/>
      <w:r>
        <w:rPr>
          <w:color w:val="000000"/>
          <w:sz w:val="24"/>
        </w:rPr>
        <w:lastRenderedPageBreak/>
        <w:t>Duchateau S, Crouzet J, Dorey S, et al. The plant-associated Pantoea spp. as biocontrol agents: mechanisms and diversity of bacteria-produced metabolites as a prospective tool for plant protection[J]. Biological Control, 2024, 188: 105441. DOI:10.1016/j.biocontrol.2024.105441.</w:t>
      </w:r>
      <w:bookmarkEnd w:id="137"/>
      <w:bookmarkEnd w:id="138"/>
    </w:p>
    <w:p w14:paraId="4D7436A9"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39" w:name="docfit_s001_Ref2871"/>
      <w:bookmarkStart w:id="140" w:name="docfit_ref_11"/>
      <w:r>
        <w:rPr>
          <w:color w:val="000000"/>
          <w:sz w:val="24"/>
        </w:rPr>
        <w:t>Li L, Chen R, Zuo Z, et al. Evaluation and improvement of phosphate solubilization by an isolated bacterium Pantoea agglomerans ZB[J]. World Journal of Microbiology and Biotechnology, 2020, 36(2): 27. DOI:10.1007/s11274-019-2744-4.</w:t>
      </w:r>
      <w:bookmarkEnd w:id="139"/>
      <w:bookmarkEnd w:id="140"/>
    </w:p>
    <w:p w14:paraId="7E61BDF8"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41" w:name="docfit_s001_Ref2940"/>
      <w:bookmarkStart w:id="142" w:name="docfit_ref_12"/>
      <w:r>
        <w:rPr>
          <w:color w:val="000000"/>
          <w:sz w:val="24"/>
        </w:rPr>
        <w:t>Suleimanova A, Bulmakova D, Sokolnikova L, et al. Phosphate solubilization and plant growth promotion by Pantoea brenneri soil isolates[J]. Microorganisms, 2023, 11(5): 1136. DOI:10.3390/microorganisms11051136.</w:t>
      </w:r>
      <w:bookmarkEnd w:id="141"/>
      <w:bookmarkEnd w:id="142"/>
    </w:p>
    <w:p w14:paraId="06C1C55D"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43" w:name="docfit_s001_Ref3022"/>
      <w:bookmarkStart w:id="144" w:name="docfit_ref_13"/>
      <w:r>
        <w:rPr>
          <w:color w:val="000000"/>
          <w:sz w:val="24"/>
        </w:rPr>
        <w:t>Luziatelli F, Gatti L, Ficca A G, et al. Metabolites secreted by a plant-growth-promoting Pantoea agglomerans strain improved rooting of Pyrus communis L. cv Dar Gazi cuttings[J]. Frontiers in Microbiology, 2020, 11: 539359. DOI:10.3389/fmicb.2020.539359.</w:t>
      </w:r>
      <w:bookmarkEnd w:id="143"/>
      <w:bookmarkEnd w:id="144"/>
    </w:p>
    <w:p w14:paraId="52BD3469"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45" w:name="docfit_ref_14"/>
      <w:r>
        <w:rPr>
          <w:color w:val="000000"/>
          <w:sz w:val="24"/>
        </w:rPr>
        <w:t>Estenson K N, Hurst G B, Standaert R F, et al. Characterization of indole-3-acetic acid biosynthesis and the effects of this phytohormone on the proteome of the plant-associated microbe Pantoea sp. YR343[J]. Journal of Proteome Research, 2018, 17(4): 1361-1374. DOI:10.1021/acs.jproteome.7b00708.</w:t>
      </w:r>
      <w:bookmarkEnd w:id="145"/>
    </w:p>
    <w:p w14:paraId="3F907FC1"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46" w:name="docfit_s001_Ref3205"/>
      <w:bookmarkStart w:id="147" w:name="docfit_ref_15"/>
      <w:r>
        <w:rPr>
          <w:color w:val="000000"/>
          <w:sz w:val="24"/>
        </w:rPr>
        <w:t>Kulkarni G B, Nayak A S, Sajjan S S, et al. Indole-3-acetic acid biosynthetic pathway and aromatic amino acid aminotransferase activities in Pantoea dispersa strain GPK[J]. Letters in Applied Microbiology, 2013, 56(5): 340-347. DOI:10.1111/lam.12053.</w:t>
      </w:r>
      <w:bookmarkEnd w:id="146"/>
      <w:bookmarkEnd w:id="147"/>
    </w:p>
    <w:p w14:paraId="2581E043"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48" w:name="docfit_s001_Ref3293"/>
      <w:bookmarkStart w:id="149" w:name="docfit_ref_16"/>
      <w:r>
        <w:rPr>
          <w:color w:val="000000"/>
          <w:sz w:val="24"/>
        </w:rPr>
        <w:t>Yamada T, Palm C J, Brooks B, et al. Nucleotide sequences of the Pseudomonas savastanoi indoleacetic acid genes show homology with Agrobacterium tumefaciens T-DNA[J]. Proceedings of the National Academy of Sciences of the United States of America, 1985, 82(19): 6522-6526. DOI:10.1073/pnas.82.19.6522.</w:t>
      </w:r>
      <w:bookmarkEnd w:id="148"/>
      <w:bookmarkEnd w:id="149"/>
    </w:p>
    <w:p w14:paraId="02853951"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50" w:name="docfit_s001_Ref3358"/>
      <w:bookmarkStart w:id="151" w:name="docfit_ref_17"/>
      <w:r>
        <w:rPr>
          <w:color w:val="000000"/>
          <w:sz w:val="24"/>
        </w:rPr>
        <w:t>Etesami H, Glick B R. Bacterial indole-3-acetic acid: a key regulator for plant growth, plant-microbe interactions, and agricultural adaptive resilience[J]. Microbiological Research, 2024, 281: 127602. DOI:10.1016/j.micres.2024.127602.</w:t>
      </w:r>
      <w:bookmarkEnd w:id="150"/>
      <w:bookmarkEnd w:id="151"/>
    </w:p>
    <w:p w14:paraId="4BF49D22"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52" w:name="docfit_ref_18"/>
      <w:r>
        <w:rPr>
          <w:color w:val="000000"/>
          <w:sz w:val="24"/>
        </w:rPr>
        <w:t>Xu X, Dou Y, Zhao S, et al. Rhizosphere microbes enhance plant resistance to cadmium through a root ROS-microbial IAA-root DNA methylation interkingdom signaling pathway[J]. Cell Reports, 2025, 44(11): 116491. DOI:10.1016/j.celrep.2025.116491.</w:t>
      </w:r>
      <w:bookmarkEnd w:id="152"/>
    </w:p>
    <w:p w14:paraId="023D10D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53" w:name="docfit_s001_Ref1611"/>
      <w:bookmarkStart w:id="154" w:name="docfit_ref_19"/>
      <w:r>
        <w:rPr>
          <w:color w:val="000000"/>
          <w:sz w:val="24"/>
        </w:rPr>
        <w:lastRenderedPageBreak/>
        <w:t>Vessey J K. Plant growth promoting rhizobacteria as biofertilizers[J]. Plant and Soil, 2003, 255(2): 571-586. DOI:10.1023/A:1026037216893.</w:t>
      </w:r>
      <w:bookmarkEnd w:id="153"/>
      <w:bookmarkEnd w:id="154"/>
    </w:p>
    <w:p w14:paraId="7BBC2A19"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55" w:name="docfit_s001_Ref1627"/>
      <w:bookmarkStart w:id="156" w:name="docfit_ref_20"/>
      <w:r>
        <w:rPr>
          <w:color w:val="000000"/>
          <w:sz w:val="24"/>
        </w:rPr>
        <w:t>Bhattacharyya P N, Jha D K. Plant growth-promoting rhizobacteria (PGPR): emergence in agriculture[J]. World Journal of Microbiology and Biotechnology, 2012, 28(4): 1327-1350. DOI:10.1007/s11274-011-0979-9.</w:t>
      </w:r>
      <w:bookmarkEnd w:id="155"/>
      <w:bookmarkEnd w:id="156"/>
    </w:p>
    <w:p w14:paraId="7CA7F60B"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57" w:name="docfit_s001_Ref1634"/>
      <w:bookmarkStart w:id="158" w:name="docfit_ref_21"/>
      <w:r>
        <w:rPr>
          <w:color w:val="000000"/>
          <w:sz w:val="24"/>
        </w:rPr>
        <w:t>Olanrewaju O S, Glick B R, Babalola O O. Mechanisms of action of plant growth promoting bacteria[J]. World Journal of Microbiology and Biotechnology, 2017, 33(11): 197. DOI:10.1007/s11274-017-2364-9.</w:t>
      </w:r>
      <w:bookmarkEnd w:id="157"/>
      <w:bookmarkEnd w:id="158"/>
    </w:p>
    <w:p w14:paraId="52970998"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59" w:name="docfit_s001_Ref1637"/>
      <w:bookmarkStart w:id="160" w:name="docfit_ref_22"/>
      <w:r>
        <w:rPr>
          <w:color w:val="000000"/>
          <w:sz w:val="24"/>
        </w:rPr>
        <w:t>Backer R, Rokem J S, Ilangumaran G, et al. Plant growth-promoting rhizobacteria: context, mechanisms of action, and roadmap to commercialization of biostimulants for sustainable agriculture[J]. Frontiers in Plant Science, 2018, 9: 1473. DOI:10.3389/fpls.2018.01473.</w:t>
      </w:r>
      <w:bookmarkEnd w:id="159"/>
      <w:bookmarkEnd w:id="160"/>
    </w:p>
    <w:p w14:paraId="0757E0F7"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61" w:name="docfit_s001_Ref1640"/>
      <w:bookmarkStart w:id="162" w:name="docfit_ref_23"/>
      <w:r>
        <w:rPr>
          <w:color w:val="000000"/>
          <w:sz w:val="24"/>
        </w:rPr>
        <w:t>Glick B R. Plant growth-promoting bacteria: mechanisms and applications[J]. Scientifica, 2012, 2012: 963401. DOI:10.6064/2012/963401.</w:t>
      </w:r>
      <w:bookmarkEnd w:id="161"/>
      <w:bookmarkEnd w:id="162"/>
    </w:p>
    <w:p w14:paraId="515E27E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63" w:name="docfit_s001_Ref2231"/>
      <w:bookmarkStart w:id="164" w:name="docfit_ref_24"/>
      <w:r>
        <w:rPr>
          <w:color w:val="000000"/>
          <w:sz w:val="24"/>
        </w:rPr>
        <w:t>Spaepen S, Vanderleyden J. Auxin and plant-microbe interactions[J]. Cold Spring Harbor Perspectives in Biology, 2011, 3(4): a001438. DOI:10.1101/cshperspect.a001438.</w:t>
      </w:r>
      <w:bookmarkEnd w:id="163"/>
      <w:bookmarkEnd w:id="164"/>
    </w:p>
    <w:p w14:paraId="242E2117"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65" w:name="docfit_s001_Ref2238"/>
      <w:bookmarkStart w:id="166" w:name="docfit_ref_25"/>
      <w:r>
        <w:rPr>
          <w:color w:val="000000"/>
          <w:sz w:val="24"/>
        </w:rPr>
        <w:t>Spaepen S, Vanderleyden J, Remans R. Indole-3-acetic acid in microbial and microorganism-plant signaling[J]. FEMS Microbiology Reviews, 2007, 31(4): 425-448. DOI:10.1111/j.1574-6976.2007.00072.x.</w:t>
      </w:r>
      <w:bookmarkEnd w:id="165"/>
      <w:bookmarkEnd w:id="166"/>
    </w:p>
    <w:p w14:paraId="18B8241C"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67" w:name="docfit_s001_Ref2241"/>
      <w:bookmarkStart w:id="168" w:name="docfit_ref_26"/>
      <w:r>
        <w:rPr>
          <w:color w:val="000000"/>
          <w:sz w:val="24"/>
        </w:rPr>
        <w:t>Patten C L, Glick B R. Bacterial biosynthesis of indole-3-acetic acid[J]. Canadian Journal of Microbiology, 1996, 42(3): 207-220. DOI:10.1139/m96-032.</w:t>
      </w:r>
      <w:bookmarkEnd w:id="167"/>
      <w:bookmarkEnd w:id="168"/>
    </w:p>
    <w:p w14:paraId="6B4DF4D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69" w:name="docfit_s001_Ref2244"/>
      <w:bookmarkStart w:id="170" w:name="docfit_ref_27"/>
      <w:r>
        <w:rPr>
          <w:color w:val="000000"/>
          <w:sz w:val="24"/>
        </w:rPr>
        <w:t>Duca D, Lorv J, Patten C L, et al. Indole-3-acetic acid in plant-microbe interactions[J]. Antonie van Leeuwenhoek, 2014, 106(1): 85-125. DOI:10.1007/s10482-013-0095-y.</w:t>
      </w:r>
      <w:bookmarkEnd w:id="169"/>
      <w:bookmarkEnd w:id="170"/>
    </w:p>
    <w:p w14:paraId="28B72F41"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71" w:name="docfit_s001_Ref2251"/>
      <w:bookmarkStart w:id="172" w:name="docfit_ref_28"/>
      <w:r>
        <w:rPr>
          <w:color w:val="000000"/>
          <w:sz w:val="24"/>
        </w:rPr>
        <w:t>Costacurta A, Vanderleyden J. Synthesis of phytohormones by plant-associated bacteria[J]. Critical Reviews in Microbiology, 1995, 21(1): 1-18. DOI:10.3109/10408419509113531.</w:t>
      </w:r>
      <w:bookmarkEnd w:id="171"/>
      <w:bookmarkEnd w:id="172"/>
    </w:p>
    <w:p w14:paraId="169CA536"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73" w:name="docfit_s001_Ref3097"/>
      <w:bookmarkStart w:id="174" w:name="docfit_ref_29"/>
      <w:r>
        <w:rPr>
          <w:color w:val="000000"/>
          <w:sz w:val="24"/>
        </w:rPr>
        <w:t>Walterson A M, Stavrinides J. Pantoea: insights into a highly versatile and diverse genus within the Enterobacteriaceae[J]. FEMS Microbiology Reviews, 2015, 39(6): 968-984. DOI:10.1093/femsre/fuv027.</w:t>
      </w:r>
      <w:bookmarkEnd w:id="173"/>
      <w:bookmarkEnd w:id="174"/>
    </w:p>
    <w:p w14:paraId="127ABEDE"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75" w:name="docfit_s001_Ref3100"/>
      <w:bookmarkStart w:id="176" w:name="docfit_ref_30"/>
      <w:r>
        <w:rPr>
          <w:color w:val="000000"/>
          <w:sz w:val="24"/>
        </w:rPr>
        <w:lastRenderedPageBreak/>
        <w:t>Dutkiewicz J, Mackiewicz B, Lemieszek M K, et al. Pantoea agglomerans: a mysterious bacterium of evil and good. Part IV. Beneficial effects[J]. Annals of Agricultural and Environmental Medicine, 2016, 23(2): 206-222. DOI:10.5604/12321966.1203879.</w:t>
      </w:r>
      <w:bookmarkEnd w:id="175"/>
      <w:bookmarkEnd w:id="176"/>
    </w:p>
    <w:p w14:paraId="09F9119C"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77" w:name="docfit_s001_Ref3103"/>
      <w:bookmarkStart w:id="178" w:name="docfit_ref_31"/>
      <w:r>
        <w:rPr>
          <w:color w:val="000000"/>
          <w:sz w:val="24"/>
        </w:rPr>
        <w:t>Rezzonico F, Smits T H M, Montesinos E, et al. Genotypic comparison of Pantoea agglomerans plant and clinical strains to address biosafety and taxonomic issues[J]. BMC Microbiology, 2009, 9: 204. DOI:10.1186/1471-2180-9-204.</w:t>
      </w:r>
      <w:bookmarkEnd w:id="177"/>
      <w:bookmarkEnd w:id="178"/>
    </w:p>
    <w:p w14:paraId="332541AC"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79" w:name="docfit_s001_Ref3107"/>
      <w:bookmarkStart w:id="180" w:name="docfit_ref_32"/>
      <w:r>
        <w:rPr>
          <w:color w:val="000000"/>
          <w:sz w:val="24"/>
        </w:rPr>
        <w:t>Smits T H M, Rezzonico F, Kamber T, et al. Genome sequence of the biocontrol agent Pantoea vagans strain C9-1[J]. Journal of Bacteriology, 2010, 192(24): 6486-6487. DOI:10.1128/JB.01122-10.</w:t>
      </w:r>
      <w:bookmarkEnd w:id="179"/>
      <w:bookmarkEnd w:id="180"/>
    </w:p>
    <w:p w14:paraId="37553F92"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81" w:name="docfit_s001_Ref3727"/>
      <w:bookmarkStart w:id="182" w:name="docfit_ref_33"/>
      <w:r>
        <w:rPr>
          <w:color w:val="000000"/>
          <w:sz w:val="24"/>
        </w:rPr>
        <w:t>Datsenko K A, Wanner B L. One-step inactivation of chromosomal genes in Escherichia coli K-12 using PCR products[J]. Proceedings of the National Academy of Sciences of the United States of America, 2000, 97(12): 6640-6645. DOI:10.1073/pnas.120163297.</w:t>
      </w:r>
      <w:bookmarkEnd w:id="181"/>
      <w:bookmarkEnd w:id="182"/>
    </w:p>
    <w:p w14:paraId="5C74A6F1"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83" w:name="docfit_s001_Ref3982"/>
      <w:bookmarkStart w:id="184" w:name="docfit_ref_34"/>
      <w:r>
        <w:rPr>
          <w:color w:val="000000"/>
          <w:sz w:val="24"/>
        </w:rPr>
        <w:t>Murphy K C. Use of bacteriophage λ recombination functions to promote gene replacement in Escherichia coli[J]. Journal of Bacteriology, 1998, 180(8): 2063-2071. DOI:10.1128/JB.180.8.2063-2071.1998.</w:t>
      </w:r>
      <w:bookmarkEnd w:id="183"/>
      <w:bookmarkEnd w:id="184"/>
    </w:p>
    <w:p w14:paraId="023562C4"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85" w:name="docfit_s001_Ref4093"/>
      <w:bookmarkStart w:id="186" w:name="docfit_ref_35"/>
      <w:r>
        <w:rPr>
          <w:color w:val="000000"/>
          <w:sz w:val="24"/>
        </w:rPr>
        <w:t>Yu D, Ellis H M, Lee E C, et al. An efficient recombination system for chromosome engineering in Escherichia coli[J]. Proceedings of the National Academy of Sciences of the United States of America, 2000, 97(11): 5978-5983. DOI:10.1073/pnas.100127597.</w:t>
      </w:r>
      <w:bookmarkEnd w:id="185"/>
      <w:bookmarkEnd w:id="186"/>
    </w:p>
    <w:p w14:paraId="551AAC4E"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87" w:name="docfit_s001_Ref4184"/>
      <w:bookmarkStart w:id="188" w:name="docfit_ref_36"/>
      <w:r>
        <w:rPr>
          <w:color w:val="000000"/>
          <w:sz w:val="24"/>
        </w:rPr>
        <w:t>Court D L, Sawitzke J A, Thomason L C. Genetic engineering using homologous recombination[J]. Annual Review of Genetics, 2002, 36: 361-388. DOI:10.1146/annurev.genet.36.061102.093104.</w:t>
      </w:r>
      <w:bookmarkEnd w:id="187"/>
      <w:bookmarkEnd w:id="188"/>
    </w:p>
    <w:p w14:paraId="7B510187"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89" w:name="docfit_s001_Ref4341"/>
      <w:bookmarkStart w:id="190" w:name="docfit_ref_37"/>
      <w:r>
        <w:rPr>
          <w:color w:val="000000"/>
          <w:sz w:val="24"/>
        </w:rPr>
        <w:t>Sharan S K, Thomason L C, Kuznetsov S G, et al. Recombineering: a homologous recombination-based method of genetic engineering[J]. Nature Protocols, 2009, 4(2): 206-223. DOI:10.1038/nprot.2008.227.</w:t>
      </w:r>
      <w:bookmarkEnd w:id="189"/>
      <w:bookmarkEnd w:id="190"/>
    </w:p>
    <w:p w14:paraId="6DB49D0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91" w:name="docfit_s001_Ref4400"/>
      <w:bookmarkStart w:id="192" w:name="docfit_ref_38"/>
      <w:r>
        <w:rPr>
          <w:color w:val="000000"/>
          <w:sz w:val="24"/>
        </w:rPr>
        <w:t>Datta S, Costantino N, Court D L. A set of recombineering plasmids for gram-negative bacteria[J]. Gene, 2006, 379: 109-115. DOI:10.1016/j.gene.2006.04.018.</w:t>
      </w:r>
      <w:bookmarkEnd w:id="191"/>
      <w:bookmarkEnd w:id="192"/>
    </w:p>
    <w:p w14:paraId="44F9725B"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93" w:name="docfit_s001_Ref4465"/>
      <w:bookmarkStart w:id="194" w:name="docfit_ref_39"/>
      <w:r>
        <w:rPr>
          <w:color w:val="000000"/>
          <w:sz w:val="24"/>
        </w:rPr>
        <w:t>Thomason L C, Sawitzke J A, Li X, et al. Recombineering: genetic engineering in bacteria using homologous recombination[J]. Current Protocols in Molecular Biology, 2014, 106: 1.16.1-1.16.39. DOI:10.1002/0471142727.mb0116s106.</w:t>
      </w:r>
      <w:bookmarkEnd w:id="193"/>
      <w:bookmarkEnd w:id="194"/>
    </w:p>
    <w:p w14:paraId="30A4F24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95" w:name="docfit_s001_Ref4468"/>
      <w:bookmarkStart w:id="196" w:name="docfit_ref_40"/>
      <w:r>
        <w:rPr>
          <w:color w:val="000000"/>
          <w:sz w:val="24"/>
        </w:rPr>
        <w:lastRenderedPageBreak/>
        <w:t>Poteete A R. What makes the bacteriophage λ Red system useful for genetic engineering: molecular mechanism and biological function[J]. FEMS Microbiology Letters, 2001, 201(1): 9-14. DOI:10.1016/S0378-1097(01)00242-7.</w:t>
      </w:r>
      <w:bookmarkEnd w:id="195"/>
      <w:bookmarkEnd w:id="196"/>
    </w:p>
    <w:p w14:paraId="42EFC392"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97" w:name="docfit_s001_Ref4517"/>
      <w:bookmarkStart w:id="198" w:name="docfit_ref_41"/>
      <w:r>
        <w:rPr>
          <w:color w:val="000000"/>
          <w:sz w:val="24"/>
        </w:rPr>
        <w:t>Sawitzke J A, Thomason L C, Costantino N, et al. Recombineering: in vivo genetic engineering in E. coli, S. enterica, and beyond[J]. Methods in Enzymology, 2007, 421: 171-199. DOI:10.1016/S0076-6879(06)21015-2.</w:t>
      </w:r>
      <w:bookmarkEnd w:id="197"/>
      <w:bookmarkEnd w:id="198"/>
    </w:p>
    <w:p w14:paraId="032E84D8"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199" w:name="docfit_s001_Ref3619"/>
      <w:bookmarkStart w:id="200" w:name="docfit_ref_42"/>
      <w:r>
        <w:rPr>
          <w:color w:val="000000"/>
          <w:sz w:val="24"/>
        </w:rPr>
        <w:t>Simon R, Priefer U, Pühler A. A broad host range mobilization system for in vivo genetic engineering: transposon mutagenesis in Gram negative bacteria[J]. Bio/Technology, 1983, 1(9): 784-791. DOI:10.1038/nbt1183-784.</w:t>
      </w:r>
      <w:bookmarkEnd w:id="199"/>
      <w:bookmarkEnd w:id="200"/>
    </w:p>
    <w:p w14:paraId="2AAB0CEA"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201" w:name="docfit_s001_Ref3678"/>
      <w:bookmarkStart w:id="202" w:name="docfit_ref_43"/>
      <w:r>
        <w:rPr>
          <w:color w:val="000000"/>
          <w:sz w:val="24"/>
        </w:rPr>
        <w:t>Miller V L, Mekalanos J J. A novel suicide vector and its use in construction of insertion mutations: osmoregulation of outer membrane proteins and virulence determinants in Vibrio cholerae requires toxR[J]. Journal of Bacteriology, 1988, 170(6): 2575-2583. DOI:10.1128/jb.170.6.2575-2583.1988.</w:t>
      </w:r>
      <w:bookmarkEnd w:id="201"/>
      <w:bookmarkEnd w:id="202"/>
    </w:p>
    <w:p w14:paraId="7F1B3A8F"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203" w:name="docfit_s001_Ref3818"/>
      <w:bookmarkStart w:id="204" w:name="docfit_ref_44"/>
      <w:r>
        <w:rPr>
          <w:color w:val="000000"/>
          <w:sz w:val="24"/>
        </w:rPr>
        <w:t>Quandt J, Hynes M F. Versatile suicide vectors which allow direct selection for gene replacement in gram-negative bacteria[J]. Gene, 1993, 127(1): 15-21. DOI:10.1016/0378-1119(93)90611-6.</w:t>
      </w:r>
      <w:bookmarkEnd w:id="203"/>
      <w:bookmarkEnd w:id="204"/>
    </w:p>
    <w:p w14:paraId="52A270B7" w14:textId="77777777" w:rsidR="00651B96" w:rsidRDefault="00721866">
      <w:pPr>
        <w:widowControl/>
        <w:numPr>
          <w:ilvl w:val="0"/>
          <w:numId w:val="14"/>
        </w:numPr>
        <w:shd w:val="clear" w:color="auto" w:fill="FFFFFF"/>
        <w:autoSpaceDE w:val="0"/>
        <w:autoSpaceDN w:val="0"/>
        <w:spacing w:after="240" w:line="400" w:lineRule="exact"/>
        <w:rPr>
          <w:rFonts w:ascii="宋体" w:hAnsi="宋体" w:cs="Arial"/>
          <w:kern w:val="0"/>
        </w:rPr>
      </w:pPr>
      <w:bookmarkStart w:id="205" w:name="docfit_s001_Ref3867"/>
      <w:bookmarkStart w:id="206" w:name="docfit_ref_45"/>
      <w:r>
        <w:rPr>
          <w:color w:val="000000"/>
          <w:sz w:val="24"/>
        </w:rPr>
        <w:t>Schäfer A, Tauch A, Jäger W, et al. Small mobilizable multi-purpose cloning vectors derived from the Escherichia coli plasmids pK18 and pK19: selection of defined deletions in the chromosome of Corynebacterium glutamicum[J]. Gene, 1994, 145(1): 69-73. DOI:10.1016/0378-1119(94)90324-7.</w:t>
      </w:r>
      <w:bookmarkEnd w:id="205"/>
      <w:bookmarkEnd w:id="206"/>
    </w:p>
    <w:p w14:paraId="3CCB048E" w14:textId="77777777" w:rsidR="002C5865" w:rsidRDefault="002C5865" w:rsidP="00E11F0C">
      <w:pPr>
        <w:widowControl/>
        <w:shd w:val="clear" w:color="auto" w:fill="FFFFFF"/>
        <w:spacing w:line="400" w:lineRule="exact"/>
        <w:ind w:firstLine="480"/>
        <w:jc w:val="left"/>
        <w:rPr>
          <w:rFonts w:ascii="宋体" w:hAnsi="宋体" w:cs="Arial"/>
          <w:color w:val="0000FF"/>
          <w:kern w:val="0"/>
        </w:rPr>
      </w:pPr>
    </w:p>
    <w:p w14:paraId="537AA0E3" w14:textId="77777777"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38"/>
          <w:pgSz w:w="11906" w:h="16838" w:code="9"/>
          <w:pgMar w:top="1134" w:right="1134" w:bottom="1134" w:left="1134" w:header="850" w:footer="992" w:gutter="0"/>
          <w:cols w:space="425"/>
          <w:docGrid w:linePitch="312"/>
        </w:sectPr>
      </w:pPr>
    </w:p>
    <w:p w14:paraId="227B147C" w14:textId="77777777" w:rsidR="00DB3460" w:rsidRPr="00D515D0" w:rsidRDefault="00DB3460" w:rsidP="00FF0BC2">
      <w:pPr>
        <w:pStyle w:val="1"/>
        <w:spacing w:before="480" w:after="360" w:line="400" w:lineRule="exact"/>
      </w:pPr>
      <w:bookmarkStart w:id="207" w:name="_Toc236830388"/>
      <w:r>
        <w:rPr>
          <w:rFonts w:hint="eastAsia"/>
          <w:color w:val="000000"/>
        </w:rPr>
        <w:lastRenderedPageBreak/>
        <w:t>附  录</w:t>
      </w:r>
      <w:bookmarkEnd w:id="207"/>
      <w:r>
        <w:rPr>
          <w:rFonts w:hint="eastAsia"/>
          <w:color w:val="000000"/>
        </w:rPr>
        <w:t xml:space="preserve"> </w:t>
      </w:r>
    </w:p>
    <w:p w14:paraId="66CDA1BA" w14:textId="77777777" w:rsidR="00651B96" w:rsidRDefault="00721866">
      <w:pPr>
        <w:keepNext/>
        <w:keepLines/>
        <w:autoSpaceDE w:val="0"/>
        <w:autoSpaceDN w:val="0"/>
        <w:spacing w:line="400" w:lineRule="exact"/>
        <w:jc w:val="center"/>
        <w:rPr>
          <w:rFonts w:ascii="宋体" w:hAnsi="宋体"/>
          <w:sz w:val="24"/>
        </w:rPr>
      </w:pPr>
      <w:r>
        <w:rPr>
          <w:color w:val="C00000"/>
          <w:szCs w:val="21"/>
        </w:rPr>
        <w:t>表</w:t>
      </w:r>
      <w:r>
        <w:rPr>
          <w:color w:val="C00000"/>
          <w:szCs w:val="21"/>
        </w:rPr>
        <w:t xml:space="preserve"> 5-1</w:t>
      </w:r>
      <w:r>
        <w:rPr>
          <w:color w:val="C00000"/>
          <w:szCs w:val="21"/>
        </w:rPr>
        <w:t>【请填写中文表名】</w:t>
      </w:r>
    </w:p>
    <w:p w14:paraId="79C23DC0" w14:textId="77777777" w:rsidR="00651B96" w:rsidRDefault="00721866">
      <w:pPr>
        <w:keepNext/>
        <w:keepLines/>
        <w:autoSpaceDE w:val="0"/>
        <w:autoSpaceDN w:val="0"/>
        <w:spacing w:line="400" w:lineRule="exact"/>
        <w:jc w:val="center"/>
        <w:rPr>
          <w:rFonts w:ascii="宋体" w:hAnsi="宋体"/>
          <w:sz w:val="24"/>
        </w:rPr>
      </w:pPr>
      <w:r>
        <w:rPr>
          <w:color w:val="C00000"/>
          <w:szCs w:val="21"/>
        </w:rPr>
        <w:t>Table 5-1 [Please fill in the English table title]</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28"/>
        <w:gridCol w:w="3028"/>
        <w:gridCol w:w="3029"/>
      </w:tblGrid>
      <w:tr w:rsidR="00651B96" w14:paraId="0EF96B96" w14:textId="77777777">
        <w:trPr>
          <w:cantSplit/>
          <w:tblHeader/>
          <w:jc w:val="center"/>
        </w:trPr>
        <w:tc>
          <w:tcPr>
            <w:tcW w:w="3028" w:type="dxa"/>
            <w:tcBorders>
              <w:bottom w:val="single" w:sz="4" w:space="0" w:color="000000"/>
            </w:tcBorders>
            <w:vAlign w:val="center"/>
          </w:tcPr>
          <w:p w14:paraId="2BC7DF25" w14:textId="77777777" w:rsidR="00651B96" w:rsidRDefault="00721866">
            <w:pPr>
              <w:autoSpaceDE w:val="0"/>
              <w:autoSpaceDN w:val="0"/>
              <w:spacing w:line="300" w:lineRule="exact"/>
              <w:jc w:val="center"/>
              <w:rPr>
                <w:rFonts w:ascii="宋体" w:hAnsi="宋体"/>
                <w:sz w:val="24"/>
              </w:rPr>
            </w:pPr>
            <w:r>
              <w:rPr>
                <w:color w:val="000000"/>
                <w:szCs w:val="21"/>
              </w:rPr>
              <w:t>序号</w:t>
            </w:r>
          </w:p>
        </w:tc>
        <w:tc>
          <w:tcPr>
            <w:tcW w:w="3028" w:type="dxa"/>
            <w:tcBorders>
              <w:bottom w:val="single" w:sz="4" w:space="0" w:color="000000"/>
            </w:tcBorders>
            <w:vAlign w:val="center"/>
          </w:tcPr>
          <w:p w14:paraId="2DC8539A" w14:textId="77777777" w:rsidR="00651B96" w:rsidRDefault="00721866">
            <w:pPr>
              <w:autoSpaceDE w:val="0"/>
              <w:autoSpaceDN w:val="0"/>
              <w:spacing w:line="300" w:lineRule="exact"/>
              <w:jc w:val="center"/>
              <w:rPr>
                <w:rFonts w:ascii="宋体" w:hAnsi="宋体"/>
                <w:sz w:val="24"/>
              </w:rPr>
            </w:pPr>
            <w:r>
              <w:rPr>
                <w:color w:val="000000"/>
                <w:szCs w:val="21"/>
              </w:rPr>
              <w:t>引物名称</w:t>
            </w:r>
          </w:p>
        </w:tc>
        <w:tc>
          <w:tcPr>
            <w:tcW w:w="3029" w:type="dxa"/>
            <w:tcBorders>
              <w:bottom w:val="single" w:sz="4" w:space="0" w:color="000000"/>
            </w:tcBorders>
            <w:vAlign w:val="center"/>
          </w:tcPr>
          <w:p w14:paraId="793C0785" w14:textId="77777777" w:rsidR="00651B96" w:rsidRDefault="00721866">
            <w:pPr>
              <w:autoSpaceDE w:val="0"/>
              <w:autoSpaceDN w:val="0"/>
              <w:spacing w:line="300" w:lineRule="exact"/>
              <w:jc w:val="center"/>
              <w:rPr>
                <w:rFonts w:ascii="宋体" w:hAnsi="宋体"/>
                <w:sz w:val="24"/>
              </w:rPr>
            </w:pPr>
            <w:r>
              <w:rPr>
                <w:color w:val="000000"/>
                <w:szCs w:val="21"/>
              </w:rPr>
              <w:t>序列（</w:t>
            </w:r>
            <w:r>
              <w:rPr>
                <w:color w:val="000000"/>
                <w:szCs w:val="21"/>
              </w:rPr>
              <w:t>5'→3'</w:t>
            </w:r>
            <w:r>
              <w:rPr>
                <w:color w:val="000000"/>
                <w:szCs w:val="21"/>
              </w:rPr>
              <w:t>）</w:t>
            </w:r>
          </w:p>
        </w:tc>
      </w:tr>
      <w:tr w:rsidR="00651B96" w14:paraId="5774DCD9" w14:textId="77777777">
        <w:trPr>
          <w:cantSplit/>
          <w:jc w:val="center"/>
        </w:trPr>
        <w:tc>
          <w:tcPr>
            <w:tcW w:w="3028" w:type="dxa"/>
            <w:vAlign w:val="center"/>
          </w:tcPr>
          <w:p w14:paraId="11A10D1F" w14:textId="77777777" w:rsidR="00651B96" w:rsidRDefault="00721866">
            <w:pPr>
              <w:autoSpaceDE w:val="0"/>
              <w:autoSpaceDN w:val="0"/>
              <w:spacing w:line="300" w:lineRule="exact"/>
              <w:jc w:val="center"/>
              <w:rPr>
                <w:rFonts w:ascii="宋体" w:hAnsi="宋体"/>
                <w:sz w:val="24"/>
              </w:rPr>
            </w:pPr>
            <w:r>
              <w:rPr>
                <w:color w:val="000000"/>
                <w:szCs w:val="21"/>
              </w:rPr>
              <w:t>1</w:t>
            </w:r>
          </w:p>
        </w:tc>
        <w:tc>
          <w:tcPr>
            <w:tcW w:w="3028" w:type="dxa"/>
            <w:vAlign w:val="center"/>
          </w:tcPr>
          <w:p w14:paraId="6A811781" w14:textId="77777777" w:rsidR="00651B96" w:rsidRDefault="00721866">
            <w:pPr>
              <w:autoSpaceDE w:val="0"/>
              <w:autoSpaceDN w:val="0"/>
              <w:spacing w:line="300" w:lineRule="exact"/>
              <w:jc w:val="center"/>
              <w:rPr>
                <w:rFonts w:ascii="宋体" w:hAnsi="宋体"/>
                <w:sz w:val="24"/>
              </w:rPr>
            </w:pPr>
            <w:r>
              <w:rPr>
                <w:color w:val="000000"/>
                <w:szCs w:val="21"/>
              </w:rPr>
              <w:t>1-PatB-B1-F</w:t>
            </w:r>
          </w:p>
        </w:tc>
        <w:tc>
          <w:tcPr>
            <w:tcW w:w="3029" w:type="dxa"/>
            <w:vAlign w:val="center"/>
          </w:tcPr>
          <w:p w14:paraId="756FA75F" w14:textId="77777777" w:rsidR="00651B96" w:rsidRDefault="00721866">
            <w:pPr>
              <w:autoSpaceDE w:val="0"/>
              <w:autoSpaceDN w:val="0"/>
              <w:spacing w:line="300" w:lineRule="exact"/>
              <w:jc w:val="center"/>
              <w:rPr>
                <w:rFonts w:ascii="宋体" w:hAnsi="宋体"/>
                <w:sz w:val="24"/>
              </w:rPr>
            </w:pPr>
            <w:r>
              <w:rPr>
                <w:color w:val="000000"/>
                <w:szCs w:val="21"/>
              </w:rPr>
              <w:t>gctgaactcatcggtttcgg</w:t>
            </w:r>
          </w:p>
        </w:tc>
      </w:tr>
      <w:tr w:rsidR="00651B96" w14:paraId="49461F98" w14:textId="77777777">
        <w:trPr>
          <w:cantSplit/>
          <w:jc w:val="center"/>
        </w:trPr>
        <w:tc>
          <w:tcPr>
            <w:tcW w:w="3028" w:type="dxa"/>
            <w:vAlign w:val="center"/>
          </w:tcPr>
          <w:p w14:paraId="39495BE8" w14:textId="77777777" w:rsidR="00651B96" w:rsidRDefault="00721866">
            <w:pPr>
              <w:autoSpaceDE w:val="0"/>
              <w:autoSpaceDN w:val="0"/>
              <w:spacing w:line="300" w:lineRule="exact"/>
              <w:jc w:val="center"/>
              <w:rPr>
                <w:rFonts w:ascii="宋体" w:hAnsi="宋体"/>
                <w:sz w:val="24"/>
              </w:rPr>
            </w:pPr>
            <w:r>
              <w:rPr>
                <w:color w:val="000000"/>
                <w:szCs w:val="21"/>
              </w:rPr>
              <w:t>2</w:t>
            </w:r>
          </w:p>
        </w:tc>
        <w:tc>
          <w:tcPr>
            <w:tcW w:w="3028" w:type="dxa"/>
            <w:vAlign w:val="center"/>
          </w:tcPr>
          <w:p w14:paraId="4E579C69" w14:textId="77777777" w:rsidR="00651B96" w:rsidRDefault="00721866">
            <w:pPr>
              <w:autoSpaceDE w:val="0"/>
              <w:autoSpaceDN w:val="0"/>
              <w:spacing w:line="300" w:lineRule="exact"/>
              <w:jc w:val="center"/>
              <w:rPr>
                <w:rFonts w:ascii="宋体" w:hAnsi="宋体"/>
                <w:sz w:val="24"/>
              </w:rPr>
            </w:pPr>
            <w:r>
              <w:rPr>
                <w:color w:val="000000"/>
                <w:szCs w:val="21"/>
              </w:rPr>
              <w:t>1-PatB-B1-R</w:t>
            </w:r>
          </w:p>
        </w:tc>
        <w:tc>
          <w:tcPr>
            <w:tcW w:w="3029" w:type="dxa"/>
            <w:vAlign w:val="center"/>
          </w:tcPr>
          <w:p w14:paraId="12184CC7" w14:textId="77777777" w:rsidR="00651B96" w:rsidRDefault="00721866">
            <w:pPr>
              <w:autoSpaceDE w:val="0"/>
              <w:autoSpaceDN w:val="0"/>
              <w:spacing w:line="300" w:lineRule="exact"/>
              <w:jc w:val="center"/>
              <w:rPr>
                <w:rFonts w:ascii="宋体" w:hAnsi="宋体"/>
                <w:sz w:val="24"/>
              </w:rPr>
            </w:pPr>
            <w:r>
              <w:rPr>
                <w:color w:val="000000"/>
                <w:szCs w:val="21"/>
              </w:rPr>
              <w:t>ggagagcaccgttcttattcagttcccggtaaactcattccagc</w:t>
            </w:r>
          </w:p>
        </w:tc>
      </w:tr>
      <w:tr w:rsidR="00651B96" w14:paraId="7D13BDD3" w14:textId="77777777">
        <w:trPr>
          <w:cantSplit/>
          <w:jc w:val="center"/>
        </w:trPr>
        <w:tc>
          <w:tcPr>
            <w:tcW w:w="3028" w:type="dxa"/>
            <w:vAlign w:val="center"/>
          </w:tcPr>
          <w:p w14:paraId="2236F7FE" w14:textId="77777777" w:rsidR="00651B96" w:rsidRDefault="00721866">
            <w:pPr>
              <w:autoSpaceDE w:val="0"/>
              <w:autoSpaceDN w:val="0"/>
              <w:spacing w:line="300" w:lineRule="exact"/>
              <w:jc w:val="center"/>
              <w:rPr>
                <w:rFonts w:ascii="宋体" w:hAnsi="宋体"/>
                <w:sz w:val="24"/>
              </w:rPr>
            </w:pPr>
            <w:r>
              <w:rPr>
                <w:color w:val="000000"/>
                <w:szCs w:val="21"/>
              </w:rPr>
              <w:t>3</w:t>
            </w:r>
          </w:p>
        </w:tc>
        <w:tc>
          <w:tcPr>
            <w:tcW w:w="3028" w:type="dxa"/>
            <w:vAlign w:val="center"/>
          </w:tcPr>
          <w:p w14:paraId="31D482B9" w14:textId="77777777" w:rsidR="00651B96" w:rsidRDefault="00721866">
            <w:pPr>
              <w:autoSpaceDE w:val="0"/>
              <w:autoSpaceDN w:val="0"/>
              <w:spacing w:line="300" w:lineRule="exact"/>
              <w:jc w:val="center"/>
              <w:rPr>
                <w:rFonts w:ascii="宋体" w:hAnsi="宋体"/>
                <w:sz w:val="24"/>
              </w:rPr>
            </w:pPr>
            <w:r>
              <w:rPr>
                <w:color w:val="000000"/>
                <w:szCs w:val="21"/>
              </w:rPr>
              <w:t>1-KmR-B-F</w:t>
            </w:r>
          </w:p>
        </w:tc>
        <w:tc>
          <w:tcPr>
            <w:tcW w:w="3029" w:type="dxa"/>
            <w:vAlign w:val="center"/>
          </w:tcPr>
          <w:p w14:paraId="40A7B691" w14:textId="77777777" w:rsidR="00651B96" w:rsidRDefault="00721866">
            <w:pPr>
              <w:autoSpaceDE w:val="0"/>
              <w:autoSpaceDN w:val="0"/>
              <w:spacing w:line="300" w:lineRule="exact"/>
              <w:jc w:val="center"/>
              <w:rPr>
                <w:rFonts w:ascii="宋体" w:hAnsi="宋体"/>
                <w:sz w:val="24"/>
              </w:rPr>
            </w:pPr>
            <w:r>
              <w:rPr>
                <w:color w:val="000000"/>
                <w:szCs w:val="21"/>
              </w:rPr>
              <w:t>gctggaatgagtttaccgggaactgaataagaacggtgctctcc</w:t>
            </w:r>
          </w:p>
        </w:tc>
      </w:tr>
      <w:tr w:rsidR="00651B96" w14:paraId="73E47AF1" w14:textId="77777777">
        <w:trPr>
          <w:cantSplit/>
          <w:jc w:val="center"/>
        </w:trPr>
        <w:tc>
          <w:tcPr>
            <w:tcW w:w="3028" w:type="dxa"/>
            <w:vAlign w:val="center"/>
          </w:tcPr>
          <w:p w14:paraId="79665018" w14:textId="77777777" w:rsidR="00651B96" w:rsidRDefault="00721866">
            <w:pPr>
              <w:autoSpaceDE w:val="0"/>
              <w:autoSpaceDN w:val="0"/>
              <w:spacing w:line="300" w:lineRule="exact"/>
              <w:jc w:val="center"/>
              <w:rPr>
                <w:rFonts w:ascii="宋体" w:hAnsi="宋体"/>
                <w:sz w:val="24"/>
              </w:rPr>
            </w:pPr>
            <w:r>
              <w:rPr>
                <w:color w:val="000000"/>
                <w:szCs w:val="21"/>
              </w:rPr>
              <w:t>4</w:t>
            </w:r>
          </w:p>
        </w:tc>
        <w:tc>
          <w:tcPr>
            <w:tcW w:w="3028" w:type="dxa"/>
            <w:vAlign w:val="center"/>
          </w:tcPr>
          <w:p w14:paraId="651BA014" w14:textId="77777777" w:rsidR="00651B96" w:rsidRDefault="00721866">
            <w:pPr>
              <w:autoSpaceDE w:val="0"/>
              <w:autoSpaceDN w:val="0"/>
              <w:spacing w:line="300" w:lineRule="exact"/>
              <w:jc w:val="center"/>
              <w:rPr>
                <w:rFonts w:ascii="宋体" w:hAnsi="宋体"/>
                <w:sz w:val="24"/>
              </w:rPr>
            </w:pPr>
            <w:r>
              <w:rPr>
                <w:color w:val="000000"/>
                <w:szCs w:val="21"/>
              </w:rPr>
              <w:t>1-KmR-B-R</w:t>
            </w:r>
          </w:p>
        </w:tc>
        <w:tc>
          <w:tcPr>
            <w:tcW w:w="3029" w:type="dxa"/>
            <w:vAlign w:val="center"/>
          </w:tcPr>
          <w:p w14:paraId="6FD906BD" w14:textId="77777777" w:rsidR="00651B96" w:rsidRDefault="00721866">
            <w:pPr>
              <w:autoSpaceDE w:val="0"/>
              <w:autoSpaceDN w:val="0"/>
              <w:spacing w:line="300" w:lineRule="exact"/>
              <w:jc w:val="center"/>
              <w:rPr>
                <w:rFonts w:ascii="宋体" w:hAnsi="宋体"/>
                <w:sz w:val="24"/>
              </w:rPr>
            </w:pPr>
            <w:r>
              <w:rPr>
                <w:color w:val="000000"/>
                <w:szCs w:val="21"/>
              </w:rPr>
              <w:t>atggcgactggaagagattgtcctcagagctcgaggtcatcg</w:t>
            </w:r>
          </w:p>
        </w:tc>
      </w:tr>
      <w:tr w:rsidR="00651B96" w14:paraId="527E61DD" w14:textId="77777777">
        <w:trPr>
          <w:cantSplit/>
          <w:jc w:val="center"/>
        </w:trPr>
        <w:tc>
          <w:tcPr>
            <w:tcW w:w="3028" w:type="dxa"/>
            <w:vAlign w:val="center"/>
          </w:tcPr>
          <w:p w14:paraId="1F4D5A2D" w14:textId="77777777" w:rsidR="00651B96" w:rsidRDefault="00721866">
            <w:pPr>
              <w:autoSpaceDE w:val="0"/>
              <w:autoSpaceDN w:val="0"/>
              <w:spacing w:line="300" w:lineRule="exact"/>
              <w:jc w:val="center"/>
              <w:rPr>
                <w:rFonts w:ascii="宋体" w:hAnsi="宋体"/>
                <w:sz w:val="24"/>
              </w:rPr>
            </w:pPr>
            <w:r>
              <w:rPr>
                <w:color w:val="000000"/>
                <w:szCs w:val="21"/>
              </w:rPr>
              <w:t>5</w:t>
            </w:r>
          </w:p>
        </w:tc>
        <w:tc>
          <w:tcPr>
            <w:tcW w:w="3028" w:type="dxa"/>
            <w:vAlign w:val="center"/>
          </w:tcPr>
          <w:p w14:paraId="7589361A" w14:textId="77777777" w:rsidR="00651B96" w:rsidRDefault="00721866">
            <w:pPr>
              <w:autoSpaceDE w:val="0"/>
              <w:autoSpaceDN w:val="0"/>
              <w:spacing w:line="300" w:lineRule="exact"/>
              <w:jc w:val="center"/>
              <w:rPr>
                <w:rFonts w:ascii="宋体" w:hAnsi="宋体"/>
                <w:sz w:val="24"/>
              </w:rPr>
            </w:pPr>
            <w:r>
              <w:rPr>
                <w:color w:val="000000"/>
                <w:szCs w:val="21"/>
              </w:rPr>
              <w:t>1-PatB-B2-F</w:t>
            </w:r>
          </w:p>
        </w:tc>
        <w:tc>
          <w:tcPr>
            <w:tcW w:w="3029" w:type="dxa"/>
            <w:vAlign w:val="center"/>
          </w:tcPr>
          <w:p w14:paraId="2BED87C5" w14:textId="77777777" w:rsidR="00651B96" w:rsidRDefault="00721866">
            <w:pPr>
              <w:autoSpaceDE w:val="0"/>
              <w:autoSpaceDN w:val="0"/>
              <w:spacing w:line="300" w:lineRule="exact"/>
              <w:jc w:val="center"/>
              <w:rPr>
                <w:rFonts w:ascii="宋体" w:hAnsi="宋体"/>
                <w:sz w:val="24"/>
              </w:rPr>
            </w:pPr>
            <w:r>
              <w:rPr>
                <w:color w:val="000000"/>
                <w:szCs w:val="21"/>
              </w:rPr>
              <w:t>cgatgacctcgagctctgaggacaatctcttccagtcgccat</w:t>
            </w:r>
          </w:p>
        </w:tc>
      </w:tr>
      <w:tr w:rsidR="00651B96" w14:paraId="23B91D8A" w14:textId="77777777">
        <w:trPr>
          <w:cantSplit/>
          <w:jc w:val="center"/>
        </w:trPr>
        <w:tc>
          <w:tcPr>
            <w:tcW w:w="3028" w:type="dxa"/>
            <w:vAlign w:val="center"/>
          </w:tcPr>
          <w:p w14:paraId="557D3832" w14:textId="77777777" w:rsidR="00651B96" w:rsidRDefault="00721866">
            <w:pPr>
              <w:autoSpaceDE w:val="0"/>
              <w:autoSpaceDN w:val="0"/>
              <w:spacing w:line="300" w:lineRule="exact"/>
              <w:jc w:val="center"/>
              <w:rPr>
                <w:rFonts w:ascii="宋体" w:hAnsi="宋体"/>
                <w:sz w:val="24"/>
              </w:rPr>
            </w:pPr>
            <w:r>
              <w:rPr>
                <w:color w:val="000000"/>
                <w:szCs w:val="21"/>
              </w:rPr>
              <w:t>6</w:t>
            </w:r>
          </w:p>
        </w:tc>
        <w:tc>
          <w:tcPr>
            <w:tcW w:w="3028" w:type="dxa"/>
            <w:vAlign w:val="center"/>
          </w:tcPr>
          <w:p w14:paraId="3FE1B8FF" w14:textId="77777777" w:rsidR="00651B96" w:rsidRDefault="00721866">
            <w:pPr>
              <w:autoSpaceDE w:val="0"/>
              <w:autoSpaceDN w:val="0"/>
              <w:spacing w:line="300" w:lineRule="exact"/>
              <w:jc w:val="center"/>
              <w:rPr>
                <w:rFonts w:ascii="宋体" w:hAnsi="宋体"/>
                <w:sz w:val="24"/>
              </w:rPr>
            </w:pPr>
            <w:r>
              <w:rPr>
                <w:color w:val="000000"/>
                <w:szCs w:val="21"/>
              </w:rPr>
              <w:t>1-PatB-B2-R</w:t>
            </w:r>
          </w:p>
        </w:tc>
        <w:tc>
          <w:tcPr>
            <w:tcW w:w="3029" w:type="dxa"/>
            <w:vAlign w:val="center"/>
          </w:tcPr>
          <w:p w14:paraId="5182D884" w14:textId="77777777" w:rsidR="00651B96" w:rsidRDefault="00721866">
            <w:pPr>
              <w:autoSpaceDE w:val="0"/>
              <w:autoSpaceDN w:val="0"/>
              <w:spacing w:line="300" w:lineRule="exact"/>
              <w:jc w:val="center"/>
              <w:rPr>
                <w:rFonts w:ascii="宋体" w:hAnsi="宋体"/>
                <w:sz w:val="24"/>
              </w:rPr>
            </w:pPr>
            <w:r>
              <w:rPr>
                <w:color w:val="000000"/>
                <w:szCs w:val="21"/>
              </w:rPr>
              <w:t>cgatgagcatagacatagagcca</w:t>
            </w:r>
          </w:p>
        </w:tc>
      </w:tr>
      <w:tr w:rsidR="00651B96" w14:paraId="361D1AE1" w14:textId="77777777">
        <w:trPr>
          <w:cantSplit/>
          <w:jc w:val="center"/>
        </w:trPr>
        <w:tc>
          <w:tcPr>
            <w:tcW w:w="3028" w:type="dxa"/>
            <w:vAlign w:val="center"/>
          </w:tcPr>
          <w:p w14:paraId="0FAF0BF4" w14:textId="77777777" w:rsidR="00651B96" w:rsidRDefault="00721866">
            <w:pPr>
              <w:autoSpaceDE w:val="0"/>
              <w:autoSpaceDN w:val="0"/>
              <w:spacing w:line="300" w:lineRule="exact"/>
              <w:jc w:val="center"/>
              <w:rPr>
                <w:rFonts w:ascii="宋体" w:hAnsi="宋体"/>
                <w:sz w:val="24"/>
              </w:rPr>
            </w:pPr>
            <w:r>
              <w:rPr>
                <w:color w:val="000000"/>
                <w:szCs w:val="21"/>
              </w:rPr>
              <w:t>7</w:t>
            </w:r>
          </w:p>
        </w:tc>
        <w:tc>
          <w:tcPr>
            <w:tcW w:w="3028" w:type="dxa"/>
            <w:vAlign w:val="center"/>
          </w:tcPr>
          <w:p w14:paraId="496A5ACB" w14:textId="77777777" w:rsidR="00651B96" w:rsidRDefault="00721866">
            <w:pPr>
              <w:autoSpaceDE w:val="0"/>
              <w:autoSpaceDN w:val="0"/>
              <w:spacing w:line="300" w:lineRule="exact"/>
              <w:jc w:val="center"/>
              <w:rPr>
                <w:rFonts w:ascii="宋体" w:hAnsi="宋体"/>
                <w:sz w:val="24"/>
              </w:rPr>
            </w:pPr>
            <w:r>
              <w:rPr>
                <w:color w:val="000000"/>
                <w:szCs w:val="21"/>
              </w:rPr>
              <w:t>IaaH-B1-F</w:t>
            </w:r>
          </w:p>
        </w:tc>
        <w:tc>
          <w:tcPr>
            <w:tcW w:w="3029" w:type="dxa"/>
            <w:vAlign w:val="center"/>
          </w:tcPr>
          <w:p w14:paraId="1029FEB5" w14:textId="77777777" w:rsidR="00651B96" w:rsidRDefault="00721866">
            <w:pPr>
              <w:autoSpaceDE w:val="0"/>
              <w:autoSpaceDN w:val="0"/>
              <w:spacing w:line="300" w:lineRule="exact"/>
              <w:jc w:val="center"/>
              <w:rPr>
                <w:rFonts w:ascii="宋体" w:hAnsi="宋体"/>
                <w:sz w:val="24"/>
              </w:rPr>
            </w:pPr>
            <w:r>
              <w:rPr>
                <w:color w:val="000000"/>
                <w:szCs w:val="21"/>
              </w:rPr>
              <w:t>cataaaggtctcgcaggtcac</w:t>
            </w:r>
          </w:p>
        </w:tc>
      </w:tr>
      <w:tr w:rsidR="00651B96" w14:paraId="61EF26FB" w14:textId="77777777">
        <w:trPr>
          <w:cantSplit/>
          <w:jc w:val="center"/>
        </w:trPr>
        <w:tc>
          <w:tcPr>
            <w:tcW w:w="3028" w:type="dxa"/>
            <w:vAlign w:val="center"/>
          </w:tcPr>
          <w:p w14:paraId="159CFB43" w14:textId="77777777" w:rsidR="00651B96" w:rsidRDefault="00721866">
            <w:pPr>
              <w:autoSpaceDE w:val="0"/>
              <w:autoSpaceDN w:val="0"/>
              <w:spacing w:line="300" w:lineRule="exact"/>
              <w:jc w:val="center"/>
              <w:rPr>
                <w:rFonts w:ascii="宋体" w:hAnsi="宋体"/>
                <w:sz w:val="24"/>
              </w:rPr>
            </w:pPr>
            <w:r>
              <w:rPr>
                <w:color w:val="000000"/>
                <w:szCs w:val="21"/>
              </w:rPr>
              <w:t>8</w:t>
            </w:r>
          </w:p>
        </w:tc>
        <w:tc>
          <w:tcPr>
            <w:tcW w:w="3028" w:type="dxa"/>
            <w:vAlign w:val="center"/>
          </w:tcPr>
          <w:p w14:paraId="426004CB" w14:textId="77777777" w:rsidR="00651B96" w:rsidRDefault="00721866">
            <w:pPr>
              <w:autoSpaceDE w:val="0"/>
              <w:autoSpaceDN w:val="0"/>
              <w:spacing w:line="300" w:lineRule="exact"/>
              <w:jc w:val="center"/>
              <w:rPr>
                <w:rFonts w:ascii="宋体" w:hAnsi="宋体"/>
                <w:sz w:val="24"/>
              </w:rPr>
            </w:pPr>
            <w:r>
              <w:rPr>
                <w:color w:val="000000"/>
                <w:szCs w:val="21"/>
              </w:rPr>
              <w:t>IaaH-B1-R</w:t>
            </w:r>
          </w:p>
        </w:tc>
        <w:tc>
          <w:tcPr>
            <w:tcW w:w="3029" w:type="dxa"/>
            <w:vAlign w:val="center"/>
          </w:tcPr>
          <w:p w14:paraId="78A4B636" w14:textId="77777777" w:rsidR="00651B96" w:rsidRDefault="00721866">
            <w:pPr>
              <w:autoSpaceDE w:val="0"/>
              <w:autoSpaceDN w:val="0"/>
              <w:spacing w:line="300" w:lineRule="exact"/>
              <w:jc w:val="center"/>
              <w:rPr>
                <w:rFonts w:ascii="宋体" w:hAnsi="宋体"/>
                <w:sz w:val="24"/>
              </w:rPr>
            </w:pPr>
            <w:r>
              <w:rPr>
                <w:color w:val="000000"/>
                <w:szCs w:val="21"/>
              </w:rPr>
              <w:t>ggagagcaccgttcttattcagcggcacgatccttactgttg</w:t>
            </w:r>
          </w:p>
        </w:tc>
      </w:tr>
      <w:tr w:rsidR="00651B96" w14:paraId="096C7A4A" w14:textId="77777777">
        <w:trPr>
          <w:cantSplit/>
          <w:jc w:val="center"/>
        </w:trPr>
        <w:tc>
          <w:tcPr>
            <w:tcW w:w="3028" w:type="dxa"/>
            <w:vAlign w:val="center"/>
          </w:tcPr>
          <w:p w14:paraId="2EB764A5" w14:textId="77777777" w:rsidR="00651B96" w:rsidRDefault="00721866">
            <w:pPr>
              <w:autoSpaceDE w:val="0"/>
              <w:autoSpaceDN w:val="0"/>
              <w:spacing w:line="300" w:lineRule="exact"/>
              <w:jc w:val="center"/>
              <w:rPr>
                <w:rFonts w:ascii="宋体" w:hAnsi="宋体"/>
                <w:sz w:val="24"/>
              </w:rPr>
            </w:pPr>
            <w:r>
              <w:rPr>
                <w:color w:val="000000"/>
                <w:szCs w:val="21"/>
              </w:rPr>
              <w:t>9</w:t>
            </w:r>
          </w:p>
        </w:tc>
        <w:tc>
          <w:tcPr>
            <w:tcW w:w="3028" w:type="dxa"/>
            <w:vAlign w:val="center"/>
          </w:tcPr>
          <w:p w14:paraId="4C9CD247" w14:textId="77777777" w:rsidR="00651B96" w:rsidRDefault="00721866">
            <w:pPr>
              <w:autoSpaceDE w:val="0"/>
              <w:autoSpaceDN w:val="0"/>
              <w:spacing w:line="300" w:lineRule="exact"/>
              <w:jc w:val="center"/>
              <w:rPr>
                <w:rFonts w:ascii="宋体" w:hAnsi="宋体"/>
                <w:sz w:val="24"/>
              </w:rPr>
            </w:pPr>
            <w:r>
              <w:rPr>
                <w:color w:val="000000"/>
                <w:szCs w:val="21"/>
              </w:rPr>
              <w:t>KmR-H-F</w:t>
            </w:r>
          </w:p>
        </w:tc>
        <w:tc>
          <w:tcPr>
            <w:tcW w:w="3029" w:type="dxa"/>
            <w:vAlign w:val="center"/>
          </w:tcPr>
          <w:p w14:paraId="373BBA72" w14:textId="77777777" w:rsidR="00651B96" w:rsidRDefault="00721866">
            <w:pPr>
              <w:autoSpaceDE w:val="0"/>
              <w:autoSpaceDN w:val="0"/>
              <w:spacing w:line="300" w:lineRule="exact"/>
              <w:jc w:val="center"/>
              <w:rPr>
                <w:rFonts w:ascii="宋体" w:hAnsi="宋体"/>
                <w:sz w:val="24"/>
              </w:rPr>
            </w:pPr>
            <w:r>
              <w:rPr>
                <w:color w:val="000000"/>
                <w:szCs w:val="21"/>
              </w:rPr>
              <w:t>caacagtaaggatcgtgccgctgaataagaacggtgctctcc</w:t>
            </w:r>
          </w:p>
        </w:tc>
      </w:tr>
      <w:tr w:rsidR="00651B96" w14:paraId="721CBE85" w14:textId="77777777">
        <w:trPr>
          <w:cantSplit/>
          <w:jc w:val="center"/>
        </w:trPr>
        <w:tc>
          <w:tcPr>
            <w:tcW w:w="3028" w:type="dxa"/>
            <w:vAlign w:val="center"/>
          </w:tcPr>
          <w:p w14:paraId="219C1851" w14:textId="77777777" w:rsidR="00651B96" w:rsidRDefault="00721866">
            <w:pPr>
              <w:autoSpaceDE w:val="0"/>
              <w:autoSpaceDN w:val="0"/>
              <w:spacing w:line="300" w:lineRule="exact"/>
              <w:jc w:val="center"/>
              <w:rPr>
                <w:rFonts w:ascii="宋体" w:hAnsi="宋体"/>
                <w:sz w:val="24"/>
              </w:rPr>
            </w:pPr>
            <w:r>
              <w:rPr>
                <w:color w:val="000000"/>
                <w:szCs w:val="21"/>
              </w:rPr>
              <w:t>10</w:t>
            </w:r>
          </w:p>
        </w:tc>
        <w:tc>
          <w:tcPr>
            <w:tcW w:w="3028" w:type="dxa"/>
            <w:vAlign w:val="center"/>
          </w:tcPr>
          <w:p w14:paraId="7C5D8E13" w14:textId="77777777" w:rsidR="00651B96" w:rsidRDefault="00721866">
            <w:pPr>
              <w:autoSpaceDE w:val="0"/>
              <w:autoSpaceDN w:val="0"/>
              <w:spacing w:line="300" w:lineRule="exact"/>
              <w:jc w:val="center"/>
              <w:rPr>
                <w:rFonts w:ascii="宋体" w:hAnsi="宋体"/>
                <w:sz w:val="24"/>
              </w:rPr>
            </w:pPr>
            <w:r>
              <w:rPr>
                <w:color w:val="000000"/>
                <w:szCs w:val="21"/>
              </w:rPr>
              <w:t>KmR-H-R</w:t>
            </w:r>
          </w:p>
        </w:tc>
        <w:tc>
          <w:tcPr>
            <w:tcW w:w="3029" w:type="dxa"/>
            <w:vAlign w:val="center"/>
          </w:tcPr>
          <w:p w14:paraId="2C206704" w14:textId="77777777" w:rsidR="00651B96" w:rsidRDefault="00721866">
            <w:pPr>
              <w:autoSpaceDE w:val="0"/>
              <w:autoSpaceDN w:val="0"/>
              <w:spacing w:line="300" w:lineRule="exact"/>
              <w:jc w:val="center"/>
              <w:rPr>
                <w:rFonts w:ascii="宋体" w:hAnsi="宋体"/>
                <w:sz w:val="24"/>
              </w:rPr>
            </w:pPr>
            <w:r>
              <w:rPr>
                <w:color w:val="000000"/>
                <w:szCs w:val="21"/>
              </w:rPr>
              <w:t>gtgcctgatgacggtcgatatactcagagctcgaggtcatcg</w:t>
            </w:r>
          </w:p>
        </w:tc>
      </w:tr>
      <w:tr w:rsidR="00651B96" w14:paraId="63D14279" w14:textId="77777777">
        <w:trPr>
          <w:cantSplit/>
          <w:jc w:val="center"/>
        </w:trPr>
        <w:tc>
          <w:tcPr>
            <w:tcW w:w="3028" w:type="dxa"/>
            <w:vAlign w:val="center"/>
          </w:tcPr>
          <w:p w14:paraId="53C5EBC0" w14:textId="77777777" w:rsidR="00651B96" w:rsidRDefault="00721866">
            <w:pPr>
              <w:autoSpaceDE w:val="0"/>
              <w:autoSpaceDN w:val="0"/>
              <w:spacing w:line="300" w:lineRule="exact"/>
              <w:jc w:val="center"/>
              <w:rPr>
                <w:rFonts w:ascii="宋体" w:hAnsi="宋体"/>
                <w:sz w:val="24"/>
              </w:rPr>
            </w:pPr>
            <w:r>
              <w:rPr>
                <w:color w:val="000000"/>
                <w:szCs w:val="21"/>
              </w:rPr>
              <w:t>11</w:t>
            </w:r>
          </w:p>
        </w:tc>
        <w:tc>
          <w:tcPr>
            <w:tcW w:w="3028" w:type="dxa"/>
            <w:vAlign w:val="center"/>
          </w:tcPr>
          <w:p w14:paraId="6AF2131E" w14:textId="77777777" w:rsidR="00651B96" w:rsidRDefault="00721866">
            <w:pPr>
              <w:autoSpaceDE w:val="0"/>
              <w:autoSpaceDN w:val="0"/>
              <w:spacing w:line="300" w:lineRule="exact"/>
              <w:jc w:val="center"/>
              <w:rPr>
                <w:rFonts w:ascii="宋体" w:hAnsi="宋体"/>
                <w:sz w:val="24"/>
              </w:rPr>
            </w:pPr>
            <w:r>
              <w:rPr>
                <w:color w:val="000000"/>
                <w:szCs w:val="21"/>
              </w:rPr>
              <w:t>IaaH-B2-F</w:t>
            </w:r>
          </w:p>
        </w:tc>
        <w:tc>
          <w:tcPr>
            <w:tcW w:w="3029" w:type="dxa"/>
            <w:vAlign w:val="center"/>
          </w:tcPr>
          <w:p w14:paraId="63D45517" w14:textId="77777777" w:rsidR="00651B96" w:rsidRDefault="00721866">
            <w:pPr>
              <w:autoSpaceDE w:val="0"/>
              <w:autoSpaceDN w:val="0"/>
              <w:spacing w:line="300" w:lineRule="exact"/>
              <w:jc w:val="center"/>
              <w:rPr>
                <w:rFonts w:ascii="宋体" w:hAnsi="宋体"/>
                <w:sz w:val="24"/>
              </w:rPr>
            </w:pPr>
            <w:r>
              <w:rPr>
                <w:color w:val="000000"/>
                <w:szCs w:val="21"/>
              </w:rPr>
              <w:t>cgatgacctcgagctctgagtatatcgaccgtcatcaggcac</w:t>
            </w:r>
          </w:p>
        </w:tc>
      </w:tr>
      <w:tr w:rsidR="00651B96" w14:paraId="10FB1F30" w14:textId="77777777">
        <w:trPr>
          <w:cantSplit/>
          <w:jc w:val="center"/>
        </w:trPr>
        <w:tc>
          <w:tcPr>
            <w:tcW w:w="3028" w:type="dxa"/>
            <w:vAlign w:val="center"/>
          </w:tcPr>
          <w:p w14:paraId="6DF0041B" w14:textId="77777777" w:rsidR="00651B96" w:rsidRDefault="00721866">
            <w:pPr>
              <w:autoSpaceDE w:val="0"/>
              <w:autoSpaceDN w:val="0"/>
              <w:spacing w:line="300" w:lineRule="exact"/>
              <w:jc w:val="center"/>
              <w:rPr>
                <w:rFonts w:ascii="宋体" w:hAnsi="宋体"/>
                <w:sz w:val="24"/>
              </w:rPr>
            </w:pPr>
            <w:r>
              <w:rPr>
                <w:color w:val="000000"/>
                <w:szCs w:val="21"/>
              </w:rPr>
              <w:t>12</w:t>
            </w:r>
          </w:p>
        </w:tc>
        <w:tc>
          <w:tcPr>
            <w:tcW w:w="3028" w:type="dxa"/>
            <w:vAlign w:val="center"/>
          </w:tcPr>
          <w:p w14:paraId="2BDA6C15" w14:textId="77777777" w:rsidR="00651B96" w:rsidRDefault="00721866">
            <w:pPr>
              <w:autoSpaceDE w:val="0"/>
              <w:autoSpaceDN w:val="0"/>
              <w:spacing w:line="300" w:lineRule="exact"/>
              <w:jc w:val="center"/>
              <w:rPr>
                <w:rFonts w:ascii="宋体" w:hAnsi="宋体"/>
                <w:sz w:val="24"/>
              </w:rPr>
            </w:pPr>
            <w:r>
              <w:rPr>
                <w:color w:val="000000"/>
                <w:szCs w:val="21"/>
              </w:rPr>
              <w:t>IaaH-B2-R</w:t>
            </w:r>
          </w:p>
        </w:tc>
        <w:tc>
          <w:tcPr>
            <w:tcW w:w="3029" w:type="dxa"/>
            <w:vAlign w:val="center"/>
          </w:tcPr>
          <w:p w14:paraId="7571273C" w14:textId="77777777" w:rsidR="00651B96" w:rsidRDefault="00721866">
            <w:pPr>
              <w:autoSpaceDE w:val="0"/>
              <w:autoSpaceDN w:val="0"/>
              <w:spacing w:line="300" w:lineRule="exact"/>
              <w:jc w:val="center"/>
              <w:rPr>
                <w:rFonts w:ascii="宋体" w:hAnsi="宋体"/>
                <w:sz w:val="24"/>
              </w:rPr>
            </w:pPr>
            <w:r>
              <w:rPr>
                <w:color w:val="000000"/>
                <w:szCs w:val="21"/>
              </w:rPr>
              <w:t>gacgttgattacccgctgatag</w:t>
            </w:r>
          </w:p>
        </w:tc>
      </w:tr>
      <w:tr w:rsidR="00651B96" w14:paraId="4691925C" w14:textId="77777777">
        <w:trPr>
          <w:cantSplit/>
          <w:jc w:val="center"/>
        </w:trPr>
        <w:tc>
          <w:tcPr>
            <w:tcW w:w="3028" w:type="dxa"/>
            <w:vAlign w:val="center"/>
          </w:tcPr>
          <w:p w14:paraId="0CE8279E" w14:textId="77777777" w:rsidR="00651B96" w:rsidRDefault="00721866">
            <w:pPr>
              <w:autoSpaceDE w:val="0"/>
              <w:autoSpaceDN w:val="0"/>
              <w:spacing w:line="300" w:lineRule="exact"/>
              <w:jc w:val="center"/>
              <w:rPr>
                <w:rFonts w:ascii="宋体" w:hAnsi="宋体"/>
                <w:sz w:val="24"/>
              </w:rPr>
            </w:pPr>
            <w:r>
              <w:rPr>
                <w:color w:val="000000"/>
                <w:szCs w:val="21"/>
              </w:rPr>
              <w:t>13</w:t>
            </w:r>
          </w:p>
        </w:tc>
        <w:tc>
          <w:tcPr>
            <w:tcW w:w="3028" w:type="dxa"/>
            <w:vAlign w:val="center"/>
          </w:tcPr>
          <w:p w14:paraId="41448E32" w14:textId="77777777" w:rsidR="00651B96" w:rsidRDefault="00721866">
            <w:pPr>
              <w:autoSpaceDE w:val="0"/>
              <w:autoSpaceDN w:val="0"/>
              <w:spacing w:line="300" w:lineRule="exact"/>
              <w:jc w:val="center"/>
              <w:rPr>
                <w:rFonts w:ascii="宋体" w:hAnsi="宋体"/>
                <w:sz w:val="24"/>
              </w:rPr>
            </w:pPr>
            <w:r>
              <w:rPr>
                <w:color w:val="000000"/>
                <w:szCs w:val="21"/>
              </w:rPr>
              <w:t>TrpA-B1-F</w:t>
            </w:r>
          </w:p>
        </w:tc>
        <w:tc>
          <w:tcPr>
            <w:tcW w:w="3029" w:type="dxa"/>
            <w:vAlign w:val="center"/>
          </w:tcPr>
          <w:p w14:paraId="7E0FFE09" w14:textId="77777777" w:rsidR="00651B96" w:rsidRDefault="00721866">
            <w:pPr>
              <w:autoSpaceDE w:val="0"/>
              <w:autoSpaceDN w:val="0"/>
              <w:spacing w:line="300" w:lineRule="exact"/>
              <w:jc w:val="center"/>
              <w:rPr>
                <w:rFonts w:ascii="宋体" w:hAnsi="宋体"/>
                <w:sz w:val="24"/>
              </w:rPr>
            </w:pPr>
            <w:r>
              <w:rPr>
                <w:color w:val="000000"/>
                <w:szCs w:val="21"/>
              </w:rPr>
              <w:t>tatgggggctaaagacgttgag</w:t>
            </w:r>
          </w:p>
        </w:tc>
      </w:tr>
      <w:tr w:rsidR="00651B96" w14:paraId="500DF5E8" w14:textId="77777777">
        <w:trPr>
          <w:cantSplit/>
          <w:jc w:val="center"/>
        </w:trPr>
        <w:tc>
          <w:tcPr>
            <w:tcW w:w="3028" w:type="dxa"/>
            <w:vAlign w:val="center"/>
          </w:tcPr>
          <w:p w14:paraId="59A8AD42" w14:textId="77777777" w:rsidR="00651B96" w:rsidRDefault="00721866">
            <w:pPr>
              <w:autoSpaceDE w:val="0"/>
              <w:autoSpaceDN w:val="0"/>
              <w:spacing w:line="300" w:lineRule="exact"/>
              <w:jc w:val="center"/>
              <w:rPr>
                <w:rFonts w:ascii="宋体" w:hAnsi="宋体"/>
                <w:sz w:val="24"/>
              </w:rPr>
            </w:pPr>
            <w:r>
              <w:rPr>
                <w:color w:val="000000"/>
                <w:szCs w:val="21"/>
              </w:rPr>
              <w:t>14</w:t>
            </w:r>
          </w:p>
        </w:tc>
        <w:tc>
          <w:tcPr>
            <w:tcW w:w="3028" w:type="dxa"/>
            <w:vAlign w:val="center"/>
          </w:tcPr>
          <w:p w14:paraId="370BB503" w14:textId="77777777" w:rsidR="00651B96" w:rsidRDefault="00721866">
            <w:pPr>
              <w:autoSpaceDE w:val="0"/>
              <w:autoSpaceDN w:val="0"/>
              <w:spacing w:line="300" w:lineRule="exact"/>
              <w:jc w:val="center"/>
              <w:rPr>
                <w:rFonts w:ascii="宋体" w:hAnsi="宋体"/>
                <w:sz w:val="24"/>
              </w:rPr>
            </w:pPr>
            <w:r>
              <w:rPr>
                <w:color w:val="000000"/>
                <w:szCs w:val="21"/>
              </w:rPr>
              <w:t>TrpA-B1-R</w:t>
            </w:r>
          </w:p>
        </w:tc>
        <w:tc>
          <w:tcPr>
            <w:tcW w:w="3029" w:type="dxa"/>
            <w:vAlign w:val="center"/>
          </w:tcPr>
          <w:p w14:paraId="572C0D7A" w14:textId="77777777" w:rsidR="00651B96" w:rsidRDefault="00721866">
            <w:pPr>
              <w:autoSpaceDE w:val="0"/>
              <w:autoSpaceDN w:val="0"/>
              <w:spacing w:line="300" w:lineRule="exact"/>
              <w:jc w:val="center"/>
              <w:rPr>
                <w:rFonts w:ascii="宋体" w:hAnsi="宋体"/>
                <w:sz w:val="24"/>
              </w:rPr>
            </w:pPr>
            <w:r>
              <w:rPr>
                <w:color w:val="000000"/>
                <w:szCs w:val="21"/>
              </w:rPr>
              <w:t>ggagagcaccgttcttattcaggcagtcagaatgtcgtgaacg</w:t>
            </w:r>
          </w:p>
        </w:tc>
      </w:tr>
      <w:tr w:rsidR="00651B96" w14:paraId="1EBE10E7" w14:textId="77777777">
        <w:trPr>
          <w:cantSplit/>
          <w:jc w:val="center"/>
        </w:trPr>
        <w:tc>
          <w:tcPr>
            <w:tcW w:w="3028" w:type="dxa"/>
            <w:vAlign w:val="center"/>
          </w:tcPr>
          <w:p w14:paraId="429FB766" w14:textId="77777777" w:rsidR="00651B96" w:rsidRDefault="00721866">
            <w:pPr>
              <w:autoSpaceDE w:val="0"/>
              <w:autoSpaceDN w:val="0"/>
              <w:spacing w:line="300" w:lineRule="exact"/>
              <w:jc w:val="center"/>
              <w:rPr>
                <w:rFonts w:ascii="宋体" w:hAnsi="宋体"/>
                <w:sz w:val="24"/>
              </w:rPr>
            </w:pPr>
            <w:r>
              <w:rPr>
                <w:color w:val="000000"/>
                <w:szCs w:val="21"/>
              </w:rPr>
              <w:t>15</w:t>
            </w:r>
          </w:p>
        </w:tc>
        <w:tc>
          <w:tcPr>
            <w:tcW w:w="3028" w:type="dxa"/>
            <w:vAlign w:val="center"/>
          </w:tcPr>
          <w:p w14:paraId="044B9009" w14:textId="77777777" w:rsidR="00651B96" w:rsidRDefault="00721866">
            <w:pPr>
              <w:autoSpaceDE w:val="0"/>
              <w:autoSpaceDN w:val="0"/>
              <w:spacing w:line="300" w:lineRule="exact"/>
              <w:jc w:val="center"/>
              <w:rPr>
                <w:rFonts w:ascii="宋体" w:hAnsi="宋体"/>
                <w:sz w:val="24"/>
              </w:rPr>
            </w:pPr>
            <w:r>
              <w:rPr>
                <w:color w:val="000000"/>
                <w:szCs w:val="21"/>
              </w:rPr>
              <w:t>KmR-TA-F</w:t>
            </w:r>
          </w:p>
        </w:tc>
        <w:tc>
          <w:tcPr>
            <w:tcW w:w="3029" w:type="dxa"/>
            <w:vAlign w:val="center"/>
          </w:tcPr>
          <w:p w14:paraId="61E163C9" w14:textId="77777777" w:rsidR="00651B96" w:rsidRDefault="00721866">
            <w:pPr>
              <w:autoSpaceDE w:val="0"/>
              <w:autoSpaceDN w:val="0"/>
              <w:spacing w:line="300" w:lineRule="exact"/>
              <w:jc w:val="center"/>
              <w:rPr>
                <w:rFonts w:ascii="宋体" w:hAnsi="宋体"/>
                <w:sz w:val="24"/>
              </w:rPr>
            </w:pPr>
            <w:r>
              <w:rPr>
                <w:color w:val="000000"/>
                <w:szCs w:val="21"/>
              </w:rPr>
              <w:t>cgttcacgacattctgactgcctgaataagaacggtgctctcc</w:t>
            </w:r>
          </w:p>
        </w:tc>
      </w:tr>
      <w:tr w:rsidR="00651B96" w14:paraId="1979A71D" w14:textId="77777777">
        <w:trPr>
          <w:cantSplit/>
          <w:jc w:val="center"/>
        </w:trPr>
        <w:tc>
          <w:tcPr>
            <w:tcW w:w="3028" w:type="dxa"/>
            <w:vAlign w:val="center"/>
          </w:tcPr>
          <w:p w14:paraId="7C9B438F" w14:textId="77777777" w:rsidR="00651B96" w:rsidRDefault="00721866">
            <w:pPr>
              <w:autoSpaceDE w:val="0"/>
              <w:autoSpaceDN w:val="0"/>
              <w:spacing w:line="300" w:lineRule="exact"/>
              <w:jc w:val="center"/>
              <w:rPr>
                <w:rFonts w:ascii="宋体" w:hAnsi="宋体"/>
                <w:sz w:val="24"/>
              </w:rPr>
            </w:pPr>
            <w:r>
              <w:rPr>
                <w:color w:val="000000"/>
                <w:szCs w:val="21"/>
              </w:rPr>
              <w:t>16</w:t>
            </w:r>
          </w:p>
        </w:tc>
        <w:tc>
          <w:tcPr>
            <w:tcW w:w="3028" w:type="dxa"/>
            <w:vAlign w:val="center"/>
          </w:tcPr>
          <w:p w14:paraId="6B7BB663" w14:textId="77777777" w:rsidR="00651B96" w:rsidRDefault="00721866">
            <w:pPr>
              <w:autoSpaceDE w:val="0"/>
              <w:autoSpaceDN w:val="0"/>
              <w:spacing w:line="300" w:lineRule="exact"/>
              <w:jc w:val="center"/>
              <w:rPr>
                <w:rFonts w:ascii="宋体" w:hAnsi="宋体"/>
                <w:sz w:val="24"/>
              </w:rPr>
            </w:pPr>
            <w:r>
              <w:rPr>
                <w:color w:val="000000"/>
                <w:szCs w:val="21"/>
              </w:rPr>
              <w:t>KmR-TA-R</w:t>
            </w:r>
          </w:p>
        </w:tc>
        <w:tc>
          <w:tcPr>
            <w:tcW w:w="3029" w:type="dxa"/>
            <w:vAlign w:val="center"/>
          </w:tcPr>
          <w:p w14:paraId="0410F452" w14:textId="77777777" w:rsidR="00651B96" w:rsidRDefault="00721866">
            <w:pPr>
              <w:autoSpaceDE w:val="0"/>
              <w:autoSpaceDN w:val="0"/>
              <w:spacing w:line="300" w:lineRule="exact"/>
              <w:jc w:val="center"/>
              <w:rPr>
                <w:rFonts w:ascii="宋体" w:hAnsi="宋体"/>
                <w:sz w:val="24"/>
              </w:rPr>
            </w:pPr>
            <w:r>
              <w:rPr>
                <w:color w:val="000000"/>
                <w:szCs w:val="21"/>
              </w:rPr>
              <w:t>catgccttatcacctgataaggcctcagagctcgaggtcatcg</w:t>
            </w:r>
          </w:p>
        </w:tc>
      </w:tr>
      <w:tr w:rsidR="00651B96" w14:paraId="0C07D1DF" w14:textId="77777777">
        <w:trPr>
          <w:cantSplit/>
          <w:jc w:val="center"/>
        </w:trPr>
        <w:tc>
          <w:tcPr>
            <w:tcW w:w="3028" w:type="dxa"/>
            <w:vAlign w:val="center"/>
          </w:tcPr>
          <w:p w14:paraId="6B0CB549" w14:textId="77777777" w:rsidR="00651B96" w:rsidRDefault="00721866">
            <w:pPr>
              <w:autoSpaceDE w:val="0"/>
              <w:autoSpaceDN w:val="0"/>
              <w:spacing w:line="300" w:lineRule="exact"/>
              <w:jc w:val="center"/>
              <w:rPr>
                <w:rFonts w:ascii="宋体" w:hAnsi="宋体"/>
                <w:sz w:val="24"/>
              </w:rPr>
            </w:pPr>
            <w:r>
              <w:rPr>
                <w:color w:val="000000"/>
                <w:szCs w:val="21"/>
              </w:rPr>
              <w:t>17</w:t>
            </w:r>
          </w:p>
        </w:tc>
        <w:tc>
          <w:tcPr>
            <w:tcW w:w="3028" w:type="dxa"/>
            <w:vAlign w:val="center"/>
          </w:tcPr>
          <w:p w14:paraId="6193A2BC" w14:textId="77777777" w:rsidR="00651B96" w:rsidRDefault="00721866">
            <w:pPr>
              <w:autoSpaceDE w:val="0"/>
              <w:autoSpaceDN w:val="0"/>
              <w:spacing w:line="300" w:lineRule="exact"/>
              <w:jc w:val="center"/>
              <w:rPr>
                <w:rFonts w:ascii="宋体" w:hAnsi="宋体"/>
                <w:sz w:val="24"/>
              </w:rPr>
            </w:pPr>
            <w:r>
              <w:rPr>
                <w:color w:val="000000"/>
                <w:szCs w:val="21"/>
              </w:rPr>
              <w:t>TrpA-B2-F</w:t>
            </w:r>
          </w:p>
        </w:tc>
        <w:tc>
          <w:tcPr>
            <w:tcW w:w="3029" w:type="dxa"/>
            <w:vAlign w:val="center"/>
          </w:tcPr>
          <w:p w14:paraId="77D6F1D1" w14:textId="77777777" w:rsidR="00651B96" w:rsidRDefault="00721866">
            <w:pPr>
              <w:autoSpaceDE w:val="0"/>
              <w:autoSpaceDN w:val="0"/>
              <w:spacing w:line="300" w:lineRule="exact"/>
              <w:jc w:val="center"/>
              <w:rPr>
                <w:rFonts w:ascii="宋体" w:hAnsi="宋体"/>
                <w:sz w:val="24"/>
              </w:rPr>
            </w:pPr>
            <w:r>
              <w:rPr>
                <w:color w:val="000000"/>
                <w:szCs w:val="21"/>
              </w:rPr>
              <w:t>cgatgacctcgagctctgaggccttatcaggtgataaggcatg</w:t>
            </w:r>
          </w:p>
        </w:tc>
      </w:tr>
      <w:tr w:rsidR="00651B96" w14:paraId="14F2D768" w14:textId="77777777">
        <w:trPr>
          <w:cantSplit/>
          <w:jc w:val="center"/>
        </w:trPr>
        <w:tc>
          <w:tcPr>
            <w:tcW w:w="3028" w:type="dxa"/>
            <w:vAlign w:val="center"/>
          </w:tcPr>
          <w:p w14:paraId="230AFD8E" w14:textId="77777777" w:rsidR="00651B96" w:rsidRDefault="00721866">
            <w:pPr>
              <w:autoSpaceDE w:val="0"/>
              <w:autoSpaceDN w:val="0"/>
              <w:spacing w:line="300" w:lineRule="exact"/>
              <w:jc w:val="center"/>
              <w:rPr>
                <w:rFonts w:ascii="宋体" w:hAnsi="宋体"/>
                <w:sz w:val="24"/>
              </w:rPr>
            </w:pPr>
            <w:r>
              <w:rPr>
                <w:color w:val="000000"/>
                <w:szCs w:val="21"/>
              </w:rPr>
              <w:t>18</w:t>
            </w:r>
          </w:p>
        </w:tc>
        <w:tc>
          <w:tcPr>
            <w:tcW w:w="3028" w:type="dxa"/>
            <w:vAlign w:val="center"/>
          </w:tcPr>
          <w:p w14:paraId="77ADE422" w14:textId="77777777" w:rsidR="00651B96" w:rsidRDefault="00721866">
            <w:pPr>
              <w:autoSpaceDE w:val="0"/>
              <w:autoSpaceDN w:val="0"/>
              <w:spacing w:line="300" w:lineRule="exact"/>
              <w:jc w:val="center"/>
              <w:rPr>
                <w:rFonts w:ascii="宋体" w:hAnsi="宋体"/>
                <w:sz w:val="24"/>
              </w:rPr>
            </w:pPr>
            <w:r>
              <w:rPr>
                <w:color w:val="000000"/>
                <w:szCs w:val="21"/>
              </w:rPr>
              <w:t>TrpA-B2-R</w:t>
            </w:r>
          </w:p>
        </w:tc>
        <w:tc>
          <w:tcPr>
            <w:tcW w:w="3029" w:type="dxa"/>
            <w:vAlign w:val="center"/>
          </w:tcPr>
          <w:p w14:paraId="6515EB5A" w14:textId="77777777" w:rsidR="00651B96" w:rsidRDefault="00721866">
            <w:pPr>
              <w:autoSpaceDE w:val="0"/>
              <w:autoSpaceDN w:val="0"/>
              <w:spacing w:line="300" w:lineRule="exact"/>
              <w:jc w:val="center"/>
              <w:rPr>
                <w:rFonts w:ascii="宋体" w:hAnsi="宋体"/>
                <w:sz w:val="24"/>
              </w:rPr>
            </w:pPr>
            <w:r>
              <w:rPr>
                <w:color w:val="000000"/>
                <w:szCs w:val="21"/>
              </w:rPr>
              <w:t>tcggggtcggtatcaactac</w:t>
            </w:r>
          </w:p>
        </w:tc>
      </w:tr>
      <w:tr w:rsidR="00651B96" w14:paraId="6320E554" w14:textId="77777777">
        <w:trPr>
          <w:cantSplit/>
          <w:jc w:val="center"/>
        </w:trPr>
        <w:tc>
          <w:tcPr>
            <w:tcW w:w="3028" w:type="dxa"/>
            <w:vAlign w:val="center"/>
          </w:tcPr>
          <w:p w14:paraId="433E5FFC" w14:textId="77777777" w:rsidR="00651B96" w:rsidRDefault="00721866">
            <w:pPr>
              <w:autoSpaceDE w:val="0"/>
              <w:autoSpaceDN w:val="0"/>
              <w:spacing w:line="300" w:lineRule="exact"/>
              <w:jc w:val="center"/>
              <w:rPr>
                <w:rFonts w:ascii="宋体" w:hAnsi="宋体"/>
                <w:sz w:val="24"/>
              </w:rPr>
            </w:pPr>
            <w:r>
              <w:rPr>
                <w:color w:val="000000"/>
                <w:szCs w:val="21"/>
              </w:rPr>
              <w:t>19</w:t>
            </w:r>
          </w:p>
        </w:tc>
        <w:tc>
          <w:tcPr>
            <w:tcW w:w="3028" w:type="dxa"/>
            <w:vAlign w:val="center"/>
          </w:tcPr>
          <w:p w14:paraId="4AF53105" w14:textId="77777777" w:rsidR="00651B96" w:rsidRDefault="00721866">
            <w:pPr>
              <w:autoSpaceDE w:val="0"/>
              <w:autoSpaceDN w:val="0"/>
              <w:spacing w:line="300" w:lineRule="exact"/>
              <w:jc w:val="center"/>
              <w:rPr>
                <w:rFonts w:ascii="宋体" w:hAnsi="宋体"/>
                <w:sz w:val="24"/>
              </w:rPr>
            </w:pPr>
            <w:r>
              <w:rPr>
                <w:color w:val="000000"/>
                <w:szCs w:val="21"/>
              </w:rPr>
              <w:t>TrpB-B1-F</w:t>
            </w:r>
          </w:p>
        </w:tc>
        <w:tc>
          <w:tcPr>
            <w:tcW w:w="3029" w:type="dxa"/>
            <w:vAlign w:val="center"/>
          </w:tcPr>
          <w:p w14:paraId="3B666AED" w14:textId="77777777" w:rsidR="00651B96" w:rsidRDefault="00721866">
            <w:pPr>
              <w:autoSpaceDE w:val="0"/>
              <w:autoSpaceDN w:val="0"/>
              <w:spacing w:line="300" w:lineRule="exact"/>
              <w:jc w:val="center"/>
              <w:rPr>
                <w:rFonts w:ascii="宋体" w:hAnsi="宋体"/>
                <w:sz w:val="24"/>
              </w:rPr>
            </w:pPr>
            <w:r>
              <w:rPr>
                <w:color w:val="000000"/>
                <w:szCs w:val="21"/>
              </w:rPr>
              <w:t>ctgtcgatcgatcttaaccgca</w:t>
            </w:r>
          </w:p>
        </w:tc>
      </w:tr>
      <w:tr w:rsidR="00651B96" w14:paraId="1B8151D8" w14:textId="77777777">
        <w:trPr>
          <w:cantSplit/>
          <w:jc w:val="center"/>
        </w:trPr>
        <w:tc>
          <w:tcPr>
            <w:tcW w:w="3028" w:type="dxa"/>
            <w:vAlign w:val="center"/>
          </w:tcPr>
          <w:p w14:paraId="000AC28D" w14:textId="77777777" w:rsidR="00651B96" w:rsidRDefault="00721866">
            <w:pPr>
              <w:autoSpaceDE w:val="0"/>
              <w:autoSpaceDN w:val="0"/>
              <w:spacing w:line="300" w:lineRule="exact"/>
              <w:jc w:val="center"/>
              <w:rPr>
                <w:rFonts w:ascii="宋体" w:hAnsi="宋体"/>
                <w:sz w:val="24"/>
              </w:rPr>
            </w:pPr>
            <w:r>
              <w:rPr>
                <w:color w:val="000000"/>
                <w:szCs w:val="21"/>
              </w:rPr>
              <w:t>20</w:t>
            </w:r>
          </w:p>
        </w:tc>
        <w:tc>
          <w:tcPr>
            <w:tcW w:w="3028" w:type="dxa"/>
            <w:vAlign w:val="center"/>
          </w:tcPr>
          <w:p w14:paraId="37D65871" w14:textId="77777777" w:rsidR="00651B96" w:rsidRDefault="00721866">
            <w:pPr>
              <w:autoSpaceDE w:val="0"/>
              <w:autoSpaceDN w:val="0"/>
              <w:spacing w:line="300" w:lineRule="exact"/>
              <w:jc w:val="center"/>
              <w:rPr>
                <w:rFonts w:ascii="宋体" w:hAnsi="宋体"/>
                <w:sz w:val="24"/>
              </w:rPr>
            </w:pPr>
            <w:r>
              <w:rPr>
                <w:color w:val="000000"/>
                <w:szCs w:val="21"/>
              </w:rPr>
              <w:t>TrpB-B1-R</w:t>
            </w:r>
          </w:p>
        </w:tc>
        <w:tc>
          <w:tcPr>
            <w:tcW w:w="3029" w:type="dxa"/>
            <w:vAlign w:val="center"/>
          </w:tcPr>
          <w:p w14:paraId="350BA9E4" w14:textId="77777777" w:rsidR="00651B96" w:rsidRDefault="00721866">
            <w:pPr>
              <w:autoSpaceDE w:val="0"/>
              <w:autoSpaceDN w:val="0"/>
              <w:spacing w:line="300" w:lineRule="exact"/>
              <w:jc w:val="center"/>
              <w:rPr>
                <w:rFonts w:ascii="宋体" w:hAnsi="宋体"/>
                <w:sz w:val="24"/>
              </w:rPr>
            </w:pPr>
            <w:r>
              <w:rPr>
                <w:color w:val="000000"/>
                <w:szCs w:val="21"/>
              </w:rPr>
              <w:t>ggagagcaccgttcttattcagtttagcttcctttttcgggccc</w:t>
            </w:r>
          </w:p>
        </w:tc>
      </w:tr>
      <w:tr w:rsidR="00651B96" w14:paraId="7D93D8F6" w14:textId="77777777">
        <w:trPr>
          <w:cantSplit/>
          <w:jc w:val="center"/>
        </w:trPr>
        <w:tc>
          <w:tcPr>
            <w:tcW w:w="3028" w:type="dxa"/>
            <w:vAlign w:val="center"/>
          </w:tcPr>
          <w:p w14:paraId="4B2D7FEB" w14:textId="77777777" w:rsidR="00651B96" w:rsidRDefault="00721866">
            <w:pPr>
              <w:autoSpaceDE w:val="0"/>
              <w:autoSpaceDN w:val="0"/>
              <w:spacing w:line="300" w:lineRule="exact"/>
              <w:jc w:val="center"/>
              <w:rPr>
                <w:rFonts w:ascii="宋体" w:hAnsi="宋体"/>
                <w:sz w:val="24"/>
              </w:rPr>
            </w:pPr>
            <w:r>
              <w:rPr>
                <w:color w:val="000000"/>
                <w:szCs w:val="21"/>
              </w:rPr>
              <w:t>21</w:t>
            </w:r>
          </w:p>
        </w:tc>
        <w:tc>
          <w:tcPr>
            <w:tcW w:w="3028" w:type="dxa"/>
            <w:vAlign w:val="center"/>
          </w:tcPr>
          <w:p w14:paraId="2B9139E8" w14:textId="77777777" w:rsidR="00651B96" w:rsidRDefault="00721866">
            <w:pPr>
              <w:autoSpaceDE w:val="0"/>
              <w:autoSpaceDN w:val="0"/>
              <w:spacing w:line="300" w:lineRule="exact"/>
              <w:jc w:val="center"/>
              <w:rPr>
                <w:rFonts w:ascii="宋体" w:hAnsi="宋体"/>
                <w:sz w:val="24"/>
              </w:rPr>
            </w:pPr>
            <w:r>
              <w:rPr>
                <w:color w:val="000000"/>
                <w:szCs w:val="21"/>
              </w:rPr>
              <w:t>KmR-TB-F</w:t>
            </w:r>
          </w:p>
        </w:tc>
        <w:tc>
          <w:tcPr>
            <w:tcW w:w="3029" w:type="dxa"/>
            <w:vAlign w:val="center"/>
          </w:tcPr>
          <w:p w14:paraId="7D674375" w14:textId="77777777" w:rsidR="00651B96" w:rsidRDefault="00721866">
            <w:pPr>
              <w:autoSpaceDE w:val="0"/>
              <w:autoSpaceDN w:val="0"/>
              <w:spacing w:line="300" w:lineRule="exact"/>
              <w:jc w:val="center"/>
              <w:rPr>
                <w:rFonts w:ascii="宋体" w:hAnsi="宋体"/>
                <w:sz w:val="24"/>
              </w:rPr>
            </w:pPr>
            <w:r>
              <w:rPr>
                <w:color w:val="000000"/>
                <w:szCs w:val="21"/>
              </w:rPr>
              <w:t>gggcccgaaaaaggaagctaaactgaataagaacggtgctctcc</w:t>
            </w:r>
          </w:p>
        </w:tc>
      </w:tr>
      <w:tr w:rsidR="00651B96" w14:paraId="0B36C75B" w14:textId="77777777">
        <w:trPr>
          <w:cantSplit/>
          <w:jc w:val="center"/>
        </w:trPr>
        <w:tc>
          <w:tcPr>
            <w:tcW w:w="3028" w:type="dxa"/>
            <w:vAlign w:val="center"/>
          </w:tcPr>
          <w:p w14:paraId="2BF74024" w14:textId="77777777" w:rsidR="00651B96" w:rsidRDefault="00721866">
            <w:pPr>
              <w:autoSpaceDE w:val="0"/>
              <w:autoSpaceDN w:val="0"/>
              <w:spacing w:line="300" w:lineRule="exact"/>
              <w:jc w:val="center"/>
              <w:rPr>
                <w:rFonts w:ascii="宋体" w:hAnsi="宋体"/>
                <w:sz w:val="24"/>
              </w:rPr>
            </w:pPr>
            <w:r>
              <w:rPr>
                <w:color w:val="000000"/>
                <w:szCs w:val="21"/>
              </w:rPr>
              <w:t>22</w:t>
            </w:r>
          </w:p>
        </w:tc>
        <w:tc>
          <w:tcPr>
            <w:tcW w:w="3028" w:type="dxa"/>
            <w:vAlign w:val="center"/>
          </w:tcPr>
          <w:p w14:paraId="476478C6" w14:textId="77777777" w:rsidR="00651B96" w:rsidRDefault="00721866">
            <w:pPr>
              <w:autoSpaceDE w:val="0"/>
              <w:autoSpaceDN w:val="0"/>
              <w:spacing w:line="300" w:lineRule="exact"/>
              <w:jc w:val="center"/>
              <w:rPr>
                <w:rFonts w:ascii="宋体" w:hAnsi="宋体"/>
                <w:sz w:val="24"/>
              </w:rPr>
            </w:pPr>
            <w:r>
              <w:rPr>
                <w:color w:val="000000"/>
                <w:szCs w:val="21"/>
              </w:rPr>
              <w:t>KmR-TB-R</w:t>
            </w:r>
          </w:p>
        </w:tc>
        <w:tc>
          <w:tcPr>
            <w:tcW w:w="3029" w:type="dxa"/>
            <w:vAlign w:val="center"/>
          </w:tcPr>
          <w:p w14:paraId="747A19A5" w14:textId="77777777" w:rsidR="00651B96" w:rsidRDefault="00721866">
            <w:pPr>
              <w:autoSpaceDE w:val="0"/>
              <w:autoSpaceDN w:val="0"/>
              <w:spacing w:line="300" w:lineRule="exact"/>
              <w:jc w:val="center"/>
              <w:rPr>
                <w:rFonts w:ascii="宋体" w:hAnsi="宋体"/>
                <w:sz w:val="24"/>
              </w:rPr>
            </w:pPr>
            <w:r>
              <w:rPr>
                <w:color w:val="000000"/>
                <w:szCs w:val="21"/>
              </w:rPr>
              <w:t>acgggcagagagacgtttaaacctcagagctcgaggtcatcg</w:t>
            </w:r>
          </w:p>
        </w:tc>
      </w:tr>
      <w:tr w:rsidR="00651B96" w14:paraId="168020BC" w14:textId="77777777">
        <w:trPr>
          <w:cantSplit/>
          <w:jc w:val="center"/>
        </w:trPr>
        <w:tc>
          <w:tcPr>
            <w:tcW w:w="3028" w:type="dxa"/>
            <w:vAlign w:val="center"/>
          </w:tcPr>
          <w:p w14:paraId="4F8A9DA3" w14:textId="77777777" w:rsidR="00651B96" w:rsidRDefault="00721866">
            <w:pPr>
              <w:autoSpaceDE w:val="0"/>
              <w:autoSpaceDN w:val="0"/>
              <w:spacing w:line="300" w:lineRule="exact"/>
              <w:jc w:val="center"/>
              <w:rPr>
                <w:rFonts w:ascii="宋体" w:hAnsi="宋体"/>
                <w:sz w:val="24"/>
              </w:rPr>
            </w:pPr>
            <w:r>
              <w:rPr>
                <w:color w:val="000000"/>
                <w:szCs w:val="21"/>
              </w:rPr>
              <w:lastRenderedPageBreak/>
              <w:t>23</w:t>
            </w:r>
          </w:p>
        </w:tc>
        <w:tc>
          <w:tcPr>
            <w:tcW w:w="3028" w:type="dxa"/>
            <w:vAlign w:val="center"/>
          </w:tcPr>
          <w:p w14:paraId="13CE5D2B" w14:textId="77777777" w:rsidR="00651B96" w:rsidRDefault="00721866">
            <w:pPr>
              <w:autoSpaceDE w:val="0"/>
              <w:autoSpaceDN w:val="0"/>
              <w:spacing w:line="300" w:lineRule="exact"/>
              <w:jc w:val="center"/>
              <w:rPr>
                <w:rFonts w:ascii="宋体" w:hAnsi="宋体"/>
                <w:sz w:val="24"/>
              </w:rPr>
            </w:pPr>
            <w:r>
              <w:rPr>
                <w:color w:val="000000"/>
                <w:szCs w:val="21"/>
              </w:rPr>
              <w:t>TrpB-B2-F</w:t>
            </w:r>
          </w:p>
        </w:tc>
        <w:tc>
          <w:tcPr>
            <w:tcW w:w="3029" w:type="dxa"/>
            <w:vAlign w:val="center"/>
          </w:tcPr>
          <w:p w14:paraId="6ED90420" w14:textId="77777777" w:rsidR="00651B96" w:rsidRDefault="00721866">
            <w:pPr>
              <w:autoSpaceDE w:val="0"/>
              <w:autoSpaceDN w:val="0"/>
              <w:spacing w:line="300" w:lineRule="exact"/>
              <w:jc w:val="center"/>
              <w:rPr>
                <w:rFonts w:ascii="宋体" w:hAnsi="宋体"/>
                <w:sz w:val="24"/>
              </w:rPr>
            </w:pPr>
            <w:r>
              <w:rPr>
                <w:color w:val="000000"/>
                <w:szCs w:val="21"/>
              </w:rPr>
              <w:t>cgatgacctcgagctctgaggtttaaacgtctctctgcccgt</w:t>
            </w:r>
          </w:p>
        </w:tc>
      </w:tr>
      <w:tr w:rsidR="00651B96" w14:paraId="1E7994A5" w14:textId="77777777">
        <w:trPr>
          <w:cantSplit/>
          <w:jc w:val="center"/>
        </w:trPr>
        <w:tc>
          <w:tcPr>
            <w:tcW w:w="3028" w:type="dxa"/>
            <w:vAlign w:val="center"/>
          </w:tcPr>
          <w:p w14:paraId="4C748F5B" w14:textId="77777777" w:rsidR="00651B96" w:rsidRDefault="00721866">
            <w:pPr>
              <w:autoSpaceDE w:val="0"/>
              <w:autoSpaceDN w:val="0"/>
              <w:spacing w:line="300" w:lineRule="exact"/>
              <w:jc w:val="center"/>
              <w:rPr>
                <w:rFonts w:ascii="宋体" w:hAnsi="宋体"/>
                <w:sz w:val="24"/>
              </w:rPr>
            </w:pPr>
            <w:r>
              <w:rPr>
                <w:color w:val="000000"/>
                <w:szCs w:val="21"/>
              </w:rPr>
              <w:t>24</w:t>
            </w:r>
          </w:p>
        </w:tc>
        <w:tc>
          <w:tcPr>
            <w:tcW w:w="3028" w:type="dxa"/>
            <w:vAlign w:val="center"/>
          </w:tcPr>
          <w:p w14:paraId="2EAC85B4" w14:textId="77777777" w:rsidR="00651B96" w:rsidRDefault="00721866">
            <w:pPr>
              <w:autoSpaceDE w:val="0"/>
              <w:autoSpaceDN w:val="0"/>
              <w:spacing w:line="300" w:lineRule="exact"/>
              <w:jc w:val="center"/>
              <w:rPr>
                <w:rFonts w:ascii="宋体" w:hAnsi="宋体"/>
                <w:sz w:val="24"/>
              </w:rPr>
            </w:pPr>
            <w:r>
              <w:rPr>
                <w:color w:val="000000"/>
                <w:szCs w:val="21"/>
              </w:rPr>
              <w:t>TrpB-B2-R</w:t>
            </w:r>
          </w:p>
        </w:tc>
        <w:tc>
          <w:tcPr>
            <w:tcW w:w="3029" w:type="dxa"/>
            <w:vAlign w:val="center"/>
          </w:tcPr>
          <w:p w14:paraId="2B921698" w14:textId="77777777" w:rsidR="00651B96" w:rsidRDefault="00721866">
            <w:pPr>
              <w:autoSpaceDE w:val="0"/>
              <w:autoSpaceDN w:val="0"/>
              <w:spacing w:line="300" w:lineRule="exact"/>
              <w:jc w:val="center"/>
              <w:rPr>
                <w:rFonts w:ascii="宋体" w:hAnsi="宋体"/>
                <w:sz w:val="24"/>
              </w:rPr>
            </w:pPr>
            <w:r>
              <w:rPr>
                <w:color w:val="000000"/>
                <w:szCs w:val="21"/>
              </w:rPr>
              <w:t>atgctgacagaattaacggctg</w:t>
            </w:r>
          </w:p>
        </w:tc>
      </w:tr>
    </w:tbl>
    <w:p w14:paraId="39484619" w14:textId="77777777" w:rsidR="002C5865" w:rsidRDefault="002C5865" w:rsidP="002C5865">
      <w:pPr>
        <w:snapToGrid w:val="0"/>
        <w:spacing w:line="400" w:lineRule="exact"/>
        <w:ind w:firstLineChars="225" w:firstLine="542"/>
        <w:rPr>
          <w:rFonts w:ascii="宋体" w:hAnsi="宋体"/>
          <w:b/>
          <w:color w:val="FF0000"/>
          <w:sz w:val="24"/>
        </w:rPr>
      </w:pPr>
    </w:p>
    <w:p w14:paraId="24B603DA" w14:textId="77777777"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39"/>
          <w:pgSz w:w="11906" w:h="16838" w:code="9"/>
          <w:pgMar w:top="1134" w:right="1134" w:bottom="1134" w:left="1134" w:header="850" w:footer="992" w:gutter="0"/>
          <w:cols w:space="425"/>
          <w:docGrid w:linePitch="312"/>
        </w:sectPr>
      </w:pPr>
    </w:p>
    <w:p w14:paraId="75BE82B5" w14:textId="77777777" w:rsidR="00AE0799" w:rsidRPr="00D515D0" w:rsidRDefault="00AE0799" w:rsidP="00AE0799">
      <w:pPr>
        <w:pStyle w:val="1"/>
        <w:spacing w:before="480" w:after="360" w:line="400" w:lineRule="exact"/>
      </w:pPr>
      <w:bookmarkStart w:id="208" w:name="_Toc236830389"/>
      <w:r>
        <w:rPr>
          <w:rFonts w:hint="eastAsia"/>
          <w:color w:val="000000"/>
        </w:rPr>
        <w:lastRenderedPageBreak/>
        <w:t>相关的学术成果目录</w:t>
      </w:r>
      <w:bookmarkEnd w:id="208"/>
    </w:p>
    <w:p w14:paraId="28A942A8" w14:textId="77777777" w:rsidR="00AE0799" w:rsidRPr="00C16BEB" w:rsidRDefault="00AE0799" w:rsidP="00AE0799">
      <w:pPr>
        <w:autoSpaceDE w:val="0"/>
        <w:autoSpaceDN w:val="0"/>
        <w:snapToGrid w:val="0"/>
        <w:spacing w:line="400" w:lineRule="exact"/>
        <w:ind w:firstLineChars="225" w:firstLine="540"/>
        <w:rPr>
          <w:rFonts w:ascii="宋体" w:hAnsi="宋体"/>
          <w:b/>
          <w:sz w:val="24"/>
        </w:rPr>
      </w:pPr>
      <w:r>
        <w:rPr>
          <w:color w:val="C00000"/>
          <w:sz w:val="24"/>
        </w:rPr>
        <w:t>【此处为选填部分；有学术成果请补充，无内容可删除本页。】</w:t>
      </w:r>
    </w:p>
    <w:p w14:paraId="006EE5E6" w14:textId="77777777" w:rsidR="00AE0799" w:rsidRDefault="00AE0799" w:rsidP="00AE0799">
      <w:pPr>
        <w:snapToGrid w:val="0"/>
        <w:spacing w:line="400" w:lineRule="exact"/>
        <w:ind w:firstLineChars="225" w:firstLine="540"/>
        <w:rPr>
          <w:rFonts w:ascii="宋体" w:hAnsi="宋体"/>
          <w:sz w:val="24"/>
        </w:rPr>
      </w:pPr>
    </w:p>
    <w:p w14:paraId="39766B3E" w14:textId="77777777" w:rsidR="00156E80" w:rsidRDefault="00156E80" w:rsidP="00FF0BC2">
      <w:pPr>
        <w:pStyle w:val="1"/>
        <w:spacing w:before="480" w:after="360" w:line="400" w:lineRule="exact"/>
        <w:rPr>
          <w:rFonts w:ascii="宋体" w:hAnsi="宋体"/>
          <w:sz w:val="24"/>
        </w:rPr>
        <w:sectPr w:rsidR="00156E80" w:rsidSect="004617F8">
          <w:footerReference w:type="default" r:id="rId40"/>
          <w:pgSz w:w="11906" w:h="16838" w:code="9"/>
          <w:pgMar w:top="1134" w:right="1134" w:bottom="1134" w:left="1134" w:header="850" w:footer="992" w:gutter="0"/>
          <w:cols w:space="425"/>
          <w:docGrid w:linePitch="312"/>
        </w:sectPr>
      </w:pPr>
    </w:p>
    <w:p w14:paraId="0EFCF654" w14:textId="77777777" w:rsidR="00AE0799" w:rsidRPr="00D515D0" w:rsidRDefault="00AE0799" w:rsidP="00AE0799">
      <w:pPr>
        <w:pStyle w:val="1"/>
        <w:spacing w:before="480" w:after="360" w:line="400" w:lineRule="exact"/>
      </w:pPr>
      <w:bookmarkStart w:id="209" w:name="_Toc236830390"/>
      <w:r>
        <w:rPr>
          <w:rFonts w:hint="eastAsia"/>
          <w:color w:val="000000"/>
        </w:rPr>
        <w:lastRenderedPageBreak/>
        <w:t>致  谢</w:t>
      </w:r>
      <w:bookmarkEnd w:id="209"/>
    </w:p>
    <w:p w14:paraId="1982BA6D"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提笔致谢，四年的本科生涯也即将结束，心中满是感慨与谢意。这段旅程，每一步探索少不了老师的教诲、同窗的扶持以及家人和朋友的默默支持。</w:t>
      </w:r>
    </w:p>
    <w:p w14:paraId="4736AD22"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首先，要感谢我的指导老师徐希辉老师。从论文选题开始，就给了我明确的指引，一步步完成整个过程。在论文定稿前，也对我的论文进行了细致的修改。感谢实验室的师兄师姐，他们都非常亲切友善，给予了我很多帮助。感谢我的家人，在背后默默支持着我，无论发生什么总是陪伴在我身边。感谢我的朋友们，感恩相遇，让我的大学四年充满了欢声笑语。</w:t>
      </w:r>
    </w:p>
    <w:p w14:paraId="179CBA69" w14:textId="77777777" w:rsidR="00651B96" w:rsidRDefault="00721866">
      <w:pPr>
        <w:autoSpaceDE w:val="0"/>
        <w:autoSpaceDN w:val="0"/>
        <w:spacing w:line="400" w:lineRule="exact"/>
        <w:ind w:firstLineChars="200" w:firstLine="480"/>
        <w:jc w:val="left"/>
        <w:rPr>
          <w:rFonts w:ascii="宋体" w:hAnsi="宋体"/>
          <w:sz w:val="24"/>
        </w:rPr>
      </w:pPr>
      <w:r>
        <w:rPr>
          <w:color w:val="000000"/>
          <w:sz w:val="24"/>
        </w:rPr>
        <w:t>最后也要感谢自己，</w:t>
      </w:r>
      <w:r>
        <w:rPr>
          <w:color w:val="000000"/>
          <w:sz w:val="24"/>
        </w:rPr>
        <w:t>在大学四年走过不少弯路错路，还能一直坚定自己的选择。也感谢这四年梦幻般的经历，希望未来遇到任何事都能常思过往保持平常心。花有再开日，年年如此，人无在少年，人人这般。唯有桃李春风一杯酒，总也喝不够。</w:t>
      </w:r>
    </w:p>
    <w:p w14:paraId="72A80570" w14:textId="77777777" w:rsidR="00C16BEB" w:rsidRPr="00C16BEB" w:rsidRDefault="00C16BEB" w:rsidP="00AE0799">
      <w:pPr>
        <w:spacing w:line="400" w:lineRule="exact"/>
        <w:ind w:firstLineChars="200" w:firstLine="480"/>
        <w:rPr>
          <w:rFonts w:ascii="宋体" w:hAnsi="宋体"/>
          <w:color w:val="FF0000"/>
          <w:sz w:val="24"/>
        </w:rPr>
      </w:pPr>
    </w:p>
    <w:p w14:paraId="32E59BD7" w14:textId="77777777" w:rsidR="00AE0799" w:rsidRDefault="00AE0799" w:rsidP="00AE0799">
      <w:pPr>
        <w:spacing w:line="400" w:lineRule="exact"/>
        <w:ind w:firstLineChars="200" w:firstLine="480"/>
        <w:rPr>
          <w:rFonts w:ascii="宋体" w:hAnsi="宋体"/>
          <w:sz w:val="24"/>
        </w:rPr>
      </w:pPr>
    </w:p>
    <w:p w14:paraId="2D984E37" w14:textId="77777777"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41"/>
      <w:pgSz w:w="11906" w:h="16838" w:code="9"/>
      <w:pgMar w:top="1134" w:right="1134" w:bottom="1134" w:left="1134" w:header="850"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912E4A" w14:textId="77777777" w:rsidR="00721866" w:rsidRDefault="00721866">
      <w:r>
        <w:separator/>
      </w:r>
    </w:p>
  </w:endnote>
  <w:endnote w:type="continuationSeparator" w:id="0">
    <w:p w14:paraId="33B6D1B6" w14:textId="77777777" w:rsidR="00721866" w:rsidRDefault="00721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20B0604020202020204"/>
    <w:charset w:val="00"/>
    <w:family w:val="roman"/>
    <w:notTrueType/>
    <w:pitch w:val="default"/>
  </w:font>
  <w:font w:name="仿宋_GB2312">
    <w:panose1 w:val="020B0604020202020204"/>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AFA61" w14:textId="77777777"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sidR="0095466F">
      <w:rPr>
        <w:rStyle w:val="a5"/>
      </w:rPr>
      <w:fldChar w:fldCharType="separate"/>
    </w:r>
    <w:r w:rsidR="0095466F">
      <w:rPr>
        <w:rStyle w:val="a5"/>
        <w:noProof/>
      </w:rPr>
      <w:t>XXX</w:t>
    </w:r>
    <w:r>
      <w:rPr>
        <w:rStyle w:val="a5"/>
      </w:rPr>
      <w:fldChar w:fldCharType="end"/>
    </w:r>
  </w:p>
  <w:p w14:paraId="0AA43CF3" w14:textId="77777777"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F6C19" w14:textId="77777777" w:rsidR="00CA4CD2" w:rsidRDefault="00CA4CD2">
    <w:pPr>
      <w:pStyle w:val="a3"/>
      <w:jc w:val="center"/>
    </w:pPr>
  </w:p>
  <w:p w14:paraId="5EA2CA48" w14:textId="77777777"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D2FD5D" w14:textId="77777777"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E558D" w14:textId="77777777" w:rsidR="005A3704" w:rsidRDefault="005A3704">
    <w:pPr>
      <w:pStyle w:val="a3"/>
      <w:ind w:firstLine="360"/>
      <w:jc w:val="center"/>
    </w:pPr>
  </w:p>
  <w:p w14:paraId="1145007B" w14:textId="77777777"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B954C" w14:textId="77777777"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67427"/>
      <w:docPartObj>
        <w:docPartGallery w:val="Page Numbers (Bottom of Page)"/>
        <w:docPartUnique/>
      </w:docPartObj>
    </w:sdtPr>
    <w:sdtEndPr/>
    <w:sdtContent>
      <w:p w14:paraId="61029927" w14:textId="77777777" w:rsidR="00F17900" w:rsidRDefault="003846F3">
        <w:pPr>
          <w:pStyle w:val="a3"/>
          <w:jc w:val="center"/>
        </w:pPr>
        <w:r>
          <w:fldChar w:fldCharType="begin"/>
        </w:r>
        <w:r>
          <w:instrText xml:space="preserve"> PAGE   \* MERGEFORMAT </w:instrText>
        </w:r>
        <w:r>
          <w:fldChar w:fldCharType="separate"/>
        </w:r>
        <w:r>
          <w:rPr>
            <w:noProof/>
            <w:lang w:val="zh-CN"/>
          </w:rPr>
          <w:t>I</w:t>
        </w:r>
        <w:r>
          <w:fldChar w:fldCharType="end"/>
        </w:r>
      </w:p>
    </w:sdtContent>
  </w:sdt>
  <w:p w14:paraId="3BBA5D56" w14:textId="77777777"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1C105" w14:textId="77777777" w:rsidR="0028399B"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3C56DF58" w14:textId="77777777"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769969"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2DE82AFC" w14:textId="77777777"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E58BC" w14:textId="77777777" w:rsidR="00E0462C" w:rsidRDefault="00A3041D">
    <w:pPr>
      <w:pStyle w:val="a3"/>
      <w:jc w:val="center"/>
    </w:pPr>
    <w:r>
      <w:fldChar w:fldCharType="begin"/>
    </w:r>
    <w:r>
      <w:instrText xml:space="preserve"> PAGE   \* MERGEFORMAT </w:instrText>
    </w:r>
    <w:r>
      <w:fldChar w:fldCharType="separate"/>
    </w:r>
    <w:r>
      <w:rPr>
        <w:noProof/>
        <w:lang w:val="zh-CN"/>
      </w:rPr>
      <w:t>1</w:t>
    </w:r>
    <w:r>
      <w:fldChar w:fldCharType="end"/>
    </w:r>
  </w:p>
  <w:p w14:paraId="5AFEF285" w14:textId="77777777"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4D04E"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6F57FADB" w14:textId="77777777"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0E548"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6248CE06" w14:textId="77777777"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F09442" w14:textId="77777777" w:rsidR="00D43528"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777479B8" w14:textId="77777777"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01AC9"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17F036C9" w14:textId="77777777"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867986" w14:textId="77777777" w:rsidR="00721866" w:rsidRDefault="00721866">
      <w:r>
        <w:separator/>
      </w:r>
    </w:p>
  </w:footnote>
  <w:footnote w:type="continuationSeparator" w:id="0">
    <w:p w14:paraId="0F10659B" w14:textId="77777777" w:rsidR="00721866" w:rsidRDefault="00721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539B3" w14:textId="77777777"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7A0F8" w14:textId="77777777"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D0C2C" w14:textId="77777777"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493C8" w14:textId="77777777"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80ADD" w14:textId="77777777"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7A92A" w14:textId="77777777" w:rsidR="00522582" w:rsidRDefault="00522582" w:rsidP="000135BC">
    <w:pPr>
      <w:pStyle w:val="a9"/>
    </w:pPr>
    <w:r>
      <w:rPr>
        <w:rFonts w:hint="eastAsia"/>
      </w:rPr>
      <w:t>南京农业大学本科毕业论文（设计）</w:t>
    </w:r>
  </w:p>
  <w:p w14:paraId="6FA175DD" w14:textId="77777777"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557DAF7"/>
    <w:multiLevelType w:val="multilevel"/>
    <w:tmpl w:val="9557DAF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A02E8C0B"/>
    <w:multiLevelType w:val="singleLevel"/>
    <w:tmpl w:val="A02E8C0B"/>
    <w:lvl w:ilvl="0">
      <w:start w:val="1"/>
      <w:numFmt w:val="decimal"/>
      <w:lvlText w:val="[%1]"/>
      <w:lvlJc w:val="left"/>
      <w:pPr>
        <w:tabs>
          <w:tab w:val="left" w:pos="420"/>
        </w:tabs>
        <w:ind w:left="425" w:hanging="425"/>
      </w:pPr>
      <w:rPr>
        <w:rFonts w:hint="default"/>
      </w:rPr>
    </w:lvl>
  </w:abstractNum>
  <w:abstractNum w:abstractNumId="2" w15:restartNumberingAfterBreak="0">
    <w:nsid w:val="A07B2ECE"/>
    <w:multiLevelType w:val="multilevel"/>
    <w:tmpl w:val="A07B2EC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B21A624F"/>
    <w:multiLevelType w:val="multilevel"/>
    <w:tmpl w:val="B21A624F"/>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BB1E82A7"/>
    <w:multiLevelType w:val="multilevel"/>
    <w:tmpl w:val="BB1E82A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ECE8367C"/>
    <w:multiLevelType w:val="multilevel"/>
    <w:tmpl w:val="ECE8367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F4B49041"/>
    <w:multiLevelType w:val="multilevel"/>
    <w:tmpl w:val="F4B4904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05B0F7D3"/>
    <w:multiLevelType w:val="singleLevel"/>
    <w:tmpl w:val="05B0F7D3"/>
    <w:lvl w:ilvl="0">
      <w:start w:val="1"/>
      <w:numFmt w:val="decimal"/>
      <w:suff w:val="nothing"/>
      <w:lvlText w:val="（%1）"/>
      <w:lvlJc w:val="left"/>
    </w:lvl>
  </w:abstractNum>
  <w:abstractNum w:abstractNumId="8"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0DD4F22"/>
    <w:multiLevelType w:val="multilevel"/>
    <w:tmpl w:val="40DD4F2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6779B612"/>
    <w:multiLevelType w:val="singleLevel"/>
    <w:tmpl w:val="6779B612"/>
    <w:lvl w:ilvl="0">
      <w:start w:val="2"/>
      <w:numFmt w:val="chineseCounting"/>
      <w:suff w:val="space"/>
      <w:lvlText w:val="第%1章"/>
      <w:lvlJc w:val="left"/>
      <w:rPr>
        <w:rFonts w:hint="eastAsia"/>
      </w:rPr>
    </w:lvl>
  </w:abstractNum>
  <w:abstractNum w:abstractNumId="11" w15:restartNumberingAfterBreak="0">
    <w:nsid w:val="6D2A7AD2"/>
    <w:multiLevelType w:val="multilevel"/>
    <w:tmpl w:val="6D2A7AD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6E652147"/>
    <w:multiLevelType w:val="multilevel"/>
    <w:tmpl w:val="6E65214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16cid:durableId="1286351451">
    <w:abstractNumId w:val="8"/>
  </w:num>
  <w:num w:numId="2" w16cid:durableId="669212914">
    <w:abstractNumId w:val="13"/>
  </w:num>
  <w:num w:numId="3" w16cid:durableId="1077442036">
    <w:abstractNumId w:val="3"/>
  </w:num>
  <w:num w:numId="4" w16cid:durableId="745499699">
    <w:abstractNumId w:val="10"/>
  </w:num>
  <w:num w:numId="5" w16cid:durableId="113014762">
    <w:abstractNumId w:val="12"/>
  </w:num>
  <w:num w:numId="6" w16cid:durableId="8525756">
    <w:abstractNumId w:val="6"/>
  </w:num>
  <w:num w:numId="7" w16cid:durableId="1683161154">
    <w:abstractNumId w:val="2"/>
  </w:num>
  <w:num w:numId="8" w16cid:durableId="1513955373">
    <w:abstractNumId w:val="9"/>
  </w:num>
  <w:num w:numId="9" w16cid:durableId="67965036">
    <w:abstractNumId w:val="11"/>
  </w:num>
  <w:num w:numId="10" w16cid:durableId="701397894">
    <w:abstractNumId w:val="7"/>
  </w:num>
  <w:num w:numId="11" w16cid:durableId="664433903">
    <w:abstractNumId w:val="0"/>
  </w:num>
  <w:num w:numId="12" w16cid:durableId="1225794901">
    <w:abstractNumId w:val="4"/>
  </w:num>
  <w:num w:numId="13" w16cid:durableId="412051893">
    <w:abstractNumId w:val="5"/>
  </w:num>
  <w:num w:numId="14" w16cid:durableId="5334697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1B96"/>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866"/>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66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56D3"/>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15EDB"/>
  <w15:docId w15:val="{A720BB44-FEB9-4528-AFDB-4D34CD9D1E2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TOC1">
    <w:name w:val="toc 1"/>
    <w:basedOn w:val="a"/>
    <w:next w:val="a"/>
    <w:uiPriority w:val="39"/>
    <w:rsid w:val="00E93A54"/>
    <w:pPr>
      <w:tabs>
        <w:tab w:val="right" w:leader="dot" w:pos="9060"/>
      </w:tabs>
      <w:spacing w:line="400" w:lineRule="exact"/>
      <w:jc w:val="left"/>
    </w:pPr>
    <w:rPr>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TOC2">
    <w:name w:val="toc 2"/>
    <w:basedOn w:val="a"/>
    <w:next w:val="a"/>
    <w:uiPriority w:val="39"/>
    <w:rsid w:val="00B13828"/>
    <w:pPr>
      <w:tabs>
        <w:tab w:val="right" w:leader="dot" w:pos="9060"/>
      </w:tabs>
      <w:spacing w:line="400" w:lineRule="exact"/>
      <w:ind w:leftChars="200" w:left="420"/>
      <w:jc w:val="left"/>
    </w:pPr>
    <w:rPr>
      <w:sz w:val="28"/>
      <w:szCs w:val="28"/>
    </w:r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TOC3">
    <w:name w:val="toc 3"/>
    <w:basedOn w:val="a"/>
    <w:next w:val="a"/>
    <w:uiPriority w:val="39"/>
    <w:rsid w:val="00DC58A8"/>
    <w:pPr>
      <w:tabs>
        <w:tab w:val="right" w:leader="dot" w:pos="9060"/>
      </w:tabs>
      <w:spacing w:line="400" w:lineRule="exact"/>
      <w:ind w:leftChars="400" w:left="840"/>
      <w:jc w:val="left"/>
    </w:pPr>
    <w:rPr>
      <w:sz w:val="28"/>
      <w:szCs w:val="28"/>
    </w:r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footer" Target="footer11.xml"/><Relationship Id="rId21" Type="http://schemas.openxmlformats.org/officeDocument/2006/relationships/header" Target="header5.xm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8.png"/><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footer" Target="footer9.xml"/><Relationship Id="rId40" Type="http://schemas.openxmlformats.org/officeDocument/2006/relationships/footer" Target="footer1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37</Pages>
  <Words>22507</Words>
  <Characters>22508</Characters>
  <Application>Microsoft Office Word</Application>
  <DocSecurity>0</DocSecurity>
  <Lines>1731</Lines>
  <Paragraphs>1552</Paragraphs>
  <ScaleCrop>false</ScaleCrop>
  <Company>games</Company>
  <LinksUpToDate>false</LinksUpToDate>
  <CharactersWithSpaces>43463</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xiangping wu</cp:lastModifiedBy>
  <cp:revision>13</cp:revision>
  <cp:lastPrinted>2008-05-22T07:34:00Z</cp:lastPrinted>
  <dcterms:created xsi:type="dcterms:W3CDTF">2021-02-01T03:22:00Z</dcterms:created>
  <dcterms:modified xsi:type="dcterms:W3CDTF">2026-08-05T05:50:00Z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23179750414a11f1a20f73b0220f73b0">
    <vt:lpwstr>CWMb7MlXspYDq5aiYCD4S1r3w88jI5N/G8w2Nd0H6pWBE3tDtCnUszCGSW2n3QHylBEDyundO1Lssyexsp9A5aMLA==</vt:lpwstr>
  </property>
  <property fmtid="{D5CDD505-2E9C-101B-9397-08002B2CF9AE}" pid="3" name="KSOProductBuildVer">
    <vt:lpwstr>2052-12.1.0.23125</vt:lpwstr>
  </property>
  <property fmtid="{D5CDD505-2E9C-101B-9397-08002B2CF9AE}" pid="4" name="ICV">
    <vt:lpwstr>4C9F94E5EDF54BDB805922BF78983947_13</vt:lpwstr>
  </property>
  <property fmtid="{D5CDD505-2E9C-101B-9397-08002B2CF9AE}" pid="5" name="KSOTemplateDocerSaveRecord">
    <vt:lpwstr>eyJoZGlkIjoiODg0MTQ5YzE3MDIzMGQzMWFlNjU3N2U4MzBjM2U5MWEiLCJ1c2VySWQiOiIxNDE0OTM0ODgwIn0=</vt:lpwstr>
  </property>
  <property fmtid="{D5CDD505-2E9C-101B-9397-08002B2CF9AE}" pid="6" name="CWMa8d5beb0408e11f1a58df710258df710">
    <vt:lpwstr>CWMdkCF4Mo4GX5gE+ImVD2uCs5sWprb+Dp/VvD6mUDqSYDDoUaB3/oOQj6yEENfUrjsmq+5hL7al6gUw7c0DxRYgA==</vt:lpwstr>
  </property>
  <property fmtid="{D5CDD505-2E9C-101B-9397-08002B2CF9AE}" pid="7" name="CWM682b5c20412a11f1a20f73b0220f73b0">
    <vt:lpwstr>CWMTozBo3Ihzp8sfsoxWkEkxj6GGkT76TzaBCPbRTcGqNvIBhyLopzWffDWT6I8971Th0JI7Mck4/wGHwSgo5i7Ig==</vt:lpwstr>
  </property>
  <property fmtid="{D5CDD505-2E9C-101B-9397-08002B2CF9AE}" pid="8" name="CWM5f0fe370995611f1b340b9363340b936">
    <vt:lpwstr>CWMU7t2OB9QhEtyMDZrtEo43RD5eqF4HFcnzOn5zEntZbyAadapo0UqniqYGkwJNMjBlD3YIdtxGIHXKSKx2FtMdA==</vt:lpwstr>
  </property>
</Properties>
</file>