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学  院：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          </w:t>
      </w:r>
      <w:r>
        <w:rPr>
          <w:rFonts w:ascii="宋体" w:hAnsi="宋体" w:cs="宋体" w:hint="eastAsia"/>
          <w:bCs/>
          <w:sz w:val="24"/>
        </w:rPr>
        <w:t xml:space="preserve">                  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</w:t>
      </w:r>
      <w:r>
        <w:rPr>
          <w:rFonts w:ascii="宋体" w:hAnsi="宋体" w:cs="宋体" w:hint="eastAsia"/>
          <w:bCs/>
          <w:sz w:val="24"/>
        </w:rPr>
        <w:t xml:space="preserve">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20   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级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                     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专业（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  </w:t>
            </w:r>
            <w:r>
              <w:rPr>
                <w:rFonts w:ascii="仿宋_GB2312;仿宋" w:hAnsi="仿宋_GB2312;仿宋" w:cs="宋体" w:hint="eastAsia"/>
                <w:kern w:val="0"/>
                <w:sz w:val="24"/>
              </w:rPr>
              <w:t>）班</w:t>
            </w:r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p w14:paraId="103CCC99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