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source_entry_id=source-entry-c18f2e61a4f647356e6b8d12;extent=text[0:5];source_snapshot_sha256=aa0a66bab9f718af63e5964a58bbfa4caef1056d3c45aa87abf9a457ab14af01;field_id=acknowledgement.body"/>
          <w:id w:val="53529127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  <w:r>
        <w:rPr>
          <w:rFonts w:ascii="黑体" w:eastAsia="黑体" w:hAnsi="宋体" w:hint="eastAsia"/>
          <w:color w:val="0000FF"/>
          <w:sz w:val="24"/>
        </w:rPr>
        <w:t xml:space="preserve">（500字之内，中文小四宋体，英文、数字小四Times New Roman字体，行间距为固定值20磅）</w:t>
      </w:r>
      <w:sdt>
        <w:sdtPr>
          <w:alias w:val="acknowledgement.body"/>
          <w:tag w:val="source_entry_id=source-entry-c18f2e61a4f647356e6b8d12;extent=text[56:129];source_snapshot_sha256=aa0a66bab9f718af63e5964a58bbfa4caef1056d3c45aa87abf9a457ab14af01;field_id=acknowledgement.body"/>
          <w:id w:val="150685810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