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常用的参考文献著录项目和格式示例如下：</w:t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普通图书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蒋有绪，郭泉水，马娟，等. 中国森林群落分类及其群落学特征[M]. 北京: 科学出版社，1998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CRAWFPRD W, GORMAN M. Future libraries: dreams, madness, &amp; reality[M]. Chicago: American Library Association, 1995.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期刊中析出的文献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李炳穆. 理想的图书馆员和信息专家的素质与形象[J]. 图书情报工作，2000(2):5-8.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DES MARAIS D J, STRAUSS H, SUMMONS R E, et al. Carbon isotope evidence for the stepwise oxidation of the Proterozoic environment [J]. Nature, 1992, 359:605-609.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论文集、会议录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中国力学学会. 第3届全国实验流体力学学术会议论文集[C]. 天津: [出版者不详],1990.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ROSENTHALL E M. Proceedings of the Fifth Canadian Mathematical Congress, University of Montreal, 1961[C]. Toronto: University of Toronto Press, 1963.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科技报告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</w:t>
      </w:r>
      <w:r w:rsidRPr="002C5865">
        <w:rPr>
          <w:rFonts w:ascii="宋体" w:hAnsi="宋体" w:cs="Arial" w:hint="eastAsia"/>
          <w:color w:val="0000FF"/>
          <w:kern w:val="0"/>
        </w:rPr>
        <w:t>冯西桥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核反应堆压力管道与压力容器的</w:t>
      </w:r>
      <w:r w:rsidRPr="002C5865">
        <w:rPr>
          <w:rFonts w:ascii="宋体" w:hAnsi="宋体" w:cs="Arial"/>
          <w:color w:val="0000FF"/>
          <w:kern w:val="0"/>
        </w:rPr>
        <w:t>LBB</w:t>
      </w:r>
      <w:r w:rsidRPr="002C5865">
        <w:rPr>
          <w:rFonts w:ascii="宋体" w:hAnsi="宋体" w:cs="Arial" w:hint="eastAsia"/>
          <w:color w:val="0000FF"/>
          <w:kern w:val="0"/>
        </w:rPr>
        <w:t>分析［</w:t>
      </w:r>
      <w:r w:rsidRPr="002C5865">
        <w:rPr>
          <w:rFonts w:ascii="宋体" w:hAnsi="宋体" w:cs="Arial"/>
          <w:color w:val="0000FF"/>
          <w:kern w:val="0"/>
        </w:rPr>
        <w:t>R</w:t>
      </w:r>
      <w:r w:rsidRPr="002C5865">
        <w:rPr>
          <w:rFonts w:ascii="宋体" w:hAnsi="宋体" w:cs="Arial" w:hint="eastAsia"/>
          <w:color w:val="0000FF"/>
          <w:kern w:val="0"/>
        </w:rPr>
        <w:t>］</w:t>
      </w:r>
      <w:r w:rsidRPr="002C5865">
        <w:rPr>
          <w:rFonts w:ascii="宋体" w:hAnsi="宋体" w:cs="Arial"/>
          <w:color w:val="0000FF"/>
          <w:kern w:val="0"/>
        </w:rPr>
        <w:t>.</w:t>
      </w:r>
      <w:r w:rsidRPr="002C5865">
        <w:rPr>
          <w:rFonts w:ascii="宋体" w:hAnsi="宋体" w:cs="Arial" w:hint="eastAsia"/>
          <w:color w:val="0000FF"/>
          <w:kern w:val="0"/>
        </w:rPr>
        <w:t>北京：清华大学核能技术设计研究院，</w:t>
      </w:r>
      <w:r w:rsidRPr="002C5865">
        <w:rPr>
          <w:rFonts w:ascii="宋体" w:hAnsi="宋体" w:cs="Arial"/>
          <w:color w:val="0000FF"/>
          <w:kern w:val="0"/>
        </w:rPr>
        <w:t>1997.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</w:t>
      </w:r>
      <w:r w:rsidRPr="002C5865">
        <w:rPr>
          <w:rFonts w:ascii="宋体" w:hAnsi="宋体" w:cs="Arial" w:hint="eastAsia"/>
          <w:color w:val="0000FF"/>
          <w:kern w:val="0"/>
        </w:rPr>
        <w:t>2</w:t>
      </w:r>
      <w:r w:rsidRPr="002C5865">
        <w:rPr>
          <w:rFonts w:ascii="宋体" w:hAnsi="宋体" w:cs="Arial"/>
          <w:color w:val="0000FF"/>
          <w:kern w:val="0"/>
        </w:rPr>
        <w:t>] World Health Organization. Factors regulating the immune response: report of WHO Scientific Group[R]. Geneva: WHO, 1970.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>学位论文</w:t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>示例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[1] 张志祥. 间断动力系统的随机扰动及其在守恒律方程中的应用[D]. 北京: 北京大学数学学院，1998.</w:t>
      </w:r>
    </w:p>
    <w:p w:rsidR="002C5865" w:rsidRDefault="00401238" w:rsidP="002C586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>[2] CALMS R B. Infrared spectroscopic studies on solid oxygen[D]. Berkeley:Univ. of California. 1965.</w:t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09db61c0aefc11f1abc3fb982bc3fb98">
    <vt:lpwstr>CWMAiZw9aJu9rRGfYvS7eYAxJULcbD4Wri8+jjRrzNRnAzWYhT3PJv1owe0Jzaek1LfgYh7mXwgx0GoiYeGh5EGKQ==</vt:lpwstr>
  </property>
</Properties>
</file>