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pPr>
      <w:r>
        <w:rPr>
          <w:b/>
          <w:bCs/>
          <w:color w:val="1A1915"/>
          <w:sz w:val="44"/>
          <w:szCs w:val="44"/>
        </w:rPr>
        <w:t xml:space="preserve">ACCÈS DISTANT SÉCURISÉ</w:t>
      </w:r>
    </w:p>
    <w:p>
      <w:pPr>
        <w:spacing w:after="500"/>
      </w:pPr>
      <w:r>
        <w:rPr>
          <w:color w:val="75716A"/>
          <w:sz w:val="26"/>
          <w:szCs w:val="26"/>
        </w:rPr>
        <w:t xml:space="preserve">Permettre à l’administrateur de se connecter au système hors du réseau local, sans rien exposer sur Internet</w:t>
      </w:r>
    </w:p>
    <w:p>
      <w:pPr>
        <w:spacing w:after="120"/>
      </w:pPr>
      <w:r>
        <w:rPr>
          <w:color w:val="75716A"/>
          <w:sz w:val="20"/>
          <w:szCs w:val="20"/>
        </w:rPr>
        <w:t xml:space="preserve">Juillet 2026 — complément au « Plan de réalisation — version mobile »</w:t>
      </w:r>
    </w:p>
    <w:p>
      <w:pPr>
        <w:pStyle w:val="Heading1"/>
      </w:pPr>
      <w:r>
        <w:t xml:space="preserve">1. Objectif et principe retenu</w:t>
      </w:r>
    </w:p>
    <w:p>
      <w:pPr>
        <w:spacing w:after="120"/>
      </w:pPr>
      <w:r>
        <w:rPr>
          <w:color w:val="1A1915"/>
          <w:sz w:val="22"/>
          <w:szCs w:val="22"/>
        </w:rPr>
        <w:t xml:space="preserve">Besoin : l’administrateur doit pouvoir se connecter au système (application mobile et tableau de bord web) depuis chez lui ou en déplacement, alors que le serveur Django/PostgreSQL n’est aujourd’hui joignable que sur le réseau local du restaurant.</w:t>
      </w:r>
    </w:p>
    <w:p>
      <w:pPr>
        <w:spacing w:after="120"/>
      </w:pPr>
      <w:r>
        <w:rPr>
          <w:color w:val="1A1915"/>
          <w:sz w:val="22"/>
          <w:szCs w:val="22"/>
        </w:rPr>
        <w:t xml:space="preserve">Principe retenu : un réseau privé superposé (Tailscale, basé sur le protocole WireGuard). Le serveur et les appareils de l’administrateur rejoignent un petit réseau chiffré privé (« tailnet »). Depuis ses appareils, l’administrateur voit le serveur comme s’il était sur le réseau local — mais AUCUN port n’est ouvert sur la box du restaurant, rien n’est visible depuis Internet, et seuls les appareils explicitement enrôlés peuvent se connecter.</w:t>
      </w:r>
    </w:p>
    <w:p>
      <w:pPr>
        <w:spacing w:after="120"/>
      </w:pPr>
      <w:r>
        <w:rPr>
          <w:color w:val="1A1915"/>
          <w:sz w:val="22"/>
          <w:szCs w:val="22"/>
        </w:rPr>
        <w:t xml:space="preserve">Ce choix découle d’une règle simple : le serveur actuel (serveur de développement Django) ne doit JAMAIS être exposé publiquement. L’accès distant impose donc deux chantiers : passer le serveur en mode production, puis créer le tunnel privé.</w:t>
      </w:r>
    </w:p>
    <w:p>
      <w:pPr>
        <w:pStyle w:val="Heading1"/>
      </w:pPr>
      <w:r>
        <w:t xml:space="preserve">2. Options étudiées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000"/>
        <w:gridCol w:w="1826"/>
      </w:tblGrid>
      <w:tr>
        <w:trPr>
          <w:tblHeader/>
        </w:trPr>
        <w:tc>
          <w:tcPr>
            <w:tcW w:type="dxa" w:w="2200"/>
            <w:tcBorders>
              <w:top w:val="single" w:color="CCCCCC" w:sz="1"/>
              <w:left w:val="single" w:color="CCCCCC" w:sz="1"/>
              <w:bottom w:val="single" w:color="CCCCCC" w:sz="1"/>
              <w:right w:val="single" w:color="CCCCCC" w:sz="1"/>
            </w:tcBorders>
            <w:shd w:fill="EFEDE8" w:val="clear"/>
            <w:tcMar>
              <w:top w:type="dxa" w:w="80"/>
              <w:left w:type="dxa" w:w="120"/>
              <w:bottom w:type="dxa" w:w="80"/>
              <w:right w:type="dxa" w:w="120"/>
            </w:tcMar>
          </w:tcPr>
          <w:p>
            <w:pPr>
              <w:spacing w:after="0"/>
            </w:pPr>
            <w:r>
              <w:rPr>
                <w:b/>
                <w:bCs/>
                <w:color w:val="1A1915"/>
                <w:sz w:val="20"/>
                <w:szCs w:val="20"/>
              </w:rPr>
              <w:t xml:space="preserve">Option</w:t>
            </w:r>
          </w:p>
        </w:tc>
        <w:tc>
          <w:tcPr>
            <w:tcW w:type="dxa" w:w="3000"/>
            <w:tcBorders>
              <w:top w:val="single" w:color="CCCCCC" w:sz="1"/>
              <w:left w:val="single" w:color="CCCCCC" w:sz="1"/>
              <w:bottom w:val="single" w:color="CCCCCC" w:sz="1"/>
              <w:right w:val="single" w:color="CCCCCC" w:sz="1"/>
            </w:tcBorders>
            <w:shd w:fill="EFEDE8" w:val="clear"/>
            <w:tcMar>
              <w:top w:type="dxa" w:w="80"/>
              <w:left w:type="dxa" w:w="120"/>
              <w:bottom w:type="dxa" w:w="80"/>
              <w:right w:type="dxa" w:w="120"/>
            </w:tcMar>
          </w:tcPr>
          <w:p>
            <w:pPr>
              <w:spacing w:after="0"/>
            </w:pPr>
            <w:r>
              <w:rPr>
                <w:b/>
                <w:bCs/>
                <w:color w:val="1A1915"/>
                <w:sz w:val="20"/>
                <w:szCs w:val="20"/>
              </w:rPr>
              <w:t xml:space="preserve">Principe</w:t>
            </w:r>
          </w:p>
        </w:tc>
        <w:tc>
          <w:tcPr>
            <w:tcW w:type="dxa" w:w="2000"/>
            <w:tcBorders>
              <w:top w:val="single" w:color="CCCCCC" w:sz="1"/>
              <w:left w:val="single" w:color="CCCCCC" w:sz="1"/>
              <w:bottom w:val="single" w:color="CCCCCC" w:sz="1"/>
              <w:right w:val="single" w:color="CCCCCC" w:sz="1"/>
            </w:tcBorders>
            <w:shd w:fill="EFEDE8" w:val="clear"/>
            <w:tcMar>
              <w:top w:type="dxa" w:w="80"/>
              <w:left w:type="dxa" w:w="120"/>
              <w:bottom w:type="dxa" w:w="80"/>
              <w:right w:type="dxa" w:w="120"/>
            </w:tcMar>
          </w:tcPr>
          <w:p>
            <w:pPr>
              <w:spacing w:after="0"/>
            </w:pPr>
            <w:r>
              <w:rPr>
                <w:b/>
                <w:bCs/>
                <w:color w:val="1A1915"/>
                <w:sz w:val="20"/>
                <w:szCs w:val="20"/>
              </w:rPr>
              <w:t xml:space="preserve">Sécurité</w:t>
            </w:r>
          </w:p>
        </w:tc>
        <w:tc>
          <w:tcPr>
            <w:tcW w:type="dxa" w:w="1826"/>
            <w:tcBorders>
              <w:top w:val="single" w:color="CCCCCC" w:sz="1"/>
              <w:left w:val="single" w:color="CCCCCC" w:sz="1"/>
              <w:bottom w:val="single" w:color="CCCCCC" w:sz="1"/>
              <w:right w:val="single" w:color="CCCCCC" w:sz="1"/>
            </w:tcBorders>
            <w:shd w:fill="EFEDE8" w:val="clear"/>
            <w:tcMar>
              <w:top w:type="dxa" w:w="80"/>
              <w:left w:type="dxa" w:w="120"/>
              <w:bottom w:type="dxa" w:w="80"/>
              <w:right w:type="dxa" w:w="120"/>
            </w:tcMar>
          </w:tcPr>
          <w:p>
            <w:pPr>
              <w:spacing w:after="0"/>
            </w:pPr>
            <w:r>
              <w:rPr>
                <w:b/>
                <w:bCs/>
                <w:color w:val="1A1915"/>
                <w:sz w:val="20"/>
                <w:szCs w:val="20"/>
              </w:rPr>
              <w:t xml:space="preserve">Décision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Ouverture de port (box) + DNS dynamique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Le serveur devient joignable publiquement sur Internet.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Faible : surface d’attaque mondiale, serveur de dev non durci, scans permanents.</w:t>
            </w:r>
          </w:p>
        </w:tc>
        <w:tc>
          <w:tcPr>
            <w:tcW w:type="dxa" w:w="1826"/>
            <w:tcBorders>
              <w:top w:val="single" w:color="CCCCCC" w:sz="1"/>
              <w:left w:val="single" w:color="CCCCCC" w:sz="1"/>
              <w:bottom w:val="single" w:color="CCCCCC" w:sz="1"/>
              <w:right w:val="single" w:color="CCCCCC" w:sz="1"/>
            </w:tcBorders>
            <w:shd w:fill="F4E6E6" w:val="clear"/>
            <w:tcMar>
              <w:top w:type="dxa" w:w="80"/>
              <w:left w:type="dxa" w:w="120"/>
              <w:bottom w:type="dxa" w:w="80"/>
              <w:right w:type="dxa" w:w="120"/>
            </w:tcMar>
          </w:tcPr>
          <w:p>
            <w:pPr>
              <w:spacing w:after="0"/>
            </w:pPr>
            <w:r>
              <w:rPr>
                <w:b w:val="false"/>
                <w:bCs w:val="false"/>
                <w:color w:val="1A1915"/>
                <w:sz w:val="20"/>
                <w:szCs w:val="20"/>
              </w:rPr>
              <w:t xml:space="preserve">REJETÉE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Tailscale (VPN WireGuard)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Tunnel chiffré privé entre le serveur et les appareils enrôlés. Aucun port ouvert.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Forte : chiffrement bout en bout, accès par appareil, révocation immédiate.</w:t>
            </w:r>
          </w:p>
        </w:tc>
        <w:tc>
          <w:tcPr>
            <w:tcW w:type="dxa" w:w="1826"/>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pPr>
              <w:spacing w:after="0"/>
            </w:pPr>
            <w:r>
              <w:rPr>
                <w:b w:val="false"/>
                <w:bCs w:val="false"/>
                <w:color w:val="1A1915"/>
                <w:sz w:val="20"/>
                <w:szCs w:val="20"/>
              </w:rPr>
              <w:t xml:space="preserve">RETENUE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Cloudflare Tunnel + Access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Le serveur établit un tunnel sortant vers Cloudflare, qui authentifie les visiteurs.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Forte, mais nécessite un nom de domaine et une configuration plus lourde.</w:t>
            </w:r>
          </w:p>
        </w:tc>
        <w:tc>
          <w:tcPr>
            <w:tcW w:type="dxa" w:w="1826"/>
            <w:tcBorders>
              <w:top w:val="single" w:color="CCCCCC" w:sz="1"/>
              <w:left w:val="single" w:color="CCCCCC" w:sz="1"/>
              <w:bottom w:val="single" w:color="CCCCCC" w:sz="1"/>
              <w:right w:val="single" w:color="CCCCCC" w:sz="1"/>
            </w:tcBorders>
            <w:shd w:fill="F5EDDE" w:val="clear"/>
            <w:tcMar>
              <w:top w:type="dxa" w:w="80"/>
              <w:left w:type="dxa" w:w="120"/>
              <w:bottom w:type="dxa" w:w="80"/>
              <w:right w:type="dxa" w:w="120"/>
            </w:tcMar>
          </w:tcPr>
          <w:p>
            <w:pPr>
              <w:spacing w:after="0"/>
            </w:pPr>
            <w:r>
              <w:rPr>
                <w:b w:val="false"/>
                <w:bCs w:val="false"/>
                <w:color w:val="1A1915"/>
                <w:sz w:val="20"/>
                <w:szCs w:val="20"/>
              </w:rPr>
              <w:t xml:space="preserve">Solution de repli</w:t>
            </w:r>
          </w:p>
        </w:tc>
      </w:tr>
    </w:tbl>
    <w:p>
      <w:pPr>
        <w:spacing w:after="120"/>
      </w:pPr>
    </w:p>
    <w:p>
      <w:pPr>
        <w:spacing w:after="120"/>
      </w:pPr>
      <w:r>
        <w:rPr>
          <w:color w:val="1A1915"/>
          <w:sz w:val="22"/>
          <w:szCs w:val="22"/>
        </w:rPr>
        <w:t xml:space="preserve">Pourquoi Tailscale : gratuit à cette échelle (jusqu’à 3 utilisateurs / 100 appareils), installation en quelques minutes, aucune modification de la box, certificat HTTPS valide fourni (ce qui règle au passage l’interdiction du HTTP en clair des APK Android), et l’application mobile est déjà prête : l’adresse du serveur y est configurable.</w:t>
      </w:r>
    </w:p>
    <w:p>
      <w:pPr>
        <w:pStyle w:val="Heading1"/>
      </w:pPr>
      <w:r>
        <w:t xml:space="preserve">3. Prérequis</w:t>
      </w:r>
    </w:p>
    <w:p>
      <w:pPr>
        <w:pStyle w:val="ListParagraph"/>
        <w:numPr>
          <w:ilvl w:val="0"/>
          <w:numId w:val="2"/>
        </w:numPr>
        <w:spacing w:after="60"/>
      </w:pPr>
      <w:r>
        <w:rPr>
          <w:b/>
          <w:bCs/>
          <w:color w:val="1A1915"/>
          <w:sz w:val="22"/>
          <w:szCs w:val="22"/>
        </w:rPr>
        <w:t xml:space="preserve">Un compte Tailscale </w:t>
      </w:r>
      <w:r>
        <w:rPr>
          <w:b w:val="false"/>
          <w:bCs w:val="false"/>
          <w:color w:val="1A1915"/>
          <w:sz w:val="22"/>
          <w:szCs w:val="22"/>
        </w:rPr>
        <w:t xml:space="preserve">(gratuit) créé avec une adresse maîtrisée par le restaurant — c’est lui qui contrôle QUI accède ; le protéger par un mot de passe fort et la double authentification du fournisseur d’identité.</w:t>
      </w:r>
    </w:p>
    <w:p>
      <w:pPr>
        <w:pStyle w:val="ListParagraph"/>
        <w:numPr>
          <w:ilvl w:val="0"/>
          <w:numId w:val="2"/>
        </w:numPr>
        <w:spacing w:after="60"/>
      </w:pPr>
      <w:r>
        <w:rPr>
          <w:b/>
          <w:bCs/>
          <w:color w:val="1A1915"/>
          <w:sz w:val="22"/>
          <w:szCs w:val="22"/>
        </w:rPr>
        <w:t xml:space="preserve">La machine serveur </w:t>
      </w:r>
      <w:r>
        <w:rPr>
          <w:b w:val="false"/>
          <w:bCs w:val="false"/>
          <w:color w:val="1A1915"/>
          <w:sz w:val="22"/>
          <w:szCs w:val="22"/>
        </w:rPr>
        <w:t xml:space="preserve">allumée en permanence, mise en veille désactivée, IP locale réservée dans la box (DHCP).</w:t>
      </w:r>
    </w:p>
    <w:p>
      <w:pPr>
        <w:pStyle w:val="ListParagraph"/>
        <w:numPr>
          <w:ilvl w:val="0"/>
          <w:numId w:val="2"/>
        </w:numPr>
        <w:spacing w:after="60"/>
      </w:pPr>
      <w:r>
        <w:rPr>
          <w:b/>
          <w:bCs/>
          <w:color w:val="1A1915"/>
          <w:sz w:val="22"/>
          <w:szCs w:val="22"/>
        </w:rPr>
        <w:t xml:space="preserve">Un compte applicatif personnel pour l’administrateur </w:t>
      </w:r>
      <w:r>
        <w:rPr>
          <w:b w:val="false"/>
          <w:bCs w:val="false"/>
          <w:color w:val="1A1915"/>
          <w:sz w:val="22"/>
          <w:szCs w:val="22"/>
        </w:rPr>
        <w:t xml:space="preserve">(rôle admin). Rappel : le backend n’autorise qu’une session active par compte — le dernier login gagne. Un compte partagé provoquerait des déconnexions mutuelles entre le site et le distant.</w:t>
      </w:r>
    </w:p>
    <w:p>
      <w:pPr>
        <w:pStyle w:val="ListParagraph"/>
        <w:numPr>
          <w:ilvl w:val="0"/>
          <w:numId w:val="2"/>
        </w:numPr>
        <w:spacing w:after="60"/>
      </w:pPr>
      <w:r>
        <w:rPr>
          <w:b/>
          <w:bCs/>
          <w:color w:val="1A1915"/>
          <w:sz w:val="22"/>
          <w:szCs w:val="22"/>
        </w:rPr>
        <w:t xml:space="preserve">La version mobile installée </w:t>
      </w:r>
      <w:r>
        <w:rPr>
          <w:b w:val="false"/>
          <w:bCs w:val="false"/>
          <w:color w:val="1A1915"/>
          <w:sz w:val="22"/>
          <w:szCs w:val="22"/>
        </w:rPr>
        <w:t xml:space="preserve">sur le téléphone de l’administrateur (APK ou Expo Go en développement).</w:t>
      </w:r>
    </w:p>
    <w:p>
      <w:pPr>
        <w:pStyle w:val="Heading1"/>
      </w:pPr>
      <w:r>
        <w:t xml:space="preserve">4. Étapes de mise en œuvre</w:t>
      </w:r>
    </w:p>
    <w:p>
      <w:pPr>
        <w:pStyle w:val="Heading2"/>
      </w:pPr>
      <w:r>
        <w:t xml:space="preserve">Étape 1 — Passer le serveur en mode production (Dév. A, 1 jour)</w:t>
      </w:r>
    </w:p>
    <w:p>
      <w:pPr>
        <w:spacing w:after="120"/>
      </w:pPr>
      <w:r>
        <w:rPr>
          <w:color w:val="1A1915"/>
          <w:sz w:val="22"/>
          <w:szCs w:val="22"/>
        </w:rPr>
        <w:t xml:space="preserve">Le serveur de développement (runserver) est mono-processus, non durci et affiche les erreurs en détail. Avant tout accès distant :</w:t>
      </w:r>
    </w:p>
    <w:p>
      <w:pPr>
        <w:pStyle w:val="ListParagraph"/>
        <w:numPr>
          <w:ilvl w:val="0"/>
          <w:numId w:val="3"/>
        </w:numPr>
        <w:spacing w:after="80"/>
      </w:pPr>
      <w:r>
        <w:rPr>
          <w:b w:val="false"/>
          <w:bCs w:val="false"/>
          <w:color w:val="1A1915"/>
          <w:sz w:val="22"/>
          <w:szCs w:val="22"/>
        </w:rPr>
        <w:t xml:space="preserve">Installer gunicorn dans l’environnement du projet et servir l’application avec :</w:t>
      </w:r>
    </w:p>
    <w:p>
      <w:pPr>
        <w:spacing w:after="60"/>
        <w:ind w:left="360"/>
      </w:pPr>
      <w:r>
        <w:rPr>
          <w:rFonts w:ascii="Courier New" w:cs="Courier New" w:eastAsia="Courier New" w:hAnsi="Courier New"/>
          <w:color w:val="1A1915"/>
          <w:sz w:val="20"/>
          <w:szCs w:val="20"/>
        </w:rPr>
        <w:t xml:space="preserve">./venv/bin/pip install gunicorn</w:t>
      </w:r>
    </w:p>
    <w:p>
      <w:pPr>
        <w:spacing w:after="60"/>
        <w:ind w:left="360"/>
      </w:pPr>
      <w:r>
        <w:rPr>
          <w:rFonts w:ascii="Courier New" w:cs="Courier New" w:eastAsia="Courier New" w:hAnsi="Courier New"/>
          <w:color w:val="1A1915"/>
          <w:sz w:val="20"/>
          <w:szCs w:val="20"/>
        </w:rPr>
        <w:t xml:space="preserve">./venv/bin/gunicorn config.wsgi:application --bind 127.0.0.1:8000 --workers 2</w:t>
      </w:r>
    </w:p>
    <w:p>
      <w:pPr>
        <w:pStyle w:val="ListParagraph"/>
        <w:numPr>
          <w:ilvl w:val="0"/>
          <w:numId w:val="3"/>
        </w:numPr>
        <w:spacing w:after="80"/>
      </w:pPr>
      <w:r>
        <w:rPr>
          <w:b w:val="false"/>
          <w:bCs w:val="false"/>
          <w:color w:val="1A1915"/>
          <w:sz w:val="22"/>
          <w:szCs w:val="22"/>
        </w:rPr>
        <w:t xml:space="preserve">Dans api/.env : </w:t>
      </w:r>
      <w:r>
        <w:rPr>
          <w:b/>
          <w:bCs/>
          <w:color w:val="1A1915"/>
          <w:sz w:val="22"/>
          <w:szCs w:val="22"/>
        </w:rPr>
        <w:t xml:space="preserve">DEBUG=False</w:t>
      </w:r>
      <w:r>
        <w:rPr>
          <w:b w:val="false"/>
          <w:bCs w:val="false"/>
          <w:color w:val="1A1915"/>
          <w:sz w:val="22"/>
          <w:szCs w:val="22"/>
        </w:rPr>
        <w:t xml:space="preserve">, vérifier qu’un </w:t>
      </w:r>
      <w:r>
        <w:rPr>
          <w:b/>
          <w:bCs/>
          <w:color w:val="1A1915"/>
          <w:sz w:val="22"/>
          <w:szCs w:val="22"/>
        </w:rPr>
        <w:t xml:space="preserve">SECRET_KEY</w:t>
      </w:r>
      <w:r>
        <w:rPr>
          <w:b w:val="false"/>
          <w:bCs w:val="false"/>
          <w:color w:val="1A1915"/>
          <w:sz w:val="22"/>
          <w:szCs w:val="22"/>
        </w:rPr>
        <w:t xml:space="preserve"> fort est défini et qu’aucun secret n’est dans git.</w:t>
      </w:r>
    </w:p>
    <w:p>
      <w:pPr>
        <w:pStyle w:val="ListParagraph"/>
        <w:numPr>
          <w:ilvl w:val="0"/>
          <w:numId w:val="3"/>
        </w:numPr>
        <w:spacing w:after="80"/>
      </w:pPr>
      <w:r>
        <w:rPr>
          <w:b w:val="false"/>
          <w:bCs w:val="false"/>
          <w:color w:val="1A1915"/>
          <w:sz w:val="22"/>
          <w:szCs w:val="22"/>
        </w:rPr>
        <w:t xml:space="preserve">Configurer le démarrage automatique du service (launchd sur macOS, systemd sur Linux) : gunicorn et PostgreSQL doivent survivre à un redémarrage de la machine.</w:t>
      </w:r>
    </w:p>
    <w:p>
      <w:pPr>
        <w:pStyle w:val="ListParagraph"/>
        <w:numPr>
          <w:ilvl w:val="0"/>
          <w:numId w:val="3"/>
        </w:numPr>
        <w:spacing w:after="80"/>
      </w:pPr>
      <w:r>
        <w:rPr>
          <w:b w:val="false"/>
          <w:bCs w:val="false"/>
          <w:color w:val="1A1915"/>
          <w:sz w:val="22"/>
          <w:szCs w:val="22"/>
        </w:rPr>
        <w:t xml:space="preserve">Recette complète sur le réseau local AVANT de passer à l’étape 2 : le passage de DEBUG=False peut révéler des régressions (fichiers statiques, pages d’erreur).</w:t>
      </w:r>
    </w:p>
    <w:p>
      <w:pPr>
        <w:pStyle w:val="Heading2"/>
      </w:pPr>
      <w:r>
        <w:t xml:space="preserve">Étape 2 — Créer le réseau privé (Dév. A, ½ journée)</w:t>
      </w:r>
    </w:p>
    <w:p>
      <w:pPr>
        <w:pStyle w:val="ListParagraph"/>
        <w:numPr>
          <w:ilvl w:val="0"/>
          <w:numId w:val="3"/>
        </w:numPr>
        <w:spacing w:after="80"/>
      </w:pPr>
      <w:r>
        <w:rPr>
          <w:b w:val="false"/>
          <w:bCs w:val="false"/>
          <w:color w:val="1A1915"/>
          <w:sz w:val="22"/>
          <w:szCs w:val="22"/>
        </w:rPr>
        <w:t xml:space="preserve">Installer Tailscale sur la machine serveur et se connecter au compte du restaurant (tailscale up).</w:t>
      </w:r>
    </w:p>
    <w:p>
      <w:pPr>
        <w:pStyle w:val="ListParagraph"/>
        <w:numPr>
          <w:ilvl w:val="0"/>
          <w:numId w:val="3"/>
        </w:numPr>
        <w:spacing w:after="80"/>
      </w:pPr>
      <w:r>
        <w:rPr>
          <w:b w:val="false"/>
          <w:bCs w:val="false"/>
          <w:color w:val="1A1915"/>
          <w:sz w:val="22"/>
          <w:szCs w:val="22"/>
        </w:rPr>
        <w:t xml:space="preserve">Installer l’application Tailscale sur le téléphone et l’ordinateur de l’administrateur, avec le même compte.</w:t>
      </w:r>
    </w:p>
    <w:p>
      <w:pPr>
        <w:pStyle w:val="ListParagraph"/>
        <w:numPr>
          <w:ilvl w:val="0"/>
          <w:numId w:val="3"/>
        </w:numPr>
        <w:spacing w:after="80"/>
      </w:pPr>
      <w:r>
        <w:rPr>
          <w:b w:val="false"/>
          <w:bCs w:val="false"/>
          <w:color w:val="1A1915"/>
          <w:sz w:val="22"/>
          <w:szCs w:val="22"/>
        </w:rPr>
        <w:t xml:space="preserve">Activer MagicDNS dans la console d’administration : le serveur reçoit un nom stable, par exemple </w:t>
      </w:r>
      <w:r>
        <w:rPr>
          <w:b/>
          <w:bCs/>
          <w:color w:val="1A1915"/>
          <w:sz w:val="22"/>
          <w:szCs w:val="22"/>
        </w:rPr>
        <w:t xml:space="preserve">economat.tail1234.ts.net</w:t>
      </w:r>
      <w:r>
        <w:rPr>
          <w:b w:val="false"/>
          <w:bCs w:val="false"/>
          <w:color w:val="1A1915"/>
          <w:sz w:val="22"/>
          <w:szCs w:val="22"/>
        </w:rPr>
        <w:t xml:space="preserve">.</w:t>
      </w:r>
    </w:p>
    <w:p>
      <w:pPr>
        <w:pStyle w:val="ListParagraph"/>
        <w:numPr>
          <w:ilvl w:val="0"/>
          <w:numId w:val="3"/>
        </w:numPr>
        <w:spacing w:after="80"/>
      </w:pPr>
      <w:r>
        <w:rPr>
          <w:b w:val="false"/>
          <w:bCs w:val="false"/>
          <w:color w:val="1A1915"/>
          <w:sz w:val="22"/>
          <w:szCs w:val="22"/>
        </w:rPr>
        <w:t xml:space="preserve">Ajouter ce nom dans ALLOWED_HOSTS (api/.env) et redémarrer le service.</w:t>
      </w:r>
    </w:p>
    <w:p>
      <w:pPr>
        <w:pStyle w:val="Heading2"/>
      </w:pPr>
      <w:r>
        <w:t xml:space="preserve">Étape 3 — Restreindre les accès (Dév. A, ½ journée)</w:t>
      </w:r>
    </w:p>
    <w:p>
      <w:pPr>
        <w:pStyle w:val="ListParagraph"/>
        <w:numPr>
          <w:ilvl w:val="0"/>
          <w:numId w:val="3"/>
        </w:numPr>
        <w:spacing w:after="80"/>
      </w:pPr>
      <w:r>
        <w:rPr>
          <w:b w:val="false"/>
          <w:bCs w:val="false"/>
          <w:color w:val="1A1915"/>
          <w:sz w:val="22"/>
          <w:szCs w:val="22"/>
        </w:rPr>
        <w:t xml:space="preserve">Dans la console Tailscale, écrire la liste de contrôle d’accès (ACL) : seuls les appareils étiquetés « admin » peuvent joindre le serveur, et uniquement sur les ports nécessaires (443/8000).</w:t>
      </w:r>
    </w:p>
    <w:p>
      <w:pPr>
        <w:pStyle w:val="ListParagraph"/>
        <w:numPr>
          <w:ilvl w:val="0"/>
          <w:numId w:val="3"/>
        </w:numPr>
        <w:spacing w:after="80"/>
      </w:pPr>
      <w:r>
        <w:rPr>
          <w:b w:val="false"/>
          <w:bCs w:val="false"/>
          <w:color w:val="1A1915"/>
          <w:sz w:val="22"/>
          <w:szCs w:val="22"/>
        </w:rPr>
        <w:t xml:space="preserve">Désactiver l’expiration automatique de clé pour le serveur uniquement (pas pour les appareils de l’administrateur : leur ré-authentification périodique est une protection).</w:t>
      </w:r>
    </w:p>
    <w:p>
      <w:pPr>
        <w:pStyle w:val="ListParagraph"/>
        <w:numPr>
          <w:ilvl w:val="0"/>
          <w:numId w:val="3"/>
        </w:numPr>
        <w:spacing w:after="80"/>
      </w:pPr>
      <w:r>
        <w:rPr>
          <w:b w:val="false"/>
          <w:bCs w:val="false"/>
          <w:color w:val="1A1915"/>
          <w:sz w:val="22"/>
          <w:szCs w:val="22"/>
        </w:rPr>
        <w:t xml:space="preserve">Vérifier la liste des appareils enrôlés et supprimer tout appareil inconnu ou de test.</w:t>
      </w:r>
    </w:p>
    <w:p>
      <w:pPr>
        <w:pStyle w:val="Heading2"/>
      </w:pPr>
      <w:r>
        <w:t xml:space="preserve">Étape 4 — HTTPS de bout en bout (Dév. A, ½ journée)</w:t>
      </w:r>
    </w:p>
    <w:p>
      <w:pPr>
        <w:pStyle w:val="ListParagraph"/>
        <w:numPr>
          <w:ilvl w:val="0"/>
          <w:numId w:val="3"/>
        </w:numPr>
        <w:spacing w:after="80"/>
      </w:pPr>
      <w:r>
        <w:rPr>
          <w:b w:val="false"/>
          <w:bCs w:val="false"/>
          <w:color w:val="1A1915"/>
          <w:sz w:val="22"/>
          <w:szCs w:val="22"/>
        </w:rPr>
        <w:t xml:space="preserve">Activer la fonction serve de Tailscale pour publier l’API en HTTPS sur le tailnet avec un certificat valide :</w:t>
      </w:r>
    </w:p>
    <w:p>
      <w:pPr>
        <w:spacing w:after="60"/>
        <w:ind w:left="360"/>
      </w:pPr>
      <w:r>
        <w:rPr>
          <w:rFonts w:ascii="Courier New" w:cs="Courier New" w:eastAsia="Courier New" w:hAnsi="Courier New"/>
          <w:color w:val="1A1915"/>
          <w:sz w:val="20"/>
          <w:szCs w:val="20"/>
        </w:rPr>
        <w:t xml:space="preserve">tailscale serve --bg http://127.0.0.1:8000</w:t>
      </w:r>
    </w:p>
    <w:p>
      <w:pPr>
        <w:pStyle w:val="ListParagraph"/>
        <w:numPr>
          <w:ilvl w:val="0"/>
          <w:numId w:val="3"/>
        </w:numPr>
        <w:spacing w:after="80"/>
      </w:pPr>
      <w:r>
        <w:rPr>
          <w:b w:val="false"/>
          <w:bCs w:val="false"/>
          <w:color w:val="1A1915"/>
          <w:sz w:val="22"/>
          <w:szCs w:val="22"/>
        </w:rPr>
        <w:t xml:space="preserve">L’API devient joignable sur </w:t>
      </w:r>
      <w:r>
        <w:rPr>
          <w:b/>
          <w:bCs/>
          <w:color w:val="1A1915"/>
          <w:sz w:val="22"/>
          <w:szCs w:val="22"/>
        </w:rPr>
        <w:t xml:space="preserve">https://economat.tail1234.ts.net</w:t>
      </w:r>
      <w:r>
        <w:rPr>
          <w:b w:val="false"/>
          <w:bCs w:val="false"/>
          <w:color w:val="1A1915"/>
          <w:sz w:val="22"/>
          <w:szCs w:val="22"/>
        </w:rPr>
        <w:t xml:space="preserve"> — uniquement depuis le tailnet. Le trafic est chiffré même à l’intérieur du tunnel, et les APK Android fonctionnent sans exception « cleartext ».</w:t>
      </w:r>
    </w:p>
    <w:p>
      <w:pPr>
        <w:pStyle w:val="ListParagraph"/>
        <w:numPr>
          <w:ilvl w:val="0"/>
          <w:numId w:val="3"/>
        </w:numPr>
        <w:spacing w:after="80"/>
      </w:pPr>
      <w:r>
        <w:rPr>
          <w:b w:val="false"/>
          <w:bCs w:val="false"/>
          <w:color w:val="1A1915"/>
          <w:sz w:val="22"/>
          <w:szCs w:val="22"/>
        </w:rPr>
        <w:t xml:space="preserve">Ajouter cette origine HTTPS à CORS_ALLOWED_ORIGINS si le tableau de bord web y est servi aussi.</w:t>
      </w:r>
    </w:p>
    <w:p>
      <w:pPr>
        <w:pStyle w:val="Heading2"/>
      </w:pPr>
      <w:r>
        <w:t xml:space="preserve">Étape 5 — Configurer les clients (Dév. B, ½ journée)</w:t>
      </w:r>
    </w:p>
    <w:p>
      <w:pPr>
        <w:pStyle w:val="ListParagraph"/>
        <w:numPr>
          <w:ilvl w:val="0"/>
          <w:numId w:val="3"/>
        </w:numPr>
        <w:spacing w:after="80"/>
      </w:pPr>
      <w:r>
        <w:rPr>
          <w:b w:val="false"/>
          <w:bCs w:val="false"/>
          <w:color w:val="1A1915"/>
          <w:sz w:val="22"/>
          <w:szCs w:val="22"/>
        </w:rPr>
        <w:t xml:space="preserve">Application mobile : sur l’écran de connexion, saisir l’adresse </w:t>
      </w:r>
      <w:r>
        <w:rPr>
          <w:b/>
          <w:bCs/>
          <w:color w:val="1A1915"/>
          <w:sz w:val="22"/>
          <w:szCs w:val="22"/>
        </w:rPr>
        <w:t xml:space="preserve">https://economat.tail1234.ts.net</w:t>
      </w:r>
      <w:r>
        <w:rPr>
          <w:b w:val="false"/>
          <w:bCs w:val="false"/>
          <w:color w:val="1A1915"/>
          <w:sz w:val="22"/>
          <w:szCs w:val="22"/>
        </w:rPr>
        <w:t xml:space="preserve"> à la place de l’IP locale. Aucune modification de code n’est nécessaire.</w:t>
      </w:r>
    </w:p>
    <w:p>
      <w:pPr>
        <w:pStyle w:val="ListParagraph"/>
        <w:numPr>
          <w:ilvl w:val="0"/>
          <w:numId w:val="3"/>
        </w:numPr>
        <w:spacing w:after="80"/>
      </w:pPr>
      <w:r>
        <w:rPr>
          <w:b w:val="false"/>
          <w:bCs w:val="false"/>
          <w:color w:val="1A1915"/>
          <w:sz w:val="22"/>
          <w:szCs w:val="22"/>
        </w:rPr>
        <w:t xml:space="preserve">Tableau de bord web : construire la version production (npm run build &amp;&amp; npm start) et la publier sur le tailnet de la même façon (tailscale serve sur le port du frontend), l’adaptateur Next.js continuant d’appeler Django en 127.0.0.1 sur la même machine.</w:t>
      </w:r>
    </w:p>
    <w:p>
      <w:pPr>
        <w:pStyle w:val="ListParagraph"/>
        <w:numPr>
          <w:ilvl w:val="0"/>
          <w:numId w:val="3"/>
        </w:numPr>
        <w:spacing w:after="80"/>
      </w:pPr>
      <w:r>
        <w:rPr>
          <w:b w:val="false"/>
          <w:bCs w:val="false"/>
          <w:color w:val="1A1915"/>
          <w:sz w:val="22"/>
          <w:szCs w:val="22"/>
        </w:rPr>
        <w:t xml:space="preserve">Sur site, les téléphones du restaurant peuvent continuer d’utiliser l’IP locale : les deux chemins mènent à la même base.</w:t>
      </w:r>
    </w:p>
    <w:p>
      <w:pPr>
        <w:pStyle w:val="Heading2"/>
      </w:pPr>
      <w:r>
        <w:t xml:space="preserve">Étape 6 — Durcissement applicatif (Dév. A, ½ à 1 journée)</w:t>
      </w:r>
    </w:p>
    <w:p>
      <w:pPr>
        <w:pStyle w:val="ListParagraph"/>
        <w:numPr>
          <w:ilvl w:val="0"/>
          <w:numId w:val="3"/>
        </w:numPr>
        <w:spacing w:after="80"/>
      </w:pPr>
      <w:r>
        <w:rPr>
          <w:b w:val="false"/>
          <w:bCs w:val="false"/>
          <w:color w:val="1A1915"/>
          <w:sz w:val="22"/>
          <w:szCs w:val="22"/>
        </w:rPr>
        <w:t xml:space="preserve">Limitation de débit sur la connexion : au plus 10 tentatives de login par minute et par adresse (throttling DRF ou django-axes) — protège contre le rejeu de mots de passe même depuis le tailnet.</w:t>
      </w:r>
    </w:p>
    <w:p>
      <w:pPr>
        <w:pStyle w:val="ListParagraph"/>
        <w:numPr>
          <w:ilvl w:val="0"/>
          <w:numId w:val="3"/>
        </w:numPr>
        <w:spacing w:after="80"/>
      </w:pPr>
      <w:r>
        <w:rPr>
          <w:b w:val="false"/>
          <w:bCs w:val="false"/>
          <w:color w:val="1A1915"/>
          <w:sz w:val="22"/>
          <w:szCs w:val="22"/>
        </w:rPr>
        <w:t xml:space="preserve">Vérifier les durées des jetons (accès 8 h / rafraîchissement 7 j) : acceptables ici car la perte du téléphone se traite par révocation Tailscale + désactivation du compte.</w:t>
      </w:r>
    </w:p>
    <w:p>
      <w:pPr>
        <w:pStyle w:val="ListParagraph"/>
        <w:numPr>
          <w:ilvl w:val="0"/>
          <w:numId w:val="3"/>
        </w:numPr>
        <w:spacing w:after="80"/>
      </w:pPr>
      <w:r>
        <w:rPr>
          <w:b w:val="false"/>
          <w:bCs w:val="false"/>
          <w:color w:val="1A1915"/>
          <w:sz w:val="22"/>
          <w:szCs w:val="22"/>
        </w:rPr>
        <w:t xml:space="preserve">Optionnel (recommandé) : double authentification TOTP (django-otp) pour les comptes de rôle admin.</w:t>
      </w:r>
    </w:p>
    <w:p>
      <w:pPr>
        <w:pStyle w:val="ListParagraph"/>
        <w:numPr>
          <w:ilvl w:val="0"/>
          <w:numId w:val="3"/>
        </w:numPr>
        <w:spacing w:after="80"/>
      </w:pPr>
      <w:r>
        <w:rPr>
          <w:b w:val="false"/>
          <w:bCs w:val="false"/>
          <w:color w:val="1A1915"/>
          <w:sz w:val="22"/>
          <w:szCs w:val="22"/>
        </w:rPr>
        <w:t xml:space="preserve">Vérifier que l’interface /admin/ de Django exige un compte superutilisateur dédié avec mot de passe fort, distinct du compte applicatif.</w:t>
      </w:r>
    </w:p>
    <w:p>
      <w:pPr>
        <w:pStyle w:val="Heading1"/>
      </w:pPr>
      <w:r>
        <w:t xml:space="preserve">5. Vérifications (cahier de recette)</w:t>
      </w:r>
    </w:p>
    <w:p>
      <w:pPr>
        <w:spacing w:after="120"/>
      </w:pPr>
      <w:r>
        <w:rPr>
          <w:color w:val="1A1915"/>
          <w:sz w:val="22"/>
          <w:szCs w:val="22"/>
        </w:rPr>
        <w:t xml:space="preserve">Chaque point doit être vérifié et coché avant d’annoncer le service à l’administrateur ; rejouer l’ensemble après toute modification du serveur.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1826"/>
      </w:tblGrid>
      <w:tr>
        <w:trPr>
          <w:tblHeader/>
        </w:trPr>
        <w:tc>
          <w:tcPr>
            <w:tcW w:type="dxa" w:w="3600"/>
            <w:tcBorders>
              <w:top w:val="single" w:color="CCCCCC" w:sz="1"/>
              <w:left w:val="single" w:color="CCCCCC" w:sz="1"/>
              <w:bottom w:val="single" w:color="CCCCCC" w:sz="1"/>
              <w:right w:val="single" w:color="CCCCCC" w:sz="1"/>
            </w:tcBorders>
            <w:shd w:fill="EFEDE8" w:val="clear"/>
            <w:tcMar>
              <w:top w:type="dxa" w:w="80"/>
              <w:left w:type="dxa" w:w="120"/>
              <w:bottom w:type="dxa" w:w="80"/>
              <w:right w:type="dxa" w:w="120"/>
            </w:tcMar>
          </w:tcPr>
          <w:p>
            <w:pPr>
              <w:spacing w:after="0"/>
            </w:pPr>
            <w:r>
              <w:rPr>
                <w:b/>
                <w:bCs/>
                <w:color w:val="1A1915"/>
                <w:sz w:val="20"/>
                <w:szCs w:val="20"/>
              </w:rPr>
              <w:t xml:space="preserve">Vérification</w:t>
            </w:r>
          </w:p>
        </w:tc>
        <w:tc>
          <w:tcPr>
            <w:tcW w:type="dxa" w:w="3600"/>
            <w:tcBorders>
              <w:top w:val="single" w:color="CCCCCC" w:sz="1"/>
              <w:left w:val="single" w:color="CCCCCC" w:sz="1"/>
              <w:bottom w:val="single" w:color="CCCCCC" w:sz="1"/>
              <w:right w:val="single" w:color="CCCCCC" w:sz="1"/>
            </w:tcBorders>
            <w:shd w:fill="EFEDE8" w:val="clear"/>
            <w:tcMar>
              <w:top w:type="dxa" w:w="80"/>
              <w:left w:type="dxa" w:w="120"/>
              <w:bottom w:type="dxa" w:w="80"/>
              <w:right w:type="dxa" w:w="120"/>
            </w:tcMar>
          </w:tcPr>
          <w:p>
            <w:pPr>
              <w:spacing w:after="0"/>
            </w:pPr>
            <w:r>
              <w:rPr>
                <w:b/>
                <w:bCs/>
                <w:color w:val="1A1915"/>
                <w:sz w:val="20"/>
                <w:szCs w:val="20"/>
              </w:rPr>
              <w:t xml:space="preserve">Méthode</w:t>
            </w:r>
          </w:p>
        </w:tc>
        <w:tc>
          <w:tcPr>
            <w:tcW w:type="dxa" w:w="1826"/>
            <w:tcBorders>
              <w:top w:val="single" w:color="CCCCCC" w:sz="1"/>
              <w:left w:val="single" w:color="CCCCCC" w:sz="1"/>
              <w:bottom w:val="single" w:color="CCCCCC" w:sz="1"/>
              <w:right w:val="single" w:color="CCCCCC" w:sz="1"/>
            </w:tcBorders>
            <w:shd w:fill="EFEDE8" w:val="clear"/>
            <w:tcMar>
              <w:top w:type="dxa" w:w="80"/>
              <w:left w:type="dxa" w:w="120"/>
              <w:bottom w:type="dxa" w:w="80"/>
              <w:right w:type="dxa" w:w="120"/>
            </w:tcMar>
          </w:tcPr>
          <w:p>
            <w:pPr>
              <w:spacing w:after="0"/>
            </w:pPr>
            <w:r>
              <w:rPr>
                <w:b/>
                <w:bCs/>
                <w:color w:val="1A1915"/>
                <w:sz w:val="20"/>
                <w:szCs w:val="20"/>
              </w:rPr>
              <w:t xml:space="preserve">Attendu</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Aucune exposition publique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Scanner l’IP publique du restaurant depuis l’extérieur (nmap ou service en ligne) ; contrôler la box : aucune redirection de port.</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Aucun port ouvert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Accès distant nominal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Téléphone en 4G (Wi-Fi coupé), Tailscale actif : connexion, consultation du stock, un mouvement de test.</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Parcours complet OK</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Refus des appareils non enrôlés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Depuis un appareil hors tailnet, tenter de joindre https://economat.tail…ts.net.</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Échec de connexion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Révocation immédiate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Supprimer l’appareil de test dans la console Tailscale, puis retenter l’accès.</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Échec dès la minute suivante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Certificat et chiffrement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Vérifier le cadenas / le certificat sur l’URL en .ts.net depuis le navigateur du portable admin.</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Certificat valide, HTTPS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Rafraîchissement de session à distance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Laisser l’app ouverte au-delà de la durée du jeton d’accès, puis refaire une action.</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Requête rejouée sans déconnexion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Limitation de débit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Enchaîner &gt; 10 logins erronés en une minute.</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Réponses 429 (trop de requêtes)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Reprise après redémarrage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Redémarrer la machine serveur ; attendre 2 minutes.</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PostgreSQL, gunicorn et Tailscale relancés seuls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Session unique assumée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Se connecter à distance avec un compte déjà ouvert sur site.</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La session sur site est déconnectée (comportement voulu, documenté)</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Mode dégradé propre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Couper Tailscale sur le téléphone et tenter une action dans l’app.</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Message « Serveur injoignable », pas de plantage</w:t>
            </w:r>
          </w:p>
        </w:tc>
      </w:tr>
    </w:tbl>
    <w:p>
      <w:pPr>
        <w:pStyle w:val="Heading1"/>
      </w:pPr>
      <w:r>
        <w:t xml:space="preserve">6. Mesures de sécurité — récapitulatif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2826"/>
      </w:tblGrid>
      <w:tr>
        <w:trPr>
          <w:tblHeader/>
        </w:trPr>
        <w:tc>
          <w:tcPr>
            <w:tcW w:type="dxa" w:w="3000"/>
            <w:tcBorders>
              <w:top w:val="single" w:color="CCCCCC" w:sz="1"/>
              <w:left w:val="single" w:color="CCCCCC" w:sz="1"/>
              <w:bottom w:val="single" w:color="CCCCCC" w:sz="1"/>
              <w:right w:val="single" w:color="CCCCCC" w:sz="1"/>
            </w:tcBorders>
            <w:shd w:fill="EFEDE8" w:val="clear"/>
            <w:tcMar>
              <w:top w:type="dxa" w:w="80"/>
              <w:left w:type="dxa" w:w="120"/>
              <w:bottom w:type="dxa" w:w="80"/>
              <w:right w:type="dxa" w:w="120"/>
            </w:tcMar>
          </w:tcPr>
          <w:p>
            <w:pPr>
              <w:spacing w:after="0"/>
            </w:pPr>
            <w:r>
              <w:rPr>
                <w:b/>
                <w:bCs/>
                <w:color w:val="1A1915"/>
                <w:sz w:val="20"/>
                <w:szCs w:val="20"/>
              </w:rPr>
              <w:t xml:space="preserve">Mesure</w:t>
            </w:r>
          </w:p>
        </w:tc>
        <w:tc>
          <w:tcPr>
            <w:tcW w:type="dxa" w:w="3200"/>
            <w:tcBorders>
              <w:top w:val="single" w:color="CCCCCC" w:sz="1"/>
              <w:left w:val="single" w:color="CCCCCC" w:sz="1"/>
              <w:bottom w:val="single" w:color="CCCCCC" w:sz="1"/>
              <w:right w:val="single" w:color="CCCCCC" w:sz="1"/>
            </w:tcBorders>
            <w:shd w:fill="EFEDE8" w:val="clear"/>
            <w:tcMar>
              <w:top w:type="dxa" w:w="80"/>
              <w:left w:type="dxa" w:w="120"/>
              <w:bottom w:type="dxa" w:w="80"/>
              <w:right w:type="dxa" w:w="120"/>
            </w:tcMar>
          </w:tcPr>
          <w:p>
            <w:pPr>
              <w:spacing w:after="0"/>
            </w:pPr>
            <w:r>
              <w:rPr>
                <w:b/>
                <w:bCs/>
                <w:color w:val="1A1915"/>
                <w:sz w:val="20"/>
                <w:szCs w:val="20"/>
              </w:rPr>
              <w:t xml:space="preserve">Menace couverte</w:t>
            </w:r>
          </w:p>
        </w:tc>
        <w:tc>
          <w:tcPr>
            <w:tcW w:type="dxa" w:w="2826"/>
            <w:tcBorders>
              <w:top w:val="single" w:color="CCCCCC" w:sz="1"/>
              <w:left w:val="single" w:color="CCCCCC" w:sz="1"/>
              <w:bottom w:val="single" w:color="CCCCCC" w:sz="1"/>
              <w:right w:val="single" w:color="CCCCCC" w:sz="1"/>
            </w:tcBorders>
            <w:shd w:fill="EFEDE8" w:val="clear"/>
            <w:tcMar>
              <w:top w:type="dxa" w:w="80"/>
              <w:left w:type="dxa" w:w="120"/>
              <w:bottom w:type="dxa" w:w="80"/>
              <w:right w:type="dxa" w:w="120"/>
            </w:tcMar>
          </w:tcPr>
          <w:p>
            <w:pPr>
              <w:spacing w:after="0"/>
            </w:pPr>
            <w:r>
              <w:rPr>
                <w:b/>
                <w:bCs/>
                <w:color w:val="1A1915"/>
                <w:sz w:val="20"/>
                <w:szCs w:val="20"/>
              </w:rPr>
              <w:t xml:space="preserve">Mise en œuvre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Aucun port ouvert sur la box</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Attaques opportunistes depuis Internet, scans automatisés</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Tailscale : connexions sortantes uniquement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Chiffrement WireGuard + HTTPS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Interception du trafic (Wi-Fi public, opérateur)</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Tunnel chiffré + tailscale serve (certificat valide)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Accès par appareil enrôlé</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Vol de mot de passe applicatif seul</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ACL Tailscale : liste blanche d’appareils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Révocation immédiate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Perte ou vol du téléphone de l’administrateur</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Suppression de l’appareil dans la console + désactivation du compte applicatif</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Authentification JWT existante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Accès anonyme à l’API</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SimpleJWT : accès 8 h, rafraîchissement 7 j, session unique (sid)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Limitation de débit sur le login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Essais de mots de passe répétés</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Throttling DRF (ex. 10/min/IP)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DEBUG=False + secrets hors git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Fuite d’informations techniques</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api/.env, mode production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Comptes nominatifs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Traçabilité des mouvements, déconnexions croisées</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Un compte par personne ; movements.user en base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2FA TOTP (optionnel)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Compromission du mot de passe admin</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django-otp sur les comptes de rôle admin</w:t>
            </w:r>
          </w:p>
        </w:tc>
      </w:tr>
    </w:tbl>
    <w:p>
      <w:pPr>
        <w:pStyle w:val="Heading1"/>
      </w:pPr>
      <w:r>
        <w:t xml:space="preserve">7. Exploitation courante</w:t>
      </w:r>
    </w:p>
    <w:p>
      <w:pPr>
        <w:pStyle w:val="Heading2"/>
      </w:pPr>
      <w:r>
        <w:t xml:space="preserve">Enrôler un nouvel appareil</w:t>
      </w:r>
    </w:p>
    <w:p>
      <w:pPr>
        <w:spacing w:after="120"/>
      </w:pPr>
      <w:r>
        <w:rPr>
          <w:color w:val="1A1915"/>
          <w:sz w:val="22"/>
          <w:szCs w:val="22"/>
        </w:rPr>
        <w:t xml:space="preserve">Installer Tailscale sur l’appareil, se connecter au compte du restaurant, approuver l’appareil dans la console d’administration et lui appliquer l’étiquette « admin ». Rien à changer côté serveur.</w:t>
      </w:r>
    </w:p>
    <w:p>
      <w:pPr>
        <w:pStyle w:val="Heading2"/>
      </w:pPr>
      <w:r>
        <w:t xml:space="preserve">Révoquer un appareil (perte, vol, départ)</w:t>
      </w:r>
    </w:p>
    <w:p>
      <w:pPr>
        <w:pStyle w:val="ListParagraph"/>
        <w:numPr>
          <w:ilvl w:val="0"/>
          <w:numId w:val="3"/>
        </w:numPr>
        <w:spacing w:after="80"/>
      </w:pPr>
      <w:r>
        <w:rPr>
          <w:b w:val="false"/>
          <w:bCs w:val="false"/>
          <w:color w:val="1A1915"/>
          <w:sz w:val="22"/>
          <w:szCs w:val="22"/>
        </w:rPr>
        <w:t xml:space="preserve">Console Tailscale → Machines → supprimer l’appareil (coupe le tunnel immédiatement).</w:t>
      </w:r>
    </w:p>
    <w:p>
      <w:pPr>
        <w:pStyle w:val="ListParagraph"/>
        <w:numPr>
          <w:ilvl w:val="0"/>
          <w:numId w:val="3"/>
        </w:numPr>
        <w:spacing w:after="80"/>
      </w:pPr>
      <w:r>
        <w:rPr>
          <w:b w:val="false"/>
          <w:bCs w:val="false"/>
          <w:color w:val="1A1915"/>
          <w:sz w:val="22"/>
          <w:szCs w:val="22"/>
        </w:rPr>
        <w:t xml:space="preserve">Désactiver le compte applicatif concerné (panneau Utilisateurs du site web) ou changer son mot de passe.</w:t>
      </w:r>
    </w:p>
    <w:p>
      <w:pPr>
        <w:pStyle w:val="ListParagraph"/>
        <w:numPr>
          <w:ilvl w:val="0"/>
          <w:numId w:val="3"/>
        </w:numPr>
        <w:spacing w:after="80"/>
      </w:pPr>
      <w:r>
        <w:rPr>
          <w:b w:val="false"/>
          <w:bCs w:val="false"/>
          <w:color w:val="1A1915"/>
          <w:sz w:val="22"/>
          <w:szCs w:val="22"/>
        </w:rPr>
        <w:t xml:space="preserve">Vérifier dans l’historique des mouvements qu’aucune action anormale n’a eu lieu.</w:t>
      </w:r>
    </w:p>
    <w:p>
      <w:pPr>
        <w:pStyle w:val="Heading2"/>
      </w:pPr>
      <w:r>
        <w:t xml:space="preserve">En cas de « serveur injoignable » à distance</w:t>
      </w:r>
    </w:p>
    <w:p>
      <w:pPr>
        <w:pStyle w:val="ListParagraph"/>
        <w:numPr>
          <w:ilvl w:val="0"/>
          <w:numId w:val="3"/>
        </w:numPr>
        <w:spacing w:after="80"/>
      </w:pPr>
      <w:r>
        <w:rPr>
          <w:b w:val="false"/>
          <w:bCs w:val="false"/>
          <w:color w:val="1A1915"/>
          <w:sz w:val="22"/>
          <w:szCs w:val="22"/>
        </w:rPr>
        <w:t xml:space="preserve">Vérifier que Tailscale est actif sur le téléphone (icône, état « Connected »).</w:t>
      </w:r>
    </w:p>
    <w:p>
      <w:pPr>
        <w:pStyle w:val="ListParagraph"/>
        <w:numPr>
          <w:ilvl w:val="0"/>
          <w:numId w:val="3"/>
        </w:numPr>
        <w:spacing w:after="80"/>
      </w:pPr>
      <w:r>
        <w:rPr>
          <w:b w:val="false"/>
          <w:bCs w:val="false"/>
          <w:color w:val="1A1915"/>
          <w:sz w:val="22"/>
          <w:szCs w:val="22"/>
        </w:rPr>
        <w:t xml:space="preserve">Vérifier que la machine serveur est allumée et connectée (demander sur site au besoin).</w:t>
      </w:r>
    </w:p>
    <w:p>
      <w:pPr>
        <w:pStyle w:val="ListParagraph"/>
        <w:numPr>
          <w:ilvl w:val="0"/>
          <w:numId w:val="3"/>
        </w:numPr>
        <w:spacing w:after="80"/>
      </w:pPr>
      <w:r>
        <w:rPr>
          <w:b w:val="false"/>
          <w:bCs w:val="false"/>
          <w:color w:val="1A1915"/>
          <w:sz w:val="22"/>
          <w:szCs w:val="22"/>
        </w:rPr>
        <w:t xml:space="preserve">Sur le serveur : tailscale status, puis état des services (gunicorn, PostgreSQL).</w:t>
      </w:r>
    </w:p>
    <w:p>
      <w:pPr>
        <w:pStyle w:val="ListParagraph"/>
        <w:numPr>
          <w:ilvl w:val="0"/>
          <w:numId w:val="3"/>
        </w:numPr>
        <w:spacing w:after="80"/>
      </w:pPr>
      <w:r>
        <w:rPr>
          <w:b w:val="false"/>
          <w:bCs w:val="false"/>
          <w:color w:val="1A1915"/>
          <w:sz w:val="22"/>
          <w:szCs w:val="22"/>
        </w:rPr>
        <w:t xml:space="preserve">En dernier recours : redémarrer la machine serveur — tout doit repartir seul (voir recette).</w:t>
      </w:r>
    </w:p>
    <w:p>
      <w:pPr>
        <w:pStyle w:val="Heading1"/>
      </w:pPr>
      <w:r>
        <w:t xml:space="preserve">8. Limites et évolutions possibles</w:t>
      </w:r>
    </w:p>
    <w:p>
      <w:pPr>
        <w:pStyle w:val="ListParagraph"/>
        <w:numPr>
          <w:ilvl w:val="0"/>
          <w:numId w:val="2"/>
        </w:numPr>
        <w:spacing w:after="60"/>
      </w:pPr>
      <w:r>
        <w:rPr>
          <w:b/>
          <w:bCs/>
          <w:color w:val="1A1915"/>
          <w:sz w:val="22"/>
          <w:szCs w:val="22"/>
        </w:rPr>
        <w:t xml:space="preserve">Dépendance à Tailscale : </w:t>
      </w:r>
      <w:r>
        <w:rPr>
          <w:b w:val="false"/>
          <w:bCs w:val="false"/>
          <w:color w:val="1A1915"/>
          <w:sz w:val="22"/>
          <w:szCs w:val="22"/>
        </w:rPr>
        <w:t xml:space="preserve">si le service est indisponible (rare), l’accès distant l’est aussi — l’accès sur site, lui, continue de fonctionner en IP locale. Solution de repli documentée : Cloudflare Tunnel.</w:t>
      </w:r>
    </w:p>
    <w:p>
      <w:pPr>
        <w:pStyle w:val="ListParagraph"/>
        <w:numPr>
          <w:ilvl w:val="0"/>
          <w:numId w:val="2"/>
        </w:numPr>
        <w:spacing w:after="60"/>
      </w:pPr>
      <w:r>
        <w:rPr>
          <w:b/>
          <w:bCs/>
          <w:color w:val="1A1915"/>
          <w:sz w:val="22"/>
          <w:szCs w:val="22"/>
        </w:rPr>
        <w:t xml:space="preserve">Offre gratuite limitée à 3 utilisateurs : </w:t>
      </w:r>
      <w:r>
        <w:rPr>
          <w:b w:val="false"/>
          <w:bCs w:val="false"/>
          <w:color w:val="1A1915"/>
          <w:sz w:val="22"/>
          <w:szCs w:val="22"/>
        </w:rPr>
        <w:t xml:space="preserve">suffisant pour un accès administrateur. Si demain les économes doivent aussi travailler à distance, passer à l’offre payante ou basculer sur Cloudflare Access.</w:t>
      </w:r>
    </w:p>
    <w:p>
      <w:pPr>
        <w:pStyle w:val="ListParagraph"/>
        <w:numPr>
          <w:ilvl w:val="0"/>
          <w:numId w:val="2"/>
        </w:numPr>
        <w:spacing w:after="60"/>
      </w:pPr>
      <w:r>
        <w:rPr>
          <w:b/>
          <w:bCs/>
          <w:color w:val="1A1915"/>
          <w:sz w:val="22"/>
          <w:szCs w:val="22"/>
        </w:rPr>
        <w:t xml:space="preserve">Le mode hors-ligne reste exclu : </w:t>
      </w:r>
      <w:r>
        <w:rPr>
          <w:b w:val="false"/>
          <w:bCs w:val="false"/>
          <w:color w:val="1A1915"/>
          <w:sz w:val="22"/>
          <w:szCs w:val="22"/>
        </w:rPr>
        <w:t xml:space="preserve">sans réseau (ni local ni tunnel), l’application n’écrit rien. Le plan « file d’attente + endpoint delta » du dossier mobile reste la réponse si le besoin devient réel.</w:t>
      </w:r>
    </w:p>
    <w:p>
      <w:pPr>
        <w:pStyle w:val="Heading1"/>
      </w:pPr>
      <w:r>
        <w:t xml:space="preserve">9. Annexe — commandes utiles</w:t>
      </w:r>
    </w:p>
    <w:p>
      <w:pPr>
        <w:spacing w:after="120"/>
      </w:pPr>
      <w:r>
        <w:rPr>
          <w:b/>
          <w:bCs/>
          <w:color w:val="1A1915"/>
          <w:sz w:val="22"/>
          <w:szCs w:val="22"/>
        </w:rPr>
        <w:t xml:space="preserve">Serveur :</w:t>
      </w:r>
    </w:p>
    <w:p>
      <w:pPr>
        <w:spacing w:after="60"/>
        <w:ind w:left="360"/>
      </w:pPr>
      <w:r>
        <w:rPr>
          <w:rFonts w:ascii="Courier New" w:cs="Courier New" w:eastAsia="Courier New" w:hAnsi="Courier New"/>
          <w:color w:val="1A1915"/>
          <w:sz w:val="20"/>
          <w:szCs w:val="20"/>
        </w:rPr>
        <w:t xml:space="preserve">./venv/bin/gunicorn config.wsgi:application --bind 127.0.0.1:8000 --workers 2</w:t>
      </w:r>
    </w:p>
    <w:p>
      <w:pPr>
        <w:spacing w:after="60"/>
        <w:ind w:left="360"/>
      </w:pPr>
      <w:r>
        <w:rPr>
          <w:rFonts w:ascii="Courier New" w:cs="Courier New" w:eastAsia="Courier New" w:hAnsi="Courier New"/>
          <w:color w:val="1A1915"/>
          <w:sz w:val="20"/>
          <w:szCs w:val="20"/>
        </w:rPr>
        <w:t xml:space="preserve">tailscale up                          # rejoindre le tailnet</w:t>
      </w:r>
    </w:p>
    <w:p>
      <w:pPr>
        <w:spacing w:after="60"/>
        <w:ind w:left="360"/>
      </w:pPr>
      <w:r>
        <w:rPr>
          <w:rFonts w:ascii="Courier New" w:cs="Courier New" w:eastAsia="Courier New" w:hAnsi="Courier New"/>
          <w:color w:val="1A1915"/>
          <w:sz w:val="20"/>
          <w:szCs w:val="20"/>
        </w:rPr>
        <w:t xml:space="preserve">tailscale status                      # appareils et connectivité</w:t>
      </w:r>
    </w:p>
    <w:p>
      <w:pPr>
        <w:spacing w:after="60"/>
        <w:ind w:left="360"/>
      </w:pPr>
      <w:r>
        <w:rPr>
          <w:rFonts w:ascii="Courier New" w:cs="Courier New" w:eastAsia="Courier New" w:hAnsi="Courier New"/>
          <w:color w:val="1A1915"/>
          <w:sz w:val="20"/>
          <w:szCs w:val="20"/>
        </w:rPr>
        <w:t xml:space="preserve">tailscale serve --bg http://127.0.0.1:8000   # HTTPS sur le tailnet</w:t>
      </w:r>
    </w:p>
    <w:p>
      <w:pPr>
        <w:spacing w:after="120"/>
      </w:pPr>
    </w:p>
    <w:p>
      <w:pPr>
        <w:spacing w:after="120"/>
      </w:pPr>
      <w:r>
        <w:rPr>
          <w:b/>
          <w:bCs/>
          <w:color w:val="1A1915"/>
          <w:sz w:val="22"/>
          <w:szCs w:val="22"/>
        </w:rPr>
        <w:t xml:space="preserve">Vérifications :</w:t>
      </w:r>
    </w:p>
    <w:p>
      <w:pPr>
        <w:spacing w:after="60"/>
        <w:ind w:left="360"/>
      </w:pPr>
      <w:r>
        <w:rPr>
          <w:rFonts w:ascii="Courier New" w:cs="Courier New" w:eastAsia="Courier New" w:hAnsi="Courier New"/>
          <w:color w:val="1A1915"/>
          <w:sz w:val="20"/>
          <w:szCs w:val="20"/>
        </w:rPr>
        <w:t xml:space="preserve">tailscale ping economat.tail1234.ts.net</w:t>
      </w:r>
    </w:p>
    <w:p>
      <w:pPr>
        <w:spacing w:after="60"/>
        <w:ind w:left="360"/>
      </w:pPr>
      <w:r>
        <w:rPr>
          <w:rFonts w:ascii="Courier New" w:cs="Courier New" w:eastAsia="Courier New" w:hAnsi="Courier New"/>
          <w:color w:val="1A1915"/>
          <w:sz w:val="20"/>
          <w:szCs w:val="20"/>
        </w:rPr>
        <w:t xml:space="preserve">curl https://economat.tail1234.ts.net/api/system/branding/</w:t>
      </w:r>
    </w:p>
    <w:p>
      <w:pPr>
        <w:spacing w:after="120"/>
      </w:pPr>
    </w:p>
    <w:p>
      <w:pPr>
        <w:spacing w:after="120"/>
      </w:pPr>
      <w:r>
        <w:rPr>
          <w:b/>
          <w:bCs/>
          <w:color w:val="1A1915"/>
          <w:sz w:val="22"/>
          <w:szCs w:val="22"/>
        </w:rPr>
        <w:t xml:space="preserve">api/.env (extrait) :</w:t>
      </w:r>
    </w:p>
    <w:p>
      <w:pPr>
        <w:spacing w:after="60"/>
        <w:ind w:left="360"/>
      </w:pPr>
      <w:r>
        <w:rPr>
          <w:rFonts w:ascii="Courier New" w:cs="Courier New" w:eastAsia="Courier New" w:hAnsi="Courier New"/>
          <w:color w:val="1A1915"/>
          <w:sz w:val="20"/>
          <w:szCs w:val="20"/>
        </w:rPr>
        <w:t xml:space="preserve">DEBUG=False</w:t>
      </w:r>
    </w:p>
    <w:p>
      <w:pPr>
        <w:spacing w:after="60"/>
        <w:ind w:left="360"/>
      </w:pPr>
      <w:r>
        <w:rPr>
          <w:rFonts w:ascii="Courier New" w:cs="Courier New" w:eastAsia="Courier New" w:hAnsi="Courier New"/>
          <w:color w:val="1A1915"/>
          <w:sz w:val="20"/>
          <w:szCs w:val="20"/>
        </w:rPr>
        <w:t xml:space="preserve">ALLOWED_HOSTS=localhost,127.0.0.1,&lt;IP-LAN&gt;,economat.tail1234.ts.net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5716A"/>
        <w:sz w:val="16"/>
        <w:szCs w:val="16"/>
      </w:rPr>
      <w:t xml:space="preserve">Page </w:t>
    </w:r>
    <w:r>
      <w:rPr>
        <w:color w:val="75716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b/>
        <w:bCs/>
        <w:color w:val="75716A"/>
        <w:sz w:val="16"/>
        <w:szCs w:val="16"/>
      </w:rPr>
      <w:t xml:space="preserve">ÉCONOMAT — LE CARRÉ</w:t>
    </w:r>
    <w:r>
      <w:rPr>
        <w:color w:val="75716A"/>
        <w:sz w:val="16"/>
        <w:szCs w:val="16"/>
      </w:rPr>
      <w:t xml:space="preserve">	Accès distant sécurisé — administrateur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260"/>
      </w:pPr>
    </w:lvl>
  </w:abstractNum>
  <w:abstractNum w:abstractNumId="3" w15:restartNumberingAfterBreak="0">
    <w:multiLevelType w:val="hybridMultilevel"/>
    <w:lvl w:ilvl="0" w15:tentative="1">
      <w:start w:val="1"/>
      <w:numFmt w:val="decimal"/>
      <w:lvlText w:val="%1."/>
      <w:lvlJc w:val="left"/>
      <w:pPr>
        <w:ind w:left="6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91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A1915"/>
      <w:sz w:val="30"/>
      <w:szCs w:val="30"/>
    </w:rPr>
  </w:style>
  <w:style w:type="paragraph" w:styleId="Heading2">
    <w:name w:val="Heading 2"/>
    <w:basedOn w:val="Normal"/>
    <w:next w:val="Normal"/>
    <w:qFormat/>
    <w:pPr>
      <w:spacing w:after="140" w:before="240"/>
      <w:outlineLvl w:val="1"/>
    </w:pPr>
    <w:rPr>
      <w:rFonts w:ascii="Arial" w:cs="Arial" w:eastAsia="Arial" w:hAnsi="Arial"/>
      <w:b/>
      <w:bCs/>
      <w:color w:val="1A1915"/>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2026-07-08T12:46:36.573Z</dcterms:created>
  <dcterms:modified xsi:type="dcterms:W3CDTF">2026-07-08T12:46:36.574Z</dcterms:modified>
</cp:coreProperties>
</file>

<file path=docProps/custom.xml><?xml version="1.0" encoding="utf-8"?>
<Properties xmlns="http://schemas.openxmlformats.org/officeDocument/2006/custom-properties" xmlns:vt="http://schemas.openxmlformats.org/officeDocument/2006/docPropsVTypes"/>
</file>