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08156" w14:textId="77777777" w:rsidR="00DD2E26" w:rsidRDefault="00DD2E26" w:rsidP="00DD2E26">
      <w:pPr>
        <w:autoSpaceDE w:val="0"/>
        <w:autoSpaceDN w:val="0"/>
        <w:adjustRightInd w:val="0"/>
        <w:ind w:left="720"/>
        <w:jc w:val="center"/>
        <w:rPr>
          <w:rFonts w:cs="Times New Roman"/>
          <w:b/>
          <w:sz w:val="28"/>
          <w:szCs w:val="28"/>
          <w:lang w:val="id-ID" w:eastAsia="ja-JP"/>
        </w:rPr>
      </w:pPr>
      <w:r w:rsidRPr="008F3A4E">
        <w:rPr>
          <w:rFonts w:cs="Times New Roman"/>
          <w:b/>
          <w:noProof/>
          <w:sz w:val="24"/>
          <w:szCs w:val="24"/>
          <w:lang w:eastAsia="ja-JP"/>
        </w:rPr>
        <w:drawing>
          <wp:anchor distT="0" distB="0" distL="114300" distR="114300" simplePos="0" relativeHeight="251658240" behindDoc="0" locked="0" layoutInCell="1" allowOverlap="1" wp14:anchorId="09758690" wp14:editId="3D8FC62B">
            <wp:simplePos x="0" y="0"/>
            <wp:positionH relativeFrom="column">
              <wp:posOffset>1905</wp:posOffset>
            </wp:positionH>
            <wp:positionV relativeFrom="paragraph">
              <wp:posOffset>-161925</wp:posOffset>
            </wp:positionV>
            <wp:extent cx="6070600" cy="1174750"/>
            <wp:effectExtent l="0" t="0" r="6350" b="6350"/>
            <wp:wrapSquare wrapText="bothSides"/>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t="20509"/>
                    <a:stretch>
                      <a:fillRect/>
                    </a:stretch>
                  </pic:blipFill>
                  <pic:spPr bwMode="auto">
                    <a:xfrm>
                      <a:off x="0" y="0"/>
                      <a:ext cx="6070600" cy="1174750"/>
                    </a:xfrm>
                    <a:prstGeom prst="rect">
                      <a:avLst/>
                    </a:prstGeom>
                    <a:noFill/>
                    <a:ln>
                      <a:noFill/>
                    </a:ln>
                  </pic:spPr>
                </pic:pic>
              </a:graphicData>
            </a:graphic>
          </wp:anchor>
        </w:drawing>
      </w:r>
    </w:p>
    <w:p w14:paraId="5ACEA5B2" w14:textId="77777777" w:rsidR="00DD2E26" w:rsidRPr="00EF0ECB" w:rsidRDefault="00DD2E26" w:rsidP="00DD2E26">
      <w:pPr>
        <w:autoSpaceDE w:val="0"/>
        <w:autoSpaceDN w:val="0"/>
        <w:adjustRightInd w:val="0"/>
        <w:ind w:left="720"/>
        <w:jc w:val="center"/>
        <w:rPr>
          <w:rFonts w:cs="Times New Roman"/>
          <w:b/>
          <w:sz w:val="28"/>
          <w:szCs w:val="28"/>
          <w:lang w:val="id-ID" w:eastAsia="ja-JP"/>
        </w:rPr>
      </w:pPr>
      <w:r w:rsidRPr="00EF0ECB">
        <w:rPr>
          <w:rFonts w:cs="Times New Roman"/>
          <w:b/>
          <w:sz w:val="28"/>
          <w:szCs w:val="28"/>
          <w:lang w:val="id-ID" w:eastAsia="ja-JP"/>
        </w:rPr>
        <w:t xml:space="preserve">A Design Science Research Approach for Developing an Integrated Information </w:t>
      </w:r>
      <w:r w:rsidR="005D3347">
        <w:rPr>
          <w:rFonts w:cs="Times New Roman"/>
          <w:b/>
          <w:sz w:val="28"/>
          <w:szCs w:val="28"/>
          <w:lang w:val="id-ID" w:eastAsia="ja-JP"/>
        </w:rPr>
        <w:t xml:space="preserve">Technology </w:t>
      </w:r>
      <w:r w:rsidRPr="00EF0ECB">
        <w:rPr>
          <w:rFonts w:cs="Times New Roman"/>
          <w:b/>
          <w:sz w:val="28"/>
          <w:szCs w:val="28"/>
          <w:lang w:val="id-ID" w:eastAsia="ja-JP"/>
        </w:rPr>
        <w:t xml:space="preserve">Strategic Planning Framework  </w:t>
      </w:r>
    </w:p>
    <w:p w14:paraId="44B77541" w14:textId="77777777" w:rsidR="00DD2E26" w:rsidRPr="00B638BB" w:rsidRDefault="00DD2E26" w:rsidP="00DD2E26">
      <w:pPr>
        <w:autoSpaceDE w:val="0"/>
        <w:autoSpaceDN w:val="0"/>
        <w:adjustRightInd w:val="0"/>
        <w:jc w:val="center"/>
        <w:rPr>
          <w:rFonts w:cs="Times New Roman"/>
          <w:bCs/>
          <w:sz w:val="28"/>
          <w:szCs w:val="28"/>
        </w:rPr>
      </w:pPr>
    </w:p>
    <w:p w14:paraId="4D1A256A" w14:textId="77777777" w:rsidR="00DD2E26" w:rsidRPr="0028524B" w:rsidRDefault="00DD2E26" w:rsidP="00DD2E26">
      <w:pPr>
        <w:spacing w:beforeLines="50" w:before="120" w:afterLines="50" w:after="120"/>
        <w:jc w:val="center"/>
        <w:rPr>
          <w:rFonts w:cs="Times New Roman"/>
          <w:b/>
          <w:color w:val="000000" w:themeColor="text1"/>
        </w:rPr>
      </w:pPr>
      <w:r w:rsidRPr="0028524B">
        <w:rPr>
          <w:b/>
          <w:color w:val="000000" w:themeColor="text1"/>
        </w:rPr>
        <w:t xml:space="preserve">Bambang Suhartono </w:t>
      </w:r>
      <w:r w:rsidRPr="0028524B">
        <w:rPr>
          <w:b/>
          <w:color w:val="000000" w:themeColor="text1"/>
          <w:vertAlign w:val="superscript"/>
        </w:rPr>
        <w:t xml:space="preserve">1.2 </w:t>
      </w:r>
      <w:r w:rsidRPr="0028524B">
        <w:rPr>
          <w:b/>
          <w:color w:val="000000" w:themeColor="text1"/>
        </w:rPr>
        <w:t>*</w:t>
      </w:r>
      <w:r w:rsidRPr="0028524B">
        <w:rPr>
          <w:rFonts w:hint="eastAsia"/>
          <w:b/>
          <w:color w:val="000000" w:themeColor="text1"/>
          <w:lang w:eastAsia="ja-JP"/>
        </w:rPr>
        <w:t xml:space="preserve"> </w:t>
      </w:r>
      <w:r w:rsidRPr="0028524B">
        <w:rPr>
          <w:b/>
          <w:color w:val="000000" w:themeColor="text1"/>
          <w:lang w:eastAsia="ja-JP"/>
        </w:rPr>
        <w:t xml:space="preserve">  </w:t>
      </w:r>
      <w:r w:rsidRPr="0028524B">
        <w:rPr>
          <w:b/>
          <w:color w:val="000000" w:themeColor="text1"/>
        </w:rPr>
        <w:t xml:space="preserve">Tole Sutikno </w:t>
      </w:r>
      <w:r w:rsidR="000B1A68">
        <w:rPr>
          <w:b/>
          <w:color w:val="000000" w:themeColor="text1"/>
          <w:vertAlign w:val="superscript"/>
        </w:rPr>
        <w:t xml:space="preserve">3 </w:t>
      </w:r>
      <w:r w:rsidRPr="0028524B">
        <w:rPr>
          <w:b/>
          <w:color w:val="000000" w:themeColor="text1"/>
          <w:vertAlign w:val="superscript"/>
        </w:rPr>
        <w:tab/>
      </w:r>
      <w:r w:rsidRPr="0028524B">
        <w:rPr>
          <w:b/>
          <w:color w:val="000000" w:themeColor="text1"/>
        </w:rPr>
        <w:t xml:space="preserve">Imam Riadi </w:t>
      </w:r>
      <w:r w:rsidR="000B1A68">
        <w:rPr>
          <w:b/>
          <w:color w:val="000000" w:themeColor="text1"/>
          <w:vertAlign w:val="superscript"/>
        </w:rPr>
        <w:t>4</w:t>
      </w:r>
    </w:p>
    <w:p w14:paraId="7F1A3570" w14:textId="77777777" w:rsidR="00DD2E26" w:rsidRPr="00446143" w:rsidRDefault="00DD2E26" w:rsidP="00DD2E26">
      <w:pPr>
        <w:jc w:val="center"/>
        <w:rPr>
          <w:rStyle w:val="Hyperlink"/>
          <w:rFonts w:cs="Times New Roman"/>
          <w:color w:val="auto"/>
          <w:sz w:val="16"/>
          <w:szCs w:val="16"/>
          <w:u w:val="none"/>
        </w:rPr>
      </w:pPr>
    </w:p>
    <w:p w14:paraId="2B80F30A" w14:textId="77777777" w:rsidR="00D13B3A" w:rsidRPr="000B1A68" w:rsidRDefault="00D13B3A" w:rsidP="00D13B3A">
      <w:pPr>
        <w:jc w:val="center"/>
        <w:rPr>
          <w:rFonts w:cs="Times New Roman"/>
          <w:i/>
          <w:sz w:val="21"/>
          <w:szCs w:val="21"/>
          <w:vertAlign w:val="superscript"/>
          <w:lang w:val="id-ID"/>
        </w:rPr>
      </w:pPr>
      <w:r>
        <w:rPr>
          <w:rFonts w:cs="Times New Roman"/>
          <w:i/>
          <w:iCs/>
          <w:sz w:val="21"/>
          <w:szCs w:val="21"/>
          <w:vertAlign w:val="superscript"/>
          <w:lang w:val="id-ID"/>
        </w:rPr>
        <w:t>1</w:t>
      </w:r>
      <w:r w:rsidRPr="000B1A68">
        <w:rPr>
          <w:rFonts w:cs="Times New Roman"/>
          <w:i/>
          <w:iCs/>
          <w:sz w:val="21"/>
          <w:szCs w:val="21"/>
          <w:vertAlign w:val="superscript"/>
          <w:lang w:val="id-ID"/>
        </w:rPr>
        <w:t xml:space="preserve">,3,4 </w:t>
      </w:r>
      <w:r w:rsidRPr="000B1A68">
        <w:rPr>
          <w:rFonts w:cs="Times New Roman"/>
          <w:i/>
          <w:iCs/>
          <w:sz w:val="21"/>
          <w:szCs w:val="21"/>
          <w:lang w:val="id-ID"/>
        </w:rPr>
        <w:t>Doctor</w:t>
      </w:r>
      <w:r w:rsidR="006801AE">
        <w:rPr>
          <w:rFonts w:cs="Times New Roman"/>
          <w:i/>
          <w:iCs/>
          <w:sz w:val="21"/>
          <w:szCs w:val="21"/>
          <w:lang w:val="id-ID"/>
        </w:rPr>
        <w:t>al Program</w:t>
      </w:r>
      <w:r w:rsidRPr="000B1A68">
        <w:rPr>
          <w:rFonts w:cs="Times New Roman"/>
          <w:i/>
          <w:iCs/>
          <w:sz w:val="21"/>
          <w:szCs w:val="21"/>
          <w:lang w:val="id-ID"/>
        </w:rPr>
        <w:t xml:space="preserve"> </w:t>
      </w:r>
      <w:r w:rsidR="006801AE">
        <w:rPr>
          <w:rFonts w:cs="Times New Roman"/>
          <w:i/>
          <w:iCs/>
          <w:sz w:val="21"/>
          <w:szCs w:val="21"/>
          <w:lang w:val="id-ID"/>
        </w:rPr>
        <w:t xml:space="preserve">in </w:t>
      </w:r>
      <w:r w:rsidRPr="000B1A68">
        <w:rPr>
          <w:rFonts w:cs="Times New Roman"/>
          <w:i/>
          <w:iCs/>
          <w:sz w:val="21"/>
          <w:szCs w:val="21"/>
          <w:lang w:val="id-ID"/>
        </w:rPr>
        <w:t xml:space="preserve">Informatics </w:t>
      </w:r>
      <w:r w:rsidR="006801AE">
        <w:rPr>
          <w:rFonts w:cs="Times New Roman"/>
          <w:i/>
          <w:iCs/>
          <w:sz w:val="21"/>
          <w:szCs w:val="21"/>
          <w:lang w:val="id-ID"/>
        </w:rPr>
        <w:t xml:space="preserve"> </w:t>
      </w:r>
      <w:r w:rsidRPr="000B1A68">
        <w:rPr>
          <w:rFonts w:cs="Times New Roman"/>
          <w:i/>
          <w:iCs/>
          <w:sz w:val="21"/>
          <w:szCs w:val="21"/>
          <w:lang w:val="id-ID"/>
        </w:rPr>
        <w:t xml:space="preserve">, </w:t>
      </w:r>
      <w:r w:rsidR="006801AE">
        <w:rPr>
          <w:rFonts w:cs="Times New Roman"/>
          <w:i/>
          <w:iCs/>
          <w:sz w:val="21"/>
          <w:szCs w:val="21"/>
          <w:lang w:val="id-ID"/>
        </w:rPr>
        <w:t xml:space="preserve">Universitas Ahmad Dahlan, </w:t>
      </w:r>
      <w:r w:rsidRPr="000B1A68">
        <w:rPr>
          <w:rFonts w:cs="Times New Roman"/>
          <w:i/>
          <w:iCs/>
          <w:sz w:val="21"/>
          <w:szCs w:val="21"/>
          <w:lang w:val="id-ID"/>
        </w:rPr>
        <w:t>Yogyakarta , Indonesia</w:t>
      </w:r>
      <w:r w:rsidRPr="000B1A68">
        <w:rPr>
          <w:rFonts w:cs="Times New Roman"/>
          <w:i/>
          <w:iCs/>
          <w:sz w:val="21"/>
          <w:szCs w:val="21"/>
          <w:vertAlign w:val="superscript"/>
          <w:lang w:val="id-ID"/>
        </w:rPr>
        <w:t>     </w:t>
      </w:r>
      <w:r w:rsidRPr="000B1A68">
        <w:rPr>
          <w:rFonts w:cs="Times New Roman"/>
          <w:i/>
          <w:sz w:val="21"/>
          <w:szCs w:val="21"/>
          <w:vertAlign w:val="superscript"/>
          <w:lang w:val="id-ID"/>
        </w:rPr>
        <w:t> </w:t>
      </w:r>
    </w:p>
    <w:p w14:paraId="0CF88919" w14:textId="77777777" w:rsidR="000B1A68" w:rsidRPr="000B1A68" w:rsidRDefault="00D13B3A" w:rsidP="000B1A68">
      <w:pPr>
        <w:jc w:val="center"/>
        <w:rPr>
          <w:rFonts w:cs="Times New Roman"/>
          <w:i/>
          <w:sz w:val="21"/>
          <w:szCs w:val="21"/>
          <w:vertAlign w:val="superscript"/>
          <w:lang w:val="id-ID"/>
        </w:rPr>
      </w:pPr>
      <w:r>
        <w:rPr>
          <w:rFonts w:cs="Times New Roman"/>
          <w:i/>
          <w:iCs/>
          <w:sz w:val="21"/>
          <w:szCs w:val="21"/>
          <w:vertAlign w:val="superscript"/>
          <w:lang w:val="id-ID"/>
        </w:rPr>
        <w:t>2</w:t>
      </w:r>
      <w:r w:rsidR="000B1A68" w:rsidRPr="000B1A68">
        <w:rPr>
          <w:rFonts w:cs="Times New Roman"/>
          <w:i/>
          <w:iCs/>
          <w:sz w:val="21"/>
          <w:szCs w:val="21"/>
          <w:vertAlign w:val="superscript"/>
          <w:lang w:val="id-ID"/>
        </w:rPr>
        <w:t xml:space="preserve"> </w:t>
      </w:r>
      <w:r w:rsidR="000B1A68" w:rsidRPr="000B1A68">
        <w:rPr>
          <w:rFonts w:cs="Times New Roman"/>
          <w:i/>
          <w:iCs/>
          <w:sz w:val="21"/>
          <w:szCs w:val="21"/>
          <w:lang w:val="id-ID"/>
        </w:rPr>
        <w:t xml:space="preserve">Informatics Engineering, </w:t>
      </w:r>
      <w:r w:rsidR="0067580E">
        <w:rPr>
          <w:rFonts w:cs="Times New Roman"/>
          <w:i/>
          <w:iCs/>
          <w:sz w:val="21"/>
          <w:szCs w:val="21"/>
          <w:lang w:val="id-ID"/>
        </w:rPr>
        <w:t xml:space="preserve">Universitas Insan Pembangunan Indonesia, </w:t>
      </w:r>
      <w:r w:rsidR="000B1A68" w:rsidRPr="000B1A68">
        <w:rPr>
          <w:rFonts w:cs="Times New Roman"/>
          <w:i/>
          <w:iCs/>
          <w:sz w:val="21"/>
          <w:szCs w:val="21"/>
          <w:lang w:val="id-ID"/>
        </w:rPr>
        <w:t>Banten , Indonesia</w:t>
      </w:r>
      <w:r w:rsidR="000B1A68" w:rsidRPr="000B1A68">
        <w:rPr>
          <w:rFonts w:cs="Times New Roman"/>
          <w:i/>
          <w:iCs/>
          <w:sz w:val="21"/>
          <w:szCs w:val="21"/>
          <w:vertAlign w:val="superscript"/>
          <w:lang w:val="id-ID"/>
        </w:rPr>
        <w:t>     </w:t>
      </w:r>
    </w:p>
    <w:p w14:paraId="35B03BFB" w14:textId="77777777" w:rsidR="00DD2E26" w:rsidRDefault="00DD2E26" w:rsidP="00DD2E26">
      <w:pPr>
        <w:jc w:val="center"/>
        <w:rPr>
          <w:rFonts w:cs="Times New Roman"/>
          <w:sz w:val="21"/>
          <w:szCs w:val="21"/>
        </w:rPr>
      </w:pPr>
      <w:r w:rsidRPr="00446143">
        <w:rPr>
          <w:rFonts w:cs="Times New Roman"/>
          <w:sz w:val="21"/>
          <w:szCs w:val="21"/>
        </w:rPr>
        <w:t xml:space="preserve">* Corresponding author's Email: </w:t>
      </w:r>
      <w:hyperlink r:id="rId9" w:history="1">
        <w:r w:rsidRPr="0097146E">
          <w:rPr>
            <w:rStyle w:val="Hyperlink"/>
            <w:rFonts w:cs="Times New Roman"/>
            <w:sz w:val="21"/>
            <w:szCs w:val="21"/>
          </w:rPr>
          <w:t xml:space="preserve">bambangsuhartono46@gmail.com </w:t>
        </w:r>
      </w:hyperlink>
      <w:r>
        <w:rPr>
          <w:rFonts w:cs="Times New Roman"/>
          <w:sz w:val="21"/>
          <w:szCs w:val="21"/>
        </w:rPr>
        <w:t xml:space="preserve">, </w:t>
      </w:r>
      <w:hyperlink r:id="rId10" w:history="1">
        <w:r w:rsidRPr="0097146E">
          <w:rPr>
            <w:rStyle w:val="Hyperlink"/>
            <w:rFonts w:cs="Times New Roman"/>
            <w:sz w:val="21"/>
            <w:szCs w:val="21"/>
          </w:rPr>
          <w:t>2437083015@webmail.uad.ac.id</w:t>
        </w:r>
      </w:hyperlink>
      <w:r>
        <w:rPr>
          <w:rFonts w:cs="Times New Roman"/>
          <w:sz w:val="21"/>
          <w:szCs w:val="21"/>
        </w:rPr>
        <w:t xml:space="preserve"> </w:t>
      </w:r>
    </w:p>
    <w:p w14:paraId="44F9D2FE" w14:textId="77777777" w:rsidR="00184176" w:rsidRDefault="00184176">
      <w:pPr>
        <w:pBdr>
          <w:bottom w:val="single" w:sz="6" w:space="1" w:color="000000"/>
        </w:pBdr>
      </w:pPr>
    </w:p>
    <w:p w14:paraId="3F2026B3" w14:textId="23A44F1C" w:rsidR="00AA5FDB" w:rsidRPr="00AA5FDB" w:rsidRDefault="00000000" w:rsidP="00AA5FDB">
      <w:pPr>
        <w:spacing w:after="40"/>
        <w:rPr>
          <w:sz w:val="20"/>
          <w:lang w:val="id-ID"/>
        </w:rPr>
      </w:pPr>
      <w:r>
        <w:rPr>
          <w:b/>
          <w:sz w:val="20"/>
        </w:rPr>
        <w:t xml:space="preserve">Abstract: </w:t>
      </w:r>
      <w:r w:rsidR="00AA5FDB" w:rsidRPr="00AA5FDB">
        <w:rPr>
          <w:sz w:val="20"/>
          <w:lang w:val="id-ID"/>
        </w:rPr>
        <w:t>Information technology strategic planning is required to align digital investment , enterprise architecture , and governance technology information with the organization's objectives. However, the existing approach is still generally separated into strategic analysis, formulation architecture, and governance control. This research proposes an integrated framework based on Ward &amp; Peppard, TOGAF, and COBIT 2019 using the Design Science Research approach. This research has never been conducted before. The framework is designed to connect analysis, business and systems information / technology information , portfolio applications , enterprise architecture blueprint , governance objectives, capability assessment, risk control, readiness index, and performance measurement. Validation was conducted using expert judgment and the Delphi method with 19 respondents. The calculation resultsshow that the framework is capable strengthen traceability between strategy, architecture , governance , risk , and implementation roadmap , where The strategic alignment dimension has a gap of 7% from</w:t>
      </w:r>
      <w:r w:rsidR="00E62FDB">
        <w:rPr>
          <w:sz w:val="20"/>
          <w:lang w:val="id-ID"/>
        </w:rPr>
        <w:t xml:space="preserve"> </w:t>
      </w:r>
      <w:r w:rsidR="00E62FDB" w:rsidRPr="00E62FDB">
        <w:rPr>
          <w:rFonts w:cs="Times New Roman"/>
          <w:color w:val="EE0000"/>
          <w:sz w:val="20"/>
          <w:szCs w:val="20"/>
        </w:rPr>
        <w:t xml:space="preserve">current score of 78 % and </w:t>
      </w:r>
      <w:r w:rsidR="00AA5FDB" w:rsidRPr="00E62FDB">
        <w:rPr>
          <w:color w:val="EE0000"/>
          <w:sz w:val="20"/>
          <w:lang w:val="id-ID"/>
        </w:rPr>
        <w:t xml:space="preserve"> </w:t>
      </w:r>
      <w:r w:rsidR="00AA5FDB" w:rsidRPr="00E62FDB">
        <w:rPr>
          <w:strike/>
          <w:color w:val="EE0000"/>
          <w:sz w:val="20"/>
          <w:lang w:val="id-ID"/>
        </w:rPr>
        <w:t xml:space="preserve">the </w:t>
      </w:r>
      <w:r w:rsidR="00AA5FDB" w:rsidRPr="00AA5FDB">
        <w:rPr>
          <w:sz w:val="20"/>
          <w:lang w:val="id-ID"/>
        </w:rPr>
        <w:t xml:space="preserve">target of 85%, while risk and control integration has the largest gap . by 19% </w:t>
      </w:r>
      <w:r w:rsidR="00E62FDB" w:rsidRPr="00E62FDB">
        <w:rPr>
          <w:rFonts w:cs="Times New Roman"/>
          <w:color w:val="EE0000"/>
          <w:sz w:val="20"/>
          <w:szCs w:val="20"/>
        </w:rPr>
        <w:t xml:space="preserve">from current score of 66 % and </w:t>
      </w:r>
      <w:r w:rsidR="00E62FDB" w:rsidRPr="00AA5FDB">
        <w:rPr>
          <w:sz w:val="20"/>
          <w:lang w:val="id-ID"/>
        </w:rPr>
        <w:t xml:space="preserve"> </w:t>
      </w:r>
      <w:r w:rsidR="00AA5FDB" w:rsidRPr="00AA5FDB">
        <w:rPr>
          <w:sz w:val="20"/>
          <w:lang w:val="id-ID"/>
        </w:rPr>
        <w:t xml:space="preserve">of the target of 85%, dimensions Other aspects , such as Enterprise architecture blueprint, Governance objective mapping, and Capability assessment, have a gap of around </w:t>
      </w:r>
      <w:r w:rsidR="0089285D">
        <w:rPr>
          <w:sz w:val="20"/>
          <w:lang w:val="id-ID"/>
        </w:rPr>
        <w:t xml:space="preserve">13%, 16% and </w:t>
      </w:r>
      <w:r w:rsidR="00AA5FDB" w:rsidRPr="00AA5FDB">
        <w:rPr>
          <w:sz w:val="20"/>
          <w:lang w:val="id-ID"/>
        </w:rPr>
        <w:t xml:space="preserve">15%, while Performance measurement has a gap of 17%. </w:t>
      </w:r>
      <w:commentRangeStart w:id="0"/>
      <w:commentRangeStart w:id="1"/>
      <w:r w:rsidR="00AA5FDB" w:rsidRPr="00E62FDB">
        <w:rPr>
          <w:strike/>
          <w:color w:val="EE0000"/>
          <w:sz w:val="20"/>
          <w:lang w:val="id-ID"/>
        </w:rPr>
        <w:t xml:space="preserve">Overall, the average readiness index across all dimensions reached 71.4%, 79.4% of the target of 85%. </w:t>
      </w:r>
      <w:commentRangeEnd w:id="0"/>
      <w:r w:rsidR="00534841">
        <w:rPr>
          <w:rStyle w:val="ReferensiKomentar"/>
          <w:color w:val="EE0000"/>
          <w:sz w:val="20"/>
          <w:szCs w:val="22"/>
          <w:lang w:val="id-ID"/>
        </w:rPr>
        <w:commentReference w:id="0"/>
      </w:r>
      <w:commentRangeEnd w:id="1"/>
      <w:r w:rsidR="00534841">
        <w:rPr>
          <w:rStyle w:val="ReferensiKomentar"/>
          <w:color w:val="EE0000"/>
          <w:sz w:val="20"/>
          <w:szCs w:val="22"/>
          <w:lang w:val="id-ID"/>
        </w:rPr>
        <w:commentReference w:id="1"/>
      </w:r>
      <w:r w:rsidR="00E62FDB">
        <w:rPr>
          <w:color w:val="EE0000"/>
          <w:sz w:val="20"/>
          <w:lang w:val="id-ID"/>
        </w:rPr>
        <w:t xml:space="preserve">. </w:t>
      </w:r>
      <w:commentRangeStart w:id="2"/>
      <w:commentRangeStart w:id="3"/>
      <w:r w:rsidR="00E62FDB" w:rsidRPr="00E62FDB">
        <w:rPr>
          <w:color w:val="EE0000"/>
          <w:sz w:val="20"/>
        </w:rPr>
        <w:t xml:space="preserve">Overall, the average </w:t>
      </w:r>
      <w:r w:rsidR="00E62FDB" w:rsidRPr="00E62FDB">
        <w:rPr>
          <w:strike/>
          <w:color w:val="EE0000"/>
          <w:sz w:val="20"/>
        </w:rPr>
        <w:t>readiness index</w:t>
      </w:r>
      <w:r w:rsidR="00E62FDB" w:rsidRPr="00E62FDB">
        <w:rPr>
          <w:color w:val="EE0000"/>
          <w:sz w:val="20"/>
        </w:rPr>
        <w:t xml:space="preserve"> Expert-Assessed Applicability Index across all dimensions reached 71%of the target of 85%</w:t>
      </w:r>
      <w:commentRangeEnd w:id="2"/>
      <w:r w:rsidR="00E62FDB" w:rsidRPr="00E62FDB">
        <w:rPr>
          <w:rStyle w:val="ReferensiKomentar"/>
          <w:color w:val="EE0000"/>
          <w:sz w:val="20"/>
          <w:szCs w:val="22"/>
        </w:rPr>
        <w:commentReference w:id="2"/>
      </w:r>
      <w:commentRangeEnd w:id="3"/>
      <w:r w:rsidR="00924FFC" w:rsidRPr="00E62FDB">
        <w:rPr>
          <w:rStyle w:val="ReferensiKomentar"/>
          <w:color w:val="EE0000"/>
          <w:sz w:val="20"/>
          <w:szCs w:val="22"/>
        </w:rPr>
        <w:commentReference w:id="3"/>
      </w:r>
      <w:r w:rsidR="00E62FDB" w:rsidRPr="00E62FDB">
        <w:rPr>
          <w:color w:val="EE0000"/>
          <w:sz w:val="20"/>
        </w:rPr>
        <w:t>.</w:t>
      </w:r>
      <w:r w:rsidR="00E62FDB" w:rsidRPr="00E62FDB">
        <w:rPr>
          <w:color w:val="EE0000"/>
          <w:sz w:val="20"/>
          <w:lang w:val="id-ID"/>
        </w:rPr>
        <w:t xml:space="preserve"> </w:t>
      </w:r>
      <w:r w:rsidR="00AA5FDB" w:rsidRPr="00AA5FDB">
        <w:rPr>
          <w:sz w:val="20"/>
          <w:lang w:val="id-ID"/>
        </w:rPr>
        <w:t>Contribution to the main study: These are conceptual artifacts that can serve as a basis for preparing the IT Master Plan and the organization's digital transformation.</w:t>
      </w:r>
    </w:p>
    <w:p w14:paraId="4F79855B" w14:textId="77777777" w:rsidR="00184176" w:rsidRDefault="00000000">
      <w:pPr>
        <w:spacing w:after="40"/>
      </w:pPr>
      <w:r>
        <w:rPr>
          <w:sz w:val="20"/>
        </w:rPr>
        <w:t>.</w:t>
      </w:r>
    </w:p>
    <w:p w14:paraId="03FDD638" w14:textId="77777777" w:rsidR="00AA5FDB" w:rsidRPr="00AA5FDB" w:rsidRDefault="00000000" w:rsidP="00AA5FDB">
      <w:pPr>
        <w:spacing w:after="60"/>
        <w:rPr>
          <w:sz w:val="20"/>
          <w:lang w:val="id-ID"/>
        </w:rPr>
      </w:pPr>
      <w:r>
        <w:rPr>
          <w:b/>
          <w:sz w:val="20"/>
        </w:rPr>
        <w:t xml:space="preserve">Keywords: </w:t>
      </w:r>
      <w:r w:rsidR="00AA5FDB" w:rsidRPr="00AA5FDB">
        <w:rPr>
          <w:sz w:val="20"/>
          <w:lang w:val="id-ID"/>
        </w:rPr>
        <w:t>Information technology strategic planning, Ward &amp; Peppard, TOGAF, COBIT 2019, enterprise architecture, IT governance , Design Science Research</w:t>
      </w:r>
    </w:p>
    <w:p w14:paraId="3C0FD3DF" w14:textId="77777777" w:rsidR="00184176" w:rsidRDefault="00184176" w:rsidP="00AA5FDB">
      <w:pPr>
        <w:spacing w:after="60"/>
      </w:pPr>
    </w:p>
    <w:p w14:paraId="463FEE53" w14:textId="77777777" w:rsidR="00184176" w:rsidRDefault="00000000">
      <w:pPr>
        <w:spacing w:after="80"/>
        <w:jc w:val="left"/>
      </w:pPr>
      <w:r>
        <w:rPr>
          <w:sz w:val="18"/>
        </w:rPr>
        <w:t>Received: [ Date ]. Revised: [ Date ].</w:t>
      </w:r>
    </w:p>
    <w:p w14:paraId="1DA6B79A" w14:textId="77777777" w:rsidR="00184176" w:rsidRDefault="00184176">
      <w:pPr>
        <w:sectPr w:rsidR="00184176">
          <w:headerReference w:type="default" r:id="rId15"/>
          <w:footerReference w:type="default" r:id="rId16"/>
          <w:pgSz w:w="11906" w:h="16838"/>
          <w:pgMar w:top="1440" w:right="1077" w:bottom="1440" w:left="1077" w:header="850" w:footer="992" w:gutter="0"/>
          <w:cols w:space="720"/>
          <w:docGrid w:linePitch="360"/>
        </w:sectPr>
      </w:pPr>
    </w:p>
    <w:p w14:paraId="1FDE536F" w14:textId="77777777" w:rsidR="00184176" w:rsidRPr="008F6FAA" w:rsidRDefault="00000000">
      <w:pPr>
        <w:pStyle w:val="Judul1"/>
        <w:rPr>
          <w:color w:val="000000" w:themeColor="text1"/>
          <w:szCs w:val="24"/>
        </w:rPr>
      </w:pPr>
      <w:r w:rsidRPr="008F6FAA">
        <w:rPr>
          <w:rFonts w:ascii="Times New Roman" w:eastAsia="Times New Roman" w:hAnsi="Times New Roman"/>
          <w:color w:val="000000" w:themeColor="text1"/>
          <w:szCs w:val="24"/>
        </w:rPr>
        <w:t>1. Introduction</w:t>
      </w:r>
    </w:p>
    <w:p w14:paraId="2F337D8D" w14:textId="77777777" w:rsidR="00AA5FDB" w:rsidRPr="00AA5FDB" w:rsidRDefault="00AA5FDB" w:rsidP="00AA5FDB">
      <w:pPr>
        <w:spacing w:after="60"/>
        <w:ind w:left="-57" w:firstLine="425"/>
        <w:rPr>
          <w:lang w:val="id-ID"/>
        </w:rPr>
      </w:pPr>
      <w:r w:rsidRPr="00AA5FDB">
        <w:rPr>
          <w:lang w:val="id-ID"/>
        </w:rPr>
        <w:t xml:space="preserve">Information technology strategic planning (IT) has become an important activity for organizations that want to ensure that IT investments support the organization's objectives and generate sustainable income benefits </w:t>
      </w:r>
      <w:r w:rsidR="00882DD0">
        <w:rPr>
          <w:lang w:val="id-ID"/>
        </w:rPr>
        <w:fldChar w:fldCharType="begin" w:fldLock="1"/>
      </w:r>
      <w:r w:rsidR="00882DD0">
        <w:rPr>
          <w:lang w:val="id-ID"/>
        </w:rPr>
        <w:instrText>ADDIN CSL_CITATION {"citationItems":[{"id":"ITEM-1","itemData":{"abstract":"In recent years the literature has put a greater emphasis on theory building in the context of Enterprise Architecture, EA, research. Specifically, scholars tend to focus on EA-based capabilities that organize and deploy organization-specific resources to align strategic objectives with the particular use of technology. Despite the growth in EA studies, substantial gaps remain in the literature. The most noteworthy gaps are that the conceptualization of EA-based capabilities still lacks a firm base in theory and that there is no conclusive evidence on how EA-based capabilities drive business transformation and deliver benefits to the firm. Therefore, this study focuses on EA-based capabilities, using the dynamic capabilities view as a theoretical foundation, develops and tests a new research model that explains how dynamic enterprise architecture capabilities lead to organizational benefits. Hypotheses associated with the research model are tested using a dataset that contains responses from 299 CIOs, IT managers, and lead architects. Results show that dynamic enterprise architecture capabilities positively influence the firm's process innovation and business/IT alignment. These mediating forces are both positively associated with organizational benefits. This study advances our understanding of how to efficaciously de-lineate dynamic enterprise architecture capabilities in delivering benefits to the organization.","author":[{"dropping-particle":"","family":"Wetering","given":"Rogier","non-dropping-particle":"van de","parse-names":false,"suffix":""}],"id":"ITEM-1","issued":{"date-parts":[["2021","5","18"]]},"title":"Dynamic enterprise architecture capabilities and organizational benefits: an empirical mediation study","type":"article-journal"},"uris":["http://www.mendeley.com/documents/?uuid=c139ccca-b02e-356d-8795-d4c8af3783d3"]}],"mendeley":{"formattedCitation":"[1]","plainTextFormattedCitation":"[1]","previouslyFormattedCitation":"[1]"},"properties":{"noteIndex":0},"schema":"https://github.com/citation-style-language/schema/raw/master/csl-citation.json"}</w:instrText>
      </w:r>
      <w:r w:rsidR="00882DD0">
        <w:rPr>
          <w:lang w:val="id-ID"/>
        </w:rPr>
        <w:fldChar w:fldCharType="separate"/>
      </w:r>
      <w:r w:rsidR="00882DD0" w:rsidRPr="00882DD0">
        <w:rPr>
          <w:noProof/>
          <w:lang w:val="id-ID"/>
        </w:rPr>
        <w:t>[1]</w:t>
      </w:r>
      <w:r w:rsidR="00882DD0">
        <w:rPr>
          <w:lang w:val="id-ID"/>
        </w:rPr>
        <w:fldChar w:fldCharType="end"/>
      </w:r>
      <w:r w:rsidRPr="00AA5FDB">
        <w:rPr>
          <w:lang w:val="id-ID"/>
        </w:rPr>
        <w:t xml:space="preserve">. Digital transformation and the acceleration of new technology adoption will require a structured, capable plan to handle complexity across functions </w:t>
      </w:r>
      <w:r w:rsidR="00882DD0">
        <w:rPr>
          <w:lang w:val="id-ID"/>
        </w:rPr>
        <w:fldChar w:fldCharType="begin" w:fldLock="1"/>
      </w:r>
      <w:r w:rsidR="004C042D">
        <w:rPr>
          <w:lang w:val="id-ID"/>
        </w:rPr>
        <w:instrText>ADDIN CSL_CITATION {"citationItems":[{"id":"ITEM-1","itemData":{"DOI":"10.1016/j.jbusres.2019.09.022","ISSN":"01482963","abstract":"Digital transformation and resultant business model innovation have fundamentally altered consumers’ expectations and behaviors, putting immense pressure on traditional firms, and disrupting numerous markets. Drawing on extant literature, we identify three stages of digital transformation: digitization, digitalization, and digital transformation. We identify and delineate growth strategies for digital firms as well as the assets and capabilities required in order to successfully transform digitally. We posit that digital transformation requires specific organizational structures and bears consequences for the metrics used to calibrate performance. Finally, we provide a research agenda to stimulate and guide future research on digital transformation.","author":[{"dropping-particle":"","family":"Verhoef","given":"Peter C.","non-dropping-particle":"","parse-names":false,"suffix":""},{"dropping-particle":"","family":"Broekhuizen","given":"Thijs","non-dropping-particle":"","parse-names":false,"suffix":""},{"dropping-particle":"","family":"Bart","given":"Yakov","non-dropping-particle":"","parse-names":false,"suffix":""},{"dropping-particle":"","family":"Bhattacharya","given":"Abhi","non-dropping-particle":"","parse-names":false,"suffix":""},{"dropping-particle":"","family":"Qi Dong","given":"John","non-dropping-particle":"","parse-names":false,"suffix":""},{"dropping-particle":"","family":"Fabian","given":"Nicolai","non-dropping-particle":"","parse-names":false,"suffix":""},{"dropping-particle":"","family":"Haenlein","given":"Michael","non-dropping-particle":"","parse-names":false,"suffix":""}],"container-title":"Journal of Business Research","id":"ITEM-1","issue":"July 2018","issued":{"date-parts":[["2021"]]},"page":"889-901","title":"Digital transformation: A multidisciplinary reflection and research agenda","type":"article-journal","volume":"122"},"uris":["http://www.mendeley.com/documents/?uuid=3c3aeb48-849c-433a-951a-c7a04ddb56d0"]}],"mendeley":{"formattedCitation":"[2]","plainTextFormattedCitation":"[2]","previouslyFormattedCitation":"[2]"},"properties":{"noteIndex":0},"schema":"https://github.com/citation-style-language/schema/raw/master/csl-citation.json"}</w:instrText>
      </w:r>
      <w:r w:rsidR="00882DD0">
        <w:rPr>
          <w:lang w:val="id-ID"/>
        </w:rPr>
        <w:fldChar w:fldCharType="separate"/>
      </w:r>
      <w:r w:rsidR="00882DD0" w:rsidRPr="00882DD0">
        <w:rPr>
          <w:noProof/>
          <w:lang w:val="id-ID"/>
        </w:rPr>
        <w:t>[2]</w:t>
      </w:r>
      <w:r w:rsidR="00882DD0">
        <w:rPr>
          <w:lang w:val="id-ID"/>
        </w:rPr>
        <w:fldChar w:fldCharType="end"/>
      </w:r>
      <w:r w:rsidRPr="00AA5FDB">
        <w:rPr>
          <w:lang w:val="id-ID"/>
        </w:rPr>
        <w:t xml:space="preserve">. On the other hand, many organizations still experience misalignment between business strategy and IT initiatives, which results in suboptimal investment outcomes </w:t>
      </w:r>
      <w:r w:rsidR="004C042D">
        <w:rPr>
          <w:lang w:val="id-ID"/>
        </w:rPr>
        <w:fldChar w:fldCharType="begin" w:fldLock="1"/>
      </w:r>
      <w:r w:rsidR="004C042D">
        <w:rPr>
          <w:lang w:val="id-ID"/>
        </w:rPr>
        <w:instrText>ADDIN CSL_CITATION {"citationItems":[{"id":"ITEM-1","itemData":{"DOI":"10.1108/DPRG-11-2022-0123","ISSN":"2398-5038","abstract":"Purpose: Current literature argues that citizen engagement platforms must be used to gather citizens’ feedback to provide improved quality of services to citizens. However, limited studies consider the challenges faced by practitioners at the local level during the incorporation of those feedback for continuous service improvement. As a result, these services fail to fulfil the need of citizens. The purpose of this study is to structure the relationship between citizens’ feedback and continuous service improvement to meet the need of citizens. Design/methodology/approach: Design science research methodology has been adapted under which a case study approach has been followed to investigate one of the citizens’ engagement platforms in Ireland. Findings: The results from this study highlighted that practitioners faced challenges (e.g. capacity, risk and constraints) in terms of fulfilling the needs of citizens and there is a lack of structured approach to continuously provide improved services to them. Research limitations/implications: This study provides a structured approach in the form of a process model to showcase how citizens’ feedback can be incorporated for continuously providing improved services to the citizens. Social implications: This research provides a prescriptive view to assist municipalities during the incorporation of citizens’ feedback for continuous service improvement while addressing the challenges they face during this process. Originality/value: This paper proposes a process model based on the guidelines of the open group architecture framework enterprise architecture and the collaboration with practitioners that would assist local authorities in continuously providing improved services to the citizens.","author":[{"dropping-particle":"","family":"Singh","given":"Priyanka","non-dropping-particle":"","parse-names":false,"suffix":""},{"dropping-particle":"","family":"Lynch","given":"Fiona","non-dropping-particle":"","parse-names":false,"suffix":""},{"dropping-particle":"","family":"Helfert","given":"Markus","non-dropping-particle":"","parse-names":false,"suffix":""}],"container-title":"Digital Policy, Regulation and Governance","id":"ITEM-1","issue":"1","issued":{"date-parts":[["2024","1","2"]]},"page":"38-54","publisher":"Emerald Publishing","title":"Enterprise architecture for the transformation of public services based on citizen’s feedback","type":"article-journal","volume":"26"},"uris":["http://www.mendeley.com/documents/?uuid=54b4d04b-c15d-32a8-9c36-536e701fc286"]}],"mendeley":{"formattedCitation":"[3]","plainTextFormattedCitation":"[3]","previouslyFormattedCitation":"[3]"},"properties":{"noteIndex":0},"schema":"https://github.com/citation-style-language/schema/raw/master/csl-citation.json"}</w:instrText>
      </w:r>
      <w:r w:rsidR="004C042D">
        <w:rPr>
          <w:lang w:val="id-ID"/>
        </w:rPr>
        <w:fldChar w:fldCharType="separate"/>
      </w:r>
      <w:r w:rsidR="004C042D" w:rsidRPr="004C042D">
        <w:rPr>
          <w:noProof/>
          <w:lang w:val="id-ID"/>
        </w:rPr>
        <w:t>[3]</w:t>
      </w:r>
      <w:r w:rsidR="004C042D">
        <w:rPr>
          <w:lang w:val="id-ID"/>
        </w:rPr>
        <w:fldChar w:fldCharType="end"/>
      </w:r>
      <w:r w:rsidRPr="00AA5FDB">
        <w:rPr>
          <w:lang w:val="id-ID"/>
        </w:rPr>
        <w:t xml:space="preserve">. IT Planning strategy is a crucial element in ensuring harmony between the business organization's objectives and the use of information technology, especially amid </w:t>
      </w:r>
      <w:r w:rsidRPr="00AA5FDB">
        <w:rPr>
          <w:lang w:val="id-ID"/>
        </w:rPr>
        <w:t xml:space="preserve">complex digital disruption </w:t>
      </w:r>
      <w:r w:rsidR="004C042D">
        <w:rPr>
          <w:lang w:val="id-ID"/>
        </w:rPr>
        <w:fldChar w:fldCharType="begin" w:fldLock="1"/>
      </w:r>
      <w:r w:rsidR="004C042D">
        <w:rPr>
          <w:lang w:val="id-ID"/>
        </w:rPr>
        <w:instrText>ADDIN CSL_CITATION {"citationItems":[{"id":"ITEM-1","itemData":{"DOI":"10.33480/JITK.V11I3.7068","ISSN":"2527-4864","abstract":"Strategic planning for information technology (PSTI) is a crucial element in ensuring alignment between an organisation's business objectives and the use of information technology. In the last decade, challenges have arisen in adopting appropriate frameworks, methods and principles, especially amidst the complexities of digital disruption. This study aims to conduct a systematic literature review (SLR) of PSTI-related research during the period 2015-2024 using the PRISMA 2020 approach, with literature searches from leading academic databases such as Scopus, IEEE Xplore, SpringerLink, and Google Scholar during the period 2015-2024. A total of 62 scientific articles were analysed to evaluate the frameworks used, business sectors based on KBLI, implementation methods, principles applied, and critical success factors and research gaps. The results showed that Ward &amp;amp; Peppard, TOGAF, and Tozer frameworks were the most dominant approach. Key success factors include top management support, business and IT strategy alignment, effective IT governance, and organisational capability. This study makes a significant contribution to the development of theoretical foundations and practical guidelines for adaptive PSTI implementation, the KBLI-PSTI mapping, the systensis of framework/ methods/ princiles, alignment factors &amp;amp; organizational capabilities, and opens space for further research in less explored sectors","author":[{"dropping-particle":"","family":"Suhartono","given":"Bambang","non-dropping-particle":"","parse-names":false,"suffix":""},{"dropping-particle":"","family":"Sutikno","given":"Tole","non-dropping-particle":"","parse-names":false,"suffix":""},{"dropping-particle":"","family":"Riadi","given":"; Imam","non-dropping-particle":"","parse-names":false,"suffix":""}],"container-title":"JITK (Jurnal Ilmu Pengetahuan dan Teknologi Komputer)","id":"ITEM-1","issue":"3","issued":{"date-parts":[["2026","2","10"]]},"page":"700-714","title":"Decade of IT Strategic Planning : Systematic Review of Frameworks and Critical Success Factors","type":"article-journal","volume":"11"},"uris":["http://www.mendeley.com/documents/?uuid=650afd90-15a9-383c-91ed-a90ef690e6e8"]}],"mendeley":{"formattedCitation":"[4]","plainTextFormattedCitation":"[4]","previouslyFormattedCitation":"[4]"},"properties":{"noteIndex":0},"schema":"https://github.com/citation-style-language/schema/raw/master/csl-citation.json"}</w:instrText>
      </w:r>
      <w:r w:rsidR="004C042D">
        <w:rPr>
          <w:lang w:val="id-ID"/>
        </w:rPr>
        <w:fldChar w:fldCharType="separate"/>
      </w:r>
      <w:r w:rsidR="004C042D" w:rsidRPr="004C042D">
        <w:rPr>
          <w:noProof/>
          <w:lang w:val="id-ID"/>
        </w:rPr>
        <w:t>[4]</w:t>
      </w:r>
      <w:r w:rsidR="004C042D">
        <w:rPr>
          <w:lang w:val="id-ID"/>
        </w:rPr>
        <w:fldChar w:fldCharType="end"/>
      </w:r>
      <w:r w:rsidRPr="00AA5FDB">
        <w:rPr>
          <w:lang w:val="id-ID"/>
        </w:rPr>
        <w:t xml:space="preserve">. In practice, many organizations still face challenges in compiling structured, measurable, and effective IT plans that comprehensively meet business needs. Frequent problems that​ happen are the existence gap between business strategy and IT strategy, the weakness mapping needs application , not yet optimal IT governance, as well as no integration between strategic planning, enterprise architecture , and control mechanisms. These conditions cause IT initiatives to often run​ partially, with no good, and not yet a fully value-oriented business. A successful IT planning strategy is heavily influenced by the alignment of business and IT strategies, management </w:t>
      </w:r>
      <w:r w:rsidRPr="00AA5FDB">
        <w:rPr>
          <w:lang w:val="id-ID"/>
        </w:rPr>
        <w:lastRenderedPageBreak/>
        <w:t xml:space="preserve">support, effective IT governance, and organizational capability </w:t>
      </w:r>
      <w:r w:rsidR="004C042D">
        <w:rPr>
          <w:lang w:val="id-ID"/>
        </w:rPr>
        <w:fldChar w:fldCharType="begin" w:fldLock="1"/>
      </w:r>
      <w:r w:rsidR="004C042D">
        <w:rPr>
          <w:lang w:val="id-ID"/>
        </w:rPr>
        <w:instrText>ADDIN CSL_CITATION {"citationItems":[{"id":"ITEM-1","itemData":{"DOI":"10.33480/JITK.V11I3.7068","ISSN":"2527-4864","abstract":"Strategic planning for information technology (PSTI) is a crucial element in ensuring alignment between an organisation's business objectives and the use of information technology. In the last decade, challenges have arisen in adopting appropriate frameworks, methods and principles, especially amidst the complexities of digital disruption. This study aims to conduct a systematic literature review (SLR) of PSTI-related research during the period 2015-2024 using the PRISMA 2020 approach, with literature searches from leading academic databases such as Scopus, IEEE Xplore, SpringerLink, and Google Scholar during the period 2015-2024. A total of 62 scientific articles were analysed to evaluate the frameworks used, business sectors based on KBLI, implementation methods, principles applied, and critical success factors and research gaps. The results showed that Ward &amp;amp; Peppard, TOGAF, and Tozer frameworks were the most dominant approach. Key success factors include top management support, business and IT strategy alignment, effective IT governance, and organisational capability. This study makes a significant contribution to the development of theoretical foundations and practical guidelines for adaptive PSTI implementation, the KBLI-PSTI mapping, the systensis of framework/ methods/ princiles, alignment factors &amp;amp; organizational capabilities, and opens space for further research in less explored sectors","author":[{"dropping-particle":"","family":"Suhartono","given":"Bambang","non-dropping-particle":"","parse-names":false,"suffix":""},{"dropping-particle":"","family":"Sutikno","given":"Tole","non-dropping-particle":"","parse-names":false,"suffix":""},{"dropping-particle":"","family":"Riadi","given":"; Imam","non-dropping-particle":"","parse-names":false,"suffix":""}],"container-title":"JITK (Jurnal Ilmu Pengetahuan dan Teknologi Komputer)","id":"ITEM-1","issue":"3","issued":{"date-parts":[["2026","2","10"]]},"page":"700-714","title":"Decade of IT Strategic Planning : Systematic Review of Frameworks and Critical Success Factors","type":"article-journal","volume":"11"},"uris":["http://www.mendeley.com/documents/?uuid=650afd90-15a9-383c-91ed-a90ef690e6e8"]}],"mendeley":{"formattedCitation":"[4]","plainTextFormattedCitation":"[4]","previouslyFormattedCitation":"[4]"},"properties":{"noteIndex":0},"schema":"https://github.com/citation-style-language/schema/raw/master/csl-citation.json"}</w:instrText>
      </w:r>
      <w:r w:rsidR="004C042D">
        <w:rPr>
          <w:lang w:val="id-ID"/>
        </w:rPr>
        <w:fldChar w:fldCharType="separate"/>
      </w:r>
      <w:r w:rsidR="004C042D" w:rsidRPr="004C042D">
        <w:rPr>
          <w:noProof/>
          <w:lang w:val="id-ID"/>
        </w:rPr>
        <w:t>[4]</w:t>
      </w:r>
      <w:r w:rsidR="004C042D">
        <w:rPr>
          <w:lang w:val="id-ID"/>
        </w:rPr>
        <w:fldChar w:fldCharType="end"/>
      </w:r>
      <w:r w:rsidR="004C042D">
        <w:rPr>
          <w:lang w:val="id-ID"/>
        </w:rPr>
        <w:t>.</w:t>
      </w:r>
    </w:p>
    <w:p w14:paraId="656454D9" w14:textId="77777777" w:rsidR="00766EAC" w:rsidRPr="00DA31A5" w:rsidRDefault="00B52CF8" w:rsidP="00B52CF8">
      <w:pPr>
        <w:spacing w:after="60"/>
        <w:ind w:left="-57" w:firstLine="425"/>
      </w:pPr>
      <w:r>
        <w:t>.</w:t>
      </w:r>
    </w:p>
    <w:p w14:paraId="551805BD" w14:textId="77777777" w:rsidR="00AA5FDB" w:rsidRPr="00AA5FDB" w:rsidRDefault="00AA5FDB" w:rsidP="00AA5FDB">
      <w:pPr>
        <w:ind w:firstLine="720"/>
        <w:rPr>
          <w:lang w:val="id-ID"/>
        </w:rPr>
      </w:pPr>
      <w:r w:rsidRPr="00AA5FDB">
        <w:rPr>
          <w:lang w:val="id-ID"/>
        </w:rPr>
        <w:t xml:space="preserve">Previous studies show that various frameworks have been used in IT strategic planning. Ward &amp; Peppard are often used to analyze business conditions and systems information , formulate IT strategy needs, and compile portfolio applications. TOGAF ADM is used to build enterprise architecture, including business architecture, data, applications, and technology. While that , COBIT 2019 is used to ensure IT governance and management is running in a way structured through governance objectives , control , measurement of​ performance , as well as Risk management </w:t>
      </w:r>
      <w:r w:rsidR="004C042D">
        <w:rPr>
          <w:lang w:val="id-ID"/>
        </w:rPr>
        <w:fldChar w:fldCharType="begin" w:fldLock="1"/>
      </w:r>
      <w:r w:rsidR="004C042D">
        <w:rPr>
          <w:lang w:val="id-ID"/>
        </w:rPr>
        <w:instrText>ADDIN CSL_CITATION {"citationItems":[{"id":"ITEM-1","itemData":{"DOI":"10.30656/jsii.v12i1.9926","abstract":"Information technology (IT) governance is a crucial element in ensuring alignment between IT strategy and an organization's business objectives. Implementing IT governance requires a proven framework and best practice standards to support effectiveness, efficiency, and regulatory compliance. Many organizations struggle to determine the appropriate approach or choose the framework or standard that best suits their business needs. This article aims to review and analyze COBIT 2019 and identify the frameworks and best practice standards used in COBIT 2019. Furthermore, it also provides further insight into which frameworks and standards are most widely used. This study uses a literature review method for COBIT 2019, analyzing the use of frameworks and standards in each domain, as well as the COBIT 2019 process. The results are expected to provide IT practitioners with insight into selecting the framework and standard approach that best suits their organization's IT governance.","author":[{"dropping-particle":"","family":"Suhartono","given":"Bambang","non-dropping-particle":"","parse-names":false,"suffix":""},{"dropping-particle":"","family":"Sutikno","given":"Tole","non-dropping-particle":"","parse-names":false,"suffix":""},{"dropping-particle":"","family":"Riadi","given":"Imam","non-dropping-particle":"","parse-names":false,"suffix":""}],"container-title":"Journal of Information Systems (JSiI)","id":"ITEM-1","issue":"1","issued":{"date-parts":[["2025"]]},"title":"Review Framework and Best Practise of COBIT 2019 Standard for IT Governance Implementation","type":"article-journal","volume":"12"},"uris":["http://www.mendeley.com/documents/?uuid=dedc94a7-78c2-4f94-9d66-446770928b94"]}],"mendeley":{"formattedCitation":"[5]","plainTextFormattedCitation":"[5]","previouslyFormattedCitation":"[5]"},"properties":{"noteIndex":0},"schema":"https://github.com/citation-style-language/schema/raw/master/csl-citation.json"}</w:instrText>
      </w:r>
      <w:r w:rsidR="004C042D">
        <w:rPr>
          <w:lang w:val="id-ID"/>
        </w:rPr>
        <w:fldChar w:fldCharType="separate"/>
      </w:r>
      <w:r w:rsidR="004C042D" w:rsidRPr="004C042D">
        <w:rPr>
          <w:noProof/>
          <w:lang w:val="id-ID"/>
        </w:rPr>
        <w:t>[5]</w:t>
      </w:r>
      <w:r w:rsidR="004C042D">
        <w:rPr>
          <w:lang w:val="id-ID"/>
        </w:rPr>
        <w:fldChar w:fldCharType="end"/>
      </w:r>
      <w:r w:rsidRPr="00AA5FDB">
        <w:rPr>
          <w:lang w:val="id-ID"/>
        </w:rPr>
        <w:t xml:space="preserve">. In this systematic study of 62 articles from 2015-2024 </w:t>
      </w:r>
      <w:r w:rsidR="004C042D">
        <w:rPr>
          <w:lang w:val="id-ID"/>
        </w:rPr>
        <w:fldChar w:fldCharType="begin" w:fldLock="1"/>
      </w:r>
      <w:r w:rsidR="004C042D">
        <w:rPr>
          <w:lang w:val="id-ID"/>
        </w:rPr>
        <w:instrText>ADDIN CSL_CITATION {"citationItems":[{"id":"ITEM-1","itemData":{"DOI":"10.33480/JITK.V11I3.7068","ISSN":"2527-4864","abstract":"Strategic planning for information technology (PSTI) is a crucial element in ensuring alignment between an organisation's business objectives and the use of information technology. In the last decade, challenges have arisen in adopting appropriate frameworks, methods and principles, especially amidst the complexities of digital disruption. This study aims to conduct a systematic literature review (SLR) of PSTI-related research during the period 2015-2024 using the PRISMA 2020 approach, with literature searches from leading academic databases such as Scopus, IEEE Xplore, SpringerLink, and Google Scholar during the period 2015-2024. A total of 62 scientific articles were analysed to evaluate the frameworks used, business sectors based on KBLI, implementation methods, principles applied, and critical success factors and research gaps. The results showed that Ward &amp;amp; Peppard, TOGAF, and Tozer frameworks were the most dominant approach. Key success factors include top management support, business and IT strategy alignment, effective IT governance, and organisational capability. This study makes a significant contribution to the development of theoretical foundations and practical guidelines for adaptive PSTI implementation, the KBLI-PSTI mapping, the systensis of framework/ methods/ princiles, alignment factors &amp;amp; organizational capabilities, and opens space for further research in less explored sectors","author":[{"dropping-particle":"","family":"Suhartono","given":"Bambang","non-dropping-particle":"","parse-names":false,"suffix":""},{"dropping-particle":"","family":"Sutikno","given":"Tole","non-dropping-particle":"","parse-names":false,"suffix":""},{"dropping-particle":"","family":"Riadi","given":"; Imam","non-dropping-particle":"","parse-names":false,"suffix":""}],"container-title":"JITK (Jurnal Ilmu Pengetahuan dan Teknologi Komputer)","id":"ITEM-1","issue":"3","issued":{"date-parts":[["2026","2","10"]]},"page":"700-714","title":"Decade of IT Strategic Planning : Systematic Review of Frameworks and Critical Success Factors","type":"article-journal","volume":"11"},"uris":["http://www.mendeley.com/documents/?uuid=650afd90-15a9-383c-91ed-a90ef690e6e8"]}],"mendeley":{"formattedCitation":"[4]","plainTextFormattedCitation":"[4]","previouslyFormattedCitation":"[4]"},"properties":{"noteIndex":0},"schema":"https://github.com/citation-style-language/schema/raw/master/csl-citation.json"}</w:instrText>
      </w:r>
      <w:r w:rsidR="004C042D">
        <w:rPr>
          <w:lang w:val="id-ID"/>
        </w:rPr>
        <w:fldChar w:fldCharType="separate"/>
      </w:r>
      <w:r w:rsidR="004C042D" w:rsidRPr="004C042D">
        <w:rPr>
          <w:noProof/>
          <w:lang w:val="id-ID"/>
        </w:rPr>
        <w:t>[4]</w:t>
      </w:r>
      <w:r w:rsidR="004C042D">
        <w:rPr>
          <w:lang w:val="id-ID"/>
        </w:rPr>
        <w:fldChar w:fldCharType="end"/>
      </w:r>
      <w:r w:rsidRPr="00AA5FDB">
        <w:rPr>
          <w:lang w:val="id-ID"/>
        </w:rPr>
        <w:t xml:space="preserve">, the Ward &amp; Peppard framework was the most widely used in PSTI, appearing in 29 of the 62 articles (around 47%), followed by TOGAF in 15 of the 62 articles (around 24%). Some frameworks have been widely used to support IT strategy planning. Ward &amp; Peppard present an approach to planning strategic IS/IT that emphasizes analysis of the business environment, formulation of needs, and planning the application portfolio, so that IT planning can be aligned with business objectives </w:t>
      </w:r>
      <w:r w:rsidR="004C042D">
        <w:rPr>
          <w:lang w:val="id-ID"/>
        </w:rPr>
        <w:fldChar w:fldCharType="begin" w:fldLock="1"/>
      </w:r>
      <w:r w:rsidR="004C042D">
        <w:rPr>
          <w:lang w:val="id-ID"/>
        </w:rPr>
        <w:instrText>ADDIN CSL_CITATION {"citationItems":[{"id":"ITEM-1","itemData":{"DOI":"10.5220/0008905800002481","ISBN":"9789897584145","abstract":"Information Technology has been used in Universitas Islam Negeri Sunan Ampel Surabaya (UINSA) to improve its competitive advantage. However, the use of information system and its component has not been not optimized and needs to be reviewed since it is not fully integrated. The impact of these issues was inefficiency and ambiguity in business processed. Therefore, this research will elaborate and review the existing information technology in order to make information system a strategic planning. The method of this research was the one that Ward and Peppard proposed. There are few steps started from analyzing the existing business process and analyzing the current information system and technology, both internally and externally. Analyzing process used some tools, such as SWOT and Value Chain analysis, for internal analysis. PEST and Porter's Five Force were for external analysis. McFarlan's Strategic Grid was also used to analyze the internal IS/IT proposed. The result of these processes is application portfolio. There are 22 applications that were proposed. Ten of them are the current IS that need to be improved. Four of them have been developed and can be used effectively. The proposed system had been mapped in order to sustain its business strategic plan.","author":[{"dropping-particle":"","family":"Merit Biyanti","given":"Pipit","non-dropping-particle":"","parse-names":false,"suffix":""},{"dropping-particle":"","family":"Yalina","given":"Nita","non-dropping-particle":"","parse-names":false,"suffix":""}],"id":"ITEM-1","issued":{"date-parts":[["0"]]},"title":"Information System Strategic Planning using Ward and Peppard Method at Universitas Islam Negeri Sunan Ampel Surabaya","type":"article-journal"},"uris":["http://www.mendeley.com/documents/?uuid=2c7b368f-0a1f-3dca-b575-e057897a91a2"]}],"mendeley":{"formattedCitation":"[6]","plainTextFormattedCitation":"[6]","previouslyFormattedCitation":"[6]"},"properties":{"noteIndex":0},"schema":"https://github.com/citation-style-language/schema/raw/master/csl-citation.json"}</w:instrText>
      </w:r>
      <w:r w:rsidR="004C042D">
        <w:rPr>
          <w:lang w:val="id-ID"/>
        </w:rPr>
        <w:fldChar w:fldCharType="separate"/>
      </w:r>
      <w:r w:rsidR="004C042D" w:rsidRPr="004C042D">
        <w:rPr>
          <w:noProof/>
          <w:lang w:val="id-ID"/>
        </w:rPr>
        <w:t>[6]</w:t>
      </w:r>
      <w:r w:rsidR="004C042D">
        <w:rPr>
          <w:lang w:val="id-ID"/>
        </w:rPr>
        <w:fldChar w:fldCharType="end"/>
      </w:r>
      <w:r w:rsidRPr="00AA5FDB">
        <w:rPr>
          <w:lang w:val="id-ID"/>
        </w:rPr>
        <w:t xml:space="preserve">. Approach the Lots used in case studies; the latest to implement a combination of SWOT analysis, PEST, CSF, McFarlan grid, and business mapping capability to compile an IS/IT plan </w:t>
      </w:r>
      <w:r w:rsidR="004C042D">
        <w:rPr>
          <w:lang w:val="id-ID"/>
        </w:rPr>
        <w:fldChar w:fldCharType="begin" w:fldLock="1"/>
      </w:r>
      <w:r w:rsidR="004C042D">
        <w:rPr>
          <w:lang w:val="id-ID"/>
        </w:rPr>
        <w:instrText>ADDIN CSL_CITATION {"citationItems":[{"id":"ITEM-1","itemData":{"DOI":"10.5220/0008905800002481","ISBN":"9789897584145","abstract":"Information Technology has been used in Universitas Islam Negeri Sunan Ampel Surabaya (UINSA) to improve its competitive advantage. However, the use of information system and its component has not been not optimized and needs to be reviewed since it is not fully integrated. The impact of these issues was inefficiency and ambiguity in business processed. Therefore, this research will elaborate and review the existing information technology in order to make information system a strategic planning. The method of this research was the one that Ward and Peppard proposed. There are few steps started from analyzing the existing business process and analyzing the current information system and technology, both internally and externally. Analyzing process used some tools, such as SWOT and Value Chain analysis, for internal analysis. PEST and Porter's Five Force were for external analysis. McFarlan's Strategic Grid was also used to analyze the internal IS/IT proposed. The result of these processes is application portfolio. There are 22 applications that were proposed. Ten of them are the current IS that need to be improved. Four of them have been developed and can be used effectively. The proposed system had been mapped in order to sustain its business strategic plan.","author":[{"dropping-particle":"","family":"Merit Biyanti","given":"Pipit","non-dropping-particle":"","parse-names":false,"suffix":""},{"dropping-particle":"","family":"Yalina","given":"Nita","non-dropping-particle":"","parse-names":false,"suffix":""}],"id":"ITEM-1","issued":{"date-parts":[["0"]]},"title":"Information System Strategic Planning using Ward and Peppard Method at Universitas Islam Negeri Sunan Ampel Surabaya","type":"article-journal"},"uris":["http://www.mendeley.com/documents/?uuid=2c7b368f-0a1f-3dca-b575-e057897a91a2"]}],"mendeley":{"formattedCitation":"[6]","plainTextFormattedCitation":"[6]","previouslyFormattedCitation":"[6]"},"properties":{"noteIndex":0},"schema":"https://github.com/citation-style-language/schema/raw/master/csl-citation.json"}</w:instrText>
      </w:r>
      <w:r w:rsidR="004C042D">
        <w:rPr>
          <w:lang w:val="id-ID"/>
        </w:rPr>
        <w:fldChar w:fldCharType="separate"/>
      </w:r>
      <w:r w:rsidR="004C042D" w:rsidRPr="004C042D">
        <w:rPr>
          <w:noProof/>
          <w:lang w:val="id-ID"/>
        </w:rPr>
        <w:t>[6]</w:t>
      </w:r>
      <w:r w:rsidR="004C042D">
        <w:rPr>
          <w:lang w:val="id-ID"/>
        </w:rPr>
        <w:fldChar w:fldCharType="end"/>
      </w:r>
      <w:r w:rsidRPr="00AA5FDB">
        <w:rPr>
          <w:lang w:val="id-ID"/>
        </w:rPr>
        <w:t xml:space="preserve"> </w:t>
      </w:r>
      <w:r w:rsidR="004C042D">
        <w:rPr>
          <w:lang w:val="id-ID"/>
        </w:rPr>
        <w:fldChar w:fldCharType="begin" w:fldLock="1"/>
      </w:r>
      <w:r w:rsidR="004C042D">
        <w:rPr>
          <w:lang w:val="id-ID"/>
        </w:rPr>
        <w:instrText>ADDIN CSL_CITATION {"citationItems":[{"id":"ITEM-1","itemData":{"DOI":"10.35877/454ri.jinav2506","abstract":"This research aims to develop an IS/IT strategy so that system implementation in carrying out the company's business processes becomes more effective and efficient. The method used in this research is the Ward and Peppard method, including analyses of Value Chain, SWOT, PEST, IS/IT Internal and External Environmental with McFarlan Strategic Grid, as well as System recommendations in the form of a framework and user interface of system recommendations based on Mc Farlan Strategic Grids implementation. The results of this research are several suggestions for developing existing systems, new frameworks if needed, as well as Users Interfaces from system recommendations. It is expected that this recommendation can be a solution for companies in overcoming the IS/IT related problems they face.","author":[{"dropping-particle":"","family":"Suryana","given":"Steven Immanuel","non-dropping-particle":"","parse-names":false,"suffix":""},{"dropping-particle":"","family":"Fibriani","given":"Charitas","non-dropping-particle":"","parse-names":false,"suffix":""}],"container-title":"JINAV: Journal of Information and Visualization","id":"ITEM-1","issue":"1","issued":{"date-parts":[["2024"]]},"page":"1-11","title":"The IS/IT Strategy Planning Through Ward and Peppard Method in Automotive Spareparts Company","type":"article-journal","volume":"5"},"uris":["http://www.mendeley.com/documents/?uuid=7dae7a34-ba83-41f4-87ba-42e0dac3b336"]}],"mendeley":{"formattedCitation":"[7]","plainTextFormattedCitation":"[7]","previouslyFormattedCitation":"[7]"},"properties":{"noteIndex":0},"schema":"https://github.com/citation-style-language/schema/raw/master/csl-citation.json"}</w:instrText>
      </w:r>
      <w:r w:rsidR="004C042D">
        <w:rPr>
          <w:lang w:val="id-ID"/>
        </w:rPr>
        <w:fldChar w:fldCharType="separate"/>
      </w:r>
      <w:r w:rsidR="004C042D" w:rsidRPr="004C042D">
        <w:rPr>
          <w:noProof/>
          <w:lang w:val="id-ID"/>
        </w:rPr>
        <w:t>[7]</w:t>
      </w:r>
      <w:r w:rsidR="004C042D">
        <w:rPr>
          <w:lang w:val="id-ID"/>
        </w:rPr>
        <w:fldChar w:fldCharType="end"/>
      </w:r>
      <w:r w:rsidRPr="00AA5FDB">
        <w:rPr>
          <w:lang w:val="id-ID"/>
        </w:rPr>
        <w:t xml:space="preserve">. While doing so, TOGAF provides a comprehensive Architecture Development Method (ADM) for designing enterprise architecture (EA) — including business architecture, data, applications, and technology — as well as artifacts (catalogs, matrices, diagrams) that help translate business strategy into a technical blueprint </w:t>
      </w:r>
      <w:r w:rsidR="004C042D">
        <w:rPr>
          <w:lang w:val="id-ID"/>
        </w:rPr>
        <w:fldChar w:fldCharType="begin" w:fldLock="1"/>
      </w:r>
      <w:r w:rsidR="004C042D">
        <w:rPr>
          <w:lang w:val="id-ID"/>
        </w:rPr>
        <w:instrText>ADDIN CSL_CITATION {"citationItems":[{"id":"ITEM-1","itemData":{"ISBN":"ISBN: 978-90-8753-679-4","abstract":"This document provides an introduction to TOGAF 9.1. Topics addressed include: • An Introduction to TOGAF, an Open Group Standard • TOGAF, its structure and content • The kinds of architecture that TOGAF addresses • What’s new in TOGAF 9.1 • TOGAF 9.1 and Certification","author":[{"dropping-particle":"","family":"The-Open-Group","given":"","non-dropping-particle":"","parse-names":false,"suffix":""}],"container-title":"Open Group Standard ","id":"ITEM-1","issued":{"date-parts":[["2011"]]},"title":"TOGAF® Version 9.1 ","type":"book","volume":"Document N"},"uris":["http://www.mendeley.com/documents/?uuid=427af74a-ad57-44f7-b574-385bb139b365"]}],"mendeley":{"formattedCitation":"[8]","plainTextFormattedCitation":"[8]","previouslyFormattedCitation":"[8]"},"properties":{"noteIndex":0},"schema":"https://github.com/citation-style-language/schema/raw/master/csl-citation.json"}</w:instrText>
      </w:r>
      <w:r w:rsidR="004C042D">
        <w:rPr>
          <w:lang w:val="id-ID"/>
        </w:rPr>
        <w:fldChar w:fldCharType="separate"/>
      </w:r>
      <w:r w:rsidR="004C042D" w:rsidRPr="004C042D">
        <w:rPr>
          <w:noProof/>
          <w:lang w:val="id-ID"/>
        </w:rPr>
        <w:t>[8]</w:t>
      </w:r>
      <w:r w:rsidR="004C042D">
        <w:rPr>
          <w:lang w:val="id-ID"/>
        </w:rPr>
        <w:fldChar w:fldCharType="end"/>
      </w:r>
      <w:r w:rsidRPr="00AA5FDB">
        <w:rPr>
          <w:lang w:val="id-ID"/>
        </w:rPr>
        <w:t xml:space="preserve">. Empirical studies of more cases show that TOGAF-based EA practices can accelerate organizational transformation when combined with measurement benefits and strong governance </w:t>
      </w:r>
      <w:r w:rsidR="004C042D">
        <w:rPr>
          <w:lang w:val="id-ID"/>
        </w:rPr>
        <w:fldChar w:fldCharType="begin" w:fldLock="1"/>
      </w:r>
      <w:r w:rsidR="004C042D">
        <w:rPr>
          <w:lang w:val="id-ID"/>
        </w:rPr>
        <w:instrText>ADDIN CSL_CITATION {"citationItems":[{"id":"ITEM-1","itemData":{"DOI":"10.1080/10630732.2022.2122681","ISSN":"14661853","abstract":"The digital transformation and innovation of public services in Smart Cities have taken advantage of the rapid advances in information technology (IT) capabilities (Zhuhadar et al., 2017). The appl...","author":[{"dropping-particle":"","family":"Bastidas","given":"Viviana","non-dropping-particle":"","parse-names":false,"suffix":""},{"dropping-particle":"","family":"Bezbradica","given":"Marija","non-dropping-particle":"","parse-names":false,"suffix":""},{"dropping-particle":"","family":"Bilauca","given":"Mihai","non-dropping-particle":"","parse-names":false,"suffix":""},{"dropping-particle":"","family":"Healy","given":"Michael","non-dropping-particle":"","parse-names":false,"suffix":""},{"dropping-particle":"","family":"Helfert","given":"Markus","non-dropping-particle":"","parse-names":false,"suffix":""}],"container-title":"Journal of Urban Technology","id":"ITEM-1","issue":"1","issued":{"date-parts":[["2023","1","1"]]},"page":"47-70","publisher":"Routledge","title":"Enterprise Architecture in Smart Cities: Developing an Empirical Grounded Research Agenda","type":"article-journal","volume":"30"},"uris":["http://www.mendeley.com/documents/?uuid=f938e860-a8a1-3ef5-bd49-83ce023cedf8"]}],"mendeley":{"formattedCitation":"[9]","plainTextFormattedCitation":"[9]","previouslyFormattedCitation":"[9]"},"properties":{"noteIndex":0},"schema":"https://github.com/citation-style-language/schema/raw/master/csl-citation.json"}</w:instrText>
      </w:r>
      <w:r w:rsidR="004C042D">
        <w:rPr>
          <w:lang w:val="id-ID"/>
        </w:rPr>
        <w:fldChar w:fldCharType="separate"/>
      </w:r>
      <w:r w:rsidR="004C042D" w:rsidRPr="004C042D">
        <w:rPr>
          <w:noProof/>
          <w:lang w:val="id-ID"/>
        </w:rPr>
        <w:t>[9]</w:t>
      </w:r>
      <w:r w:rsidR="004C042D">
        <w:rPr>
          <w:lang w:val="id-ID"/>
        </w:rPr>
        <w:fldChar w:fldCharType="end"/>
      </w:r>
      <w:r w:rsidR="004C042D" w:rsidRPr="004C042D">
        <w:rPr>
          <w:lang w:val="id-ID"/>
        </w:rPr>
        <w:t xml:space="preserve"> </w:t>
      </w:r>
      <w:r w:rsidR="004C042D">
        <w:rPr>
          <w:lang w:val="id-ID"/>
        </w:rPr>
        <w:fldChar w:fldCharType="begin" w:fldLock="1"/>
      </w:r>
      <w:r w:rsidR="004C042D">
        <w:rPr>
          <w:lang w:val="id-ID"/>
        </w:rPr>
        <w:instrText>ADDIN CSL_CITATION {"citationItems":[{"id":"ITEM-1","itemData":{"DOI":"10.1108/DPRG-11-2022-0123","ISSN":"2398-5038","abstract":"Purpose: Current literature argues that citizen engagement platforms must be used to gather citizens’ feedback to provide improved quality of services to citizens. However, limited studies consider the challenges faced by practitioners at the local level during the incorporation of those feedback for continuous service improvement. As a result, these services fail to fulfil the need of citizens. The purpose of this study is to structure the relationship between citizens’ feedback and continuous service improvement to meet the need of citizens. Design/methodology/approach: Design science research methodology has been adapted under which a case study approach has been followed to investigate one of the citizens’ engagement platforms in Ireland. Findings: The results from this study highlighted that practitioners faced challenges (e.g. capacity, risk and constraints) in terms of fulfilling the needs of citizens and there is a lack of structured approach to continuously provide improved services to them. Research limitations/implications: This study provides a structured approach in the form of a process model to showcase how citizens’ feedback can be incorporated for continuously providing improved services to the citizens. Social implications: This research provides a prescriptive view to assist municipalities during the incorporation of citizens’ feedback for continuous service improvement while addressing the challenges they face during this process. Originality/value: This paper proposes a process model based on the guidelines of the open group architecture framework enterprise architecture and the collaboration with practitioners that would assist local authorities in continuously providing improved services to the citizens.","author":[{"dropping-particle":"","family":"Singh","given":"Priyanka","non-dropping-particle":"","parse-names":false,"suffix":""},{"dropping-particle":"","family":"Lynch","given":"Fiona","non-dropping-particle":"","parse-names":false,"suffix":""},{"dropping-particle":"","family":"Helfert","given":"Markus","non-dropping-particle":"","parse-names":false,"suffix":""}],"container-title":"Digital Policy, Regulation and Governance","id":"ITEM-1","issue":"1","issued":{"date-parts":[["2024","1","2"]]},"page":"38-54","publisher":"Emerald Publishing","title":"Enterprise architecture for the transformation of public services based on citizen’s feedback","type":"article-journal","volume":"26"},"uris":["http://www.mendeley.com/documents/?uuid=54b4d04b-c15d-32a8-9c36-536e701fc286"]}],"mendeley":{"formattedCitation":"[3]","plainTextFormattedCitation":"[3]","previouslyFormattedCitation":"[3]"},"properties":{"noteIndex":0},"schema":"https://github.com/citation-style-language/schema/raw/master/csl-citation.json"}</w:instrText>
      </w:r>
      <w:r w:rsidR="004C042D">
        <w:rPr>
          <w:lang w:val="id-ID"/>
        </w:rPr>
        <w:fldChar w:fldCharType="separate"/>
      </w:r>
      <w:r w:rsidR="004C042D" w:rsidRPr="004C042D">
        <w:rPr>
          <w:noProof/>
          <w:lang w:val="id-ID"/>
        </w:rPr>
        <w:t>[3]</w:t>
      </w:r>
      <w:r w:rsidR="004C042D">
        <w:rPr>
          <w:lang w:val="id-ID"/>
        </w:rPr>
        <w:fldChar w:fldCharType="end"/>
      </w:r>
      <w:r w:rsidRPr="00AA5FDB">
        <w:rPr>
          <w:lang w:val="id-ID"/>
        </w:rPr>
        <w:t xml:space="preserve">. On the governance side, COBIT 2019 sets out comprehensive objectives for governance &amp; management. To ensure value , control risk, and resilience of IT resources </w:t>
      </w:r>
      <w:r w:rsidR="004C042D">
        <w:rPr>
          <w:lang w:val="id-ID"/>
        </w:rPr>
        <w:fldChar w:fldCharType="begin" w:fldLock="1"/>
      </w:r>
      <w:r w:rsidR="004C042D">
        <w:rPr>
          <w:lang w:val="id-ID"/>
        </w:rPr>
        <w:instrText>ADDIN CSL_CITATION {"citationItems":[{"id":"ITEM-1","itemData":{"URL":"https://www.isaca.org/resources/cobit","accessed":{"date-parts":[["2026","6","17"]]},"id":"ITEM-1","issued":{"date-parts":[["0"]]},"title":"COBIT®| Control Objectives for Information Technologies®","type":"webpage"},"uris":["http://www.mendeley.com/documents/?uuid=0d6bc033-2fdc-3f11-9be0-9dcf94f01ac0"]}],"mendeley":{"formattedCitation":"[10]","plainTextFormattedCitation":"[10]","previouslyFormattedCitation":"[10]"},"properties":{"noteIndex":0},"schema":"https://github.com/citation-style-language/schema/raw/master/csl-citation.json"}</w:instrText>
      </w:r>
      <w:r w:rsidR="004C042D">
        <w:rPr>
          <w:lang w:val="id-ID"/>
        </w:rPr>
        <w:fldChar w:fldCharType="separate"/>
      </w:r>
      <w:r w:rsidR="004C042D" w:rsidRPr="004C042D">
        <w:rPr>
          <w:noProof/>
          <w:lang w:val="id-ID"/>
        </w:rPr>
        <w:t>[10]</w:t>
      </w:r>
      <w:r w:rsidR="004C042D">
        <w:rPr>
          <w:lang w:val="id-ID"/>
        </w:rPr>
        <w:fldChar w:fldCharType="end"/>
      </w:r>
      <w:r w:rsidRPr="00AA5FDB">
        <w:rPr>
          <w:lang w:val="id-ID"/>
        </w:rPr>
        <w:t xml:space="preserve">. COBIT 2019 is designed to integrate easily with other frameworks (e.g., TOGAF, ITIL, ISO), thereby contextualizing EA for practical governance </w:t>
      </w:r>
      <w:r w:rsidR="004C042D">
        <w:rPr>
          <w:lang w:val="id-ID"/>
        </w:rPr>
        <w:fldChar w:fldCharType="begin" w:fldLock="1"/>
      </w:r>
      <w:r w:rsidR="004C042D">
        <w:rPr>
          <w:lang w:val="id-ID"/>
        </w:rPr>
        <w:instrText>ADDIN CSL_CITATION {"citationItems":[{"id":"ITEM-1","itemData":{"URL":"https://www.isaca.org/resources/cobit","accessed":{"date-parts":[["2026","6","17"]]},"id":"ITEM-1","issued":{"date-parts":[["0"]]},"title":"COBIT®| Control Objectives for Information Technologies®","type":"webpage"},"uris":["http://www.mendeley.com/documents/?uuid=0d6bc033-2fdc-3f11-9be0-9dcf94f01ac0"]}],"mendeley":{"formattedCitation":"[10]","plainTextFormattedCitation":"[10]","previouslyFormattedCitation":"[10]"},"properties":{"noteIndex":0},"schema":"https://github.com/citation-style-language/schema/raw/master/csl-citation.json"}</w:instrText>
      </w:r>
      <w:r w:rsidR="004C042D">
        <w:rPr>
          <w:lang w:val="id-ID"/>
        </w:rPr>
        <w:fldChar w:fldCharType="separate"/>
      </w:r>
      <w:r w:rsidR="004C042D" w:rsidRPr="004C042D">
        <w:rPr>
          <w:noProof/>
          <w:lang w:val="id-ID"/>
        </w:rPr>
        <w:t>[10]</w:t>
      </w:r>
      <w:r w:rsidR="004C042D">
        <w:rPr>
          <w:lang w:val="id-ID"/>
        </w:rPr>
        <w:fldChar w:fldCharType="end"/>
      </w:r>
      <w:r w:rsidRPr="00AA5FDB">
        <w:rPr>
          <w:lang w:val="id-ID"/>
        </w:rPr>
        <w:t xml:space="preserve">. Literature review: The latest literature also highlights the role of COBIT in aligning IT strategy with management risk, measuring performance, and governance source power — the essential thing when an organization is implementing an enterprise architecture roadmap </w:t>
      </w:r>
      <w:r w:rsidR="004C042D">
        <w:rPr>
          <w:lang w:val="id-ID"/>
        </w:rPr>
        <w:fldChar w:fldCharType="begin" w:fldLock="1"/>
      </w:r>
      <w:r w:rsidR="00B546D6">
        <w:rPr>
          <w:lang w:val="id-ID"/>
        </w:rPr>
        <w:instrText>ADDIN CSL_CITATION {"citationItems":[{"id":"ITEM-1","itemData":{"DOI":"10.31154/cogito.v9i2.577.355-367","ISSN":"2477-8079","author":[{"dropping-particle":"","family":"Tangka","given":"George Morris William","non-dropping-particle":"","parse-names":false,"suffix":""},{"dropping-particle":"","family":"Lompoliu","given":"Erienika","non-dropping-particle":"","parse-names":false,"suffix":""}],"container-title":"CogITo Smart Journal","id":"ITEM-1","issue":"2","issued":{"date-parts":[["2023","12"]]},"page":"355-367","publisher":"Universitas Klabat","title":"Information {Technology} {Governance} {Using} the {COBIT} 2019 {Framework} at {PT}. {Pelindo} {TPK} {Bitung}","type":"article-journal","volume":"9"},"uris":["http://www.mendeley.com/documents/?uuid=739bea8a-4dae-4eb9-b773-17593ebdf4a1"]}],"mendeley":{"formattedCitation":"[11]","plainTextFormattedCitation":"[11]","previouslyFormattedCitation":"[11]"},"properties":{"noteIndex":0},"schema":"https://github.com/citation-style-language/schema/raw/master/csl-citation.json"}</w:instrText>
      </w:r>
      <w:r w:rsidR="004C042D">
        <w:rPr>
          <w:lang w:val="id-ID"/>
        </w:rPr>
        <w:fldChar w:fldCharType="separate"/>
      </w:r>
      <w:r w:rsidR="004C042D" w:rsidRPr="004C042D">
        <w:rPr>
          <w:noProof/>
          <w:lang w:val="id-ID"/>
        </w:rPr>
        <w:t>[11]</w:t>
      </w:r>
      <w:r w:rsidR="004C042D">
        <w:rPr>
          <w:lang w:val="id-ID"/>
        </w:rPr>
        <w:fldChar w:fldCharType="end"/>
      </w:r>
      <w:r w:rsidRPr="00AA5FDB">
        <w:rPr>
          <w:lang w:val="id-ID"/>
        </w:rPr>
        <w:t>.</w:t>
      </w:r>
    </w:p>
    <w:p w14:paraId="15A0F5A2" w14:textId="77777777" w:rsidR="00AA5FDB" w:rsidRPr="00AA5FDB" w:rsidRDefault="00AA5FDB" w:rsidP="00AA5FDB">
      <w:pPr>
        <w:ind w:firstLine="709"/>
        <w:rPr>
          <w:lang w:val="id-ID"/>
        </w:rPr>
      </w:pPr>
      <w:r w:rsidRPr="00AA5FDB">
        <w:rPr>
          <w:lang w:val="id-ID"/>
        </w:rPr>
        <w:t xml:space="preserve">While each framework has strengths in specific domains, partial implementations of the frameworks still face various limitations. Ward &amp; Peppard is particularly strong in the strategic aspect. Perspective, but it has not explicitly provided an enterprise development mechanism, architecture, and governance. TOGAF ADM excels in enterprise architecture development but places relatively little emphasis on governance mechanisms, monitoring, and comprehensive IT performance evaluation. On the other hand, COBIT 2019 has a strong orientation toward governance and management information, as well as toward technology companies. Although COBIT 2019 includes APO02 </w:t>
      </w:r>
      <w:r w:rsidRPr="00AA5FDB">
        <w:rPr>
          <w:i/>
          <w:iCs/>
          <w:lang w:val="id-ID"/>
        </w:rPr>
        <w:t xml:space="preserve">Managed Strategy </w:t>
      </w:r>
      <w:r w:rsidRPr="00AA5FDB">
        <w:rPr>
          <w:lang w:val="id-ID"/>
        </w:rPr>
        <w:t xml:space="preserve">and APO03 </w:t>
      </w:r>
      <w:r w:rsidRPr="00AA5FDB">
        <w:rPr>
          <w:i/>
          <w:iCs/>
          <w:lang w:val="id-ID"/>
        </w:rPr>
        <w:t xml:space="preserve">Managed Enterprise Architecture </w:t>
      </w:r>
      <w:r w:rsidRPr="00AA5FDB">
        <w:rPr>
          <w:lang w:val="id-ID"/>
        </w:rPr>
        <w:t xml:space="preserve">, this framework does not provide a detailed and comprehensive methodology for formulating business strategies from analysis of the environment until determining portfolio priorities, or for developing </w:t>
      </w:r>
      <w:r w:rsidRPr="00AA5FDB">
        <w:rPr>
          <w:i/>
          <w:iCs/>
          <w:lang w:val="id-ID"/>
        </w:rPr>
        <w:t xml:space="preserve">baseline architecture </w:t>
      </w:r>
      <w:r w:rsidRPr="00AA5FDB">
        <w:rPr>
          <w:lang w:val="id-ID"/>
        </w:rPr>
        <w:t xml:space="preserve">, </w:t>
      </w:r>
      <w:r w:rsidRPr="00AA5FDB">
        <w:rPr>
          <w:i/>
          <w:iCs/>
          <w:lang w:val="id-ID"/>
        </w:rPr>
        <w:t xml:space="preserve">target architecture </w:t>
      </w:r>
      <w:r w:rsidRPr="00AA5FDB">
        <w:rPr>
          <w:lang w:val="id-ID"/>
        </w:rPr>
        <w:t xml:space="preserve">, analyzing gaps , and mapping the road migration as provided by the strategic planning methodology and TOGAF ADM </w:t>
      </w:r>
      <w:r w:rsidR="00B546D6">
        <w:rPr>
          <w:lang w:val="id-ID"/>
        </w:rPr>
        <w:fldChar w:fldCharType="begin" w:fldLock="1"/>
      </w:r>
      <w:r w:rsidR="00B546D6">
        <w:rPr>
          <w:lang w:val="id-ID"/>
        </w:rPr>
        <w:instrText>ADDIN CSL_CITATION {"citationItems":[{"id":"ITEM-1","itemData":{"URL":"https://www.isaca.org/resources/cobit","accessed":{"date-parts":[["2026","6","17"]]},"id":"ITEM-1","issued":{"date-parts":[["0"]]},"title":"COBIT®| Control Objectives for Information Technologies®","type":"webpage"},"uris":["http://www.mendeley.com/documents/?uuid=0d6bc033-2fdc-3f11-9be0-9dcf94f01ac0"]}],"mendeley":{"formattedCitation":"[10]","plainTextFormattedCitation":"[10]","previouslyFormattedCitation":"[10]"},"properties":{"noteIndex":0},"schema":"https://github.com/citation-style-language/schema/raw/master/csl-citation.json"}</w:instrText>
      </w:r>
      <w:r w:rsidR="00B546D6">
        <w:rPr>
          <w:lang w:val="id-ID"/>
        </w:rPr>
        <w:fldChar w:fldCharType="separate"/>
      </w:r>
      <w:r w:rsidR="00B546D6" w:rsidRPr="004C042D">
        <w:rPr>
          <w:noProof/>
          <w:lang w:val="id-ID"/>
        </w:rPr>
        <w:t>[10]</w:t>
      </w:r>
      <w:r w:rsidR="00B546D6">
        <w:rPr>
          <w:lang w:val="id-ID"/>
        </w:rPr>
        <w:fldChar w:fldCharType="end"/>
      </w:r>
      <w:r w:rsidR="00B546D6" w:rsidRPr="00AA5FDB">
        <w:rPr>
          <w:lang w:val="id-ID"/>
        </w:rPr>
        <w:t xml:space="preserve"> </w:t>
      </w:r>
      <w:r w:rsidR="00B546D6">
        <w:rPr>
          <w:lang w:val="id-ID"/>
        </w:rPr>
        <w:fldChar w:fldCharType="begin" w:fldLock="1"/>
      </w:r>
      <w:r w:rsidR="00B546D6">
        <w:rPr>
          <w:lang w:val="id-ID"/>
        </w:rPr>
        <w:instrText>ADDIN CSL_CITATION {"citationItems":[{"id":"ITEM-1","itemData":{"DOI":"10.1007/978-3-030-25918-1","ISBN":"978-3-030-25917-4","author":[{"dropping-particle":"","family":"Haes","given":"Steven","non-dropping-particle":"De","parse-names":false,"suffix":""},{"dropping-particle":"","family":"Grembergen","given":"Wim","non-dropping-particle":"Van","parse-names":false,"suffix":""},{"dropping-particle":"","family":"Joshi","given":"Anant","non-dropping-particle":"","parse-names":false,"suffix":""},{"dropping-particle":"","family":"Huygh","given":"Tim","non-dropping-particle":"","parse-names":false,"suffix":""}],"collection-title":"Management for Professionals","id":"ITEM-1","issued":{"date-parts":[["2020"]]},"publisher":"Springer International Publishing","publisher-place":"Cham","title":"Enterprise Governance of Information Technology","type":"article-journal"},"uris":["http://www.mendeley.com/documents/?uuid=2a15bffb-0703-3396-bb93-4c941547703e"]}],"mendeley":{"formattedCitation":"[12]","plainTextFormattedCitation":"[12]","previouslyFormattedCitation":"[12]"},"properties":{"noteIndex":0},"schema":"https://github.com/citation-style-language/schema/raw/master/csl-citation.json"}</w:instrText>
      </w:r>
      <w:r w:rsidR="00B546D6">
        <w:rPr>
          <w:lang w:val="id-ID"/>
        </w:rPr>
        <w:fldChar w:fldCharType="separate"/>
      </w:r>
      <w:r w:rsidR="00B546D6" w:rsidRPr="00B546D6">
        <w:rPr>
          <w:noProof/>
          <w:lang w:val="id-ID"/>
        </w:rPr>
        <w:t>[12]</w:t>
      </w:r>
      <w:r w:rsidR="00B546D6">
        <w:rPr>
          <w:lang w:val="id-ID"/>
        </w:rPr>
        <w:fldChar w:fldCharType="end"/>
      </w:r>
      <w:r w:rsidRPr="00AA5FDB">
        <w:rPr>
          <w:lang w:val="id-ID"/>
        </w:rPr>
        <w:t xml:space="preserve"> </w:t>
      </w:r>
      <w:r w:rsidR="00B546D6">
        <w:rPr>
          <w:lang w:val="id-ID"/>
        </w:rPr>
        <w:fldChar w:fldCharType="begin" w:fldLock="1"/>
      </w:r>
      <w:r w:rsidR="00B546D6">
        <w:rPr>
          <w:lang w:val="id-ID"/>
        </w:rPr>
        <w:instrText>ADDIN CSL_CITATION {"citationItems":[{"id":"ITEM-1","itemData":{"ISBN":"ISBN: 978-90-8753-679-4","abstract":"This document provides an introduction to TOGAF 9.1. Topics addressed include: • An Introduction to TOGAF, an Open Group Standard • TOGAF, its structure and content • The kinds of architecture that TOGAF addresses • What’s new in TOGAF 9.1 • TOGAF 9.1 and Certification","author":[{"dropping-particle":"","family":"The-Open-Group","given":"","non-dropping-particle":"","parse-names":false,"suffix":""}],"container-title":"Open Group Standard ","id":"ITEM-1","issued":{"date-parts":[["2011"]]},"title":"TOGAF® Version 9.1 ","type":"book","volume":"Document N"},"uris":["http://www.mendeley.com/documents/?uuid=427af74a-ad57-44f7-b574-385bb139b365"]}],"mendeley":{"formattedCitation":"[8]","plainTextFormattedCitation":"[8]","previouslyFormattedCitation":"[8]"},"properties":{"noteIndex":0},"schema":"https://github.com/citation-style-language/schema/raw/master/csl-citation.json"}</w:instrText>
      </w:r>
      <w:r w:rsidR="00B546D6">
        <w:rPr>
          <w:lang w:val="id-ID"/>
        </w:rPr>
        <w:fldChar w:fldCharType="separate"/>
      </w:r>
      <w:r w:rsidR="00B546D6" w:rsidRPr="00B546D6">
        <w:rPr>
          <w:noProof/>
          <w:lang w:val="id-ID"/>
        </w:rPr>
        <w:t>[8]</w:t>
      </w:r>
      <w:r w:rsidR="00B546D6">
        <w:rPr>
          <w:lang w:val="id-ID"/>
        </w:rPr>
        <w:fldChar w:fldCharType="end"/>
      </w:r>
      <w:r w:rsidRPr="00AA5FDB">
        <w:rPr>
          <w:lang w:val="id-ID"/>
        </w:rPr>
        <w:t xml:space="preserve"> .</w:t>
      </w:r>
    </w:p>
    <w:p w14:paraId="5AFC16C0" w14:textId="77777777" w:rsidR="00AA5FDB" w:rsidRPr="00AA5FDB" w:rsidRDefault="00AA5FDB" w:rsidP="00AA5FDB">
      <w:pPr>
        <w:ind w:firstLine="709"/>
        <w:rPr>
          <w:lang w:val="id-ID"/>
        </w:rPr>
      </w:pPr>
      <w:r w:rsidRPr="00AA5FDB">
        <w:rPr>
          <w:lang w:val="id-ID"/>
        </w:rPr>
        <w:t xml:space="preserve">The state of the art shows increasing attention to integrating strategic planning, enterprise architecture, and IT governance to support an organization's digital transformation. Several studies have attempted to combine enterprise architecture with a governance framework to improve the effectiveness of IT implementation and organizational change management </w:t>
      </w:r>
      <w:r w:rsidR="00B546D6">
        <w:rPr>
          <w:lang w:val="id-ID"/>
        </w:rPr>
        <w:fldChar w:fldCharType="begin" w:fldLock="1"/>
      </w:r>
      <w:r w:rsidR="00B546D6">
        <w:rPr>
          <w:lang w:val="id-ID"/>
        </w:rPr>
        <w:instrText>ADDIN CSL_CITATION {"citationItems":[{"id":"ITEM-1","itemData":{"abstract":"The concept of Enterprise Architecture is suitable for managing the complexity of heterogeneous systems and technologies in Smart Cities. However, many cities and their urban governance processes still face the challenges of digitalizing public services. This paper aims to assess the applicability of TOGAF in a real-world Smart City following a case study method. A novel research agenda with ten major directions is provided as a result of the practical observations. This contributes to the current understanding of the application of Enterprise Architecture in Smart Cities, focusing on the identified issues in practice and the need for further research.","author":[{"dropping-particle":"","family":"Https://www.tandfonline.com/author/Bastidas%2C+Viviana","given":"","non-dropping-particle":"","parse-names":false,"suffix":""}],"id":"ITEM-1","issued":{"date-parts":[["0"]]},"title":"Enterprise Architecture in Smart Cities: Developing an Empirical Grounded Research Agenda","type":"article-journal"},"uris":["http://www.mendeley.com/documents/?uuid=e175af69-a1e3-4df8-89c6-afbc7889a68d"]}],"mendeley":{"formattedCitation":"[13]","plainTextFormattedCitation":"[13]","previouslyFormattedCitation":"[13]"},"properties":{"noteIndex":0},"schema":"https://github.com/citation-style-language/schema/raw/master/csl-citation.json"}</w:instrText>
      </w:r>
      <w:r w:rsidR="00B546D6">
        <w:rPr>
          <w:lang w:val="id-ID"/>
        </w:rPr>
        <w:fldChar w:fldCharType="separate"/>
      </w:r>
      <w:r w:rsidR="00B546D6" w:rsidRPr="00B546D6">
        <w:rPr>
          <w:noProof/>
          <w:lang w:val="id-ID"/>
        </w:rPr>
        <w:t>[13]</w:t>
      </w:r>
      <w:r w:rsidR="00B546D6">
        <w:rPr>
          <w:lang w:val="id-ID"/>
        </w:rPr>
        <w:fldChar w:fldCharType="end"/>
      </w:r>
      <w:r w:rsidR="00B546D6">
        <w:rPr>
          <w:lang w:val="id-ID"/>
        </w:rPr>
        <w:fldChar w:fldCharType="begin" w:fldLock="1"/>
      </w:r>
      <w:r w:rsidR="00B546D6">
        <w:rPr>
          <w:lang w:val="id-ID"/>
        </w:rPr>
        <w:instrText>ADDIN CSL_CITATION {"citationItems":[{"id":"ITEM-1","itemData":{"DOI":"10.2753/MIS0742-1222240302","ISSN":"07421222","abstract":"The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author":[{"dropping-particle":"","family":"Peffers","given":"Ken","non-dropping-particle":"","parse-names":false,"suffix":""},{"dropping-particle":"","family":"Tuunanen","given":"Tuure","non-dropping-particle":"","parse-names":false,"suffix":""},{"dropping-particle":"","family":"Rothenberger","given":"Marcus A.","non-dropping-particle":"","parse-names":false,"suffix":""},{"dropping-particle":"","family":"Chatterjee","given":"Samir","non-dropping-particle":"","parse-names":false,"suffix":""}],"container-title":"Journal of Management Information Systems","id":"ITEM-1","issue":"3","issued":{"date-parts":[["2007"]]},"page":"45-77","title":"A design science research methodology for information systems research","type":"article-journal","volume":"24"},"uris":["http://www.mendeley.com/documents/?uuid=236aef2c-a448-47b3-8770-0e67768c2bae"]}],"mendeley":{"formattedCitation":"[14]","plainTextFormattedCitation":"[14]","previouslyFormattedCitation":"[14]"},"properties":{"noteIndex":0},"schema":"https://github.com/citation-style-language/schema/raw/master/csl-citation.json"}</w:instrText>
      </w:r>
      <w:r w:rsidR="00B546D6">
        <w:rPr>
          <w:lang w:val="id-ID"/>
        </w:rPr>
        <w:fldChar w:fldCharType="separate"/>
      </w:r>
      <w:r w:rsidR="00B546D6" w:rsidRPr="00B546D6">
        <w:rPr>
          <w:noProof/>
          <w:lang w:val="id-ID"/>
        </w:rPr>
        <w:t>[14]</w:t>
      </w:r>
      <w:r w:rsidR="00B546D6">
        <w:rPr>
          <w:lang w:val="id-ID"/>
        </w:rPr>
        <w:fldChar w:fldCharType="end"/>
      </w:r>
      <w:r w:rsidR="00B546D6">
        <w:rPr>
          <w:lang w:val="id-ID"/>
        </w:rPr>
        <w:fldChar w:fldCharType="begin" w:fldLock="1"/>
      </w:r>
      <w:r w:rsidR="00B546D6">
        <w:rPr>
          <w:lang w:val="id-ID"/>
        </w:rPr>
        <w:instrText>ADDIN CSL_CITATION {"citationItems":[{"id":"ITEM-1","itemData":{"author":[{"dropping-particle":"","family":"B Suhartono   Imam Riadi","given":"Tole Sutikno","non-dropping-particle":"","parse-names":false,"suffix":""}],"container-title":"JSiI (Jurnal SIstem Informasi)","id":"ITEM-1","issued":{"date-parts":[["2025"]]},"page":"128-133","publisher":"Universitas Serang Raya","title":"Review Framework dan Best Practise Standar COBIT 2019 untuk Implementasi Tata Kelola TI","type":"article-journal","volume":"12"},"uris":["http://www.mendeley.com/documents/?uuid=5dbf13be-c693-4bcf-98c2-7b9f96233b25"]}],"mendeley":{"formattedCitation":"[15]","plainTextFormattedCitation":"[15]","previouslyFormattedCitation":"[15]"},"properties":{"noteIndex":0},"schema":"https://github.com/citation-style-language/schema/raw/master/csl-citation.json"}</w:instrText>
      </w:r>
      <w:r w:rsidR="00B546D6">
        <w:rPr>
          <w:lang w:val="id-ID"/>
        </w:rPr>
        <w:fldChar w:fldCharType="separate"/>
      </w:r>
      <w:r w:rsidR="00B546D6" w:rsidRPr="00B546D6">
        <w:rPr>
          <w:noProof/>
          <w:lang w:val="id-ID"/>
        </w:rPr>
        <w:t>[15]</w:t>
      </w:r>
      <w:r w:rsidR="00B546D6">
        <w:rPr>
          <w:lang w:val="id-ID"/>
        </w:rPr>
        <w:fldChar w:fldCharType="end"/>
      </w:r>
      <w:r w:rsidR="00B546D6">
        <w:rPr>
          <w:lang w:val="id-ID"/>
        </w:rPr>
        <w:fldChar w:fldCharType="begin" w:fldLock="1"/>
      </w:r>
      <w:r w:rsidR="00B546D6">
        <w:rPr>
          <w:lang w:val="id-ID"/>
        </w:rPr>
        <w:instrText>ADDIN CSL_CITATION {"citationItems":[{"id":"ITEM-1","itemData":{"DOI":"10.26594/register.v8i1.2190","ISSN":"25023357","abstract":"Payload authentication is vulnerable to Man-in-the-middle (MITM) attack. Blockchain technology offers methods such as peer to peer, block hash, and proof-of-work to secure the payload of authentication process. The implementation uses block hash and proof-of-work methods on blockchain technology and testing is using White-box-testing and security tests distributed to system security practitioners who are competent in MITM attacks. The analyisis results before implementing Blockchain technology show that the authentication payload is still in plain text, so the data confidentiality has not minimize passive voice. After implementing Blockchain technology to the system, white-box testing using the Wireshark gives the result that the authentication payload sent has been well encrypted and safe enough. The percentage of security test results gets 95% which shows that securing the system from MITM attacks is relatively high. Although it has succeeded in securing the system from MITM attacks, it still has a vulnerability from other cyber attacks, so implementation of the Blockchain needs security improvisation.","author":[{"dropping-particle":"","family":"Riadi","given":"Imam","non-dropping-particle":"","parse-names":false,"suffix":""},{"dropping-particle":"","family":"Umar","given":"Rusydi","non-dropping-particle":"","parse-names":false,"suffix":""},{"dropping-particle":"","family":"Busthomi","given":"Iqbal","non-dropping-particle":"","parse-names":false,"suffix":""},{"dropping-particle":"","family":"Muhammad","given":"Arif Wirawan","non-dropping-particle":"","parse-names":false,"suffix":""}],"container-title":"Register: Jurnal Ilmiah Teknologi Sistem Informasi","id":"ITEM-1","issue":"1","issued":{"date-parts":[["2022"]]},"page":"1-9","title":"Block-hash of blockchain framework against man-in-the-middle attacks","type":"article-journal","volume":"8"},"uris":["http://www.mendeley.com/documents/?uuid=8a344273-ee98-4424-8722-50c56623c9cf"]}],"mendeley":{"formattedCitation":"[16]","plainTextFormattedCitation":"[16]","previouslyFormattedCitation":"[16]"},"properties":{"noteIndex":0},"schema":"https://github.com/citation-style-language/schema/raw/master/csl-citation.json"}</w:instrText>
      </w:r>
      <w:r w:rsidR="00B546D6">
        <w:rPr>
          <w:lang w:val="id-ID"/>
        </w:rPr>
        <w:fldChar w:fldCharType="separate"/>
      </w:r>
      <w:r w:rsidR="00B546D6" w:rsidRPr="00B546D6">
        <w:rPr>
          <w:noProof/>
          <w:lang w:val="id-ID"/>
        </w:rPr>
        <w:t>[16]</w:t>
      </w:r>
      <w:r w:rsidR="00B546D6">
        <w:rPr>
          <w:lang w:val="id-ID"/>
        </w:rPr>
        <w:fldChar w:fldCharType="end"/>
      </w:r>
      <w:r w:rsidRPr="00AA5FDB">
        <w:rPr>
          <w:lang w:val="id-ID"/>
        </w:rPr>
        <w:t xml:space="preserve">. The literature shows that enterprise architecture and IT governance play complementary roles, but integrating them into a single validated operation remains limited </w:t>
      </w:r>
      <w:r w:rsidR="00B546D6">
        <w:rPr>
          <w:lang w:val="id-ID"/>
        </w:rPr>
        <w:t xml:space="preserve"> </w:t>
      </w:r>
      <w:r w:rsidR="00B546D6">
        <w:rPr>
          <w:lang w:val="id-ID"/>
        </w:rPr>
        <w:fldChar w:fldCharType="begin" w:fldLock="1"/>
      </w:r>
      <w:r w:rsidR="00B546D6">
        <w:rPr>
          <w:lang w:val="id-ID"/>
        </w:rPr>
        <w:instrText>ADDIN CSL_CITATION {"citationItems":[{"id":"ITEM-1","itemData":{"DOI":"10.1007/s10796-024-10473-2","ISBN":"1079602410","ISSN":"15729419","abstract":"Current software development practices are transforming the governance and management of software projects with the objective of aligning software products/services with business needs, ensuring business continuity, optimizing resource allocation, and fostering strong stakeholder relationships. The innovative BizDevOps approach has emerged as a response to these challenges, since it extends DevOps by incorporating an additional cycle and involving non-IT stakeholders with a focus on business-IT alignment. The application of IT Governance practices is crucial as regards ensuring the success of complex BizDevOps projects, and this paper, therefore, presents a systematic mapping study that explores the approaches for BizDevOps and encourages DevOps proposals that will seamlessly integrate with the business lifecycle. It examines the support provided by IT Governance practices and investigates the potential roles of Enterprise Architecture. The study analyzed 86 primary studies and 11 secondary studies, revealing a lack of empirical validations and a prevalence of recommendation-oriented papers without concrete solution proposals. These findings highlight the need for further research with which to validate BizDevOps practices and provide actionable insights.","author":[{"dropping-particle":"","family":"Fuentes-Quijada","given":"Guillermo","non-dropping-particle":"","parse-names":false,"suffix":""},{"dropping-particle":"","family":"Ruiz-González","given":"Francisco","non-dropping-particle":"","parse-names":false,"suffix":""},{"dropping-particle":"","family":"Caro","given":"Angélica","non-dropping-particle":"","parse-names":false,"suffix":""}],"container-title":"Information Systems Frontiers","id":"ITEM-1","issue":"3","issued":{"date-parts":[["2025"]]},"page":"865-888","publisher":"Springer US","title":"Enterprise Architecture and IT Governance to Support the BizDevOps Approach: a Systematic Mapping Study","type":"article-journal","volume":"27"},"uris":["http://www.mendeley.com/documents/?uuid=c1862025-daf4-469b-b18c-b6525abe12f6"]}],"mendeley":{"formattedCitation":"[17]","plainTextFormattedCitation":"[17]","previouslyFormattedCitation":"[17]"},"properties":{"noteIndex":0},"schema":"https://github.com/citation-style-language/schema/raw/master/csl-citation.json"}</w:instrText>
      </w:r>
      <w:r w:rsidR="00B546D6">
        <w:rPr>
          <w:lang w:val="id-ID"/>
        </w:rPr>
        <w:fldChar w:fldCharType="separate"/>
      </w:r>
      <w:r w:rsidR="00B546D6" w:rsidRPr="00B546D6">
        <w:rPr>
          <w:noProof/>
          <w:lang w:val="id-ID"/>
        </w:rPr>
        <w:t>[17]</w:t>
      </w:r>
      <w:r w:rsidR="00B546D6">
        <w:rPr>
          <w:lang w:val="id-ID"/>
        </w:rPr>
        <w:fldChar w:fldCharType="end"/>
      </w:r>
      <w:r w:rsidR="00B546D6">
        <w:rPr>
          <w:lang w:val="id-ID"/>
        </w:rPr>
        <w:fldChar w:fldCharType="begin" w:fldLock="1"/>
      </w:r>
      <w:r w:rsidR="00B546D6">
        <w:rPr>
          <w:lang w:val="id-ID"/>
        </w:rPr>
        <w:instrText>ADDIN CSL_CITATION {"citationItems":[{"id":"ITEM-1","itemData":{"DOI":"10.1109/ICSITech.2015.7407819","ISBN":"9781479983865","abstract":"The effectiveness of the system and information technology within an organization is no longer an issue. Rather, it proves to have a high correlation with business performance. On the other hand, the planning process, which is cost-effective and aligned with business processes itself, is not an easy task. Based on perspective analysis of strategic information system planning (SISP), there are at least five themes being discussed: organization and business impact, case study, key's success factor, approach and framework development, and government best practice. From these themes, we find three categorization process of developing SISP. First category, Strategic Alignment and Business impact that focus on business strategy implementation to achieve competitiveness. Second category, Approach and Framework Development that focus on current needs of specific area. Third category, Evaluation of Readiness and Success Factor that focus on tasks and functions to improve organization performance. According to these categories, we propose a collaborative framework that integrate business strategy, current needs, task and functions into IT and Business Vision. This collaborative framework strengthens the alignment of business strategy and IS strategy through IT and business vision, that support by levels of readiness in order to improve competitiveness.","author":[{"dropping-particle":"","family":"Wahyudin","given":"Asep","non-dropping-particle":"","parse-names":false,"suffix":""},{"dropping-particle":"","family":"Hasibuan","given":"Zainal A.","non-dropping-particle":"","parse-names":false,"suffix":""}],"container-title":"Proceedings - 2015 International Conference on Science in Information Technology: Big Data Spectrum for Future Information Economy, ICSITech 2015","id":"ITEM-1","issued":{"date-parts":[["2016"]]},"page":"287-292","title":"Research classification in strategic information system planning development: A critical review","type":"article-journal"},"uris":["http://www.mendeley.com/documents/?uuid=3793554e-e233-4816-96cc-24fbe9f1ee83"]}],"mendeley":{"formattedCitation":"[18]","plainTextFormattedCitation":"[18]","previouslyFormattedCitation":"[18]"},"properties":{"noteIndex":0},"schema":"https://github.com/citation-style-language/schema/raw/master/csl-citation.json"}</w:instrText>
      </w:r>
      <w:r w:rsidR="00B546D6">
        <w:rPr>
          <w:lang w:val="id-ID"/>
        </w:rPr>
        <w:fldChar w:fldCharType="separate"/>
      </w:r>
      <w:r w:rsidR="00B546D6" w:rsidRPr="00B546D6">
        <w:rPr>
          <w:noProof/>
          <w:lang w:val="id-ID"/>
        </w:rPr>
        <w:t>[18]</w:t>
      </w:r>
      <w:r w:rsidR="00B546D6">
        <w:rPr>
          <w:lang w:val="id-ID"/>
        </w:rPr>
        <w:fldChar w:fldCharType="end"/>
      </w:r>
      <w:r w:rsidR="00B546D6">
        <w:rPr>
          <w:lang w:val="id-ID"/>
        </w:rPr>
        <w:fldChar w:fldCharType="begin" w:fldLock="1"/>
      </w:r>
      <w:r w:rsidR="00B546D6">
        <w:rPr>
          <w:lang w:val="id-ID"/>
        </w:rPr>
        <w:instrText>ADDIN CSL_CITATION {"citationItems":[{"id":"ITEM-1","itemData":{"ISSN":"20711050","abstract":"The suitable utility of driving the enterprise architecture exercise is to utilize the enterprise architecture framework as the fundamental guidance. But there are some challenges of applying those frameworks for government and their agencies because most of the frameworks have concentrated focus for the private sector which some fundamentally requirement of government would be specifically different. This paper aims to propose that the sustainable government enterprise architecture framework specifically applies for the national strategic planning in the optimum exercise process and clarity guidance for the information technology organization being able to transform and improve their services for an achievable adaptation efficiency, simplification, cost management, collaboration, shareability, and standardization which accommodate the rapidly changing service usability on digitalization known as “e-Government.” The fundamental design idea of this proposed framework has identified five keys principles, which are (1) legislation support, (2) top-down target architecture, (3) architecture governance, (4) shared services, and (5) cross-organization collaboration that would be considered as the key critical success factors for achieving the exercise. The overall response of the specific expert survey of this proposed framework has demonstrated the consensus responded at 90 percentage agreeable, which would strongly consider this framework applicable for groups of developing countries as the baseline framework for their digitalized transformation.","author":[{"dropping-particle":"","family":"Thirasakthana","given":"Montree","non-dropping-particle":"","parse-names":false,"suffix":""},{"dropping-particle":"","family":"Kiattisin","given":"Supaporn","non-dropping-particle":"","parse-names":false,"suffix":""}],"container-title":"Sustainability (Switzerland)","id":"ITEM-1","issue":"2","issued":{"date-parts":[["2021"]]},"page":"1-27","title":"Framework De Arquitectura Empresarial Gubernamental Sostenible","type":"article-journal","volume":"13"},"uris":["http://www.mendeley.com/documents/?uuid=1ce48540-6112-4c3f-8525-36def912b756"]}],"mendeley":{"formattedCitation":"[19]","plainTextFormattedCitation":"[19]","previouslyFormattedCitation":"[19]"},"properties":{"noteIndex":0},"schema":"https://github.com/citation-style-language/schema/raw/master/csl-citation.json"}</w:instrText>
      </w:r>
      <w:r w:rsidR="00B546D6">
        <w:rPr>
          <w:lang w:val="id-ID"/>
        </w:rPr>
        <w:fldChar w:fldCharType="separate"/>
      </w:r>
      <w:r w:rsidR="00B546D6" w:rsidRPr="00B546D6">
        <w:rPr>
          <w:noProof/>
          <w:lang w:val="id-ID"/>
        </w:rPr>
        <w:t>[19]</w:t>
      </w:r>
      <w:r w:rsidR="00B546D6">
        <w:rPr>
          <w:lang w:val="id-ID"/>
        </w:rPr>
        <w:fldChar w:fldCharType="end"/>
      </w:r>
      <w:r w:rsidR="00B546D6">
        <w:rPr>
          <w:lang w:val="id-ID"/>
        </w:rPr>
        <w:fldChar w:fldCharType="begin" w:fldLock="1"/>
      </w:r>
      <w:r w:rsidR="00891739">
        <w:rPr>
          <w:lang w:val="id-ID"/>
        </w:rPr>
        <w:instrText>ADDIN CSL_CITATION {"citationItems":[{"id":"ITEM-1","itemData":{"DOI":"10.14569/IJACSA.2019.0101118","ISSN":"21565570","abstract":"This paper reports on security concerns in the E-voting used for the election of village heads. Analysis of the system and server uses two different tools to determine the accuracy of scanning vulnerabilities based on the OWASP Framework. We reported that the results of the scanning using the ZAP tool got vulnerability information with the following risk level, one high level, three medium levels, and eleven low levels. The Arachni tool got vulnerability information with the following risk level, one high level, three medium levels, and two low levels. ZAP has a more complex vulnerability view than Arachni. Fatal findings on E-voting in this E-voting system is XSS, which impacts clients, which can be exploited by attackers to bypass security. Directory Traversal allows attackers to access directories and can execute commands outside of the web server's base directory. Cyber Hiscox Readiness report in 2018 in several European countries such as The United States, Britain, Germany, Spain, and the Netherlands, that the Attackers target through the most vulnerable security holes such as injection, Broken Authentication, Sensitive Data Exposure, XXE, Merged, Security Misconfiguration, XSS, Insecure Deserialization, Using Components with Known Vulnerabilities, Insufficient Logging, and Monitoring. The purpose of cyberattacks alone can threaten the stability of the country and disturb other factors. E-voting, as part of an electronic government system, needs to be audited in terms of security, which can cause the system to disrupt.","author":[{"dropping-particle":"","family":"Sunardi","given":"","non-dropping-particle":"","parse-names":false,"suffix":""},{"dropping-particle":"","family":"Riadi","given":"Imam","non-dropping-particle":"","parse-names":false,"suffix":""},{"dropping-particle":"","family":"Raharja","given":"Pradana Ananda","non-dropping-particle":"","parse-names":false,"suffix":""}],"container-title":"International Journal of Advanced Computer Science and Applications","id":"ITEM-1","issue":"11","issued":{"date-parts":[["2019"]]},"page":"135-143","title":"Vulnerability analysis of E-voting application using open web application security project (OWASP) framework","type":"article-journal","volume":"10"},"uris":["http://www.mendeley.com/documents/?uuid=1242ee86-30b4-41c6-8023-a4434bd57491"]}],"mendeley":{"formattedCitation":"[20]","plainTextFormattedCitation":"[20]","previouslyFormattedCitation":"[20]"},"properties":{"noteIndex":0},"schema":"https://github.com/citation-style-language/schema/raw/master/csl-citation.json"}</w:instrText>
      </w:r>
      <w:r w:rsidR="00B546D6">
        <w:rPr>
          <w:lang w:val="id-ID"/>
        </w:rPr>
        <w:fldChar w:fldCharType="separate"/>
      </w:r>
      <w:r w:rsidR="00B546D6" w:rsidRPr="00B546D6">
        <w:rPr>
          <w:noProof/>
          <w:lang w:val="id-ID"/>
        </w:rPr>
        <w:t>[20]</w:t>
      </w:r>
      <w:r w:rsidR="00B546D6">
        <w:rPr>
          <w:lang w:val="id-ID"/>
        </w:rPr>
        <w:fldChar w:fldCharType="end"/>
      </w:r>
      <w:r w:rsidR="00B546D6">
        <w:rPr>
          <w:lang w:val="id-ID"/>
        </w:rPr>
        <w:t>.</w:t>
      </w:r>
      <w:r w:rsidRPr="00AA5FDB">
        <w:rPr>
          <w:lang w:val="id-ID"/>
        </w:rPr>
        <w:t xml:space="preserve"> </w:t>
      </w:r>
    </w:p>
    <w:p w14:paraId="1401A7DB" w14:textId="77777777" w:rsidR="00AA5FDB" w:rsidRPr="00AA5FDB" w:rsidRDefault="00AA5FDB" w:rsidP="00AA5FDB">
      <w:pPr>
        <w:ind w:firstLine="709"/>
        <w:rPr>
          <w:lang w:val="id-ID"/>
        </w:rPr>
      </w:pPr>
      <w:r w:rsidRPr="00AA5FDB">
        <w:rPr>
          <w:lang w:val="id-ID"/>
        </w:rPr>
        <w:t xml:space="preserve">Based on these conditions, a research gap remains: the lack of an integrated conceptual framework that simultaneously incorporates Ward &amp; Peppard, TOGAF ADM, and COBIT 2019 into a single adaptive strategic IT planning model. Research has previously discussed the planning framework, strategy, enterprise architecture, and IT governance separately or in partial combination. The study's IT planning strategy identified Ward and Peppard, TOGAF, and COBIT as relevant approaches but has not yet demonstrated a mechanism to orchestrate all three into a single integrated model </w:t>
      </w:r>
      <w:r w:rsidR="00901058">
        <w:rPr>
          <w:lang w:val="id-ID"/>
        </w:rPr>
        <w:fldChar w:fldCharType="begin" w:fldLock="1"/>
      </w:r>
      <w:r w:rsidR="00901058">
        <w:rPr>
          <w:lang w:val="id-ID"/>
        </w:rPr>
        <w:instrText>ADDIN CSL_CITATION {"citationItems":[{"id":"ITEM-1","itemData":{"DOI":"10.33480/JITK.V11I3.7068","ISSN":"2527-4864","abstract":"Strategic planning for information technology (PSTI) is a crucial element in ensuring alignment between an organisation's business objectives and the use of information technology. In the last decade, challenges have arisen in adopting appropriate frameworks, methods and principles, especially amidst the complexities of digital disruption. This study aims to conduct a systematic literature review (SLR) of PSTI-related research during the period 2015-2024 using the PRISMA 2020 approach, with literature searches from leading academic databases such as Scopus, IEEE Xplore, SpringerLink, and Google Scholar during the period 2015-2024. A total of 62 scientific articles were analysed to evaluate the frameworks used, business sectors based on KBLI, implementation methods, principles applied, and critical success factors and research gaps. The results showed that Ward &amp;amp; Peppard, TOGAF, and Tozer frameworks were the most dominant approach. Key success factors include top management support, business and IT strategy alignment, effective IT governance, and organisational capability. This study makes a significant contribution to the development of theoretical foundations and practical guidelines for adaptive PSTI implementation, the KBLI-PSTI mapping, the systensis of framework/ methods/ princiles, alignment factors &amp;amp; organizational capabilities, and opens space for further research in less explored sectors","author":[{"dropping-particle":"","family":"Suhartono","given":"Bambang","non-dropping-particle":"","parse-names":false,"suffix":""},{"dropping-particle":"","family":"Sutikno","given":"Tole","non-dropping-particle":"","parse-names":false,"suffix":""},{"dropping-particle":"","family":"Riadi","given":"; Imam","non-dropping-particle":"","parse-names":false,"suffix":""}],"container-title":"JITK (Jurnal Ilmu Pengetahuan dan Teknologi Komputer)","id":"ITEM-1","issue":"3","issued":{"date-parts":[["2026","2","10"]]},"page":"700-714","title":"Decade of IT Strategic Planning : Systematic Review of Frameworks and Critical Success Factors","type":"article-journal","volume":"11"},"uris":["http://www.mendeley.com/documents/?uuid=650afd90-15a9-383c-91ed-a90ef690e6e8"]}],"mendeley":{"formattedCitation":"[4]","plainTextFormattedCitation":"[4]","previouslyFormattedCitation":"[4]"},"properties":{"noteIndex":0},"schema":"https://github.com/citation-style-language/schema/raw/master/csl-citation.json"}</w:instrText>
      </w:r>
      <w:r w:rsidR="00901058">
        <w:rPr>
          <w:lang w:val="id-ID"/>
        </w:rPr>
        <w:fldChar w:fldCharType="separate"/>
      </w:r>
      <w:r w:rsidR="00901058" w:rsidRPr="004C042D">
        <w:rPr>
          <w:noProof/>
          <w:lang w:val="id-ID"/>
        </w:rPr>
        <w:t>[4]</w:t>
      </w:r>
      <w:r w:rsidR="00901058">
        <w:rPr>
          <w:lang w:val="id-ID"/>
        </w:rPr>
        <w:fldChar w:fldCharType="end"/>
      </w:r>
      <w:r w:rsidR="00901058">
        <w:rPr>
          <w:lang w:val="id-ID"/>
        </w:rPr>
        <w:t xml:space="preserve">. </w:t>
      </w:r>
      <w:r w:rsidRPr="00AA5FDB">
        <w:rPr>
          <w:lang w:val="id-ID"/>
        </w:rPr>
        <w:t>These limitations have the potential to hinder the maintenance of business–IT alignment, digital transformation coherence, and systematic, evidence-based IT performance measurement</w:t>
      </w:r>
      <w:r w:rsidR="00891739">
        <w:rPr>
          <w:lang w:val="id-ID"/>
        </w:rPr>
        <w:t xml:space="preserve"> </w:t>
      </w:r>
      <w:r w:rsidR="00891739">
        <w:rPr>
          <w:lang w:val="id-ID"/>
        </w:rPr>
        <w:fldChar w:fldCharType="begin" w:fldLock="1"/>
      </w:r>
      <w:r w:rsidR="00891739">
        <w:rPr>
          <w:lang w:val="id-ID"/>
        </w:rPr>
        <w:instrText>ADDIN CSL_CITATION {"citationItems":[{"id":"ITEM-1","itemData":{"DOI":"10.1080/17517575.2020.1812006","ISSN":"17517583","abstract":"The recent growth in digital technologies are enabling cities to undergo transformations for streamlining smart services and offering new products. Digitization has changed the way citizens and stakeholders live, work, collaborate, and communicate. This disruptive change inter-connects with all information systems and processes that are important for providing services. Although, digital transformation present opportunities for achieving smart cities. Municipalities still struggle with managing data integration and complexity.  Accordingly, this study systematically reviews 70 research articles from 1999 to 2020 and discusses on development and state-of-the-art of Enterprise Architecture (EA) and digital transformation of cities into smart cities.","author":[{"dropping-particle":"","family":"Anthony Jnr","given":"Bokolo","non-dropping-particle":"","parse-names":false,"suffix":""}],"container-title":"Enterprise Information Systems","id":"ITEM-1","issue":"3","issued":{"date-parts":[["2021"]]},"page":"299-331","publisher":"Taylor &amp; Francis","title":"Managing digital transformation of smart cities through enterprise architecture–a review and research agenda","type":"article-journal","volume":"15"},"uris":["http://www.mendeley.com/documents/?uuid=b9e9e0d8-4764-4b25-99f8-16dd985d8aca"]}],"mendeley":{"formattedCitation":"[21]","plainTextFormattedCitation":"[21]","previouslyFormattedCitation":"[21]"},"properties":{"noteIndex":0},"schema":"https://github.com/citation-style-language/schema/raw/master/csl-citation.json"}</w:instrText>
      </w:r>
      <w:r w:rsidR="00891739">
        <w:rPr>
          <w:lang w:val="id-ID"/>
        </w:rPr>
        <w:fldChar w:fldCharType="separate"/>
      </w:r>
      <w:r w:rsidR="00891739" w:rsidRPr="00891739">
        <w:rPr>
          <w:noProof/>
          <w:lang w:val="id-ID"/>
        </w:rPr>
        <w:t>[21]</w:t>
      </w:r>
      <w:r w:rsidR="00891739">
        <w:rPr>
          <w:lang w:val="id-ID"/>
        </w:rPr>
        <w:fldChar w:fldCharType="end"/>
      </w:r>
      <w:r w:rsidR="00891739">
        <w:rPr>
          <w:lang w:val="id-ID"/>
        </w:rPr>
        <w:fldChar w:fldCharType="begin" w:fldLock="1"/>
      </w:r>
      <w:r w:rsidR="00891739">
        <w:rPr>
          <w:lang w:val="id-ID"/>
        </w:rPr>
        <w:instrText>ADDIN CSL_CITATION {"citationItems":[{"id":"ITEM-1","itemData":{"DOI":"10.1111/joms.12639","ISSN":"14676486","abstract":"In this article we provide a systematic review of the extensive yet diverse and fragmented literature on digital transformation (DT), with the goal of clarifying boundary conditions to investigate the phenomenon from the perspective of organizational change. On the basis of 279 articles, we provide a multi-dimensional framework synthesizing what is known about DT and discern two important thematical patterns: DT is moving firms to malleable organizational designs that enable continuous adaptation, and this move is embedded in and driven by digital business ecosystems. From these two patterns, we derive four perspectives on the phenomenon of DT: technology impact, compartmentalized adaptation, systemic shift and holistic co-evolution. Linking our findings and interpretations to existing work, we find that the nature of DT is only partially covered by conventional frameworks on organizational change. On the basis of this analysis, we derive a research agenda and provide managerial implications for strategy and organizational change.","author":[{"dropping-particle":"","family":"Hanelt","given":"André","non-dropping-particle":"","parse-names":false,"suffix":""},{"dropping-particle":"","family":"Bohnsack","given":"René","non-dropping-particle":"","parse-names":false,"suffix":""},{"dropping-particle":"","family":"Marz","given":"David","non-dropping-particle":"","parse-names":false,"suffix":""},{"dropping-particle":"","family":"Antunes Marante","given":"Cláudia","non-dropping-particle":"","parse-names":false,"suffix":""}],"container-title":"Journal of Management Studies","id":"ITEM-1","issue":"5","issued":{"date-parts":[["2021"]]},"page":"1159-1197","title":"A Systematic Review of the Literature on Digital Transformation: Insights and Implications for Strategy and Organizational Change","type":"article-journal","volume":"58"},"uris":["http://www.mendeley.com/documents/?uuid=36dd588e-0f9c-4e6b-9a84-78d4fe3cc9fe"]}],"mendeley":{"formattedCitation":"[22]","plainTextFormattedCitation":"[22]","previouslyFormattedCitation":"[22]"},"properties":{"noteIndex":0},"schema":"https://github.com/citation-style-language/schema/raw/master/csl-citation.json"}</w:instrText>
      </w:r>
      <w:r w:rsidR="00891739">
        <w:rPr>
          <w:lang w:val="id-ID"/>
        </w:rPr>
        <w:fldChar w:fldCharType="separate"/>
      </w:r>
      <w:r w:rsidR="00891739" w:rsidRPr="00891739">
        <w:rPr>
          <w:noProof/>
          <w:lang w:val="id-ID"/>
        </w:rPr>
        <w:t>[22]</w:t>
      </w:r>
      <w:r w:rsidR="00891739">
        <w:rPr>
          <w:lang w:val="id-ID"/>
        </w:rPr>
        <w:fldChar w:fldCharType="end"/>
      </w:r>
      <w:r w:rsidR="00891739">
        <w:rPr>
          <w:lang w:val="id-ID"/>
        </w:rPr>
        <w:fldChar w:fldCharType="begin" w:fldLock="1"/>
      </w:r>
      <w:r w:rsidR="00891739">
        <w:rPr>
          <w:lang w:val="id-ID"/>
        </w:rPr>
        <w:instrText>ADDIN CSL_CITATION {"citationItems":[{"id":"ITEM-1","itemData":{"DOI":"10.1145/3706582","ISSN":"15577341","abstract":"Enterprise Architecture (EA) is a systematic and holistic approach to designing and managing an organization's information systems components, aiding in optimizing resources, managing risk, and facilitating change. It weighs different architectural quality attributes against each other to achieve the most advantageous architecture. However, the evaluation of EA lacks a systematic approach. This study employs a Systematic Literature Review, analyzing, in detail, 109 articles carefully selected from 3644 papers published since 2005. The key outcome of the research reveals that a crucial factor for the extensive worldwide adoption of EA evaluation methods lies in the automation of the assessment and architecture modeling processes, particularly emphasizing the facet of data collection. The automation of EA evaluation will empower organizations to streamline their processes, make data-driven decisions, and respond more effectively to change, ultimately contributing to their competitiveness and long-term success in the global market. The study identifies diverse evaluation methods, determines evaluation criteria, examines the extent to which these methods have been verified in practice, and provides directions for further research and advancement.","author":[{"dropping-particle":"","family":"Busch","given":"Norbert Rudolf","non-dropping-particle":"","parse-names":false,"suffix":""},{"dropping-particle":"","family":"Zalewski","given":"Andrzej","non-dropping-particle":"","parse-names":false,"suffix":""}],"container-title":"ACM Computing Surveys","id":"ITEM-1","issue":"5","issued":{"date-parts":[["2025"]]},"title":"A Systematic Literature Review of Enterprise Architecture Evaluation Methods","type":"article-journal","volume":"57"},"uris":["http://www.mendeley.com/documents/?uuid=2e265535-acbc-47af-a2ec-436e06e04dd5"]}],"mendeley":{"formattedCitation":"[23]","plainTextFormattedCitation":"[23]","previouslyFormattedCitation":"[23]"},"properties":{"noteIndex":0},"schema":"https://github.com/citation-style-language/schema/raw/master/csl-citation.json"}</w:instrText>
      </w:r>
      <w:r w:rsidR="00891739">
        <w:rPr>
          <w:lang w:val="id-ID"/>
        </w:rPr>
        <w:fldChar w:fldCharType="separate"/>
      </w:r>
      <w:r w:rsidR="00891739" w:rsidRPr="00891739">
        <w:rPr>
          <w:noProof/>
          <w:lang w:val="id-ID"/>
        </w:rPr>
        <w:t>[23]</w:t>
      </w:r>
      <w:r w:rsidR="00891739">
        <w:rPr>
          <w:lang w:val="id-ID"/>
        </w:rPr>
        <w:fldChar w:fldCharType="end"/>
      </w:r>
      <w:r w:rsidR="00891739">
        <w:rPr>
          <w:lang w:val="id-ID"/>
        </w:rPr>
        <w:t>.</w:t>
      </w:r>
    </w:p>
    <w:p w14:paraId="1E9149D0" w14:textId="77777777" w:rsidR="00735BE3" w:rsidRPr="00735BE3" w:rsidRDefault="00735BE3" w:rsidP="00735BE3">
      <w:pPr>
        <w:ind w:firstLine="709"/>
        <w:rPr>
          <w:lang w:val="id-ID"/>
        </w:rPr>
      </w:pPr>
    </w:p>
    <w:p w14:paraId="46C96E74" w14:textId="77777777" w:rsidR="00AA5FDB" w:rsidRPr="00AA5FDB" w:rsidRDefault="00AA5FDB" w:rsidP="00AA5FDB">
      <w:pPr>
        <w:ind w:firstLine="540"/>
        <w:rPr>
          <w:lang w:val="id-ID"/>
        </w:rPr>
      </w:pPr>
      <w:r w:rsidRPr="00AA5FDB">
        <w:rPr>
          <w:lang w:val="id-ID"/>
        </w:rPr>
        <w:t xml:space="preserve">To address this gap, this study proposes a conceptual framework called PRASASTI (Integrated </w:t>
      </w:r>
      <w:r w:rsidRPr="00AA5FDB">
        <w:rPr>
          <w:lang w:val="id-ID"/>
        </w:rPr>
        <w:lastRenderedPageBreak/>
        <w:t>Strategic IT Planning Framework), a hybrid model that integrates Ward &amp; Peppard, TOGAF ADM, and COBIT 2019 into a single, unified IT strategic planning framework. In the proposed framework , Ward &amp; Peppard are used as the strategic perspective to analyze business needs and organizational priorities, TOGAF ADM is used as an architectural perspective for building an enterprise architecture systematically, while COBIT 2019 is used as a governance perspective to ensure monitoring , evaluation, control, and realization of IT benefits run continuously.</w:t>
      </w:r>
    </w:p>
    <w:p w14:paraId="389F3354" w14:textId="77777777" w:rsidR="00AA5FDB" w:rsidRDefault="00AA5FDB" w:rsidP="00AA5FDB">
      <w:pPr>
        <w:ind w:firstLine="540"/>
        <w:rPr>
          <w:lang w:val="id-ID"/>
        </w:rPr>
      </w:pPr>
      <w:r w:rsidRPr="00AA5FDB">
        <w:rPr>
          <w:lang w:val="id-ID"/>
        </w:rPr>
        <w:t xml:space="preserve">The main contribution of this research is the development of a multidimensional conceptual model that links the domains of strategy, enterprise architecture, and IT governance into a single, integrated cycle. strategic IT planning . This research also produces a mapping of the relationships among frameworks to clarify each domain's contribution to supporting strategic IT planning. organizational alignment . Furthermore, this strategic planning framework serves as an adaptive conceptual foundation for developing and implementing IT master plans in modern organizations. This study uses a design science research approach because its main objective is to develop conceptual artifacts in the form of a framework. </w:t>
      </w:r>
      <w:r w:rsidR="00891739">
        <w:rPr>
          <w:lang w:val="id-ID"/>
        </w:rPr>
        <w:fldChar w:fldCharType="begin" w:fldLock="1"/>
      </w:r>
      <w:r w:rsidR="002B5DC3">
        <w:rPr>
          <w:lang w:val="id-ID"/>
        </w:rPr>
        <w:instrText>ADDIN CSL_CITATION {"citationItems":[{"id":"ITEM-1","itemData":{"DOI":"10.2753/MIS0742-1222240302","ISSN":"07421222","abstract":"The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author":[{"dropping-particle":"","family":"Peffers","given":"Ken","non-dropping-particle":"","parse-names":false,"suffix":""},{"dropping-particle":"","family":"Tuunanen","given":"Tuure","non-dropping-particle":"","parse-names":false,"suffix":""},{"dropping-particle":"","family":"Rothenberger","given":"Marcus A.","non-dropping-particle":"","parse-names":false,"suffix":""},{"dropping-particle":"","family":"Chatterjee","given":"Samir","non-dropping-particle":"","parse-names":false,"suffix":""}],"container-title":"Journal of Management Information Systems","id":"ITEM-1","issue":"3","issued":{"date-parts":[["2007","12"]]},"page":"45-77","title":"A design science research methodology for information systems research","type":"article-journal","volume":"24"},"uris":["http://www.mendeley.com/documents/?uuid=147fb950-a8f7-347a-9fb2-d6afd418081b"]}],"mendeley":{"formattedCitation":"[24]","plainTextFormattedCitation":"[24]","previouslyFormattedCitation":"[24]"},"properties":{"noteIndex":0},"schema":"https://github.com/citation-style-language/schema/raw/master/csl-citation.json"}</w:instrText>
      </w:r>
      <w:r w:rsidR="00891739">
        <w:rPr>
          <w:lang w:val="id-ID"/>
        </w:rPr>
        <w:fldChar w:fldCharType="separate"/>
      </w:r>
      <w:r w:rsidR="00891739" w:rsidRPr="00891739">
        <w:rPr>
          <w:noProof/>
          <w:lang w:val="id-ID"/>
        </w:rPr>
        <w:t>[24]</w:t>
      </w:r>
      <w:r w:rsidR="00891739">
        <w:rPr>
          <w:lang w:val="id-ID"/>
        </w:rPr>
        <w:fldChar w:fldCharType="end"/>
      </w:r>
      <w:r w:rsidR="00891739">
        <w:rPr>
          <w:lang w:val="id-ID"/>
        </w:rPr>
        <w:t xml:space="preserve"> </w:t>
      </w:r>
      <w:r w:rsidRPr="00AA5FDB">
        <w:rPr>
          <w:lang w:val="id-ID"/>
        </w:rPr>
        <w:t>Explain that design science research is relevant for studying system information because it is oriented towards creating and evaluating artifacts that can give marked practical and scientific value.</w:t>
      </w:r>
    </w:p>
    <w:p w14:paraId="6C1F1AF1" w14:textId="77777777" w:rsidR="00534841" w:rsidRPr="00534841" w:rsidRDefault="00534841" w:rsidP="00534841">
      <w:pPr>
        <w:ind w:firstLine="540"/>
        <w:rPr>
          <w:color w:val="EE0000"/>
          <w:lang w:val="id-ID"/>
        </w:rPr>
      </w:pPr>
      <w:commentRangeStart w:id="4"/>
      <w:r w:rsidRPr="00534841">
        <w:rPr>
          <w:color w:val="EE0000"/>
        </w:rPr>
        <w:t xml:space="preserve">The remainder of this paper is organized as follows. Section 2 presents the theoretical background related to IT strategic planning, enterprise architecture, and IT governance frameworks. Section 3 discusses the research gap and novelty of the proposed PRASASTI framework. Section 4 describes the Design Science Research methodology used for artifact development and validation. Section 5 presents the proposed framework and its integration mechanism. Section 6 discusses the validation results, expert assessment, and gap analysis. Finally, Section 7 presents the discussion, research limitations, and conclusions.this </w:t>
      </w:r>
      <w:commentRangeEnd w:id="4"/>
      <w:r w:rsidR="00940BEA" w:rsidRPr="00534841">
        <w:rPr>
          <w:rStyle w:val="ReferensiKomentar"/>
          <w:color w:val="EE0000"/>
          <w:sz w:val="22"/>
          <w:szCs w:val="22"/>
          <w:lang w:val="id-ID"/>
        </w:rPr>
        <w:commentReference w:id="4"/>
      </w:r>
    </w:p>
    <w:p w14:paraId="4B5A8EA5" w14:textId="77777777" w:rsidR="00534841" w:rsidRPr="00AA5FDB" w:rsidRDefault="00534841" w:rsidP="00AA5FDB">
      <w:pPr>
        <w:ind w:firstLine="540"/>
        <w:rPr>
          <w:lang w:val="id-ID"/>
        </w:rPr>
      </w:pPr>
    </w:p>
    <w:p w14:paraId="4E80F987" w14:textId="77777777" w:rsidR="00184176" w:rsidRPr="00F859D2" w:rsidRDefault="00AA5FDB" w:rsidP="00F859D2">
      <w:pPr>
        <w:ind w:firstLine="540"/>
        <w:rPr>
          <w:lang w:val="id-ID"/>
        </w:rPr>
      </w:pPr>
      <w:r>
        <w:t xml:space="preserve"> </w:t>
      </w:r>
    </w:p>
    <w:p w14:paraId="44F18BFB" w14:textId="77777777" w:rsidR="00184176" w:rsidRPr="008F6FAA" w:rsidRDefault="00000000">
      <w:pPr>
        <w:pStyle w:val="Judul1"/>
        <w:rPr>
          <w:color w:val="000000" w:themeColor="text1"/>
          <w:szCs w:val="24"/>
        </w:rPr>
      </w:pPr>
      <w:r w:rsidRPr="008F6FAA">
        <w:rPr>
          <w:rFonts w:ascii="Times New Roman" w:eastAsia="Times New Roman" w:hAnsi="Times New Roman"/>
          <w:color w:val="000000" w:themeColor="text1"/>
          <w:szCs w:val="24"/>
        </w:rPr>
        <w:t>2. Literature Review</w:t>
      </w:r>
    </w:p>
    <w:p w14:paraId="0193F128" w14:textId="77777777" w:rsidR="00184176" w:rsidRPr="008F6FAA" w:rsidRDefault="00000000">
      <w:pPr>
        <w:pStyle w:val="Judul2"/>
        <w:rPr>
          <w:color w:val="000000" w:themeColor="text1"/>
          <w:szCs w:val="22"/>
        </w:rPr>
      </w:pPr>
      <w:r w:rsidRPr="008F6FAA">
        <w:rPr>
          <w:rFonts w:ascii="Times New Roman" w:eastAsia="Times New Roman" w:hAnsi="Times New Roman"/>
          <w:color w:val="000000" w:themeColor="text1"/>
          <w:szCs w:val="22"/>
        </w:rPr>
        <w:t>2.1. Planning IT Strategy</w:t>
      </w:r>
    </w:p>
    <w:p w14:paraId="23973E43" w14:textId="77777777" w:rsidR="00D70DFB" w:rsidRDefault="00D70DFB">
      <w:pPr>
        <w:ind w:firstLine="312"/>
      </w:pPr>
      <w:r w:rsidRPr="00D70DFB">
        <w:t xml:space="preserve">IT strategy planning is a systematic process for identifying business needs, evaluating current IS/IT conditions, determining priority applications, designing infrastructure, and preparing an implementation roadmap. In practice, planning an IT </w:t>
      </w:r>
      <w:r w:rsidRPr="00D70DFB">
        <w:t>strategy must answer questions about the system the organization needs, how the system supports business processes, what technology is required, and how IT investments deliver value to the organization.</w:t>
      </w:r>
    </w:p>
    <w:p w14:paraId="7C3C42B1" w14:textId="77777777" w:rsidR="00D70DFB" w:rsidRPr="00D70DFB" w:rsidRDefault="002B5DC3" w:rsidP="00D70DFB">
      <w:pPr>
        <w:ind w:firstLine="312"/>
        <w:rPr>
          <w:lang w:val="id-ID"/>
        </w:rPr>
      </w:pPr>
      <w:r>
        <w:fldChar w:fldCharType="begin" w:fldLock="1"/>
      </w:r>
      <w:r>
        <w:instrText>ADDIN CSL_CITATION {"citationItems":[{"id":"ITEM-1","itemData":{"DOI":"10.34306/conferenceseries.v4i1.691","abstract":"The application of information systems that have not been maximized at BPR Centradana Kapuas is due to the unplanned development of an information system that refers to the information system strategic planning document. This study aims to produce a strategic plan of information technology and systems that are appropriate and sustainable, as well as analyzing business areas and making strategic information so that it is easier to determine strategic decisions and can overcome problems that exist in BPR Pancur Banua Khatulistiwa. The research method used in strategic planning of this information system uses the Ward and Peppard Model. The proposed information system strategy planning is based on internal and external business environment analysis as well as IS/IT internal and external environmental analysis through SWOT analysis, SWOT Matrix, Value Chain Analysis, PEST analysis and IS/IT analysis which produces a portfolio for future information system needs.","author":[{"dropping-particle":"","family":"Widayanti","given":"Tri","non-dropping-particle":"","parse-names":false,"suffix":""},{"dropping-particle":"","family":"Zulkarnaen","given":"Iskandar","non-dropping-particle":"","parse-names":false,"suffix":""}],"container-title":"ADI Internaltional Conferences Series","id":"ITEM-1","issued":{"date-parts":[["2022"]]},"page":"52-57","title":"Information Systems Strategic Planning Using the Ward and Peppard Method","type":"article-journal","volume":"4"},"uris":["http://www.mendeley.com/documents/?uuid=1f560eff-2780-4252-bb2a-d7011610c418"]}],"mendeley":{"formattedCitation":"[25]","plainTextFormattedCitation":"[25]","previouslyFormattedCitation":"[25]"},"properties":{"noteIndex":0},"schema":"https://github.com/citation-style-language/schema/raw/master/csl-citation.json"}</w:instrText>
      </w:r>
      <w:r>
        <w:fldChar w:fldCharType="separate"/>
      </w:r>
      <w:r w:rsidRPr="002B5DC3">
        <w:rPr>
          <w:noProof/>
        </w:rPr>
        <w:t>[25]</w:t>
      </w:r>
      <w:r>
        <w:fldChar w:fldCharType="end"/>
      </w:r>
      <w:r w:rsidR="00D70DFB" w:rsidRPr="00D70DFB">
        <w:rPr>
          <w:lang w:val="id-ID"/>
        </w:rPr>
        <w:t xml:space="preserve">Explain that planning strategic system information is required when system information utilization is not yet at maximum capacity, as the document planning strategy does not yet exist and will serve as a reference for development. This strengthens the argument that planning an IT strategy is not merely a list of projects, but must be based on an analysis of the organization's needs and priorities. </w:t>
      </w:r>
    </w:p>
    <w:p w14:paraId="2ED7680A" w14:textId="77777777" w:rsidR="00D70DFB" w:rsidRDefault="00D70DFB">
      <w:pPr>
        <w:ind w:firstLine="312"/>
      </w:pPr>
    </w:p>
    <w:p w14:paraId="18BF20E0" w14:textId="77777777" w:rsidR="00184176" w:rsidRPr="008F6FAA" w:rsidRDefault="00000000">
      <w:pPr>
        <w:pStyle w:val="Judul2"/>
        <w:rPr>
          <w:color w:val="000000" w:themeColor="text1"/>
          <w:szCs w:val="22"/>
        </w:rPr>
      </w:pPr>
      <w:r w:rsidRPr="008F6FAA">
        <w:rPr>
          <w:rFonts w:ascii="Times New Roman" w:eastAsia="Times New Roman" w:hAnsi="Times New Roman"/>
          <w:color w:val="000000" w:themeColor="text1"/>
          <w:szCs w:val="22"/>
        </w:rPr>
        <w:t>2.2. Ward &amp; Peppard</w:t>
      </w:r>
    </w:p>
    <w:p w14:paraId="775CF1A9" w14:textId="77777777" w:rsidR="00D70DFB" w:rsidRPr="00D70DFB" w:rsidRDefault="00D70DFB" w:rsidP="00D70DFB">
      <w:pPr>
        <w:ind w:firstLine="312"/>
        <w:rPr>
          <w:lang w:val="id-ID"/>
        </w:rPr>
      </w:pPr>
      <w:r w:rsidRPr="00D70DFB">
        <w:rPr>
          <w:lang w:val="id-ID"/>
        </w:rPr>
        <w:t>Ward &amp; Peppard emphasize that the IS/IT strategy must start with a business approach that covers analysis of the internal and external business environments, as well as the internal and external IS/IT environments. The main outputs include system strategy information, technology strategy information, IS/IT management strategy, and future portfolio applications.​</w:t>
      </w:r>
    </w:p>
    <w:p w14:paraId="43AFDAC1" w14:textId="77777777" w:rsidR="00D70DFB" w:rsidRPr="00D70DFB" w:rsidRDefault="00D70DFB" w:rsidP="00D70DFB">
      <w:pPr>
        <w:ind w:firstLine="312"/>
        <w:rPr>
          <w:lang w:val="id-ID"/>
        </w:rPr>
      </w:pPr>
      <w:r w:rsidRPr="00D70DFB">
        <w:rPr>
          <w:lang w:val="id-ID"/>
        </w:rPr>
        <w:t xml:space="preserve">Study </w:t>
      </w:r>
      <w:r w:rsidR="002B5DC3">
        <w:rPr>
          <w:lang w:val="id-ID"/>
        </w:rPr>
        <w:fldChar w:fldCharType="begin" w:fldLock="1"/>
      </w:r>
      <w:r w:rsidR="002B5DC3">
        <w:rPr>
          <w:lang w:val="id-ID"/>
        </w:rPr>
        <w:instrText>ADDIN CSL_CITATION {"citationItems":[{"id":"ITEM-1","itemData":{"DOI":"10.11591/ijaas.v12.i2.pp179-187","ISSN":"2722-2594","abstract":"The e-commerce industry which is developing significantly is always required to be able to adapt well to technological developments where information systems/information technologies (IS/IT) strategic planning must be further developed to support the company's business processes. In this research, the authors focus on analyzing how the information systems strategic planning is currently underway at an e-commerce company. The author uses the ward and peppard framework to analyze the business environment and IS/IT environment internally and externally. Many methods have been developed within the framework such as strengths, weaknesses, opportunities and threats (SWOT) analysis which focus on exposure the company's internal and external conditions, McFarlan strategic grid focus on assessing the overall contribution of IS/IT, and its impact on business success, from both a strategic, and operational perspective, value chain focus on optimizing technology, and business applications, political, economic, social, and technological (PEST) analysis focus on considerations of legal, political, economic, social, and technological developments, critical success factor (CSF) analysis focus on product quality priorities, customer service, product prices, company resources, and technology used. The results of the analysis of these methods are the results of this study, namely the results of portfolio application recommendations for the next four years which can be used as a reference for companies to develop their business strategic planning systems.","author":[{"dropping-particle":"","family":"Andry","given":"Johanes Fernandes","non-dropping-particle":"","parse-names":false,"suffix":""},{"dropping-particle":"","family":"Bernanda","given":"Devi Yurisca","non-dropping-particle":"","parse-names":false,"suffix":""},{"dropping-particle":"","family":"Honni","given":"Honni","non-dropping-particle":"","parse-names":false,"suffix":""},{"dropping-particle":"","family":"Christianto","given":"Kevin","non-dropping-particle":"","parse-names":false,"suffix":""},{"dropping-particle":"","family":"Andriani","given":"Agustina","non-dropping-particle":"","parse-names":false,"suffix":""}],"container-title":"International Journal of Advances in Applied Sciences","id":"ITEM-1","issue":"2","issued":{"date-parts":[["2023","6","1"]]},"page":"179-187","title":"Analysis of information systems strategic planning using ward and peppard framework case e-commerce company","type":"article-journal","volume":"12"},"uris":["http://www.mendeley.com/documents/?uuid=34ead9d7-185e-3cff-8dcb-9cc5894ba94f"]}],"mendeley":{"formattedCitation":"[26]","plainTextFormattedCitation":"[26]","previouslyFormattedCitation":"[26]"},"properties":{"noteIndex":0},"schema":"https://github.com/citation-style-language/schema/raw/master/csl-citation.json"}</w:instrText>
      </w:r>
      <w:r w:rsidR="002B5DC3">
        <w:rPr>
          <w:lang w:val="id-ID"/>
        </w:rPr>
        <w:fldChar w:fldCharType="separate"/>
      </w:r>
      <w:r w:rsidR="002B5DC3" w:rsidRPr="002B5DC3">
        <w:rPr>
          <w:noProof/>
          <w:lang w:val="id-ID"/>
        </w:rPr>
        <w:t>[26]</w:t>
      </w:r>
      <w:r w:rsidR="002B5DC3">
        <w:rPr>
          <w:lang w:val="id-ID"/>
        </w:rPr>
        <w:fldChar w:fldCharType="end"/>
      </w:r>
      <w:r w:rsidR="002B5DC3">
        <w:rPr>
          <w:lang w:val="id-ID"/>
        </w:rPr>
        <w:t xml:space="preserve"> </w:t>
      </w:r>
      <w:r w:rsidRPr="00D70DFB">
        <w:rPr>
          <w:lang w:val="id-ID"/>
        </w:rPr>
        <w:t xml:space="preserve">applies Ward &amp; Peppard to e-commerce companies and shows that this approach can produce a recommendation portfolio application. The study confirms that SWOT analysis, Value Chain, PEST, CSF, and McFarlan Strategic Grid are important tools for strategic planning in IS/IT. According to </w:t>
      </w:r>
      <w:r w:rsidR="002B5DC3">
        <w:rPr>
          <w:lang w:val="id-ID"/>
        </w:rPr>
        <w:fldChar w:fldCharType="begin" w:fldLock="1"/>
      </w:r>
      <w:r w:rsidR="002B5DC3">
        <w:rPr>
          <w:lang w:val="id-ID"/>
        </w:rPr>
        <w:instrText>ADDIN CSL_CITATION {"citationItems":[{"id":"ITEM-1","itemData":{"DOI":"10.51519/Journalisi.V4I3.284","ISSN":"2656-4882","abstract":"Hotel Kartika Bandungan is one of the family hotels located in Bandungan District, Semarang Regency, Central Java Province. Hotel Kartika Bandungan has a lag in the field of technology because other hotels around it already have their own system. Due to the absence of an integrated system, it is necessary to plan an IT / SI strategic plan that suits the needs and conditions of the Kartika Bandungan Hotel. This study aims to increase the effectiveness and efficiency in carrying out business processes, as well as make Hotel Kartika Bandungan still able to lead during hospitality business competition. In this study, the methodology used was Ward and Peppard which was supported by SWOT, PEST, Value Chain and McFarlan Strategic Grid analysis methods. The data collection method used is a descriptive qualitative method inandi by conducting an interview with the company owner and direct observation to the Kartika Bandungan Hotel. Based on the results of the analysis at the Kartika Hotel Bandungan, it is proposed that the Customer Data Information System, Financial Information System, Employee Payroll Information System, Hotel Needs Information System, and Attendance Information System are proposed. The results of IT/SI strategic planning can be implemented in the next four years.","author":[{"dropping-particle":"","family":"Desyana","given":"Natasya Putri","non-dropping-particle":"","parse-names":false,"suffix":""},{"dropping-particle":"","family":"Sitokdana","given":"Melkior N. N.","non-dropping-particle":"","parse-names":false,"suffix":""}],"container-title":"Journal of Information Systems and Informatics","id":"ITEM-1","issue":"3","issued":{"date-parts":[["2022","9","2"]]},"page":"784-794","publisher":"Asosiasi Doktor Sistem Informasi Indonesia","title":"Implementation of Ward and Peppard in Information Systems Strategic Planning (Case Study: Hotel Kartika Bandungan)","type":"article-journal","volume":"4"},"uris":["http://www.mendeley.com/documents/?uuid=01db8870-8383-32d6-99d0-594af8364824"]}],"mendeley":{"formattedCitation":"[27]","plainTextFormattedCitation":"[27]","previouslyFormattedCitation":"[27]"},"properties":{"noteIndex":0},"schema":"https://github.com/citation-style-language/schema/raw/master/csl-citation.json"}</w:instrText>
      </w:r>
      <w:r w:rsidR="002B5DC3">
        <w:rPr>
          <w:lang w:val="id-ID"/>
        </w:rPr>
        <w:fldChar w:fldCharType="separate"/>
      </w:r>
      <w:r w:rsidR="002B5DC3" w:rsidRPr="002B5DC3">
        <w:rPr>
          <w:noProof/>
          <w:lang w:val="id-ID"/>
        </w:rPr>
        <w:t>[27]</w:t>
      </w:r>
      <w:r w:rsidR="002B5DC3">
        <w:rPr>
          <w:lang w:val="id-ID"/>
        </w:rPr>
        <w:fldChar w:fldCharType="end"/>
      </w:r>
      <w:r w:rsidRPr="00D70DFB">
        <w:rPr>
          <w:lang w:val="id-ID"/>
        </w:rPr>
        <w:t>, Ward &amp; Peppard can help organizations that do not have their own integrated systems formulate the need for IS/IT development applications and strategies.</w:t>
      </w:r>
    </w:p>
    <w:p w14:paraId="4C67E96A" w14:textId="77777777" w:rsidR="00D70DFB" w:rsidRPr="00D70DFB" w:rsidRDefault="00D70DFB" w:rsidP="00D70DFB">
      <w:pPr>
        <w:ind w:firstLine="312"/>
        <w:rPr>
          <w:lang w:val="id-ID"/>
        </w:rPr>
      </w:pPr>
      <w:r w:rsidRPr="00D70DFB">
        <w:rPr>
          <w:lang w:val="id-ID"/>
        </w:rPr>
        <w:t>Ward &amp; Peppard's limitations lie in their not yet having provided detailed mechanisms for translating the IS/IT strategy into a complete enterprise architecture. Therefore, this framework needs to be equipped with enterprise architecture approaches such as TOGAF.</w:t>
      </w:r>
    </w:p>
    <w:p w14:paraId="49727667" w14:textId="77777777" w:rsidR="00184176" w:rsidRDefault="00184176">
      <w:pPr>
        <w:ind w:firstLine="312"/>
      </w:pPr>
    </w:p>
    <w:p w14:paraId="473520AA" w14:textId="77777777" w:rsidR="00184176" w:rsidRPr="008F6FAA" w:rsidRDefault="00000000">
      <w:pPr>
        <w:pStyle w:val="Judul2"/>
        <w:rPr>
          <w:color w:val="000000" w:themeColor="text1"/>
          <w:szCs w:val="22"/>
        </w:rPr>
      </w:pPr>
      <w:r w:rsidRPr="008F6FAA">
        <w:rPr>
          <w:rFonts w:ascii="Times New Roman" w:eastAsia="Times New Roman" w:hAnsi="Times New Roman"/>
          <w:color w:val="000000" w:themeColor="text1"/>
          <w:szCs w:val="22"/>
        </w:rPr>
        <w:lastRenderedPageBreak/>
        <w:t>2.3. TOGAF and Enterprise Architecture</w:t>
      </w:r>
    </w:p>
    <w:p w14:paraId="5C32EC07" w14:textId="77777777" w:rsidR="00882CDD" w:rsidRPr="00882CDD" w:rsidRDefault="00882CDD" w:rsidP="00882CDD">
      <w:pPr>
        <w:pStyle w:val="Judul2"/>
        <w:ind w:firstLine="720"/>
        <w:jc w:val="both"/>
        <w:rPr>
          <w:rFonts w:ascii="Times New Roman" w:eastAsia="Times New Roman" w:hAnsi="Times New Roman" w:cstheme="minorBidi"/>
          <w:b w:val="0"/>
          <w:bCs w:val="0"/>
          <w:color w:val="auto"/>
          <w:szCs w:val="22"/>
        </w:rPr>
      </w:pPr>
      <w:r w:rsidRPr="00882CDD">
        <w:rPr>
          <w:rFonts w:ascii="Times New Roman" w:eastAsia="Times New Roman" w:hAnsi="Times New Roman" w:cstheme="minorBidi"/>
          <w:b w:val="0"/>
          <w:bCs w:val="0"/>
          <w:color w:val="auto"/>
          <w:szCs w:val="22"/>
        </w:rPr>
        <w:t>Enterprise architecture is an approach to describing the connections among business processes, data, applications, technology, and infrastructure within an organization. TOGAF provides an Architecture Development Method for compiling the architecture vision, business architecture, data architecture, application architecture, technology architecture, opportunities and solutions, migration planning, implementation governance, and architecture change management.</w:t>
      </w:r>
    </w:p>
    <w:p w14:paraId="2895B351" w14:textId="77777777" w:rsidR="00882CDD" w:rsidRPr="00882CDD" w:rsidRDefault="00882CDD" w:rsidP="00882CDD">
      <w:pPr>
        <w:pStyle w:val="Judul2"/>
        <w:jc w:val="both"/>
        <w:rPr>
          <w:rFonts w:ascii="Times New Roman" w:eastAsia="Times New Roman" w:hAnsi="Times New Roman" w:cstheme="minorBidi"/>
          <w:b w:val="0"/>
          <w:bCs w:val="0"/>
          <w:color w:val="auto"/>
          <w:szCs w:val="22"/>
        </w:rPr>
      </w:pPr>
      <w:r w:rsidRPr="00882CDD">
        <w:rPr>
          <w:rFonts w:ascii="Times New Roman" w:eastAsia="Times New Roman" w:hAnsi="Times New Roman" w:cstheme="minorBidi"/>
          <w:b w:val="0"/>
          <w:bCs w:val="0"/>
          <w:color w:val="auto"/>
          <w:szCs w:val="22"/>
        </w:rPr>
        <w:t xml:space="preserve">According to </w:t>
      </w:r>
      <w:r w:rsidR="002B5DC3">
        <w:rPr>
          <w:rFonts w:ascii="Times New Roman" w:eastAsia="Times New Roman" w:hAnsi="Times New Roman" w:cstheme="minorBidi"/>
          <w:b w:val="0"/>
          <w:bCs w:val="0"/>
          <w:color w:val="auto"/>
          <w:szCs w:val="22"/>
        </w:rPr>
        <w:fldChar w:fldCharType="begin" w:fldLock="1"/>
      </w:r>
      <w:r w:rsidR="002B5DC3">
        <w:rPr>
          <w:rFonts w:ascii="Times New Roman" w:eastAsia="Times New Roman" w:hAnsi="Times New Roman" w:cstheme="minorBidi"/>
          <w:b w:val="0"/>
          <w:bCs w:val="0"/>
          <w:color w:val="auto"/>
          <w:szCs w:val="22"/>
        </w:rPr>
        <w:instrText>ADDIN CSL_CITATION {"citationItems":[{"id":"ITEM-1","itemData":{"URL":"https://ejournal.undiksha.ac.id/index.php/JST/article/view/93498/32662","accessed":{"date-parts":[["2026","6","17"]]},"id":"ITEM-1","issued":{"date-parts":[["0"]]},"title":"View of Information Technology Risk-based Enterprise Architecture Design for Training Systems: Integration of COBIT 2019 and TOGAF ADM","type":"webpage"},"uris":["http://www.mendeley.com/documents/?uuid=97cd82a6-7283-390f-b1c5-195369efa212"]}],"mendeley":{"formattedCitation":"[28]","plainTextFormattedCitation":"[28]","previouslyFormattedCitation":"[28]"},"properties":{"noteIndex":0},"schema":"https://github.com/citation-style-language/schema/raw/master/csl-citation.json"}</w:instrText>
      </w:r>
      <w:r w:rsidR="002B5DC3">
        <w:rPr>
          <w:rFonts w:ascii="Times New Roman" w:eastAsia="Times New Roman" w:hAnsi="Times New Roman" w:cstheme="minorBidi"/>
          <w:b w:val="0"/>
          <w:bCs w:val="0"/>
          <w:color w:val="auto"/>
          <w:szCs w:val="22"/>
        </w:rPr>
        <w:fldChar w:fldCharType="separate"/>
      </w:r>
      <w:r w:rsidR="002B5DC3" w:rsidRPr="002B5DC3">
        <w:rPr>
          <w:rFonts w:ascii="Times New Roman" w:eastAsia="Times New Roman" w:hAnsi="Times New Roman" w:cstheme="minorBidi"/>
          <w:b w:val="0"/>
          <w:bCs w:val="0"/>
          <w:noProof/>
          <w:color w:val="auto"/>
          <w:szCs w:val="22"/>
        </w:rPr>
        <w:t>[28]</w:t>
      </w:r>
      <w:r w:rsidR="002B5DC3">
        <w:rPr>
          <w:rFonts w:ascii="Times New Roman" w:eastAsia="Times New Roman" w:hAnsi="Times New Roman" w:cstheme="minorBidi"/>
          <w:b w:val="0"/>
          <w:bCs w:val="0"/>
          <w:color w:val="auto"/>
          <w:szCs w:val="22"/>
        </w:rPr>
        <w:fldChar w:fldCharType="end"/>
      </w:r>
      <w:r w:rsidR="002B5DC3">
        <w:rPr>
          <w:rFonts w:ascii="Times New Roman" w:eastAsia="Times New Roman" w:hAnsi="Times New Roman" w:cstheme="minorBidi"/>
          <w:b w:val="0"/>
          <w:bCs w:val="0"/>
          <w:color w:val="auto"/>
          <w:szCs w:val="22"/>
        </w:rPr>
        <w:t xml:space="preserve"> </w:t>
      </w:r>
      <w:r w:rsidRPr="00882CDD">
        <w:rPr>
          <w:rFonts w:ascii="Times New Roman" w:eastAsia="Times New Roman" w:hAnsi="Times New Roman" w:cstheme="minorBidi"/>
          <w:b w:val="0"/>
          <w:bCs w:val="0"/>
          <w:color w:val="auto"/>
          <w:szCs w:val="22"/>
        </w:rPr>
        <w:t xml:space="preserve">enterprise architecture can enable digital transformation by helping organizations align IT strategy, technology, processes, and business objectives. Meanwhile, according to </w:t>
      </w:r>
      <w:r w:rsidR="002B5DC3">
        <w:rPr>
          <w:rFonts w:ascii="Times New Roman" w:eastAsia="Times New Roman" w:hAnsi="Times New Roman" w:cstheme="minorBidi"/>
          <w:b w:val="0"/>
          <w:bCs w:val="0"/>
          <w:color w:val="auto"/>
          <w:szCs w:val="22"/>
        </w:rPr>
        <w:fldChar w:fldCharType="begin" w:fldLock="1"/>
      </w:r>
      <w:r w:rsidR="002B5DC3">
        <w:rPr>
          <w:rFonts w:ascii="Times New Roman" w:eastAsia="Times New Roman" w:hAnsi="Times New Roman" w:cstheme="minorBidi"/>
          <w:b w:val="0"/>
          <w:bCs w:val="0"/>
          <w:color w:val="auto"/>
          <w:szCs w:val="22"/>
        </w:rPr>
        <w:instrText>ADDIN CSL_CITATION {"citationItems":[{"id":"ITEM-1","itemData":{"URL":"https://ejournal.unkhair.ac.id/index.php/jiko/article/view/8629/5287","accessed":{"date-parts":[["2026","6","1"]]},"author":[{"dropping-particle":"","family":"Shintya Rahma Safitri1, Rahmat Mulyana2","given":"Asti Amalia Nur Fajrillah","non-dropping-particle":"","parse-names":false,"suffix":""}],"container-title":"JIKO (Jurnal Informatika dan Komputer)","id":"ITEM-1","issued":{"date-parts":[["2024"]]},"page":"165-174","title":"View of Developing Enterprise Architecture for BPRACO SMEs Digital Transforamtion by Using TOGAF 10","type":"webpage"},"uris":["http://www.mendeley.com/documents/?uuid=e092ff88-b40b-36c1-912b-667ab3a0da79"]}],"mendeley":{"formattedCitation":"[29]","plainTextFormattedCitation":"[29]","previouslyFormattedCitation":"[29]"},"properties":{"noteIndex":0},"schema":"https://github.com/citation-style-language/schema/raw/master/csl-citation.json"}</w:instrText>
      </w:r>
      <w:r w:rsidR="002B5DC3">
        <w:rPr>
          <w:rFonts w:ascii="Times New Roman" w:eastAsia="Times New Roman" w:hAnsi="Times New Roman" w:cstheme="minorBidi"/>
          <w:b w:val="0"/>
          <w:bCs w:val="0"/>
          <w:color w:val="auto"/>
          <w:szCs w:val="22"/>
        </w:rPr>
        <w:fldChar w:fldCharType="separate"/>
      </w:r>
      <w:r w:rsidR="002B5DC3" w:rsidRPr="002B5DC3">
        <w:rPr>
          <w:rFonts w:ascii="Times New Roman" w:eastAsia="Times New Roman" w:hAnsi="Times New Roman" w:cstheme="minorBidi"/>
          <w:b w:val="0"/>
          <w:bCs w:val="0"/>
          <w:noProof/>
          <w:color w:val="auto"/>
          <w:szCs w:val="22"/>
        </w:rPr>
        <w:t>[29]</w:t>
      </w:r>
      <w:r w:rsidR="002B5DC3">
        <w:rPr>
          <w:rFonts w:ascii="Times New Roman" w:eastAsia="Times New Roman" w:hAnsi="Times New Roman" w:cstheme="minorBidi"/>
          <w:b w:val="0"/>
          <w:bCs w:val="0"/>
          <w:color w:val="auto"/>
          <w:szCs w:val="22"/>
        </w:rPr>
        <w:fldChar w:fldCharType="end"/>
      </w:r>
      <w:r w:rsidRPr="00882CDD">
        <w:rPr>
          <w:rFonts w:ascii="Times New Roman" w:eastAsia="Times New Roman" w:hAnsi="Times New Roman" w:cstheme="minorBidi"/>
          <w:b w:val="0"/>
          <w:bCs w:val="0"/>
          <w:color w:val="auto"/>
          <w:szCs w:val="22"/>
        </w:rPr>
        <w:t>, TOGAF 10 can be used to support digital transformation in organizations, especially small and medium-sized ones, through more enterprise architecture design.</w:t>
      </w:r>
    </w:p>
    <w:p w14:paraId="120CFE0D" w14:textId="77777777" w:rsidR="00882CDD" w:rsidRDefault="00882CDD" w:rsidP="00882CDD">
      <w:pPr>
        <w:pStyle w:val="Judul2"/>
        <w:jc w:val="both"/>
        <w:rPr>
          <w:rFonts w:ascii="Times New Roman" w:eastAsia="Times New Roman" w:hAnsi="Times New Roman" w:cstheme="minorBidi"/>
          <w:b w:val="0"/>
          <w:bCs w:val="0"/>
          <w:color w:val="auto"/>
          <w:szCs w:val="22"/>
        </w:rPr>
      </w:pPr>
      <w:r w:rsidRPr="00882CDD">
        <w:rPr>
          <w:rFonts w:ascii="Times New Roman" w:eastAsia="Times New Roman" w:hAnsi="Times New Roman" w:cstheme="minorBidi"/>
          <w:b w:val="0"/>
          <w:bCs w:val="0"/>
          <w:color w:val="auto"/>
          <w:szCs w:val="22"/>
        </w:rPr>
        <w:t xml:space="preserve">Although TOGAF is strong in architectural blueprint preparation , it does not yet approach this in a way that specifically provides mechanism analysis for portfolio application in business strategy, as proposed by Ward &amp; Peppard. In addition, TOGAF does not provide capability assessment and governance objectives in a comprehensive, explicit manner, as COBIT 2019 </w:t>
      </w:r>
    </w:p>
    <w:p w14:paraId="177AE11D" w14:textId="77777777" w:rsidR="00882CDD" w:rsidRDefault="00882CDD" w:rsidP="00882CDD">
      <w:pPr>
        <w:pStyle w:val="Judul2"/>
        <w:jc w:val="both"/>
        <w:rPr>
          <w:rFonts w:ascii="Times New Roman" w:eastAsia="Times New Roman" w:hAnsi="Times New Roman" w:cstheme="minorBidi"/>
          <w:b w:val="0"/>
          <w:bCs w:val="0"/>
          <w:color w:val="auto"/>
          <w:szCs w:val="22"/>
        </w:rPr>
      </w:pPr>
    </w:p>
    <w:p w14:paraId="601AC556" w14:textId="77777777" w:rsidR="00184176" w:rsidRPr="008F6FAA" w:rsidRDefault="00000000" w:rsidP="00882CDD">
      <w:pPr>
        <w:pStyle w:val="Judul2"/>
        <w:jc w:val="both"/>
        <w:rPr>
          <w:color w:val="000000" w:themeColor="text1"/>
          <w:szCs w:val="22"/>
        </w:rPr>
      </w:pPr>
      <w:r w:rsidRPr="008F6FAA">
        <w:rPr>
          <w:rFonts w:ascii="Times New Roman" w:eastAsia="Times New Roman" w:hAnsi="Times New Roman"/>
          <w:color w:val="000000" w:themeColor="text1"/>
          <w:szCs w:val="22"/>
        </w:rPr>
        <w:t>2.4. COBIT 2019 and IT Governance</w:t>
      </w:r>
    </w:p>
    <w:p w14:paraId="7E117018" w14:textId="77777777" w:rsidR="00882CDD" w:rsidRDefault="00882CDD" w:rsidP="00882CDD">
      <w:pPr>
        <w:ind w:firstLine="312"/>
      </w:pPr>
      <w:r>
        <w:t>COBIT 2019 is an IT governance and management framework that is oriented towards creating value , managing risk , optimizing resource power , and measuring performance . COBIT 2019 domains include: Evaluate, Direct, and Monitor; Align, Plan, and Organize; Build, Acquire, and Implement; Deliver, Service, and Support; and Monitor, Evaluate, and Assess.</w:t>
      </w:r>
    </w:p>
    <w:p w14:paraId="7E065295" w14:textId="77777777" w:rsidR="00882CDD" w:rsidRDefault="002B5DC3" w:rsidP="00882CDD">
      <w:pPr>
        <w:ind w:firstLine="312"/>
      </w:pPr>
      <w:r>
        <w:fldChar w:fldCharType="begin" w:fldLock="1"/>
      </w:r>
      <w:r>
        <w:instrText>ADDIN CSL_CITATION {"citationItems":[{"id":"ITEM-1","itemData":{"DOI":"10.28932/jutisi.v9i3.6494","ISSN":"2443-2229","author":[{"dropping-particle":"","family":"Maulana","given":"Yoppy Mirza","non-dropping-particle":"","parse-names":false,"suffix":""}],"container-title":"Jurnal Teknik Informatika dan Sistem Informasi","id":"ITEM-1","issue":"3","issued":{"date-parts":[["2024","1"]]},"publisher":"Maranatha Christian University","title":"Information {Technology} {Governance} {Using} {Control} {Objectives} for {Information} and {Related} {Technology}: Review","type":"article-journal","volume":"9"},"uris":["http://www.mendeley.com/documents/?uuid=49636398-a51d-490d-a280-cebde1f3a2fe"]}],"mendeley":{"formattedCitation":"[30]","plainTextFormattedCitation":"[30]","previouslyFormattedCitation":"[30]"},"properties":{"noteIndex":0},"schema":"https://github.com/citation-style-language/schema/raw/master/csl-citation.json"}</w:instrText>
      </w:r>
      <w:r>
        <w:fldChar w:fldCharType="separate"/>
      </w:r>
      <w:r w:rsidRPr="002B5DC3">
        <w:rPr>
          <w:noProof/>
        </w:rPr>
        <w:t>[30]</w:t>
      </w:r>
      <w:r>
        <w:fldChar w:fldCharType="end"/>
      </w:r>
      <w:r w:rsidR="00882CDD">
        <w:t xml:space="preserve">Using COBIT 2019 to assess the capability level of the system information library . Research </w:t>
      </w:r>
      <w:r w:rsidR="00882CDD">
        <w:t xml:space="preserve">findings indicate that COBIT 2019 can help assess the current state, set targets, and develop recommendations to improve IT governance. </w:t>
      </w:r>
      <w:r>
        <w:fldChar w:fldCharType="begin" w:fldLock="1"/>
      </w:r>
      <w:r>
        <w:instrText>ADDIN CSL_CITATION {"citationItems":[{"id":"ITEM-1","itemData":{"DOI":"10.51519/journalisi.v5i3.545","ISSN":"2656-4882","abstract":"The integration of Information Technology (IT) in companies comes with its own set of challenges. One major issue is the loss of operational data, which directly affects the company's workflow and disrupts its activities. To tackle this problem, the company assesses its IT capability using the COBIT 2019 framework. This framework outlines the objectives of different IT processes and assigns predetermined values to each process. The assessment reveals three levels of IT capability for specific processes within the company: EDM03 (Ensured Risk Optimization) at level 3, APO13 (Managed Security) at level 2, and MEA03 (Managed Compliance with External Requirements) at level 3. The company aims to reach level 4 for these processes. Consequently, recommendations for improvement primarily focus on enhancing the management of information security risks and information security management systems, as well as increasing compliance with policies and regulations.","author":[{"dropping-particle":"","family":"Mubarak","given":"Ray Farhan","non-dropping-particle":"","parse-names":false,"suffix":""},{"dropping-particle":"","family":"Fianty","given":"Melissa Indah","non-dropping-particle":"","parse-names":false,"suffix":""}],"container-title":"Journal of Information Systems and Informatics","id":"ITEM-1","issue":"3","issued":{"date-parts":[["2023","9","1"]]},"page":"1058-1071","publisher":"Asosiasi Doktor Sistem Informasi Indonesia","title":"Leveraging COBIT 2019 to Implement IT Governance in Mineral Mining Company","type":"article-journal","volume":"5"},"uris":["http://www.mendeley.com/documents/?uuid=452488c4-14bd-3675-babb-91ca9e486de9"]}],"mendeley":{"formattedCitation":"[31]","plainTextFormattedCitation":"[31]","previouslyFormattedCitation":"[31]"},"properties":{"noteIndex":0},"schema":"https://github.com/citation-style-language/schema/raw/master/csl-citation.json"}</w:instrText>
      </w:r>
      <w:r>
        <w:fldChar w:fldCharType="separate"/>
      </w:r>
      <w:r w:rsidRPr="002B5DC3">
        <w:rPr>
          <w:noProof/>
        </w:rPr>
        <w:t>[31]</w:t>
      </w:r>
      <w:r>
        <w:fldChar w:fldCharType="end"/>
      </w:r>
      <w:r>
        <w:t xml:space="preserve"> </w:t>
      </w:r>
      <w:r w:rsidR="00882CDD">
        <w:t>confirms that the COBIT 2019 Design Factor Toolkit can help map governance objectives and produce gap scores as a basis for IT governance improvements .</w:t>
      </w:r>
    </w:p>
    <w:p w14:paraId="539B26B9" w14:textId="77777777" w:rsidR="00184176" w:rsidRDefault="00882CDD" w:rsidP="00882CDD">
      <w:pPr>
        <w:ind w:firstLine="312"/>
      </w:pPr>
      <w:r>
        <w:t>COBIT 2019's strengths lie in its governance objectives, capability assessment, risk control, and performance measurement. However, COBIT 2019 is not a primary framework. For a comprehensive analysis of strategic IS/IT and enterprise architecture blueprint. Therefore, COBIT 2019 is necessarily integrated with Ward &amp; Peppard and TOGAF.</w:t>
      </w:r>
    </w:p>
    <w:p w14:paraId="02296625" w14:textId="77777777" w:rsidR="00184176" w:rsidRPr="008F6FAA" w:rsidRDefault="00000000">
      <w:pPr>
        <w:pStyle w:val="Judul2"/>
        <w:rPr>
          <w:color w:val="000000" w:themeColor="text1"/>
          <w:szCs w:val="22"/>
        </w:rPr>
      </w:pPr>
      <w:r w:rsidRPr="008F6FAA">
        <w:rPr>
          <w:rFonts w:ascii="Times New Roman" w:eastAsia="Times New Roman" w:hAnsi="Times New Roman"/>
          <w:color w:val="000000" w:themeColor="text1"/>
          <w:szCs w:val="22"/>
        </w:rPr>
        <w:t>2.5. Framework Integration</w:t>
      </w:r>
    </w:p>
    <w:p w14:paraId="0940523E" w14:textId="77777777" w:rsidR="00882CDD" w:rsidRDefault="00882CDD" w:rsidP="00882CDD">
      <w:pPr>
        <w:ind w:firstLine="312"/>
      </w:pPr>
      <w:r>
        <w:t xml:space="preserve">A number of recent studies have combined the two frameworks, but few have yet integrated Ward &amp; Peppard, TOGAF, and COBIT 2019 into a single end-to-end model. </w:t>
      </w:r>
      <w:r w:rsidR="002B5DC3">
        <w:fldChar w:fldCharType="begin" w:fldLock="1"/>
      </w:r>
      <w:r w:rsidR="00871863">
        <w:instrText>ADDIN CSL_CITATION {"citationItems":[{"id":"ITEM-1","itemData":{"DOI":"10.23887/jstundiksha.v11i2.48365","abstract":"COVID-19 has changed universities in managing processes and services with more relevant systems. This is a challenge for universities to design strategies both during and after this pandemic ends. This study aims to apply the methodology and design principles of COBIT 2019 to adapt the operational model and strategic planning of higher education institutions in the post-pandemic period. The COVID-19 challenge has shown that digital information systems are a critical factor in ensuring robust business processes. This study uses Syarif Hidayatullah State Islamic University Jakarta as a case study, the results of calculation of institutional capability level are currently in the range of level 3 with desired capability level target being level 4, this means that governance in the agency has been carried out according to plan but is not ready to implement fully used after the pandemic. This research produces several that are useful as the best adaptation in the New Normal era.","author":[{"dropping-particle":"","family":"Harits","given":"A","non-dropping-particle":"","parse-names":false,"suffix":""},{"dropping-particle":"","family":"Gernowo","given":"R","non-dropping-particle":"","parse-names":false,"suffix":""},{"dropping-particle":"","family":"Suseno","given":"D E","non-dropping-particle":"","parse-names":false,"suffix":""}],"container-title":"Journal of Science and Technology","id":"ITEM-1","issue":"2","issued":{"date-parts":[["2022"]]},"page":"339-350","title":"Adaptation of Information Systems Strategic Planning of Universities Using COBIT 2019 in Post Covid-19","type":"article-journal","volume":"11"},"uris":["http://www.mendeley.com/documents/?uuid=3c3c617b-bb24-49f6-b635-2af6d8b68c77"]}],"mendeley":{"formattedCitation":"[32]","plainTextFormattedCitation":"[32]","previouslyFormattedCitation":"[32]"},"properties":{"noteIndex":0},"schema":"https://github.com/citation-style-language/schema/raw/master/csl-citation.json"}</w:instrText>
      </w:r>
      <w:r w:rsidR="002B5DC3">
        <w:fldChar w:fldCharType="separate"/>
      </w:r>
      <w:r w:rsidR="002B5DC3" w:rsidRPr="002B5DC3">
        <w:rPr>
          <w:noProof/>
        </w:rPr>
        <w:t>[32]</w:t>
      </w:r>
      <w:r w:rsidR="002B5DC3">
        <w:fldChar w:fldCharType="end"/>
      </w:r>
      <w:r w:rsidR="002B5DC3">
        <w:t xml:space="preserve"> </w:t>
      </w:r>
      <w:r>
        <w:t>Adapt</w:t>
      </w:r>
      <w:r w:rsidR="002B5DC3">
        <w:t>ation</w:t>
      </w:r>
      <w:r>
        <w:t xml:space="preserve"> planning, strategic, and information systems with COBIT 2019 at universities, post-COVID-19. Research shows that COBIT 2019 can be used to determine governance domains and to conduct capability gap analysis after the strategic planning process is complete.</w:t>
      </w:r>
    </w:p>
    <w:p w14:paraId="039FBBDE" w14:textId="77777777" w:rsidR="00882CDD" w:rsidRDefault="00871863" w:rsidP="00882CDD">
      <w:pPr>
        <w:ind w:firstLine="312"/>
      </w:pPr>
      <w:r>
        <w:fldChar w:fldCharType="begin" w:fldLock="1"/>
      </w:r>
      <w:r>
        <w:instrText>ADDIN CSL_CITATION {"citationItems":[{"id":"ITEM-1","itemData":{"DOI":"10.23887/jstundiksha.v14i1.93498","ISSN":"2303-3142","abstract":"Peningkatan pemanfaatan Teknologi Informasi (TI) dalam penyelenggaraan pelatihan di Balai Pelatihan Pertanian (Bapeltan) Jambi menghadirkan tantangan dalam hal manajemen risiko TI, efektivitas sistem, serta ketahanan infrastruktur. Penelitian ini bertujuan untuk mengidentifikasi risiko TI utama yang dihadapi oleh Bapeltan Jambi serta merancang solusi berbasis Enterprise Architecture (EA) menggunakan TOGAF ADM dengan pendekatan analisis risiko dari COBIT 2019. Metode penelitian yang digunakan mencakup observasi, wawancara dengan berbagai pemangku kepentingan, serta analisis risiko menggunakan APO12 (Manage Risk) dalam COBIT 2019. Hasil penelitian menunjukkan bahwa gangguan pada infrastruktur TI, keterbatasan kapasitas jaringan, keamanan data yang rentan dan kurangnya integrasi sistem menjadi faktor utama yang mempengaruhi efektivitas penyelenggaraan pelatihan. Sebanyak 25 skenario risiko telah diidentifikasi dan dikategorikan dalam Risk Register, yang mencakup tingkat likelihood, impact, dan strategi mitigasi. Berdasarkan hasil analisis, rancangan arsitektur enterprise berbasis TOGAF ADM dikembangkan dengan model Architecture Vision, Business Architecture, Information Systems Architecture, Technology Architecture, serta Migration Planning untuk meningkatkan kinerja sistem pelatihan berbasis TI.","author":[{"dropping-particle":"","family":"Desyaf Putra","given":"","non-dropping-particle":"","parse-names":false,"suffix":""},{"dropping-particle":"","family":"Dinar Mutiara Kusumo Nugraheni","given":"","non-dropping-particle":"","parse-names":false,"suffix":""},{"dropping-particle":"","family":"Jatmiko Endro Suseno","given":"","non-dropping-particle":"","parse-names":false,"suffix":""}],"container-title":"JST (Jurnal Sains dan Teknologi)","id":"ITEM-1","issue":"1","issued":{"date-parts":[["2025"]]},"page":"35-46","title":"Desain Arsitektur Enterprise Berbasis Risiko Teknologi Informasi untuk Sistem Pelatihan: Integrasi COBIT 2019 dan TOGAF ADM","type":"article-journal","volume":"14"},"uris":["http://www.mendeley.com/documents/?uuid=13fdddbd-314d-4d96-9587-4db20c281779"]}],"mendeley":{"formattedCitation":"[33]","plainTextFormattedCitation":"[33]","previouslyFormattedCitation":"[33]"},"properties":{"noteIndex":0},"schema":"https://github.com/citation-style-language/schema/raw/master/csl-citation.json"}</w:instrText>
      </w:r>
      <w:r>
        <w:fldChar w:fldCharType="separate"/>
      </w:r>
      <w:r w:rsidRPr="00871863">
        <w:rPr>
          <w:noProof/>
        </w:rPr>
        <w:t>[33]</w:t>
      </w:r>
      <w:r>
        <w:fldChar w:fldCharType="end"/>
      </w:r>
      <w:r w:rsidR="00882CDD">
        <w:t>Integrating COBIT 2019 and TOGAF ADM for designing enterprise architecture based on risk technology information . The integration is relevant because it can connect IT risks to enterprise architecture design. However, the approach is not yet explicitly included in Ward &amp; Peppard as a baseline analysis for strategic IS/IT and portfolio applications.</w:t>
      </w:r>
    </w:p>
    <w:p w14:paraId="21F6E59E" w14:textId="77777777" w:rsidR="00184176" w:rsidRDefault="00882CDD" w:rsidP="00882CDD">
      <w:pPr>
        <w:ind w:firstLine="312"/>
      </w:pPr>
      <w:r>
        <w:t>Therefore, this research fills the gap by integrating three frameworks: Ward &amp; Peppard as the basis for strategic IS/IT analysis, TOGAF as the basis for preparing the enterprise architecture blueprint, and COBIT 2019 as the governance principles, capabilities, risks, controls, and performance measurement..</w:t>
      </w:r>
    </w:p>
    <w:p w14:paraId="17D3AEE7" w14:textId="77777777" w:rsidR="00184176" w:rsidRDefault="00184176">
      <w:pPr>
        <w:sectPr w:rsidR="00184176">
          <w:type w:val="continuous"/>
          <w:pgSz w:w="11906" w:h="16838"/>
          <w:pgMar w:top="1440" w:right="1077" w:bottom="1440" w:left="1077" w:header="850" w:footer="992" w:gutter="0"/>
          <w:cols w:num="2" w:space="500"/>
          <w:docGrid w:linePitch="360"/>
        </w:sectPr>
      </w:pPr>
    </w:p>
    <w:p w14:paraId="2EE991F6" w14:textId="77777777" w:rsidR="00184176" w:rsidRDefault="00000000">
      <w:pPr>
        <w:spacing w:before="120" w:after="40"/>
        <w:jc w:val="center"/>
      </w:pPr>
      <w:r>
        <w:rPr>
          <w:sz w:val="20"/>
        </w:rPr>
        <w:t>Table 1. Summary study previously</w:t>
      </w:r>
    </w:p>
    <w:tbl>
      <w:tblPr>
        <w:tblStyle w:val="KisiTabel"/>
        <w:tblW w:w="0" w:type="auto"/>
        <w:jc w:val="center"/>
        <w:tblLayout w:type="fixed"/>
        <w:tblLook w:val="04A0" w:firstRow="1" w:lastRow="0" w:firstColumn="1" w:lastColumn="0" w:noHBand="0" w:noVBand="1"/>
      </w:tblPr>
      <w:tblGrid>
        <w:gridCol w:w="2381"/>
        <w:gridCol w:w="6804"/>
      </w:tblGrid>
      <w:tr w:rsidR="00184176" w14:paraId="57CAF529" w14:textId="77777777">
        <w:trPr>
          <w:tblHeader/>
          <w:jc w:val="center"/>
        </w:trPr>
        <w:tc>
          <w:tcPr>
            <w:tcW w:w="2381" w:type="dxa"/>
            <w:shd w:val="clear" w:color="auto" w:fill="D9EAF7"/>
          </w:tcPr>
          <w:p w14:paraId="51914D21" w14:textId="77777777" w:rsidR="00184176" w:rsidRDefault="00000000">
            <w:pPr>
              <w:jc w:val="left"/>
            </w:pPr>
            <w:r>
              <w:rPr>
                <w:b/>
                <w:sz w:val="20"/>
              </w:rPr>
              <w:t>Reference</w:t>
            </w:r>
          </w:p>
        </w:tc>
        <w:tc>
          <w:tcPr>
            <w:tcW w:w="6804" w:type="dxa"/>
            <w:shd w:val="clear" w:color="auto" w:fill="D9EAF7"/>
          </w:tcPr>
          <w:p w14:paraId="4E48BEC2" w14:textId="77777777" w:rsidR="00184176" w:rsidRDefault="00000000">
            <w:pPr>
              <w:jc w:val="left"/>
            </w:pPr>
            <w:r>
              <w:rPr>
                <w:b/>
                <w:sz w:val="20"/>
              </w:rPr>
              <w:t>Summary findings and gaps</w:t>
            </w:r>
          </w:p>
        </w:tc>
      </w:tr>
      <w:tr w:rsidR="00184176" w14:paraId="1C8A26E4" w14:textId="77777777">
        <w:trPr>
          <w:jc w:val="center"/>
        </w:trPr>
        <w:tc>
          <w:tcPr>
            <w:tcW w:w="2381" w:type="dxa"/>
          </w:tcPr>
          <w:p w14:paraId="202C1A2F" w14:textId="77777777" w:rsidR="00184176" w:rsidRDefault="00000000">
            <w:pPr>
              <w:jc w:val="left"/>
            </w:pPr>
            <w:r>
              <w:rPr>
                <w:sz w:val="20"/>
              </w:rPr>
              <w:t>Andry et al. (2023)</w:t>
            </w:r>
          </w:p>
        </w:tc>
        <w:tc>
          <w:tcPr>
            <w:tcW w:w="6804" w:type="dxa"/>
          </w:tcPr>
          <w:p w14:paraId="56F55351" w14:textId="77777777" w:rsidR="00184176" w:rsidRDefault="00FE1A0B">
            <w:pPr>
              <w:jc w:val="left"/>
            </w:pPr>
            <w:r>
              <w:rPr>
                <w:sz w:val="20"/>
              </w:rPr>
              <w:t>Ward &amp; Peppard produces portfolio application for e-commerce; not yet covers enterprise architecture and governance.</w:t>
            </w:r>
          </w:p>
        </w:tc>
      </w:tr>
      <w:tr w:rsidR="00184176" w14:paraId="58B00806" w14:textId="77777777">
        <w:trPr>
          <w:jc w:val="center"/>
        </w:trPr>
        <w:tc>
          <w:tcPr>
            <w:tcW w:w="2381" w:type="dxa"/>
          </w:tcPr>
          <w:p w14:paraId="7B02B1D8" w14:textId="77777777" w:rsidR="00184176" w:rsidRDefault="00000000">
            <w:pPr>
              <w:jc w:val="left"/>
            </w:pPr>
            <w:r>
              <w:rPr>
                <w:sz w:val="20"/>
              </w:rPr>
              <w:t>Desyana &amp; Sitokdana (2022)</w:t>
            </w:r>
          </w:p>
        </w:tc>
        <w:tc>
          <w:tcPr>
            <w:tcW w:w="6804" w:type="dxa"/>
          </w:tcPr>
          <w:p w14:paraId="316DB470" w14:textId="77777777" w:rsidR="00184176" w:rsidRDefault="00FE1A0B">
            <w:pPr>
              <w:jc w:val="left"/>
            </w:pPr>
            <w:r>
              <w:rPr>
                <w:sz w:val="20"/>
              </w:rPr>
              <w:t>Ward &amp; Peppard helps identification IS/IT based needs analysis business ; not yet measure governance capabilities .​</w:t>
            </w:r>
          </w:p>
        </w:tc>
      </w:tr>
      <w:tr w:rsidR="00184176" w14:paraId="0DF2185F" w14:textId="77777777">
        <w:trPr>
          <w:jc w:val="center"/>
        </w:trPr>
        <w:tc>
          <w:tcPr>
            <w:tcW w:w="2381" w:type="dxa"/>
          </w:tcPr>
          <w:p w14:paraId="7430B820" w14:textId="77777777" w:rsidR="00184176" w:rsidRDefault="00000000">
            <w:pPr>
              <w:jc w:val="left"/>
            </w:pPr>
            <w:r>
              <w:rPr>
                <w:sz w:val="20"/>
              </w:rPr>
              <w:t>Harits et al. (2022)</w:t>
            </w:r>
          </w:p>
        </w:tc>
        <w:tc>
          <w:tcPr>
            <w:tcW w:w="6804" w:type="dxa"/>
          </w:tcPr>
          <w:p w14:paraId="0C149DB0" w14:textId="77777777" w:rsidR="00184176" w:rsidRDefault="00FE1A0B">
            <w:pPr>
              <w:jc w:val="left"/>
            </w:pPr>
            <w:r>
              <w:rPr>
                <w:sz w:val="20"/>
              </w:rPr>
              <w:t>Ward &amp; Peppard and COBIT 2019 support capability gap analysis; not yet generate TOGAF blueprints.</w:t>
            </w:r>
          </w:p>
        </w:tc>
      </w:tr>
      <w:tr w:rsidR="00184176" w14:paraId="735FAEB8" w14:textId="77777777">
        <w:trPr>
          <w:jc w:val="center"/>
        </w:trPr>
        <w:tc>
          <w:tcPr>
            <w:tcW w:w="2381" w:type="dxa"/>
          </w:tcPr>
          <w:p w14:paraId="1B9DA72A" w14:textId="77777777" w:rsidR="00184176" w:rsidRDefault="00000000">
            <w:pPr>
              <w:jc w:val="left"/>
            </w:pPr>
            <w:r>
              <w:rPr>
                <w:sz w:val="20"/>
              </w:rPr>
              <w:t>Rahimi et al. (2023)</w:t>
            </w:r>
          </w:p>
        </w:tc>
        <w:tc>
          <w:tcPr>
            <w:tcW w:w="6804" w:type="dxa"/>
          </w:tcPr>
          <w:p w14:paraId="0A22C802" w14:textId="77777777" w:rsidR="00184176" w:rsidRDefault="00000000">
            <w:pPr>
              <w:jc w:val="left"/>
            </w:pPr>
            <w:r>
              <w:rPr>
                <w:sz w:val="20"/>
              </w:rPr>
              <w:t>Enterprise architecture becomes an enabler of digital transformation ; not yet focus on governance objectives.</w:t>
            </w:r>
          </w:p>
        </w:tc>
      </w:tr>
      <w:tr w:rsidR="00184176" w14:paraId="04424622" w14:textId="77777777">
        <w:trPr>
          <w:jc w:val="center"/>
        </w:trPr>
        <w:tc>
          <w:tcPr>
            <w:tcW w:w="2381" w:type="dxa"/>
          </w:tcPr>
          <w:p w14:paraId="38BEB950" w14:textId="77777777" w:rsidR="00184176" w:rsidRDefault="00000000">
            <w:pPr>
              <w:jc w:val="left"/>
            </w:pPr>
            <w:r>
              <w:rPr>
                <w:sz w:val="20"/>
              </w:rPr>
              <w:t>Safitri et al. (2024)</w:t>
            </w:r>
          </w:p>
        </w:tc>
        <w:tc>
          <w:tcPr>
            <w:tcW w:w="6804" w:type="dxa"/>
          </w:tcPr>
          <w:p w14:paraId="07D7FE45" w14:textId="77777777" w:rsidR="00184176" w:rsidRDefault="00000000">
            <w:pPr>
              <w:jc w:val="left"/>
            </w:pPr>
            <w:r>
              <w:rPr>
                <w:sz w:val="20"/>
              </w:rPr>
              <w:t>TOGAF 10 supports SME digital transformation ; not yet integrate COBIT 2019 full .</w:t>
            </w:r>
          </w:p>
        </w:tc>
      </w:tr>
      <w:tr w:rsidR="00184176" w14:paraId="5686DA47" w14:textId="77777777">
        <w:trPr>
          <w:jc w:val="center"/>
        </w:trPr>
        <w:tc>
          <w:tcPr>
            <w:tcW w:w="2381" w:type="dxa"/>
          </w:tcPr>
          <w:p w14:paraId="7D892824" w14:textId="77777777" w:rsidR="00184176" w:rsidRDefault="00000000">
            <w:pPr>
              <w:jc w:val="left"/>
            </w:pPr>
            <w:r>
              <w:rPr>
                <w:sz w:val="20"/>
              </w:rPr>
              <w:t>Christian et al. (2023)</w:t>
            </w:r>
          </w:p>
        </w:tc>
        <w:tc>
          <w:tcPr>
            <w:tcW w:w="6804" w:type="dxa"/>
          </w:tcPr>
          <w:p w14:paraId="11D5EA36" w14:textId="77777777" w:rsidR="00184176" w:rsidRDefault="00000000">
            <w:pPr>
              <w:jc w:val="left"/>
            </w:pPr>
            <w:r>
              <w:rPr>
                <w:sz w:val="20"/>
              </w:rPr>
              <w:t>COBIT 2019 assesses capability levels and recommendations repair ; not yet connect portfolio application .</w:t>
            </w:r>
          </w:p>
        </w:tc>
      </w:tr>
      <w:tr w:rsidR="00184176" w14:paraId="464920C1" w14:textId="77777777">
        <w:trPr>
          <w:jc w:val="center"/>
        </w:trPr>
        <w:tc>
          <w:tcPr>
            <w:tcW w:w="2381" w:type="dxa"/>
          </w:tcPr>
          <w:p w14:paraId="0E70CCA2" w14:textId="77777777" w:rsidR="00184176" w:rsidRDefault="00000000">
            <w:pPr>
              <w:jc w:val="left"/>
            </w:pPr>
            <w:r>
              <w:rPr>
                <w:sz w:val="20"/>
              </w:rPr>
              <w:lastRenderedPageBreak/>
              <w:t>Mubarak &amp; Fianty (2023)</w:t>
            </w:r>
          </w:p>
        </w:tc>
        <w:tc>
          <w:tcPr>
            <w:tcW w:w="6804" w:type="dxa"/>
          </w:tcPr>
          <w:p w14:paraId="1867197A" w14:textId="77777777" w:rsidR="00184176" w:rsidRDefault="00000000">
            <w:pPr>
              <w:jc w:val="left"/>
            </w:pPr>
            <w:r>
              <w:rPr>
                <w:sz w:val="20"/>
              </w:rPr>
              <w:t>The COBIT 2019 Design Factor Toolkit determines governance priorities ; not yet building enterprise architecture.</w:t>
            </w:r>
          </w:p>
        </w:tc>
      </w:tr>
      <w:tr w:rsidR="00184176" w14:paraId="715CAAEC" w14:textId="77777777">
        <w:trPr>
          <w:jc w:val="center"/>
        </w:trPr>
        <w:tc>
          <w:tcPr>
            <w:tcW w:w="2381" w:type="dxa"/>
          </w:tcPr>
          <w:p w14:paraId="7E7A783B" w14:textId="77777777" w:rsidR="00184176" w:rsidRDefault="00000000">
            <w:pPr>
              <w:jc w:val="left"/>
            </w:pPr>
            <w:r>
              <w:rPr>
                <w:sz w:val="20"/>
              </w:rPr>
              <w:t>Putra et al. (2025)</w:t>
            </w:r>
          </w:p>
        </w:tc>
        <w:tc>
          <w:tcPr>
            <w:tcW w:w="6804" w:type="dxa"/>
          </w:tcPr>
          <w:p w14:paraId="3B6373C2" w14:textId="77777777" w:rsidR="00184176" w:rsidRDefault="00000000">
            <w:pPr>
              <w:jc w:val="left"/>
            </w:pPr>
            <w:r>
              <w:rPr>
                <w:sz w:val="20"/>
              </w:rPr>
              <w:t>TOGAF and COBIT 2019 integrate IT architecture and risks ; not yet enter Ward &amp; Peppard.</w:t>
            </w:r>
          </w:p>
        </w:tc>
      </w:tr>
    </w:tbl>
    <w:p w14:paraId="0B160A96" w14:textId="77777777" w:rsidR="00184176" w:rsidRDefault="00184176">
      <w:pPr>
        <w:sectPr w:rsidR="00184176">
          <w:type w:val="continuous"/>
          <w:pgSz w:w="11906" w:h="16838"/>
          <w:pgMar w:top="1440" w:right="1077" w:bottom="1440" w:left="1077" w:header="850" w:footer="992" w:gutter="0"/>
          <w:cols w:space="500"/>
          <w:docGrid w:linePitch="360"/>
        </w:sectPr>
      </w:pPr>
    </w:p>
    <w:p w14:paraId="54692C81" w14:textId="77777777" w:rsidR="0057105A" w:rsidRDefault="0057105A" w:rsidP="0057105A">
      <w:pPr>
        <w:pStyle w:val="Judul1"/>
        <w:jc w:val="both"/>
        <w:rPr>
          <w:rFonts w:ascii="Times New Roman" w:eastAsia="Times New Roman" w:hAnsi="Times New Roman"/>
          <w:b w:val="0"/>
          <w:bCs w:val="0"/>
          <w:color w:val="EE0000"/>
          <w:sz w:val="22"/>
          <w:szCs w:val="22"/>
        </w:rPr>
      </w:pPr>
      <w:commentRangeStart w:id="5"/>
      <w:commentRangeStart w:id="6"/>
      <w:r w:rsidRPr="0057105A">
        <w:rPr>
          <w:rFonts w:ascii="Times New Roman" w:eastAsia="Times New Roman" w:hAnsi="Times New Roman"/>
          <w:b w:val="0"/>
          <w:bCs w:val="0"/>
          <w:color w:val="EE0000"/>
          <w:sz w:val="22"/>
          <w:szCs w:val="22"/>
        </w:rPr>
        <w:t>To further justify the identified research gaps, a comparative analysis was conducted among existing IT strategic planning frameworks, including Ward and Peppard, TOGAF, COBIT 2019, and previous framework integration approaches. The comparison was performed based on several critical dimensions required in comprehensive IT strategic planning, including strategic analysis, application portfolio management, enterprise architecture development, IT governance, capability assessment, risk management, and performance measurement. This analysis aims to identify the strengths and limitations of each framework and demonstrate the necessity of developing an integrated framework that addresses the gaps between strategic planning, architecture design, governance, and continuous performance evaluation.</w:t>
      </w:r>
      <w:commentRangeEnd w:id="5"/>
      <w:r>
        <w:rPr>
          <w:rStyle w:val="ReferensiKomentar"/>
          <w:rFonts w:ascii="Times New Roman" w:eastAsia="Times New Roman" w:hAnsi="Times New Roman"/>
          <w:b w:val="0"/>
          <w:bCs w:val="0"/>
          <w:color w:val="EE0000"/>
          <w:sz w:val="22"/>
          <w:szCs w:val="22"/>
        </w:rPr>
        <w:commentReference w:id="5"/>
      </w:r>
      <w:commentRangeEnd w:id="6"/>
      <w:r>
        <w:rPr>
          <w:rStyle w:val="ReferensiKomentar"/>
          <w:rFonts w:ascii="Times New Roman" w:eastAsia="Times New Roman" w:hAnsi="Times New Roman"/>
          <w:b w:val="0"/>
          <w:bCs w:val="0"/>
          <w:color w:val="EE0000"/>
          <w:sz w:val="22"/>
          <w:szCs w:val="22"/>
        </w:rPr>
        <w:commentReference w:id="6"/>
      </w:r>
    </w:p>
    <w:p w14:paraId="56F500EC" w14:textId="77777777" w:rsidR="00CA744F" w:rsidRPr="00BD50C2" w:rsidRDefault="00CA744F" w:rsidP="00CA744F">
      <w:pPr>
        <w:rPr>
          <w:color w:val="EE0000"/>
        </w:rPr>
      </w:pPr>
      <w:r w:rsidRPr="00BD50C2">
        <w:rPr>
          <w:color w:val="EE0000"/>
        </w:rPr>
        <w:t>Table 2  . Comparative Analysis of Existing IT Strategic Planning Frameworks</w:t>
      </w:r>
    </w:p>
    <w:p w14:paraId="1DFCD447" w14:textId="77777777" w:rsidR="00ED7A80" w:rsidRDefault="00ED7A80" w:rsidP="00ED7A80"/>
    <w:tbl>
      <w:tblPr>
        <w:tblStyle w:val="KisiTabel"/>
        <w:tblW w:w="0" w:type="auto"/>
        <w:jc w:val="center"/>
        <w:tblLook w:val="04A0" w:firstRow="1" w:lastRow="0" w:firstColumn="1" w:lastColumn="0" w:noHBand="0" w:noVBand="1"/>
      </w:tblPr>
      <w:tblGrid>
        <w:gridCol w:w="1980"/>
        <w:gridCol w:w="567"/>
        <w:gridCol w:w="709"/>
        <w:gridCol w:w="708"/>
        <w:gridCol w:w="652"/>
      </w:tblGrid>
      <w:tr w:rsidR="00CA744F" w:rsidRPr="00BD50C2" w14:paraId="0181F32E" w14:textId="77777777" w:rsidTr="006E2216">
        <w:trPr>
          <w:jc w:val="center"/>
        </w:trPr>
        <w:tc>
          <w:tcPr>
            <w:tcW w:w="1980" w:type="dxa"/>
            <w:vAlign w:val="center"/>
          </w:tcPr>
          <w:p w14:paraId="74ADBC84" w14:textId="77777777" w:rsidR="00CA744F" w:rsidRPr="00BD50C2" w:rsidRDefault="00CA744F" w:rsidP="007F5238">
            <w:pPr>
              <w:jc w:val="center"/>
              <w:rPr>
                <w:color w:val="EE0000"/>
              </w:rPr>
            </w:pPr>
            <w:r w:rsidRPr="00BD50C2">
              <w:rPr>
                <w:b/>
                <w:color w:val="EE0000"/>
                <w:sz w:val="20"/>
              </w:rPr>
              <w:t>Capability Dimension</w:t>
            </w:r>
          </w:p>
        </w:tc>
        <w:tc>
          <w:tcPr>
            <w:tcW w:w="567" w:type="dxa"/>
            <w:vAlign w:val="center"/>
          </w:tcPr>
          <w:p w14:paraId="4825F98E" w14:textId="5B5EA4D6" w:rsidR="00CA744F" w:rsidRPr="00BD50C2" w:rsidRDefault="006E2216" w:rsidP="007F5238">
            <w:pPr>
              <w:jc w:val="center"/>
              <w:rPr>
                <w:color w:val="EE0000"/>
              </w:rPr>
            </w:pPr>
            <w:r w:rsidRPr="00BD50C2">
              <w:rPr>
                <w:color w:val="EE0000"/>
              </w:rPr>
              <w:t>WP</w:t>
            </w:r>
          </w:p>
        </w:tc>
        <w:tc>
          <w:tcPr>
            <w:tcW w:w="709" w:type="dxa"/>
            <w:vAlign w:val="center"/>
          </w:tcPr>
          <w:p w14:paraId="73E3A21C" w14:textId="4A8B56F1" w:rsidR="00CA744F" w:rsidRPr="00BD50C2" w:rsidRDefault="006E2216" w:rsidP="007F5238">
            <w:pPr>
              <w:jc w:val="center"/>
              <w:rPr>
                <w:color w:val="EE0000"/>
              </w:rPr>
            </w:pPr>
            <w:r w:rsidRPr="00BD50C2">
              <w:rPr>
                <w:color w:val="EE0000"/>
              </w:rPr>
              <w:t>TOG</w:t>
            </w:r>
          </w:p>
        </w:tc>
        <w:tc>
          <w:tcPr>
            <w:tcW w:w="708" w:type="dxa"/>
            <w:vAlign w:val="center"/>
          </w:tcPr>
          <w:p w14:paraId="7ECF1117" w14:textId="36B140BD" w:rsidR="00CA744F" w:rsidRPr="00BD50C2" w:rsidRDefault="006E2216" w:rsidP="007F5238">
            <w:pPr>
              <w:jc w:val="center"/>
              <w:rPr>
                <w:color w:val="EE0000"/>
              </w:rPr>
            </w:pPr>
            <w:r w:rsidRPr="00BD50C2">
              <w:rPr>
                <w:color w:val="EE0000"/>
              </w:rPr>
              <w:t>COB</w:t>
            </w:r>
          </w:p>
        </w:tc>
        <w:tc>
          <w:tcPr>
            <w:tcW w:w="652" w:type="dxa"/>
            <w:vAlign w:val="center"/>
          </w:tcPr>
          <w:p w14:paraId="68CFA88C" w14:textId="00C81E0A" w:rsidR="00CA744F" w:rsidRPr="00BD50C2" w:rsidRDefault="006E2216" w:rsidP="007F5238">
            <w:pPr>
              <w:jc w:val="center"/>
              <w:rPr>
                <w:color w:val="EE0000"/>
              </w:rPr>
            </w:pPr>
            <w:r w:rsidRPr="00BD50C2">
              <w:rPr>
                <w:color w:val="EE0000"/>
              </w:rPr>
              <w:t>PRA</w:t>
            </w:r>
          </w:p>
        </w:tc>
      </w:tr>
      <w:tr w:rsidR="00CA744F" w:rsidRPr="00BD50C2" w14:paraId="5D5D833B" w14:textId="77777777" w:rsidTr="006E2216">
        <w:trPr>
          <w:jc w:val="center"/>
        </w:trPr>
        <w:tc>
          <w:tcPr>
            <w:tcW w:w="1980" w:type="dxa"/>
            <w:vAlign w:val="center"/>
          </w:tcPr>
          <w:p w14:paraId="715AE9E6" w14:textId="77777777" w:rsidR="00CA744F" w:rsidRPr="00BD50C2" w:rsidRDefault="00CA744F" w:rsidP="007F5238">
            <w:pPr>
              <w:rPr>
                <w:color w:val="EE0000"/>
              </w:rPr>
            </w:pPr>
            <w:r w:rsidRPr="00BD50C2">
              <w:rPr>
                <w:color w:val="EE0000"/>
                <w:sz w:val="20"/>
              </w:rPr>
              <w:t>Business strategy analysis</w:t>
            </w:r>
          </w:p>
        </w:tc>
        <w:tc>
          <w:tcPr>
            <w:tcW w:w="567" w:type="dxa"/>
            <w:vAlign w:val="center"/>
          </w:tcPr>
          <w:p w14:paraId="47CC139E" w14:textId="33FA5CF8" w:rsidR="00CA744F" w:rsidRPr="00BD50C2" w:rsidRDefault="006E2216" w:rsidP="006E2216">
            <w:pPr>
              <w:jc w:val="center"/>
              <w:rPr>
                <w:color w:val="EE0000"/>
              </w:rPr>
            </w:pPr>
            <w:r w:rsidRPr="00BD50C2">
              <w:rPr>
                <w:color w:val="EE0000"/>
                <w:sz w:val="20"/>
              </w:rPr>
              <w:t>S</w:t>
            </w:r>
          </w:p>
        </w:tc>
        <w:tc>
          <w:tcPr>
            <w:tcW w:w="709" w:type="dxa"/>
            <w:vAlign w:val="center"/>
          </w:tcPr>
          <w:p w14:paraId="7B196B89" w14:textId="3371284E" w:rsidR="00CA744F" w:rsidRPr="00BD50C2" w:rsidRDefault="006E2216" w:rsidP="006E2216">
            <w:pPr>
              <w:jc w:val="center"/>
              <w:rPr>
                <w:color w:val="EE0000"/>
              </w:rPr>
            </w:pPr>
            <w:r w:rsidRPr="00BD50C2">
              <w:rPr>
                <w:color w:val="EE0000"/>
                <w:sz w:val="20"/>
              </w:rPr>
              <w:t>P</w:t>
            </w:r>
          </w:p>
        </w:tc>
        <w:tc>
          <w:tcPr>
            <w:tcW w:w="708" w:type="dxa"/>
            <w:vAlign w:val="center"/>
          </w:tcPr>
          <w:p w14:paraId="193F707E" w14:textId="5E0817F3" w:rsidR="00CA744F" w:rsidRPr="00BD50C2" w:rsidRDefault="006E2216" w:rsidP="006E2216">
            <w:pPr>
              <w:jc w:val="center"/>
              <w:rPr>
                <w:color w:val="EE0000"/>
              </w:rPr>
            </w:pPr>
            <w:r w:rsidRPr="00BD50C2">
              <w:rPr>
                <w:color w:val="EE0000"/>
                <w:sz w:val="20"/>
              </w:rPr>
              <w:t>P</w:t>
            </w:r>
          </w:p>
        </w:tc>
        <w:tc>
          <w:tcPr>
            <w:tcW w:w="652" w:type="dxa"/>
            <w:vAlign w:val="center"/>
          </w:tcPr>
          <w:p w14:paraId="31CB3FDB" w14:textId="43F0C1B9" w:rsidR="00CA744F" w:rsidRPr="00BD50C2" w:rsidRDefault="006E2216" w:rsidP="006E2216">
            <w:pPr>
              <w:jc w:val="center"/>
              <w:rPr>
                <w:color w:val="EE0000"/>
              </w:rPr>
            </w:pPr>
            <w:r w:rsidRPr="00BD50C2">
              <w:rPr>
                <w:color w:val="EE0000"/>
                <w:sz w:val="20"/>
              </w:rPr>
              <w:t>I</w:t>
            </w:r>
          </w:p>
        </w:tc>
      </w:tr>
      <w:tr w:rsidR="00CA744F" w:rsidRPr="00BD50C2" w14:paraId="6D98B8EE" w14:textId="77777777" w:rsidTr="006E2216">
        <w:trPr>
          <w:jc w:val="center"/>
        </w:trPr>
        <w:tc>
          <w:tcPr>
            <w:tcW w:w="1980" w:type="dxa"/>
            <w:vAlign w:val="center"/>
          </w:tcPr>
          <w:p w14:paraId="678063FE" w14:textId="77777777" w:rsidR="00CA744F" w:rsidRPr="00BD50C2" w:rsidRDefault="00CA744F" w:rsidP="007F5238">
            <w:pPr>
              <w:rPr>
                <w:color w:val="EE0000"/>
              </w:rPr>
            </w:pPr>
            <w:r w:rsidRPr="00BD50C2">
              <w:rPr>
                <w:color w:val="EE0000"/>
                <w:sz w:val="20"/>
              </w:rPr>
              <w:t>IT requirement identification</w:t>
            </w:r>
          </w:p>
        </w:tc>
        <w:tc>
          <w:tcPr>
            <w:tcW w:w="567" w:type="dxa"/>
            <w:vAlign w:val="center"/>
          </w:tcPr>
          <w:p w14:paraId="43890740" w14:textId="1514032C" w:rsidR="00CA744F" w:rsidRPr="00BD50C2" w:rsidRDefault="006E2216" w:rsidP="006E2216">
            <w:pPr>
              <w:jc w:val="center"/>
              <w:rPr>
                <w:color w:val="EE0000"/>
              </w:rPr>
            </w:pPr>
            <w:r w:rsidRPr="00BD50C2">
              <w:rPr>
                <w:color w:val="EE0000"/>
                <w:sz w:val="20"/>
              </w:rPr>
              <w:t>S</w:t>
            </w:r>
          </w:p>
        </w:tc>
        <w:tc>
          <w:tcPr>
            <w:tcW w:w="709" w:type="dxa"/>
            <w:vAlign w:val="center"/>
          </w:tcPr>
          <w:p w14:paraId="7AE80560" w14:textId="11F1B442" w:rsidR="00CA744F" w:rsidRPr="00BD50C2" w:rsidRDefault="006E2216" w:rsidP="006E2216">
            <w:pPr>
              <w:jc w:val="center"/>
              <w:rPr>
                <w:color w:val="EE0000"/>
              </w:rPr>
            </w:pPr>
            <w:r w:rsidRPr="00BD50C2">
              <w:rPr>
                <w:color w:val="EE0000"/>
              </w:rPr>
              <w:t>P</w:t>
            </w:r>
          </w:p>
        </w:tc>
        <w:tc>
          <w:tcPr>
            <w:tcW w:w="708" w:type="dxa"/>
            <w:vAlign w:val="center"/>
          </w:tcPr>
          <w:p w14:paraId="32233FFE" w14:textId="009D0665" w:rsidR="00CA744F" w:rsidRPr="00BD50C2" w:rsidRDefault="006E2216" w:rsidP="006E2216">
            <w:pPr>
              <w:jc w:val="center"/>
              <w:rPr>
                <w:color w:val="EE0000"/>
              </w:rPr>
            </w:pPr>
            <w:r w:rsidRPr="00BD50C2">
              <w:rPr>
                <w:color w:val="EE0000"/>
              </w:rPr>
              <w:t>L</w:t>
            </w:r>
          </w:p>
        </w:tc>
        <w:tc>
          <w:tcPr>
            <w:tcW w:w="652" w:type="dxa"/>
            <w:vAlign w:val="center"/>
          </w:tcPr>
          <w:p w14:paraId="0D5AC087" w14:textId="230B0FEF" w:rsidR="00CA744F" w:rsidRPr="00BD50C2" w:rsidRDefault="006E2216" w:rsidP="006E2216">
            <w:pPr>
              <w:jc w:val="center"/>
              <w:rPr>
                <w:color w:val="EE0000"/>
              </w:rPr>
            </w:pPr>
            <w:r w:rsidRPr="00BD50C2">
              <w:rPr>
                <w:color w:val="EE0000"/>
              </w:rPr>
              <w:t>I</w:t>
            </w:r>
          </w:p>
        </w:tc>
      </w:tr>
      <w:tr w:rsidR="00CA744F" w:rsidRPr="00BD50C2" w14:paraId="6F865012" w14:textId="77777777" w:rsidTr="006E2216">
        <w:trPr>
          <w:jc w:val="center"/>
        </w:trPr>
        <w:tc>
          <w:tcPr>
            <w:tcW w:w="1980" w:type="dxa"/>
            <w:vAlign w:val="center"/>
          </w:tcPr>
          <w:p w14:paraId="16FB8404" w14:textId="77777777" w:rsidR="00CA744F" w:rsidRPr="00BD50C2" w:rsidRDefault="00CA744F" w:rsidP="007F5238">
            <w:pPr>
              <w:rPr>
                <w:color w:val="EE0000"/>
              </w:rPr>
            </w:pPr>
            <w:r w:rsidRPr="00BD50C2">
              <w:rPr>
                <w:color w:val="EE0000"/>
                <w:sz w:val="20"/>
              </w:rPr>
              <w:t>Enterprise architecture blueprint</w:t>
            </w:r>
          </w:p>
        </w:tc>
        <w:tc>
          <w:tcPr>
            <w:tcW w:w="567" w:type="dxa"/>
            <w:vAlign w:val="center"/>
          </w:tcPr>
          <w:p w14:paraId="4A04432D" w14:textId="7DF4B931" w:rsidR="00CA744F" w:rsidRPr="00BD50C2" w:rsidRDefault="006E2216" w:rsidP="006E2216">
            <w:pPr>
              <w:jc w:val="center"/>
              <w:rPr>
                <w:color w:val="EE0000"/>
              </w:rPr>
            </w:pPr>
            <w:r w:rsidRPr="00BD50C2">
              <w:rPr>
                <w:color w:val="EE0000"/>
              </w:rPr>
              <w:t>L</w:t>
            </w:r>
          </w:p>
        </w:tc>
        <w:tc>
          <w:tcPr>
            <w:tcW w:w="709" w:type="dxa"/>
            <w:vAlign w:val="center"/>
          </w:tcPr>
          <w:p w14:paraId="2091F841" w14:textId="30718403" w:rsidR="00CA744F" w:rsidRPr="00BD50C2" w:rsidRDefault="006E2216" w:rsidP="006E2216">
            <w:pPr>
              <w:jc w:val="center"/>
              <w:rPr>
                <w:color w:val="EE0000"/>
              </w:rPr>
            </w:pPr>
            <w:r w:rsidRPr="00BD50C2">
              <w:rPr>
                <w:color w:val="EE0000"/>
              </w:rPr>
              <w:t>S</w:t>
            </w:r>
          </w:p>
        </w:tc>
        <w:tc>
          <w:tcPr>
            <w:tcW w:w="708" w:type="dxa"/>
            <w:vAlign w:val="center"/>
          </w:tcPr>
          <w:p w14:paraId="1AEDA677" w14:textId="0DE240A2" w:rsidR="00CA744F" w:rsidRPr="00BD50C2" w:rsidRDefault="006E2216" w:rsidP="006E2216">
            <w:pPr>
              <w:jc w:val="center"/>
              <w:rPr>
                <w:color w:val="EE0000"/>
              </w:rPr>
            </w:pPr>
            <w:r w:rsidRPr="00BD50C2">
              <w:rPr>
                <w:color w:val="EE0000"/>
              </w:rPr>
              <w:t>L</w:t>
            </w:r>
          </w:p>
        </w:tc>
        <w:tc>
          <w:tcPr>
            <w:tcW w:w="652" w:type="dxa"/>
            <w:vAlign w:val="center"/>
          </w:tcPr>
          <w:p w14:paraId="2A17D655" w14:textId="3BD63CA7" w:rsidR="00CA744F" w:rsidRPr="00BD50C2" w:rsidRDefault="006E2216" w:rsidP="006E2216">
            <w:pPr>
              <w:jc w:val="center"/>
              <w:rPr>
                <w:color w:val="EE0000"/>
              </w:rPr>
            </w:pPr>
            <w:r w:rsidRPr="00BD50C2">
              <w:rPr>
                <w:color w:val="EE0000"/>
              </w:rPr>
              <w:t>I</w:t>
            </w:r>
          </w:p>
        </w:tc>
      </w:tr>
      <w:tr w:rsidR="00CA744F" w:rsidRPr="00BD50C2" w14:paraId="095844A4" w14:textId="77777777" w:rsidTr="006E2216">
        <w:trPr>
          <w:jc w:val="center"/>
        </w:trPr>
        <w:tc>
          <w:tcPr>
            <w:tcW w:w="1980" w:type="dxa"/>
            <w:vAlign w:val="center"/>
          </w:tcPr>
          <w:p w14:paraId="0EBAB08A" w14:textId="77777777" w:rsidR="00CA744F" w:rsidRPr="00BD50C2" w:rsidRDefault="00CA744F" w:rsidP="007F5238">
            <w:pPr>
              <w:rPr>
                <w:color w:val="EE0000"/>
              </w:rPr>
            </w:pPr>
            <w:r w:rsidRPr="00BD50C2">
              <w:rPr>
                <w:color w:val="EE0000"/>
                <w:sz w:val="20"/>
              </w:rPr>
              <w:t>Application portfolio prioritization</w:t>
            </w:r>
          </w:p>
        </w:tc>
        <w:tc>
          <w:tcPr>
            <w:tcW w:w="567" w:type="dxa"/>
            <w:vAlign w:val="center"/>
          </w:tcPr>
          <w:p w14:paraId="2B134420" w14:textId="53029EBD" w:rsidR="00CA744F" w:rsidRPr="00BD50C2" w:rsidRDefault="006E2216" w:rsidP="006E2216">
            <w:pPr>
              <w:jc w:val="center"/>
              <w:rPr>
                <w:color w:val="EE0000"/>
              </w:rPr>
            </w:pPr>
            <w:r w:rsidRPr="00BD50C2">
              <w:rPr>
                <w:color w:val="EE0000"/>
              </w:rPr>
              <w:t>S</w:t>
            </w:r>
          </w:p>
        </w:tc>
        <w:tc>
          <w:tcPr>
            <w:tcW w:w="709" w:type="dxa"/>
            <w:vAlign w:val="center"/>
          </w:tcPr>
          <w:p w14:paraId="1D2936A0" w14:textId="2690A921" w:rsidR="00CA744F" w:rsidRPr="00BD50C2" w:rsidRDefault="006E2216" w:rsidP="006E2216">
            <w:pPr>
              <w:jc w:val="center"/>
              <w:rPr>
                <w:color w:val="EE0000"/>
              </w:rPr>
            </w:pPr>
            <w:r w:rsidRPr="00BD50C2">
              <w:rPr>
                <w:color w:val="EE0000"/>
              </w:rPr>
              <w:t>P</w:t>
            </w:r>
          </w:p>
        </w:tc>
        <w:tc>
          <w:tcPr>
            <w:tcW w:w="708" w:type="dxa"/>
            <w:vAlign w:val="center"/>
          </w:tcPr>
          <w:p w14:paraId="5121580A" w14:textId="16B5231E" w:rsidR="00CA744F" w:rsidRPr="00BD50C2" w:rsidRDefault="006E2216" w:rsidP="006E2216">
            <w:pPr>
              <w:jc w:val="center"/>
              <w:rPr>
                <w:color w:val="EE0000"/>
              </w:rPr>
            </w:pPr>
            <w:r w:rsidRPr="00BD50C2">
              <w:rPr>
                <w:color w:val="EE0000"/>
              </w:rPr>
              <w:t>P</w:t>
            </w:r>
          </w:p>
        </w:tc>
        <w:tc>
          <w:tcPr>
            <w:tcW w:w="652" w:type="dxa"/>
            <w:vAlign w:val="center"/>
          </w:tcPr>
          <w:p w14:paraId="073B4F27" w14:textId="3E10FE5B" w:rsidR="00CA744F" w:rsidRPr="00BD50C2" w:rsidRDefault="006E2216" w:rsidP="006E2216">
            <w:pPr>
              <w:jc w:val="center"/>
              <w:rPr>
                <w:color w:val="EE0000"/>
              </w:rPr>
            </w:pPr>
            <w:r w:rsidRPr="00BD50C2">
              <w:rPr>
                <w:color w:val="EE0000"/>
              </w:rPr>
              <w:t>I</w:t>
            </w:r>
          </w:p>
        </w:tc>
      </w:tr>
      <w:tr w:rsidR="00CA744F" w:rsidRPr="00BD50C2" w14:paraId="468C42DD" w14:textId="77777777" w:rsidTr="006E2216">
        <w:trPr>
          <w:jc w:val="center"/>
        </w:trPr>
        <w:tc>
          <w:tcPr>
            <w:tcW w:w="1980" w:type="dxa"/>
            <w:vAlign w:val="center"/>
          </w:tcPr>
          <w:p w14:paraId="1A4E0745" w14:textId="77777777" w:rsidR="00CA744F" w:rsidRPr="00BD50C2" w:rsidRDefault="00CA744F" w:rsidP="007F5238">
            <w:pPr>
              <w:rPr>
                <w:color w:val="EE0000"/>
              </w:rPr>
            </w:pPr>
            <w:r w:rsidRPr="00BD50C2">
              <w:rPr>
                <w:color w:val="EE0000"/>
                <w:sz w:val="20"/>
              </w:rPr>
              <w:t>Governance objectives</w:t>
            </w:r>
          </w:p>
        </w:tc>
        <w:tc>
          <w:tcPr>
            <w:tcW w:w="567" w:type="dxa"/>
            <w:vAlign w:val="center"/>
          </w:tcPr>
          <w:p w14:paraId="3E79A4AE" w14:textId="6D7FB0AE" w:rsidR="00CA744F" w:rsidRPr="00BD50C2" w:rsidRDefault="006E2216" w:rsidP="006E2216">
            <w:pPr>
              <w:jc w:val="center"/>
              <w:rPr>
                <w:color w:val="EE0000"/>
              </w:rPr>
            </w:pPr>
            <w:r w:rsidRPr="00BD50C2">
              <w:rPr>
                <w:color w:val="EE0000"/>
              </w:rPr>
              <w:t>L</w:t>
            </w:r>
          </w:p>
        </w:tc>
        <w:tc>
          <w:tcPr>
            <w:tcW w:w="709" w:type="dxa"/>
            <w:vAlign w:val="center"/>
          </w:tcPr>
          <w:p w14:paraId="5BAF6D0B" w14:textId="56A9FDDE" w:rsidR="00CA744F" w:rsidRPr="00BD50C2" w:rsidRDefault="006E2216" w:rsidP="006E2216">
            <w:pPr>
              <w:jc w:val="center"/>
              <w:rPr>
                <w:color w:val="EE0000"/>
              </w:rPr>
            </w:pPr>
            <w:r w:rsidRPr="00BD50C2">
              <w:rPr>
                <w:color w:val="EE0000"/>
              </w:rPr>
              <w:t>P</w:t>
            </w:r>
          </w:p>
        </w:tc>
        <w:tc>
          <w:tcPr>
            <w:tcW w:w="708" w:type="dxa"/>
            <w:vAlign w:val="center"/>
          </w:tcPr>
          <w:p w14:paraId="73F723EC" w14:textId="527D14D3" w:rsidR="00CA744F" w:rsidRPr="00BD50C2" w:rsidRDefault="006E2216" w:rsidP="006E2216">
            <w:pPr>
              <w:jc w:val="center"/>
              <w:rPr>
                <w:color w:val="EE0000"/>
              </w:rPr>
            </w:pPr>
            <w:r w:rsidRPr="00BD50C2">
              <w:rPr>
                <w:color w:val="EE0000"/>
              </w:rPr>
              <w:t>S</w:t>
            </w:r>
          </w:p>
        </w:tc>
        <w:tc>
          <w:tcPr>
            <w:tcW w:w="652" w:type="dxa"/>
            <w:vAlign w:val="center"/>
          </w:tcPr>
          <w:p w14:paraId="6B2A0846" w14:textId="738ECD22" w:rsidR="00CA744F" w:rsidRPr="00BD50C2" w:rsidRDefault="006E2216" w:rsidP="006E2216">
            <w:pPr>
              <w:jc w:val="center"/>
              <w:rPr>
                <w:color w:val="EE0000"/>
              </w:rPr>
            </w:pPr>
            <w:r w:rsidRPr="00BD50C2">
              <w:rPr>
                <w:color w:val="EE0000"/>
              </w:rPr>
              <w:t>I</w:t>
            </w:r>
          </w:p>
        </w:tc>
      </w:tr>
      <w:tr w:rsidR="00CA744F" w:rsidRPr="00BD50C2" w14:paraId="2856FA32" w14:textId="77777777" w:rsidTr="006E2216">
        <w:trPr>
          <w:jc w:val="center"/>
        </w:trPr>
        <w:tc>
          <w:tcPr>
            <w:tcW w:w="1980" w:type="dxa"/>
            <w:vAlign w:val="center"/>
          </w:tcPr>
          <w:p w14:paraId="0DEE059C" w14:textId="77777777" w:rsidR="00CA744F" w:rsidRPr="00BD50C2" w:rsidRDefault="00CA744F" w:rsidP="007F5238">
            <w:pPr>
              <w:rPr>
                <w:color w:val="EE0000"/>
              </w:rPr>
            </w:pPr>
            <w:r w:rsidRPr="00BD50C2">
              <w:rPr>
                <w:color w:val="EE0000"/>
                <w:sz w:val="20"/>
              </w:rPr>
              <w:t>Capability assessment</w:t>
            </w:r>
          </w:p>
        </w:tc>
        <w:tc>
          <w:tcPr>
            <w:tcW w:w="567" w:type="dxa"/>
            <w:vAlign w:val="center"/>
          </w:tcPr>
          <w:p w14:paraId="7F59E5AB" w14:textId="7E570A40" w:rsidR="00CA744F" w:rsidRPr="00BD50C2" w:rsidRDefault="006E2216" w:rsidP="006E2216">
            <w:pPr>
              <w:jc w:val="center"/>
              <w:rPr>
                <w:color w:val="EE0000"/>
              </w:rPr>
            </w:pPr>
            <w:r w:rsidRPr="00BD50C2">
              <w:rPr>
                <w:color w:val="EE0000"/>
              </w:rPr>
              <w:t>L</w:t>
            </w:r>
          </w:p>
        </w:tc>
        <w:tc>
          <w:tcPr>
            <w:tcW w:w="709" w:type="dxa"/>
            <w:vAlign w:val="center"/>
          </w:tcPr>
          <w:p w14:paraId="36CCD392" w14:textId="6C3138B3" w:rsidR="00CA744F" w:rsidRPr="00BD50C2" w:rsidRDefault="006E2216" w:rsidP="006E2216">
            <w:pPr>
              <w:jc w:val="center"/>
              <w:rPr>
                <w:color w:val="EE0000"/>
              </w:rPr>
            </w:pPr>
            <w:r w:rsidRPr="00BD50C2">
              <w:rPr>
                <w:color w:val="EE0000"/>
              </w:rPr>
              <w:t>P</w:t>
            </w:r>
          </w:p>
        </w:tc>
        <w:tc>
          <w:tcPr>
            <w:tcW w:w="708" w:type="dxa"/>
            <w:vAlign w:val="center"/>
          </w:tcPr>
          <w:p w14:paraId="6ADD6B04" w14:textId="37592A2E" w:rsidR="00CA744F" w:rsidRPr="00BD50C2" w:rsidRDefault="006E2216" w:rsidP="006E2216">
            <w:pPr>
              <w:jc w:val="center"/>
              <w:rPr>
                <w:color w:val="EE0000"/>
              </w:rPr>
            </w:pPr>
            <w:r w:rsidRPr="00BD50C2">
              <w:rPr>
                <w:color w:val="EE0000"/>
              </w:rPr>
              <w:t>S</w:t>
            </w:r>
          </w:p>
        </w:tc>
        <w:tc>
          <w:tcPr>
            <w:tcW w:w="652" w:type="dxa"/>
            <w:vAlign w:val="center"/>
          </w:tcPr>
          <w:p w14:paraId="4B5F76A2" w14:textId="72B409FD" w:rsidR="00CA744F" w:rsidRPr="00BD50C2" w:rsidRDefault="006E2216" w:rsidP="006E2216">
            <w:pPr>
              <w:jc w:val="center"/>
              <w:rPr>
                <w:color w:val="EE0000"/>
              </w:rPr>
            </w:pPr>
            <w:r w:rsidRPr="00BD50C2">
              <w:rPr>
                <w:color w:val="EE0000"/>
              </w:rPr>
              <w:t>I</w:t>
            </w:r>
          </w:p>
        </w:tc>
      </w:tr>
      <w:tr w:rsidR="00CA744F" w:rsidRPr="00BD50C2" w14:paraId="5059AE43" w14:textId="77777777" w:rsidTr="006E2216">
        <w:trPr>
          <w:jc w:val="center"/>
        </w:trPr>
        <w:tc>
          <w:tcPr>
            <w:tcW w:w="1980" w:type="dxa"/>
            <w:vAlign w:val="center"/>
          </w:tcPr>
          <w:p w14:paraId="2BC925BC" w14:textId="77777777" w:rsidR="00CA744F" w:rsidRPr="00BD50C2" w:rsidRDefault="00CA744F" w:rsidP="007F5238">
            <w:pPr>
              <w:rPr>
                <w:color w:val="EE0000"/>
              </w:rPr>
            </w:pPr>
            <w:r w:rsidRPr="00BD50C2">
              <w:rPr>
                <w:color w:val="EE0000"/>
                <w:sz w:val="20"/>
              </w:rPr>
              <w:t>Risk and control</w:t>
            </w:r>
          </w:p>
        </w:tc>
        <w:tc>
          <w:tcPr>
            <w:tcW w:w="567" w:type="dxa"/>
            <w:vAlign w:val="center"/>
          </w:tcPr>
          <w:p w14:paraId="5EB96168" w14:textId="7BD95BA3" w:rsidR="00CA744F" w:rsidRPr="00BD50C2" w:rsidRDefault="006E2216" w:rsidP="006E2216">
            <w:pPr>
              <w:jc w:val="center"/>
              <w:rPr>
                <w:color w:val="EE0000"/>
              </w:rPr>
            </w:pPr>
            <w:r w:rsidRPr="00BD50C2">
              <w:rPr>
                <w:color w:val="EE0000"/>
              </w:rPr>
              <w:t>L</w:t>
            </w:r>
          </w:p>
        </w:tc>
        <w:tc>
          <w:tcPr>
            <w:tcW w:w="709" w:type="dxa"/>
            <w:vAlign w:val="center"/>
          </w:tcPr>
          <w:p w14:paraId="08DAB0E5" w14:textId="5C9D89AE" w:rsidR="00CA744F" w:rsidRPr="00BD50C2" w:rsidRDefault="006E2216" w:rsidP="006E2216">
            <w:pPr>
              <w:jc w:val="center"/>
              <w:rPr>
                <w:color w:val="EE0000"/>
              </w:rPr>
            </w:pPr>
            <w:r w:rsidRPr="00BD50C2">
              <w:rPr>
                <w:color w:val="EE0000"/>
              </w:rPr>
              <w:t>P</w:t>
            </w:r>
          </w:p>
        </w:tc>
        <w:tc>
          <w:tcPr>
            <w:tcW w:w="708" w:type="dxa"/>
            <w:vAlign w:val="center"/>
          </w:tcPr>
          <w:p w14:paraId="48C0FA10" w14:textId="22B7AFA8" w:rsidR="00CA744F" w:rsidRPr="00BD50C2" w:rsidRDefault="006E2216" w:rsidP="006E2216">
            <w:pPr>
              <w:jc w:val="center"/>
              <w:rPr>
                <w:color w:val="EE0000"/>
              </w:rPr>
            </w:pPr>
            <w:r w:rsidRPr="00BD50C2">
              <w:rPr>
                <w:color w:val="EE0000"/>
              </w:rPr>
              <w:t>S</w:t>
            </w:r>
          </w:p>
        </w:tc>
        <w:tc>
          <w:tcPr>
            <w:tcW w:w="652" w:type="dxa"/>
            <w:vAlign w:val="center"/>
          </w:tcPr>
          <w:p w14:paraId="2E460C7C" w14:textId="7BDA7288" w:rsidR="00CA744F" w:rsidRPr="00BD50C2" w:rsidRDefault="006E2216" w:rsidP="006E2216">
            <w:pPr>
              <w:jc w:val="center"/>
              <w:rPr>
                <w:color w:val="EE0000"/>
              </w:rPr>
            </w:pPr>
            <w:r w:rsidRPr="00BD50C2">
              <w:rPr>
                <w:color w:val="EE0000"/>
              </w:rPr>
              <w:t>I</w:t>
            </w:r>
          </w:p>
        </w:tc>
      </w:tr>
      <w:tr w:rsidR="00CA744F" w:rsidRPr="00BD50C2" w14:paraId="78F8410F" w14:textId="77777777" w:rsidTr="006E2216">
        <w:trPr>
          <w:jc w:val="center"/>
        </w:trPr>
        <w:tc>
          <w:tcPr>
            <w:tcW w:w="1980" w:type="dxa"/>
            <w:vAlign w:val="center"/>
          </w:tcPr>
          <w:p w14:paraId="1B7F298B" w14:textId="77777777" w:rsidR="00CA744F" w:rsidRPr="00BD50C2" w:rsidRDefault="00CA744F" w:rsidP="007F5238">
            <w:pPr>
              <w:rPr>
                <w:color w:val="EE0000"/>
              </w:rPr>
            </w:pPr>
            <w:r w:rsidRPr="00BD50C2">
              <w:rPr>
                <w:color w:val="EE0000"/>
                <w:sz w:val="20"/>
              </w:rPr>
              <w:t>Performance measurement</w:t>
            </w:r>
          </w:p>
        </w:tc>
        <w:tc>
          <w:tcPr>
            <w:tcW w:w="567" w:type="dxa"/>
            <w:vAlign w:val="center"/>
          </w:tcPr>
          <w:p w14:paraId="78696DDE" w14:textId="7A0AD770" w:rsidR="00CA744F" w:rsidRPr="00BD50C2" w:rsidRDefault="006E2216" w:rsidP="006E2216">
            <w:pPr>
              <w:jc w:val="center"/>
              <w:rPr>
                <w:color w:val="EE0000"/>
              </w:rPr>
            </w:pPr>
            <w:r w:rsidRPr="00BD50C2">
              <w:rPr>
                <w:color w:val="EE0000"/>
                <w:sz w:val="20"/>
              </w:rPr>
              <w:t>L</w:t>
            </w:r>
          </w:p>
        </w:tc>
        <w:tc>
          <w:tcPr>
            <w:tcW w:w="709" w:type="dxa"/>
            <w:vAlign w:val="center"/>
          </w:tcPr>
          <w:p w14:paraId="7FA8DC93" w14:textId="231F054E" w:rsidR="00CA744F" w:rsidRPr="00BD50C2" w:rsidRDefault="006E2216" w:rsidP="006E2216">
            <w:pPr>
              <w:jc w:val="center"/>
              <w:rPr>
                <w:color w:val="EE0000"/>
              </w:rPr>
            </w:pPr>
            <w:r w:rsidRPr="00BD50C2">
              <w:rPr>
                <w:color w:val="EE0000"/>
              </w:rPr>
              <w:t>P</w:t>
            </w:r>
          </w:p>
        </w:tc>
        <w:tc>
          <w:tcPr>
            <w:tcW w:w="708" w:type="dxa"/>
            <w:vAlign w:val="center"/>
          </w:tcPr>
          <w:p w14:paraId="0C22E838" w14:textId="781B3FF9" w:rsidR="00CA744F" w:rsidRPr="00BD50C2" w:rsidRDefault="006E2216" w:rsidP="006E2216">
            <w:pPr>
              <w:jc w:val="center"/>
              <w:rPr>
                <w:color w:val="EE0000"/>
              </w:rPr>
            </w:pPr>
            <w:r w:rsidRPr="00BD50C2">
              <w:rPr>
                <w:color w:val="EE0000"/>
              </w:rPr>
              <w:t>S</w:t>
            </w:r>
          </w:p>
        </w:tc>
        <w:tc>
          <w:tcPr>
            <w:tcW w:w="652" w:type="dxa"/>
            <w:vAlign w:val="center"/>
          </w:tcPr>
          <w:p w14:paraId="323366B7" w14:textId="22D551BF" w:rsidR="00CA744F" w:rsidRPr="00BD50C2" w:rsidRDefault="006E2216" w:rsidP="006E2216">
            <w:pPr>
              <w:jc w:val="center"/>
              <w:rPr>
                <w:color w:val="EE0000"/>
              </w:rPr>
            </w:pPr>
            <w:r w:rsidRPr="00BD50C2">
              <w:rPr>
                <w:color w:val="EE0000"/>
              </w:rPr>
              <w:t>I</w:t>
            </w:r>
          </w:p>
        </w:tc>
      </w:tr>
      <w:tr w:rsidR="00CA744F" w:rsidRPr="00BD50C2" w14:paraId="5DFBD413" w14:textId="77777777" w:rsidTr="006E2216">
        <w:trPr>
          <w:jc w:val="center"/>
        </w:trPr>
        <w:tc>
          <w:tcPr>
            <w:tcW w:w="1980" w:type="dxa"/>
            <w:vAlign w:val="center"/>
          </w:tcPr>
          <w:p w14:paraId="66E4E0B2" w14:textId="77777777" w:rsidR="00CA744F" w:rsidRPr="00BD50C2" w:rsidRDefault="00CA744F" w:rsidP="007F5238">
            <w:pPr>
              <w:rPr>
                <w:color w:val="EE0000"/>
              </w:rPr>
            </w:pPr>
            <w:r w:rsidRPr="00BD50C2">
              <w:rPr>
                <w:color w:val="EE0000"/>
                <w:sz w:val="20"/>
              </w:rPr>
              <w:t>Requirement-to-control traceability</w:t>
            </w:r>
          </w:p>
        </w:tc>
        <w:tc>
          <w:tcPr>
            <w:tcW w:w="567" w:type="dxa"/>
            <w:vAlign w:val="center"/>
          </w:tcPr>
          <w:p w14:paraId="758CFD6E" w14:textId="4F008195" w:rsidR="00CA744F" w:rsidRPr="00BD50C2" w:rsidRDefault="006E2216" w:rsidP="006E2216">
            <w:pPr>
              <w:jc w:val="center"/>
              <w:rPr>
                <w:color w:val="EE0000"/>
              </w:rPr>
            </w:pPr>
            <w:r w:rsidRPr="00BD50C2">
              <w:rPr>
                <w:color w:val="EE0000"/>
              </w:rPr>
              <w:t>X</w:t>
            </w:r>
          </w:p>
        </w:tc>
        <w:tc>
          <w:tcPr>
            <w:tcW w:w="709" w:type="dxa"/>
            <w:vAlign w:val="center"/>
          </w:tcPr>
          <w:p w14:paraId="3CE34CF6" w14:textId="617811A3" w:rsidR="00CA744F" w:rsidRPr="00BD50C2" w:rsidRDefault="006E2216" w:rsidP="006E2216">
            <w:pPr>
              <w:jc w:val="center"/>
              <w:rPr>
                <w:color w:val="EE0000"/>
              </w:rPr>
            </w:pPr>
            <w:r w:rsidRPr="00BD50C2">
              <w:rPr>
                <w:color w:val="EE0000"/>
              </w:rPr>
              <w:t>P</w:t>
            </w:r>
          </w:p>
        </w:tc>
        <w:tc>
          <w:tcPr>
            <w:tcW w:w="708" w:type="dxa"/>
            <w:vAlign w:val="center"/>
          </w:tcPr>
          <w:p w14:paraId="770C57B3" w14:textId="56497241" w:rsidR="00CA744F" w:rsidRPr="00BD50C2" w:rsidRDefault="006E2216" w:rsidP="006E2216">
            <w:pPr>
              <w:jc w:val="center"/>
              <w:rPr>
                <w:color w:val="EE0000"/>
              </w:rPr>
            </w:pPr>
            <w:r w:rsidRPr="00BD50C2">
              <w:rPr>
                <w:color w:val="EE0000"/>
              </w:rPr>
              <w:t>P</w:t>
            </w:r>
          </w:p>
        </w:tc>
        <w:tc>
          <w:tcPr>
            <w:tcW w:w="652" w:type="dxa"/>
            <w:vAlign w:val="center"/>
          </w:tcPr>
          <w:p w14:paraId="2F8D622B" w14:textId="59A97F45" w:rsidR="00CA744F" w:rsidRPr="00BD50C2" w:rsidRDefault="006E2216" w:rsidP="006E2216">
            <w:pPr>
              <w:jc w:val="center"/>
              <w:rPr>
                <w:color w:val="EE0000"/>
              </w:rPr>
            </w:pPr>
            <w:r w:rsidRPr="00BD50C2">
              <w:rPr>
                <w:color w:val="EE0000"/>
              </w:rPr>
              <w:t>PM</w:t>
            </w:r>
          </w:p>
        </w:tc>
      </w:tr>
      <w:tr w:rsidR="00CA744F" w:rsidRPr="00BD50C2" w14:paraId="375C2CF0" w14:textId="77777777" w:rsidTr="006E2216">
        <w:trPr>
          <w:jc w:val="center"/>
        </w:trPr>
        <w:tc>
          <w:tcPr>
            <w:tcW w:w="1980" w:type="dxa"/>
            <w:vAlign w:val="center"/>
          </w:tcPr>
          <w:p w14:paraId="2103CF8B" w14:textId="77777777" w:rsidR="00CA744F" w:rsidRPr="00BD50C2" w:rsidRDefault="00CA744F" w:rsidP="007F5238">
            <w:pPr>
              <w:rPr>
                <w:color w:val="EE0000"/>
              </w:rPr>
            </w:pPr>
            <w:r w:rsidRPr="00BD50C2">
              <w:rPr>
                <w:color w:val="EE0000"/>
                <w:sz w:val="20"/>
              </w:rPr>
              <w:t>Priority propagation mechanism</w:t>
            </w:r>
          </w:p>
        </w:tc>
        <w:tc>
          <w:tcPr>
            <w:tcW w:w="567" w:type="dxa"/>
            <w:vAlign w:val="center"/>
          </w:tcPr>
          <w:p w14:paraId="2A3DDDE4" w14:textId="3563241A" w:rsidR="00CA744F" w:rsidRPr="00BD50C2" w:rsidRDefault="006E2216" w:rsidP="006E2216">
            <w:pPr>
              <w:jc w:val="center"/>
              <w:rPr>
                <w:color w:val="EE0000"/>
              </w:rPr>
            </w:pPr>
            <w:r w:rsidRPr="00BD50C2">
              <w:rPr>
                <w:color w:val="EE0000"/>
              </w:rPr>
              <w:t>X</w:t>
            </w:r>
          </w:p>
        </w:tc>
        <w:tc>
          <w:tcPr>
            <w:tcW w:w="709" w:type="dxa"/>
            <w:vAlign w:val="center"/>
          </w:tcPr>
          <w:p w14:paraId="227637DD" w14:textId="376CD695" w:rsidR="00CA744F" w:rsidRPr="00BD50C2" w:rsidRDefault="006E2216" w:rsidP="006E2216">
            <w:pPr>
              <w:jc w:val="center"/>
              <w:rPr>
                <w:color w:val="EE0000"/>
              </w:rPr>
            </w:pPr>
            <w:r w:rsidRPr="00BD50C2">
              <w:rPr>
                <w:color w:val="EE0000"/>
              </w:rPr>
              <w:t>X</w:t>
            </w:r>
          </w:p>
        </w:tc>
        <w:tc>
          <w:tcPr>
            <w:tcW w:w="708" w:type="dxa"/>
            <w:vAlign w:val="center"/>
          </w:tcPr>
          <w:p w14:paraId="2C49F06E" w14:textId="6570E380" w:rsidR="00CA744F" w:rsidRPr="00BD50C2" w:rsidRDefault="006E2216" w:rsidP="006E2216">
            <w:pPr>
              <w:jc w:val="center"/>
              <w:rPr>
                <w:color w:val="EE0000"/>
              </w:rPr>
            </w:pPr>
            <w:r w:rsidRPr="00BD50C2">
              <w:rPr>
                <w:color w:val="EE0000"/>
              </w:rPr>
              <w:t>X</w:t>
            </w:r>
          </w:p>
        </w:tc>
        <w:tc>
          <w:tcPr>
            <w:tcW w:w="652" w:type="dxa"/>
            <w:vAlign w:val="center"/>
          </w:tcPr>
          <w:p w14:paraId="2B9968F4" w14:textId="12A72CF3" w:rsidR="00CA744F" w:rsidRPr="00BD50C2" w:rsidRDefault="006E2216" w:rsidP="006E2216">
            <w:pPr>
              <w:jc w:val="center"/>
              <w:rPr>
                <w:color w:val="EE0000"/>
              </w:rPr>
            </w:pPr>
            <w:r w:rsidRPr="00BD50C2">
              <w:rPr>
                <w:color w:val="EE0000"/>
              </w:rPr>
              <w:t>PM</w:t>
            </w:r>
          </w:p>
        </w:tc>
      </w:tr>
      <w:tr w:rsidR="00CA744F" w:rsidRPr="00BD50C2" w14:paraId="26BF5AD4" w14:textId="77777777" w:rsidTr="006E2216">
        <w:trPr>
          <w:jc w:val="center"/>
        </w:trPr>
        <w:tc>
          <w:tcPr>
            <w:tcW w:w="1980" w:type="dxa"/>
            <w:vAlign w:val="center"/>
          </w:tcPr>
          <w:p w14:paraId="6634B3EC" w14:textId="77777777" w:rsidR="00CA744F" w:rsidRPr="00BD50C2" w:rsidRDefault="00CA744F" w:rsidP="007F5238">
            <w:pPr>
              <w:rPr>
                <w:color w:val="EE0000"/>
              </w:rPr>
            </w:pPr>
            <w:r w:rsidRPr="00BD50C2">
              <w:rPr>
                <w:color w:val="EE0000"/>
                <w:sz w:val="20"/>
              </w:rPr>
              <w:t>Cross-framework feedback loop</w:t>
            </w:r>
          </w:p>
        </w:tc>
        <w:tc>
          <w:tcPr>
            <w:tcW w:w="567" w:type="dxa"/>
            <w:vAlign w:val="center"/>
          </w:tcPr>
          <w:p w14:paraId="0EE7628B" w14:textId="1719BC71" w:rsidR="00CA744F" w:rsidRPr="00BD50C2" w:rsidRDefault="006E2216" w:rsidP="006E2216">
            <w:pPr>
              <w:jc w:val="center"/>
              <w:rPr>
                <w:color w:val="EE0000"/>
              </w:rPr>
            </w:pPr>
            <w:r w:rsidRPr="00BD50C2">
              <w:rPr>
                <w:color w:val="EE0000"/>
              </w:rPr>
              <w:t>X</w:t>
            </w:r>
          </w:p>
        </w:tc>
        <w:tc>
          <w:tcPr>
            <w:tcW w:w="709" w:type="dxa"/>
            <w:vAlign w:val="center"/>
          </w:tcPr>
          <w:p w14:paraId="5DBC20FF" w14:textId="515EFC3D" w:rsidR="00CA744F" w:rsidRPr="00BD50C2" w:rsidRDefault="006E2216" w:rsidP="006E2216">
            <w:pPr>
              <w:jc w:val="center"/>
              <w:rPr>
                <w:color w:val="EE0000"/>
              </w:rPr>
            </w:pPr>
            <w:r w:rsidRPr="00BD50C2">
              <w:rPr>
                <w:color w:val="EE0000"/>
              </w:rPr>
              <w:t>P</w:t>
            </w:r>
          </w:p>
        </w:tc>
        <w:tc>
          <w:tcPr>
            <w:tcW w:w="708" w:type="dxa"/>
            <w:vAlign w:val="center"/>
          </w:tcPr>
          <w:p w14:paraId="154AC0D0" w14:textId="43FF8B0C" w:rsidR="00CA744F" w:rsidRPr="00BD50C2" w:rsidRDefault="006E2216" w:rsidP="006E2216">
            <w:pPr>
              <w:jc w:val="center"/>
              <w:rPr>
                <w:color w:val="EE0000"/>
              </w:rPr>
            </w:pPr>
            <w:r w:rsidRPr="00BD50C2">
              <w:rPr>
                <w:color w:val="EE0000"/>
              </w:rPr>
              <w:t>P</w:t>
            </w:r>
          </w:p>
        </w:tc>
        <w:tc>
          <w:tcPr>
            <w:tcW w:w="652" w:type="dxa"/>
            <w:vAlign w:val="center"/>
          </w:tcPr>
          <w:p w14:paraId="6FD3ADCC" w14:textId="1145BFDE" w:rsidR="00CA744F" w:rsidRPr="00BD50C2" w:rsidRDefault="006E2216" w:rsidP="006E2216">
            <w:pPr>
              <w:jc w:val="center"/>
              <w:rPr>
                <w:color w:val="EE0000"/>
              </w:rPr>
            </w:pPr>
            <w:r w:rsidRPr="00BD50C2">
              <w:rPr>
                <w:color w:val="EE0000"/>
              </w:rPr>
              <w:t>PM</w:t>
            </w:r>
          </w:p>
        </w:tc>
      </w:tr>
    </w:tbl>
    <w:p w14:paraId="4A8AABD7" w14:textId="77777777" w:rsidR="00ED7A80" w:rsidRDefault="00ED7A80" w:rsidP="00ED7A80"/>
    <w:p w14:paraId="6585DAD4" w14:textId="77777777" w:rsidR="006E2216" w:rsidRPr="00BD50C2" w:rsidRDefault="00CA744F" w:rsidP="00ED7A80">
      <w:pPr>
        <w:rPr>
          <w:color w:val="EE0000"/>
        </w:rPr>
      </w:pPr>
      <w:r w:rsidRPr="00BD50C2">
        <w:rPr>
          <w:color w:val="EE0000"/>
        </w:rPr>
        <w:t xml:space="preserve">Noted : </w:t>
      </w:r>
    </w:p>
    <w:p w14:paraId="49FD9AEB" w14:textId="1AA9B7FA" w:rsidR="006E2216" w:rsidRPr="00BD50C2" w:rsidRDefault="006E2216" w:rsidP="006E2216">
      <w:pPr>
        <w:jc w:val="left"/>
        <w:rPr>
          <w:color w:val="EE0000"/>
        </w:rPr>
      </w:pPr>
      <w:r w:rsidRPr="00BD50C2">
        <w:rPr>
          <w:color w:val="EE0000"/>
        </w:rPr>
        <w:t>WP=Ward &amp; Peppard; TOG=TOGAF;COB=COBIT 2019; PRA=Prasasti</w:t>
      </w:r>
      <w:r w:rsidRPr="00BD50C2">
        <w:rPr>
          <w:color w:val="EE0000"/>
        </w:rPr>
        <w:br/>
      </w:r>
    </w:p>
    <w:p w14:paraId="308F5A01" w14:textId="7B5A1E51" w:rsidR="00CA744F" w:rsidRPr="00BD50C2" w:rsidRDefault="00CA744F" w:rsidP="00ED7A80">
      <w:pPr>
        <w:rPr>
          <w:color w:val="EE0000"/>
        </w:rPr>
      </w:pPr>
      <w:r w:rsidRPr="00BD50C2">
        <w:rPr>
          <w:color w:val="EE0000"/>
        </w:rPr>
        <w:t>S = Strong ; P=Partial; L=Limited; I=Integrated; PM=Proposed Mechanisme ; X=not</w:t>
      </w:r>
      <w:r w:rsidR="00BD50C2" w:rsidRPr="00BD50C2">
        <w:rPr>
          <w:color w:val="EE0000"/>
        </w:rPr>
        <w:t xml:space="preserve"> exist</w:t>
      </w:r>
    </w:p>
    <w:p w14:paraId="6FBF957F" w14:textId="77777777" w:rsidR="00BD50C2" w:rsidRDefault="00BD50C2" w:rsidP="00ED7A80"/>
    <w:p w14:paraId="163C31E0" w14:textId="0A8A4CCA" w:rsidR="00BD50C2" w:rsidRPr="00BD50C2" w:rsidRDefault="00BD50C2" w:rsidP="00BD50C2">
      <w:pPr>
        <w:rPr>
          <w:color w:val="EE0000"/>
          <w:lang w:val="id-ID"/>
        </w:rPr>
      </w:pPr>
      <w:r w:rsidRPr="00BD50C2">
        <w:rPr>
          <w:color w:val="EE0000"/>
          <w:lang w:val="id-ID"/>
        </w:rPr>
        <w:t>The table</w:t>
      </w:r>
      <w:r w:rsidRPr="00BD50C2">
        <w:rPr>
          <w:color w:val="EE0000"/>
          <w:lang w:val="id-ID"/>
        </w:rPr>
        <w:t xml:space="preserve"> no. 2, </w:t>
      </w:r>
      <w:r w:rsidRPr="00BD50C2">
        <w:rPr>
          <w:color w:val="EE0000"/>
          <w:lang w:val="id-ID"/>
        </w:rPr>
        <w:t xml:space="preserve"> presents a comparative analysis of capability dimensions among Ward and Peppard, TOGAF ADM, COBIT 2019, and PRASASTI. The comparison shows that each existing framework provides strong capabilities in specific areas: Ward and Peppard focuses on strategic analysis and IT portfolio planning, TOGAF ADM emphasizes enterprise architecture development, while COBIT 2019 provides governance, control, capability assessment, and performance management.</w:t>
      </w:r>
    </w:p>
    <w:p w14:paraId="1E52226A" w14:textId="77777777" w:rsidR="00BD50C2" w:rsidRPr="00BD50C2" w:rsidRDefault="00BD50C2" w:rsidP="00BD50C2">
      <w:pPr>
        <w:rPr>
          <w:color w:val="EE0000"/>
          <w:lang w:val="id-ID"/>
        </w:rPr>
      </w:pPr>
      <w:r w:rsidRPr="00BD50C2">
        <w:rPr>
          <w:color w:val="EE0000"/>
          <w:lang w:val="id-ID"/>
        </w:rPr>
        <w:t>However, the comparison highlights several integration gaps in existing frameworks, particularly in requirement-to-control traceability, priority propagation, and cross-framework feedback mechanisms. PRASASTI addresses these limitations by introducing an integrated mechanism that connects strategic requirements, enterprise architecture decisions, governance objectives, and continuous improvement processes. Therefore, PRASASTI extends beyond framework combination by providing structured integration and traceability across IT strategic planning domains.</w:t>
      </w:r>
    </w:p>
    <w:p w14:paraId="0C5D4E31" w14:textId="77777777" w:rsidR="00BD50C2" w:rsidRPr="00ED7A80" w:rsidRDefault="00BD50C2" w:rsidP="00ED7A80"/>
    <w:p w14:paraId="67A0D0DD" w14:textId="719FDF97" w:rsidR="00184176" w:rsidRPr="008F6FAA" w:rsidRDefault="00000000">
      <w:pPr>
        <w:pStyle w:val="Judul1"/>
        <w:rPr>
          <w:color w:val="000000" w:themeColor="text1"/>
          <w:szCs w:val="24"/>
        </w:rPr>
      </w:pPr>
      <w:r w:rsidRPr="008F6FAA">
        <w:rPr>
          <w:rFonts w:ascii="Times New Roman" w:eastAsia="Times New Roman" w:hAnsi="Times New Roman"/>
          <w:color w:val="000000" w:themeColor="text1"/>
          <w:szCs w:val="24"/>
        </w:rPr>
        <w:t>3. Research Gap and Novelty</w:t>
      </w:r>
    </w:p>
    <w:p w14:paraId="1F79AD37" w14:textId="77777777" w:rsidR="00960A8A" w:rsidRDefault="00960A8A" w:rsidP="00960A8A">
      <w:pPr>
        <w:ind w:firstLine="312"/>
      </w:pPr>
      <w:r>
        <w:rPr>
          <w:rFonts w:cs="Times New Roman"/>
        </w:rPr>
        <w:t>Based on the library review, there are three major research gaps. First , the integration of Ward &amp; Peppard and TOGAF is strong. In IS/IT strategy analysis and enterprise architecture, it does not yet explicitly provide governance objectives, capability assessment, risk control, and performance measurement. Second, the integration of Ward &amp; Peppard and COBIT 2019 is strong in IS/IT strategy and governance, but has not yet produced a complete enterprise architecture blueprint. Third, the integration of TOGAF and COBIT 2019 is strong in architecture and governance, but not yet strong enough in strategic analysis of IS/IT and in compiling an application portfolio aligned with business strategy.</w:t>
      </w:r>
    </w:p>
    <w:p w14:paraId="19F6E548" w14:textId="77777777" w:rsidR="00960A8A" w:rsidRDefault="00960A8A" w:rsidP="00960A8A">
      <w:pPr>
        <w:ind w:firstLine="312"/>
      </w:pPr>
      <w:r>
        <w:rPr>
          <w:rFonts w:cs="Times New Roman"/>
        </w:rPr>
        <w:t xml:space="preserve">Research novelty: This lies in the development of an integrated framework that combines Ward &amp; Peppard, TOGAF, and COBIT 2019 into a single planning model for IT strategy. This framework connects business strategy analysis, portfolio application, enterprise architecture blueprint, governance objectives, capability assessment, risk control, readiness index, gap analysis, and performance measurement. Additionally, the </w:t>
      </w:r>
      <w:r>
        <w:rPr>
          <w:rFonts w:cs="Times New Roman"/>
        </w:rPr>
        <w:lastRenderedPageBreak/>
        <w:t xml:space="preserve">research uses the Design Science Research approach </w:t>
      </w:r>
      <w:r w:rsidR="00871863">
        <w:rPr>
          <w:lang w:val="id-ID"/>
        </w:rPr>
        <w:fldChar w:fldCharType="begin" w:fldLock="1"/>
      </w:r>
      <w:r w:rsidR="00871863">
        <w:rPr>
          <w:lang w:val="id-ID"/>
        </w:rPr>
        <w:instrText>ADDIN CSL_CITATION {"citationItems":[{"id":"ITEM-1","itemData":{"DOI":"10.2753/MIS0742-1222240302","ISSN":"07421222","abstract":"The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author":[{"dropping-particle":"","family":"Peffers","given":"Ken","non-dropping-particle":"","parse-names":false,"suffix":""},{"dropping-particle":"","family":"Tuunanen","given":"Tuure","non-dropping-particle":"","parse-names":false,"suffix":""},{"dropping-particle":"","family":"Rothenberger","given":"Marcus A.","non-dropping-particle":"","parse-names":false,"suffix":""},{"dropping-particle":"","family":"Chatterjee","given":"Samir","non-dropping-particle":"","parse-names":false,"suffix":""}],"container-title":"Journal of Management Information Systems","id":"ITEM-1","issue":"3","issued":{"date-parts":[["2007","12"]]},"page":"45-77","title":"A design science research methodology for information systems research","type":"article-journal","volume":"24"},"uris":["http://www.mendeley.com/documents/?uuid=147fb950-a8f7-347a-9fb2-d6afd418081b"]}],"mendeley":{"formattedCitation":"[24]","plainTextFormattedCitation":"[24]","previouslyFormattedCitation":"[24]"},"properties":{"noteIndex":0},"schema":"https://github.com/citation-style-language/schema/raw/master/csl-citation.json"}</w:instrText>
      </w:r>
      <w:r w:rsidR="00871863">
        <w:rPr>
          <w:lang w:val="id-ID"/>
        </w:rPr>
        <w:fldChar w:fldCharType="separate"/>
      </w:r>
      <w:r w:rsidR="00871863" w:rsidRPr="00891739">
        <w:rPr>
          <w:noProof/>
          <w:lang w:val="id-ID"/>
        </w:rPr>
        <w:t>[24]</w:t>
      </w:r>
      <w:r w:rsidR="00871863">
        <w:rPr>
          <w:lang w:val="id-ID"/>
        </w:rPr>
        <w:fldChar w:fldCharType="end"/>
      </w:r>
      <w:r w:rsidR="00871863">
        <w:rPr>
          <w:lang w:val="id-ID"/>
        </w:rPr>
        <w:t xml:space="preserve"> </w:t>
      </w:r>
      <w:r>
        <w:rPr>
          <w:rFonts w:cs="Times New Roman"/>
        </w:rPr>
        <w:t xml:space="preserve">to build conceptual artifacts and the Delphi method </w:t>
      </w:r>
      <w:r w:rsidR="00871863">
        <w:rPr>
          <w:rFonts w:cs="Times New Roman"/>
        </w:rPr>
        <w:fldChar w:fldCharType="begin" w:fldLock="1"/>
      </w:r>
      <w:r w:rsidR="00871863">
        <w:rPr>
          <w:rFonts w:cs="Times New Roman"/>
        </w:rPr>
        <w:instrText>ADDIN CSL_CITATION {"citationItems":[{"id":"ITEM-1","itemData":{"author":[{"dropping-particle":"","family":"Hsu","given":"Chia-chien","non-dropping-particle":"","parse-names":false,"suffix":""},{"dropping-particle":"","family":"Ohio","given":"The","non-dropping-particle":"","parse-names":false,"suffix":""}],"id":"ITEM-1","issue":"10","issued":{"date-parts":[["2007"]]},"title":"The Delphi Technique :","type":"article-journal","volume":"12"},"uris":["http://www.mendeley.com/documents/?uuid=1ce647f2-9c72-48e0-a22d-8dfa564f375b"]}],"mendeley":{"formattedCitation":"[34]","plainTextFormattedCitation":"[34]","previouslyFormattedCitation":"[34]"},"properties":{"noteIndex":0},"schema":"https://github.com/citation-style-language/schema/raw/master/csl-citation.json"}</w:instrText>
      </w:r>
      <w:r w:rsidR="00871863">
        <w:rPr>
          <w:rFonts w:cs="Times New Roman"/>
        </w:rPr>
        <w:fldChar w:fldCharType="separate"/>
      </w:r>
      <w:r w:rsidR="00871863" w:rsidRPr="00871863">
        <w:rPr>
          <w:rFonts w:cs="Times New Roman"/>
          <w:noProof/>
        </w:rPr>
        <w:t>[34]</w:t>
      </w:r>
      <w:r w:rsidR="00871863">
        <w:rPr>
          <w:rFonts w:cs="Times New Roman"/>
        </w:rPr>
        <w:fldChar w:fldCharType="end"/>
      </w:r>
      <w:r w:rsidR="00871863">
        <w:rPr>
          <w:rFonts w:cs="Times New Roman"/>
        </w:rPr>
        <w:fldChar w:fldCharType="begin" w:fldLock="1"/>
      </w:r>
      <w:r w:rsidR="00871863">
        <w:rPr>
          <w:rFonts w:cs="Times New Roman"/>
        </w:rPr>
        <w:instrText>ADDIN CSL_CITATION {"citationItems":[{"id":"ITEM-1","itemData":{"DOI":"10.18517/ijaseit.10.1.9007","ISSN":"24606952","abstract":"Enterprise architecture (EA) proves to be a holistic strategy in aligning business and information technology. An increasing number of organizations, especially in the public sector, have adopted EA in order to take advantage of the opportunities that it offers. Through EA, the efficiency of the organization is improved, with the optimization of resources and the elimination of duplication and redundancy. However, the successful establishment of EA relies on the organization's readiness and ability to adopt EA practices because without proper readiness, the practices will probably fail. EA readiness refers to the assessment of how ready an organization is to adopt and to establish EA practices. EA readiness helps the organization to measure their stage of readiness, to identify any gaps, and then to redesign its strategy in order to adopt EA practices. EA is a merger between business and IT. Thus, the important elements of EA readiness should comprise of people, process, technology, and catalyst enabler. There is a lack of readiness for an assessment model that shapes these four elements towards EA; hence, a clear gap has been identified. Therefore, the objective of this study is to validate the EA Readiness Assessment Model (EARAM) by performing the Delphi technique. The study adopts a three-round Delphi Technique to verify the identified elements and factors and this is followed by developing and validating the proposed model. Results from the Delphi analysis have validated four (4) major elements of EARAM, namely people, process, technology, and catalyst enabler. The number of factors that contributes towards the readiness of the EA establishment is fourteen (14). It is anticipated that this model (EARAM) can help the Malaysian Public Sector (MPS) organization to identify and understand the elements and factors that must be considered when assessing the readiness to practice EA.","author":[{"dropping-particle":"","family":"Hussein","given":"Surya Sumarni","non-dropping-particle":"","parse-names":false,"suffix":""},{"dropping-particle":"","family":"Mahrin","given":"Mohd Naz ri","non-dropping-particle":"","parse-names":false,"suffix":""},{"dropping-particle":"","family":"Maarop","given":"Nurazean","non-dropping-particle":"","parse-names":false,"suffix":""},{"dropping-particle":"","family":"Bakar","given":"Nur Azaliah Abu","non-dropping-particle":"","parse-names":false,"suffix":""}],"container-title":"International Journal on Advanced Science, Engineering and Information Technology","id":"ITEM-1","issue":"1","issued":{"date-parts":[["2020"]]},"page":"157-163","title":"Development and validation of enterprise architecture (EA) readiness assessment model","type":"article-journal","volume":"10"},"uris":["http://www.mendeley.com/documents/?uuid=c8c25da9-6ace-4212-97f9-e8ea40befca4"]}],"mendeley":{"formattedCitation":"[35]","plainTextFormattedCitation":"[35]","previouslyFormattedCitation":"[35]"},"properties":{"noteIndex":0},"schema":"https://github.com/citation-style-language/schema/raw/master/csl-citation.json"}</w:instrText>
      </w:r>
      <w:r w:rsidR="00871863">
        <w:rPr>
          <w:rFonts w:cs="Times New Roman"/>
        </w:rPr>
        <w:fldChar w:fldCharType="separate"/>
      </w:r>
      <w:r w:rsidR="00871863" w:rsidRPr="00871863">
        <w:rPr>
          <w:rFonts w:cs="Times New Roman"/>
          <w:noProof/>
        </w:rPr>
        <w:t>[35]</w:t>
      </w:r>
      <w:r w:rsidR="00871863">
        <w:rPr>
          <w:rFonts w:cs="Times New Roman"/>
        </w:rPr>
        <w:fldChar w:fldCharType="end"/>
      </w:r>
      <w:r w:rsidR="00871863">
        <w:rPr>
          <w:rFonts w:cs="Times New Roman"/>
        </w:rPr>
        <w:t xml:space="preserve"> </w:t>
      </w:r>
      <w:r>
        <w:rPr>
          <w:rFonts w:cs="Times New Roman"/>
        </w:rPr>
        <w:t>to validate the model through expert judgment.</w:t>
      </w:r>
    </w:p>
    <w:p w14:paraId="2FC6CDE1" w14:textId="77777777" w:rsidR="00960A8A" w:rsidRDefault="00960A8A" w:rsidP="00960A8A">
      <w:pPr>
        <w:ind w:firstLine="312"/>
      </w:pPr>
      <w:r>
        <w:rPr>
          <w:rFonts w:cs="Times New Roman"/>
        </w:rPr>
        <w:t>Moreover, this integrated framework provides a comprehensive approach to IT strategic planning by unifying strategy analysis, enterprise architecture, and governance objectives within a single model. It enhances alignment between business goals and IT initiatives while facilitating effective resource allocation and portfolio prioritization. The framework also incorporates readiness and gap analysis, allowing organizations to identify weaknesses and implement corrective measures proactively. Through performance measurement and capability assessment, the model supports continuous improvement and informed decision-making. The inclusion of expert validation through the Delphi method enhances the framework's reliability and applicability. Overall, this research contributes a practical and theoretically grounded approach for organizations seeking structured, integrated IT strategic planning.</w:t>
      </w:r>
    </w:p>
    <w:p w14:paraId="78D4F897" w14:textId="77777777" w:rsidR="00CC5102" w:rsidRDefault="00960A8A" w:rsidP="00CC5102">
      <w:pPr>
        <w:jc w:val="center"/>
        <w:rPr>
          <w:sz w:val="20"/>
        </w:rPr>
      </w:pPr>
      <w:r>
        <w:rPr>
          <w:noProof/>
        </w:rPr>
        <w:drawing>
          <wp:anchor distT="0" distB="0" distL="114300" distR="114300" simplePos="0" relativeHeight="251696128" behindDoc="1" locked="0" layoutInCell="1" allowOverlap="1" wp14:anchorId="3930E466" wp14:editId="23B6FF5D">
            <wp:simplePos x="0" y="0"/>
            <wp:positionH relativeFrom="column">
              <wp:posOffset>0</wp:posOffset>
            </wp:positionH>
            <wp:positionV relativeFrom="paragraph">
              <wp:posOffset>145415</wp:posOffset>
            </wp:positionV>
            <wp:extent cx="2834005" cy="3869055"/>
            <wp:effectExtent l="0" t="0" r="444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AG_ITP_Framework_Bahasa_Indonesia.png"/>
                    <pic:cNvPicPr/>
                  </pic:nvPicPr>
                  <pic:blipFill rotWithShape="1">
                    <a:blip r:embed="rId17"/>
                    <a:srcRect b="6158"/>
                    <a:stretch>
                      <a:fillRect/>
                    </a:stretch>
                  </pic:blipFill>
                  <pic:spPr bwMode="auto">
                    <a:xfrm>
                      <a:off x="0" y="0"/>
                      <a:ext cx="2834005" cy="3869055"/>
                    </a:xfrm>
                    <a:prstGeom prst="rect">
                      <a:avLst/>
                    </a:prstGeom>
                    <a:ln>
                      <a:noFill/>
                    </a:ln>
                    <a:extLst>
                      <a:ext uri="{53640926-AAD7-44D8-BBD7-CCE9431645EC}">
                        <a14:shadowObscured xmlns:a14="http://schemas.microsoft.com/office/drawing/2010/main"/>
                      </a:ext>
                    </a:extLst>
                  </pic:spPr>
                </pic:pic>
              </a:graphicData>
            </a:graphic>
          </wp:anchor>
        </w:drawing>
      </w:r>
      <w:r w:rsidR="00CC5102">
        <w:rPr>
          <w:sz w:val="20"/>
        </w:rPr>
        <w:t>Figure 1 Conceptual model of the PRASASTI Framework</w:t>
      </w:r>
    </w:p>
    <w:p w14:paraId="1D51C07A" w14:textId="77777777" w:rsidR="00960A8A" w:rsidRDefault="00960A8A" w:rsidP="00960A8A">
      <w:pPr>
        <w:ind w:firstLine="720"/>
      </w:pPr>
      <w:r>
        <w:rPr>
          <w:rFonts w:cs="Times New Roman"/>
        </w:rPr>
        <w:t xml:space="preserve">In the first stage, the organization's vision, mission, and goals form the basis for strategic analysis. Second stage using Ward &amp; Peppard to evaluate the business environment and IS/IT. The third stage produces a portfolio application strategy. </w:t>
      </w:r>
      <w:r>
        <w:rPr>
          <w:rFonts w:cs="Times New Roman"/>
        </w:rPr>
        <w:t>Fourth stage: using TOGAF to build architecture for business, data, applications, and technology. Fifth stage mapping COBIT 2019 governance objectives. Sixth stage measuring capability levels, risks and controls . Seventh stage: prepare the implementation roadmap, KPI, readiness index, and gap analysis.</w:t>
      </w:r>
    </w:p>
    <w:p w14:paraId="6451D977" w14:textId="77777777" w:rsidR="002A79C9" w:rsidRDefault="00960A8A" w:rsidP="00080116">
      <w:pPr>
        <w:ind w:firstLine="720"/>
      </w:pPr>
      <w:r>
        <w:t xml:space="preserve"> </w:t>
      </w:r>
    </w:p>
    <w:p w14:paraId="33109F92" w14:textId="77777777" w:rsidR="002A79C9" w:rsidRPr="008F6FAA" w:rsidRDefault="002A79C9" w:rsidP="002A79C9">
      <w:pPr>
        <w:pStyle w:val="Judul1"/>
        <w:rPr>
          <w:szCs w:val="24"/>
        </w:rPr>
      </w:pPr>
      <w:r w:rsidRPr="008F6FAA">
        <w:rPr>
          <w:rFonts w:ascii="Times New Roman" w:eastAsia="Times New Roman" w:hAnsi="Times New Roman"/>
          <w:color w:val="000000" w:themeColor="text1"/>
          <w:szCs w:val="24"/>
        </w:rPr>
        <w:t>4. Pro</w:t>
      </w:r>
      <w:r w:rsidR="00311B8D" w:rsidRPr="008F6FAA">
        <w:rPr>
          <w:rFonts w:ascii="Times New Roman" w:eastAsia="Times New Roman" w:hAnsi="Times New Roman"/>
          <w:color w:val="000000" w:themeColor="text1"/>
          <w:szCs w:val="24"/>
        </w:rPr>
        <w:t>p</w:t>
      </w:r>
      <w:r w:rsidRPr="008F6FAA">
        <w:rPr>
          <w:rFonts w:ascii="Times New Roman" w:eastAsia="Times New Roman" w:hAnsi="Times New Roman"/>
          <w:color w:val="000000" w:themeColor="text1"/>
          <w:szCs w:val="24"/>
        </w:rPr>
        <w:t>osed Framework</w:t>
      </w:r>
    </w:p>
    <w:p w14:paraId="1FC668C0" w14:textId="77777777" w:rsidR="00451644" w:rsidRDefault="00451644" w:rsidP="00451644">
      <w:pPr>
        <w:spacing w:before="120" w:after="40"/>
        <w:ind w:firstLine="720"/>
      </w:pPr>
      <w:r>
        <w:rPr>
          <w:rFonts w:cs="Times New Roman"/>
        </w:rPr>
        <w:t>Proposed framework named PRASASTI Framework (Integrated Strategic, Architecture and Governance Framework for IT Strategic Planning). This model consists of seven main stages: organizational strategy analysis , analysis of strategic IS/IT, formulation of portfolio applications , enterprise architecture blueprint preparation , governance objectives mapping , capability assessment and risk control, as well as roadmap and performance measurement.</w:t>
      </w:r>
    </w:p>
    <w:p w14:paraId="19AD56E2" w14:textId="77777777" w:rsidR="002A79C9" w:rsidRDefault="002A79C9" w:rsidP="002A79C9">
      <w:pPr>
        <w:spacing w:before="120" w:after="40"/>
        <w:jc w:val="center"/>
        <w:rPr>
          <w:sz w:val="20"/>
        </w:rPr>
      </w:pPr>
      <w:r>
        <w:rPr>
          <w:sz w:val="20"/>
        </w:rPr>
        <w:t>Table 2. Components of the PRASASTI Framework</w:t>
      </w:r>
    </w:p>
    <w:tbl>
      <w:tblPr>
        <w:tblStyle w:val="KisiTabel"/>
        <w:tblW w:w="4673" w:type="dxa"/>
        <w:jc w:val="center"/>
        <w:tblLayout w:type="fixed"/>
        <w:tblLook w:val="04A0" w:firstRow="1" w:lastRow="0" w:firstColumn="1" w:lastColumn="0" w:noHBand="0" w:noVBand="1"/>
      </w:tblPr>
      <w:tblGrid>
        <w:gridCol w:w="1525"/>
        <w:gridCol w:w="3148"/>
      </w:tblGrid>
      <w:tr w:rsidR="002A79C9" w:rsidRPr="00EB094C" w14:paraId="65795C55" w14:textId="77777777" w:rsidTr="00EB094C">
        <w:trPr>
          <w:tblHeader/>
          <w:jc w:val="center"/>
        </w:trPr>
        <w:tc>
          <w:tcPr>
            <w:tcW w:w="1525" w:type="dxa"/>
            <w:shd w:val="clear" w:color="auto" w:fill="D9EAF7"/>
          </w:tcPr>
          <w:p w14:paraId="29EADA5E" w14:textId="77777777" w:rsidR="002A79C9" w:rsidRPr="00EB094C" w:rsidRDefault="002A79C9" w:rsidP="003F14BE">
            <w:pPr>
              <w:jc w:val="left"/>
              <w:rPr>
                <w:sz w:val="18"/>
                <w:szCs w:val="24"/>
              </w:rPr>
            </w:pPr>
            <w:r w:rsidRPr="00EB094C">
              <w:rPr>
                <w:b/>
                <w:sz w:val="20"/>
                <w:szCs w:val="24"/>
              </w:rPr>
              <w:t>Component</w:t>
            </w:r>
          </w:p>
        </w:tc>
        <w:tc>
          <w:tcPr>
            <w:tcW w:w="3148" w:type="dxa"/>
            <w:shd w:val="clear" w:color="auto" w:fill="D9EAF7"/>
          </w:tcPr>
          <w:p w14:paraId="31C81FD1" w14:textId="77777777" w:rsidR="002A79C9" w:rsidRPr="00EB094C" w:rsidRDefault="002A79C9" w:rsidP="003F14BE">
            <w:pPr>
              <w:jc w:val="left"/>
              <w:rPr>
                <w:sz w:val="18"/>
                <w:szCs w:val="24"/>
              </w:rPr>
            </w:pPr>
            <w:r w:rsidRPr="00EB094C">
              <w:rPr>
                <w:b/>
                <w:sz w:val="20"/>
                <w:szCs w:val="24"/>
              </w:rPr>
              <w:t>Sources and functions</w:t>
            </w:r>
          </w:p>
        </w:tc>
      </w:tr>
      <w:tr w:rsidR="002A79C9" w:rsidRPr="00EB094C" w14:paraId="004C73A0" w14:textId="77777777" w:rsidTr="00EB094C">
        <w:trPr>
          <w:jc w:val="center"/>
        </w:trPr>
        <w:tc>
          <w:tcPr>
            <w:tcW w:w="1525" w:type="dxa"/>
          </w:tcPr>
          <w:p w14:paraId="7BD806B0" w14:textId="77777777" w:rsidR="002A79C9" w:rsidRPr="00EB094C" w:rsidRDefault="002A79C9" w:rsidP="00EB094C">
            <w:pPr>
              <w:rPr>
                <w:sz w:val="18"/>
                <w:szCs w:val="24"/>
              </w:rPr>
            </w:pPr>
            <w:r w:rsidRPr="00EB094C">
              <w:rPr>
                <w:sz w:val="20"/>
                <w:szCs w:val="24"/>
              </w:rPr>
              <w:t>Strategic analysis</w:t>
            </w:r>
          </w:p>
        </w:tc>
        <w:tc>
          <w:tcPr>
            <w:tcW w:w="3148" w:type="dxa"/>
          </w:tcPr>
          <w:p w14:paraId="298577AA" w14:textId="77777777" w:rsidR="002A79C9" w:rsidRPr="00EB094C" w:rsidRDefault="002A79C9" w:rsidP="00EB094C">
            <w:pPr>
              <w:rPr>
                <w:sz w:val="18"/>
                <w:szCs w:val="24"/>
              </w:rPr>
            </w:pPr>
            <w:r w:rsidRPr="00EB094C">
              <w:rPr>
                <w:sz w:val="20"/>
                <w:szCs w:val="24"/>
              </w:rPr>
              <w:t>Ward &amp; Peppard: Identifying need business and IS/IT direction</w:t>
            </w:r>
          </w:p>
        </w:tc>
      </w:tr>
      <w:tr w:rsidR="002A79C9" w:rsidRPr="00EB094C" w14:paraId="37DDD1F6" w14:textId="77777777" w:rsidTr="00EB094C">
        <w:trPr>
          <w:jc w:val="center"/>
        </w:trPr>
        <w:tc>
          <w:tcPr>
            <w:tcW w:w="1525" w:type="dxa"/>
          </w:tcPr>
          <w:p w14:paraId="0FFC83D0" w14:textId="77777777" w:rsidR="002A79C9" w:rsidRPr="00EB094C" w:rsidRDefault="002A79C9" w:rsidP="00EB094C">
            <w:pPr>
              <w:rPr>
                <w:sz w:val="18"/>
                <w:szCs w:val="24"/>
              </w:rPr>
            </w:pPr>
            <w:r w:rsidRPr="00EB094C">
              <w:rPr>
                <w:sz w:val="20"/>
                <w:szCs w:val="24"/>
              </w:rPr>
              <w:t>Application portfolio</w:t>
            </w:r>
          </w:p>
        </w:tc>
        <w:tc>
          <w:tcPr>
            <w:tcW w:w="3148" w:type="dxa"/>
          </w:tcPr>
          <w:p w14:paraId="65598F5D" w14:textId="77777777" w:rsidR="002A79C9" w:rsidRPr="00EB094C" w:rsidRDefault="002A79C9" w:rsidP="00EB094C">
            <w:pPr>
              <w:rPr>
                <w:sz w:val="18"/>
                <w:szCs w:val="24"/>
              </w:rPr>
            </w:pPr>
            <w:r w:rsidRPr="00EB094C">
              <w:rPr>
                <w:sz w:val="20"/>
                <w:szCs w:val="24"/>
              </w:rPr>
              <w:t>Ward &amp; Peppard: Defining priority future applications​</w:t>
            </w:r>
          </w:p>
        </w:tc>
      </w:tr>
      <w:tr w:rsidR="002A79C9" w:rsidRPr="00EB094C" w14:paraId="4772BAEF" w14:textId="77777777" w:rsidTr="00EB094C">
        <w:trPr>
          <w:jc w:val="center"/>
        </w:trPr>
        <w:tc>
          <w:tcPr>
            <w:tcW w:w="1525" w:type="dxa"/>
          </w:tcPr>
          <w:p w14:paraId="53CC9AFD" w14:textId="77777777" w:rsidR="002A79C9" w:rsidRPr="00EB094C" w:rsidRDefault="002A79C9" w:rsidP="00EB094C">
            <w:pPr>
              <w:rPr>
                <w:sz w:val="18"/>
                <w:szCs w:val="24"/>
              </w:rPr>
            </w:pPr>
            <w:r w:rsidRPr="00EB094C">
              <w:rPr>
                <w:sz w:val="20"/>
                <w:szCs w:val="24"/>
              </w:rPr>
              <w:t>Business architecture</w:t>
            </w:r>
          </w:p>
        </w:tc>
        <w:tc>
          <w:tcPr>
            <w:tcW w:w="3148" w:type="dxa"/>
          </w:tcPr>
          <w:p w14:paraId="6B62C6D5" w14:textId="77777777" w:rsidR="002A79C9" w:rsidRPr="00EB094C" w:rsidRDefault="002A79C9" w:rsidP="00EB094C">
            <w:pPr>
              <w:rPr>
                <w:sz w:val="18"/>
                <w:szCs w:val="24"/>
              </w:rPr>
            </w:pPr>
            <w:r w:rsidRPr="00EB094C">
              <w:rPr>
                <w:sz w:val="20"/>
                <w:szCs w:val="24"/>
              </w:rPr>
              <w:t>TOGAF: Mapping business processes and capabilities organization</w:t>
            </w:r>
          </w:p>
        </w:tc>
      </w:tr>
      <w:tr w:rsidR="002A79C9" w:rsidRPr="00EB094C" w14:paraId="5ED7945C" w14:textId="77777777" w:rsidTr="00EB094C">
        <w:trPr>
          <w:jc w:val="center"/>
        </w:trPr>
        <w:tc>
          <w:tcPr>
            <w:tcW w:w="1525" w:type="dxa"/>
          </w:tcPr>
          <w:p w14:paraId="177A4FD9" w14:textId="77777777" w:rsidR="002A79C9" w:rsidRPr="00EB094C" w:rsidRDefault="002A79C9" w:rsidP="00EB094C">
            <w:pPr>
              <w:rPr>
                <w:sz w:val="18"/>
                <w:szCs w:val="24"/>
              </w:rPr>
            </w:pPr>
            <w:r w:rsidRPr="00EB094C">
              <w:rPr>
                <w:sz w:val="20"/>
                <w:szCs w:val="24"/>
              </w:rPr>
              <w:t>Data architecture</w:t>
            </w:r>
          </w:p>
        </w:tc>
        <w:tc>
          <w:tcPr>
            <w:tcW w:w="3148" w:type="dxa"/>
          </w:tcPr>
          <w:p w14:paraId="4A55F652" w14:textId="77777777" w:rsidR="002A79C9" w:rsidRPr="00EB094C" w:rsidRDefault="002A79C9" w:rsidP="00EB094C">
            <w:pPr>
              <w:rPr>
                <w:sz w:val="18"/>
                <w:szCs w:val="24"/>
              </w:rPr>
            </w:pPr>
            <w:r w:rsidRPr="00EB094C">
              <w:rPr>
                <w:sz w:val="20"/>
                <w:szCs w:val="24"/>
              </w:rPr>
              <w:t>TOGAF: Designing data structure , flow , and ownership</w:t>
            </w:r>
          </w:p>
        </w:tc>
      </w:tr>
      <w:tr w:rsidR="002A79C9" w:rsidRPr="00EB094C" w14:paraId="29E1DE70" w14:textId="77777777" w:rsidTr="00EB094C">
        <w:trPr>
          <w:jc w:val="center"/>
        </w:trPr>
        <w:tc>
          <w:tcPr>
            <w:tcW w:w="1525" w:type="dxa"/>
          </w:tcPr>
          <w:p w14:paraId="0F636ED5" w14:textId="77777777" w:rsidR="002A79C9" w:rsidRPr="00EB094C" w:rsidRDefault="002A79C9" w:rsidP="00EB094C">
            <w:pPr>
              <w:rPr>
                <w:sz w:val="18"/>
                <w:szCs w:val="24"/>
              </w:rPr>
            </w:pPr>
            <w:r w:rsidRPr="00EB094C">
              <w:rPr>
                <w:sz w:val="20"/>
                <w:szCs w:val="24"/>
              </w:rPr>
              <w:t>Application architecture</w:t>
            </w:r>
          </w:p>
        </w:tc>
        <w:tc>
          <w:tcPr>
            <w:tcW w:w="3148" w:type="dxa"/>
          </w:tcPr>
          <w:p w14:paraId="749F99F2" w14:textId="77777777" w:rsidR="002A79C9" w:rsidRPr="00EB094C" w:rsidRDefault="002A79C9" w:rsidP="00EB094C">
            <w:pPr>
              <w:rPr>
                <w:sz w:val="18"/>
                <w:szCs w:val="24"/>
              </w:rPr>
            </w:pPr>
            <w:r w:rsidRPr="00EB094C">
              <w:rPr>
                <w:sz w:val="20"/>
                <w:szCs w:val="24"/>
              </w:rPr>
              <w:t>TOGAF: Defining application targets and integration system</w:t>
            </w:r>
          </w:p>
        </w:tc>
      </w:tr>
      <w:tr w:rsidR="002A79C9" w:rsidRPr="00EB094C" w14:paraId="3BA6FB5D" w14:textId="77777777" w:rsidTr="00EB094C">
        <w:trPr>
          <w:jc w:val="center"/>
        </w:trPr>
        <w:tc>
          <w:tcPr>
            <w:tcW w:w="1525" w:type="dxa"/>
          </w:tcPr>
          <w:p w14:paraId="591F3C89" w14:textId="77777777" w:rsidR="002A79C9" w:rsidRPr="00EB094C" w:rsidRDefault="002A79C9" w:rsidP="00EB094C">
            <w:pPr>
              <w:rPr>
                <w:sz w:val="18"/>
                <w:szCs w:val="24"/>
              </w:rPr>
            </w:pPr>
            <w:r w:rsidRPr="00EB094C">
              <w:rPr>
                <w:sz w:val="20"/>
                <w:szCs w:val="24"/>
              </w:rPr>
              <w:t>Technology architecture</w:t>
            </w:r>
          </w:p>
        </w:tc>
        <w:tc>
          <w:tcPr>
            <w:tcW w:w="3148" w:type="dxa"/>
          </w:tcPr>
          <w:p w14:paraId="1E624969" w14:textId="77777777" w:rsidR="002A79C9" w:rsidRPr="00EB094C" w:rsidRDefault="002A79C9" w:rsidP="00EB094C">
            <w:pPr>
              <w:rPr>
                <w:sz w:val="18"/>
                <w:szCs w:val="24"/>
              </w:rPr>
            </w:pPr>
            <w:r w:rsidRPr="00EB094C">
              <w:rPr>
                <w:sz w:val="20"/>
                <w:szCs w:val="24"/>
              </w:rPr>
              <w:t>TOGAF: Designing platforms, networks , infrastructure , and security</w:t>
            </w:r>
          </w:p>
        </w:tc>
      </w:tr>
      <w:tr w:rsidR="002A79C9" w:rsidRPr="00EB094C" w14:paraId="2B6D6CF5" w14:textId="77777777" w:rsidTr="00EB094C">
        <w:trPr>
          <w:jc w:val="center"/>
        </w:trPr>
        <w:tc>
          <w:tcPr>
            <w:tcW w:w="1525" w:type="dxa"/>
          </w:tcPr>
          <w:p w14:paraId="1005FDCC" w14:textId="77777777" w:rsidR="002A79C9" w:rsidRPr="00EB094C" w:rsidRDefault="002A79C9" w:rsidP="00EB094C">
            <w:pPr>
              <w:rPr>
                <w:sz w:val="18"/>
                <w:szCs w:val="24"/>
              </w:rPr>
            </w:pPr>
            <w:r w:rsidRPr="00EB094C">
              <w:rPr>
                <w:sz w:val="20"/>
                <w:szCs w:val="24"/>
              </w:rPr>
              <w:t>Governance objectives</w:t>
            </w:r>
          </w:p>
        </w:tc>
        <w:tc>
          <w:tcPr>
            <w:tcW w:w="3148" w:type="dxa"/>
          </w:tcPr>
          <w:p w14:paraId="50E63ADF" w14:textId="77777777" w:rsidR="002A79C9" w:rsidRPr="00EB094C" w:rsidRDefault="002A79C9" w:rsidP="00EB094C">
            <w:pPr>
              <w:rPr>
                <w:sz w:val="18"/>
                <w:szCs w:val="24"/>
              </w:rPr>
            </w:pPr>
            <w:r w:rsidRPr="00EB094C">
              <w:rPr>
                <w:sz w:val="20"/>
                <w:szCs w:val="24"/>
              </w:rPr>
              <w:t>COBIT 2019: Connecting objective organization with IT governance objectives​</w:t>
            </w:r>
          </w:p>
        </w:tc>
      </w:tr>
      <w:tr w:rsidR="002A79C9" w:rsidRPr="00EB094C" w14:paraId="35C8A9AD" w14:textId="77777777" w:rsidTr="00EB094C">
        <w:trPr>
          <w:jc w:val="center"/>
        </w:trPr>
        <w:tc>
          <w:tcPr>
            <w:tcW w:w="1525" w:type="dxa"/>
          </w:tcPr>
          <w:p w14:paraId="1FF9B4B8" w14:textId="77777777" w:rsidR="002A79C9" w:rsidRPr="00EB094C" w:rsidRDefault="002A79C9" w:rsidP="00EB094C">
            <w:pPr>
              <w:rPr>
                <w:sz w:val="18"/>
                <w:szCs w:val="24"/>
              </w:rPr>
            </w:pPr>
            <w:r w:rsidRPr="00EB094C">
              <w:rPr>
                <w:sz w:val="20"/>
                <w:szCs w:val="24"/>
              </w:rPr>
              <w:t>Capability assessment</w:t>
            </w:r>
          </w:p>
        </w:tc>
        <w:tc>
          <w:tcPr>
            <w:tcW w:w="3148" w:type="dxa"/>
          </w:tcPr>
          <w:p w14:paraId="4996B5C9" w14:textId="77777777" w:rsidR="002A79C9" w:rsidRPr="00EB094C" w:rsidRDefault="002A79C9" w:rsidP="00EB094C">
            <w:pPr>
              <w:rPr>
                <w:sz w:val="18"/>
                <w:szCs w:val="24"/>
              </w:rPr>
            </w:pPr>
            <w:r w:rsidRPr="00EB094C">
              <w:rPr>
                <w:sz w:val="20"/>
                <w:szCs w:val="24"/>
              </w:rPr>
              <w:t>COBIT 2019: Measuring current and target capability levels</w:t>
            </w:r>
          </w:p>
        </w:tc>
      </w:tr>
      <w:tr w:rsidR="002A79C9" w:rsidRPr="00EB094C" w14:paraId="6C3D112C" w14:textId="77777777" w:rsidTr="00EB094C">
        <w:trPr>
          <w:jc w:val="center"/>
        </w:trPr>
        <w:tc>
          <w:tcPr>
            <w:tcW w:w="1525" w:type="dxa"/>
          </w:tcPr>
          <w:p w14:paraId="6E221A87" w14:textId="77777777" w:rsidR="002A79C9" w:rsidRPr="00EB094C" w:rsidRDefault="002A79C9" w:rsidP="00EB094C">
            <w:pPr>
              <w:rPr>
                <w:sz w:val="18"/>
                <w:szCs w:val="24"/>
              </w:rPr>
            </w:pPr>
            <w:r w:rsidRPr="00EB094C">
              <w:rPr>
                <w:sz w:val="20"/>
                <w:szCs w:val="24"/>
              </w:rPr>
              <w:t>Risk and control</w:t>
            </w:r>
          </w:p>
        </w:tc>
        <w:tc>
          <w:tcPr>
            <w:tcW w:w="3148" w:type="dxa"/>
          </w:tcPr>
          <w:p w14:paraId="2D608E3A" w14:textId="77777777" w:rsidR="002A79C9" w:rsidRPr="00EB094C" w:rsidRDefault="002A79C9" w:rsidP="00EB094C">
            <w:pPr>
              <w:rPr>
                <w:sz w:val="18"/>
                <w:szCs w:val="24"/>
              </w:rPr>
            </w:pPr>
            <w:r w:rsidRPr="00EB094C">
              <w:rPr>
                <w:sz w:val="20"/>
                <w:szCs w:val="24"/>
              </w:rPr>
              <w:t>COBIT 2019: Managing IT risks and controls</w:t>
            </w:r>
          </w:p>
        </w:tc>
      </w:tr>
      <w:tr w:rsidR="002A79C9" w:rsidRPr="00EB094C" w14:paraId="0C861DA6" w14:textId="77777777" w:rsidTr="00EB094C">
        <w:trPr>
          <w:jc w:val="center"/>
        </w:trPr>
        <w:tc>
          <w:tcPr>
            <w:tcW w:w="1525" w:type="dxa"/>
          </w:tcPr>
          <w:p w14:paraId="7DC8B779" w14:textId="77777777" w:rsidR="002A79C9" w:rsidRPr="00EB094C" w:rsidRDefault="002A79C9" w:rsidP="00EB094C">
            <w:pPr>
              <w:rPr>
                <w:sz w:val="18"/>
                <w:szCs w:val="24"/>
              </w:rPr>
            </w:pPr>
            <w:r w:rsidRPr="00EB094C">
              <w:rPr>
                <w:sz w:val="20"/>
                <w:szCs w:val="24"/>
              </w:rPr>
              <w:t>Performance measurement</w:t>
            </w:r>
          </w:p>
        </w:tc>
        <w:tc>
          <w:tcPr>
            <w:tcW w:w="3148" w:type="dxa"/>
          </w:tcPr>
          <w:p w14:paraId="18338BC7" w14:textId="77777777" w:rsidR="002A79C9" w:rsidRPr="00EB094C" w:rsidRDefault="002A79C9" w:rsidP="00EB094C">
            <w:pPr>
              <w:rPr>
                <w:sz w:val="18"/>
                <w:szCs w:val="24"/>
              </w:rPr>
            </w:pPr>
            <w:r w:rsidRPr="00EB094C">
              <w:rPr>
                <w:sz w:val="20"/>
                <w:szCs w:val="24"/>
              </w:rPr>
              <w:t>COBIT 2019: Defining KPIs and monitoring roadmap</w:t>
            </w:r>
          </w:p>
        </w:tc>
      </w:tr>
    </w:tbl>
    <w:p w14:paraId="102C204E" w14:textId="77777777" w:rsidR="008765BA" w:rsidRDefault="002A79C9" w:rsidP="008765BA">
      <w:pPr>
        <w:jc w:val="center"/>
        <w:rPr>
          <w:sz w:val="20"/>
        </w:rPr>
      </w:pPr>
      <w:r>
        <w:rPr>
          <w:sz w:val="20"/>
        </w:rPr>
        <w:t xml:space="preserve"> </w:t>
      </w:r>
    </w:p>
    <w:p w14:paraId="07E01041" w14:textId="77777777" w:rsidR="00824AE0" w:rsidRDefault="00824AE0" w:rsidP="00824AE0">
      <w:pPr>
        <w:pStyle w:val="Judul1"/>
        <w:keepLines w:val="0"/>
        <w:jc w:val="both"/>
        <w:rPr>
          <w:sz w:val="22"/>
          <w:szCs w:val="22"/>
        </w:rPr>
      </w:pPr>
      <w:r>
        <w:rPr>
          <w:rFonts w:cs="Times New Roman"/>
          <w:color w:val="000000" w:themeColor="text1"/>
          <w:sz w:val="22"/>
          <w:lang w:val="id-ID"/>
        </w:rPr>
        <w:t xml:space="preserve"> </w:t>
      </w:r>
      <w:r>
        <w:rPr>
          <w:rFonts w:ascii="Times New Roman" w:eastAsia="Times New Roman" w:hAnsi="Times New Roman" w:cs="Times New Roman"/>
          <w:b w:val="0"/>
          <w:bCs w:val="0"/>
          <w:color w:val="auto"/>
          <w:sz w:val="22"/>
          <w:szCs w:val="22"/>
        </w:rPr>
        <w:t xml:space="preserve">Table 2 above shows that the PRASASTI framework was built by integrating three main approaches: Ward &amp; Peppard, TOGAF, and COBIT 2019. Ward &amp; Peppard is used in the initial component, as a </w:t>
      </w:r>
      <w:r>
        <w:rPr>
          <w:rFonts w:ascii="Times New Roman" w:eastAsia="Times New Roman" w:hAnsi="Times New Roman" w:cs="Times New Roman"/>
          <w:b w:val="0"/>
          <w:bCs w:val="0"/>
          <w:i/>
          <w:iCs/>
          <w:color w:val="auto"/>
          <w:sz w:val="22"/>
          <w:szCs w:val="22"/>
        </w:rPr>
        <w:t xml:space="preserve">strategic analysis </w:t>
      </w:r>
      <w:r>
        <w:rPr>
          <w:rFonts w:ascii="Times New Roman" w:eastAsia="Times New Roman" w:hAnsi="Times New Roman" w:cs="Times New Roman"/>
          <w:b w:val="0"/>
          <w:bCs w:val="0"/>
          <w:color w:val="auto"/>
          <w:sz w:val="22"/>
          <w:szCs w:val="22"/>
        </w:rPr>
        <w:t xml:space="preserve">and </w:t>
      </w:r>
      <w:r>
        <w:rPr>
          <w:rFonts w:ascii="Times New Roman" w:eastAsia="Times New Roman" w:hAnsi="Times New Roman" w:cs="Times New Roman"/>
          <w:b w:val="0"/>
          <w:bCs w:val="0"/>
          <w:i/>
          <w:iCs/>
          <w:color w:val="auto"/>
          <w:sz w:val="22"/>
          <w:szCs w:val="22"/>
        </w:rPr>
        <w:t xml:space="preserve">application portfolio, </w:t>
      </w:r>
      <w:r>
        <w:rPr>
          <w:rFonts w:ascii="Times New Roman" w:eastAsia="Times New Roman" w:hAnsi="Times New Roman" w:cs="Times New Roman"/>
          <w:b w:val="0"/>
          <w:bCs w:val="0"/>
          <w:color w:val="auto"/>
          <w:sz w:val="22"/>
          <w:szCs w:val="22"/>
        </w:rPr>
        <w:t xml:space="preserve">to identify business needs and IS/IT direction and to determine future application priorities. Thus, the initial phase of this framework </w:t>
      </w:r>
      <w:r>
        <w:rPr>
          <w:rFonts w:ascii="Times New Roman" w:eastAsia="Times New Roman" w:hAnsi="Times New Roman" w:cs="Times New Roman"/>
          <w:b w:val="0"/>
          <w:bCs w:val="0"/>
          <w:color w:val="auto"/>
          <w:sz w:val="22"/>
          <w:szCs w:val="22"/>
        </w:rPr>
        <w:lastRenderedPageBreak/>
        <w:t>serves as a basis for aligning organizational strategy with the needs of information systems development.</w:t>
      </w:r>
    </w:p>
    <w:p w14:paraId="39DC3EC4" w14:textId="77777777" w:rsidR="00824AE0" w:rsidRDefault="00824AE0" w:rsidP="00824AE0">
      <w:pPr>
        <w:spacing w:before="120" w:after="40"/>
      </w:pPr>
      <w:r>
        <w:rPr>
          <w:rFonts w:cs="Times New Roman"/>
        </w:rPr>
        <w:t xml:space="preserve">Furthermore, TOGAF is used to strengthen enterprise architecture by integrating </w:t>
      </w:r>
      <w:r>
        <w:rPr>
          <w:rFonts w:cs="Times New Roman"/>
          <w:i/>
          <w:iCs/>
        </w:rPr>
        <w:t xml:space="preserve">business components. architecture, data architecture, application architecture, and technology. </w:t>
      </w:r>
      <w:r>
        <w:rPr>
          <w:rFonts w:cs="Times New Roman"/>
        </w:rPr>
        <w:t xml:space="preserve">These four components help organizations map business processes, data structures, application integration, and technology infrastructure needs. Meanwhile, COBIT 2019 complements </w:t>
      </w:r>
      <w:r>
        <w:rPr>
          <w:rFonts w:cs="Times New Roman"/>
          <w:i/>
          <w:iCs/>
        </w:rPr>
        <w:t xml:space="preserve">the </w:t>
      </w:r>
      <w:r>
        <w:rPr>
          <w:rFonts w:cs="Times New Roman"/>
        </w:rPr>
        <w:t>framework by addressing IT governance, capability measurement, risk management, control, and KPI determination and monitoring. roadmap . The integration of these three frameworks makes PRASASTI a more comprehensive IT strategic planning framework, as it covers strategy, architecture, governance, risk, and performance measurement.</w:t>
      </w:r>
    </w:p>
    <w:p w14:paraId="5160C509" w14:textId="77777777" w:rsidR="00CF2C99" w:rsidRDefault="00C70DE4" w:rsidP="00C70DE4">
      <w:pPr>
        <w:spacing w:before="120" w:after="40"/>
        <w:jc w:val="center"/>
        <w:rPr>
          <w:rFonts w:cs="Times New Roman"/>
          <w:color w:val="000000" w:themeColor="text1"/>
          <w:lang w:val="id-ID"/>
        </w:rPr>
      </w:pPr>
      <w:r>
        <w:rPr>
          <w:sz w:val="20"/>
        </w:rPr>
        <w:t>Table 2. Variables, Indicator and references</w:t>
      </w:r>
    </w:p>
    <w:tbl>
      <w:tblPr>
        <w:tblStyle w:val="KisiTabel"/>
        <w:tblpPr w:leftFromText="180" w:rightFromText="180" w:vertAnchor="text" w:horzAnchor="margin" w:tblpY="168"/>
        <w:tblW w:w="0" w:type="auto"/>
        <w:tblLook w:val="04A0" w:firstRow="1" w:lastRow="0" w:firstColumn="1" w:lastColumn="0" w:noHBand="0" w:noVBand="1"/>
      </w:tblPr>
      <w:tblGrid>
        <w:gridCol w:w="1413"/>
        <w:gridCol w:w="3098"/>
      </w:tblGrid>
      <w:tr w:rsidR="00CF2C99" w:rsidRPr="00EB094C" w14:paraId="043B9F0A" w14:textId="77777777" w:rsidTr="00CF2C99">
        <w:tc>
          <w:tcPr>
            <w:tcW w:w="1413" w:type="dxa"/>
            <w:shd w:val="clear" w:color="auto" w:fill="D9D9D9" w:themeFill="background1" w:themeFillShade="D9"/>
          </w:tcPr>
          <w:p w14:paraId="0873D053" w14:textId="77777777" w:rsidR="00CF2C99" w:rsidRPr="00EB094C" w:rsidRDefault="00CF2C99" w:rsidP="00CF2C99">
            <w:pPr>
              <w:spacing w:before="120" w:after="40"/>
              <w:rPr>
                <w:rFonts w:cs="Times New Roman"/>
                <w:b/>
                <w:bCs/>
                <w:color w:val="000000" w:themeColor="text1"/>
                <w:sz w:val="20"/>
                <w:szCs w:val="20"/>
                <w:lang w:val="id-ID"/>
              </w:rPr>
            </w:pPr>
            <w:r w:rsidRPr="00EB094C">
              <w:rPr>
                <w:b/>
                <w:bCs/>
                <w:sz w:val="20"/>
                <w:szCs w:val="20"/>
              </w:rPr>
              <w:t>Variables</w:t>
            </w:r>
          </w:p>
        </w:tc>
        <w:tc>
          <w:tcPr>
            <w:tcW w:w="3098" w:type="dxa"/>
            <w:shd w:val="clear" w:color="auto" w:fill="D9D9D9" w:themeFill="background1" w:themeFillShade="D9"/>
          </w:tcPr>
          <w:p w14:paraId="5E0BC2C3" w14:textId="77777777" w:rsidR="00CF2C99" w:rsidRPr="00EB094C" w:rsidRDefault="00CF2C99" w:rsidP="00CF2C99">
            <w:pPr>
              <w:spacing w:before="120" w:after="40"/>
              <w:rPr>
                <w:rFonts w:cs="Times New Roman"/>
                <w:b/>
                <w:bCs/>
                <w:color w:val="000000" w:themeColor="text1"/>
                <w:sz w:val="20"/>
                <w:szCs w:val="20"/>
                <w:lang w:val="id-ID"/>
              </w:rPr>
            </w:pPr>
            <w:r w:rsidRPr="00EB094C">
              <w:rPr>
                <w:b/>
                <w:bCs/>
                <w:sz w:val="20"/>
                <w:szCs w:val="20"/>
              </w:rPr>
              <w:t>Indicators and references</w:t>
            </w:r>
          </w:p>
        </w:tc>
      </w:tr>
      <w:tr w:rsidR="00CF2C99" w:rsidRPr="00EB094C" w14:paraId="34B1ACD4" w14:textId="77777777" w:rsidTr="00CF2C99">
        <w:tc>
          <w:tcPr>
            <w:tcW w:w="1413" w:type="dxa"/>
          </w:tcPr>
          <w:p w14:paraId="7E510132" w14:textId="77777777" w:rsidR="00CF2C99" w:rsidRPr="00EB094C" w:rsidRDefault="00CF2C99" w:rsidP="00CF2C99">
            <w:pPr>
              <w:spacing w:before="120" w:after="40"/>
              <w:rPr>
                <w:rFonts w:cs="Times New Roman"/>
                <w:color w:val="000000" w:themeColor="text1"/>
                <w:sz w:val="20"/>
                <w:szCs w:val="20"/>
                <w:lang w:val="id-ID"/>
              </w:rPr>
            </w:pPr>
            <w:r w:rsidRPr="00EB094C">
              <w:rPr>
                <w:sz w:val="20"/>
                <w:szCs w:val="20"/>
              </w:rPr>
              <w:t>Strategic alignment</w:t>
            </w:r>
          </w:p>
        </w:tc>
        <w:tc>
          <w:tcPr>
            <w:tcW w:w="3098" w:type="dxa"/>
          </w:tcPr>
          <w:p w14:paraId="04A7CEB5" w14:textId="77777777" w:rsidR="00CF2C99" w:rsidRPr="00EB094C" w:rsidRDefault="00CF2C99" w:rsidP="00CF2C99">
            <w:pPr>
              <w:spacing w:before="120" w:after="40"/>
              <w:rPr>
                <w:rFonts w:cs="Times New Roman"/>
                <w:color w:val="000000" w:themeColor="text1"/>
                <w:sz w:val="20"/>
                <w:szCs w:val="20"/>
                <w:lang w:val="id-ID"/>
              </w:rPr>
            </w:pPr>
            <w:r w:rsidRPr="00EB094C">
              <w:rPr>
                <w:sz w:val="20"/>
                <w:szCs w:val="20"/>
              </w:rPr>
              <w:t>Compliance objective business and IT (Ward &amp; Peppard)</w:t>
            </w:r>
          </w:p>
        </w:tc>
      </w:tr>
      <w:tr w:rsidR="00CF2C99" w:rsidRPr="00EB094C" w14:paraId="07CBAB7D" w14:textId="77777777" w:rsidTr="00CF2C99">
        <w:tc>
          <w:tcPr>
            <w:tcW w:w="1413" w:type="dxa"/>
          </w:tcPr>
          <w:p w14:paraId="1F4007E6" w14:textId="77777777" w:rsidR="00CF2C99" w:rsidRPr="00EB094C" w:rsidRDefault="00CF2C99" w:rsidP="00CF2C99">
            <w:pPr>
              <w:spacing w:before="120" w:after="40"/>
              <w:rPr>
                <w:rFonts w:cs="Times New Roman"/>
                <w:color w:val="000000" w:themeColor="text1"/>
                <w:sz w:val="20"/>
                <w:szCs w:val="20"/>
                <w:lang w:val="id-ID"/>
              </w:rPr>
            </w:pPr>
            <w:r w:rsidRPr="00EB094C">
              <w:rPr>
                <w:sz w:val="20"/>
                <w:szCs w:val="20"/>
              </w:rPr>
              <w:t>Strategic analysis</w:t>
            </w:r>
          </w:p>
        </w:tc>
        <w:tc>
          <w:tcPr>
            <w:tcW w:w="3098" w:type="dxa"/>
          </w:tcPr>
          <w:p w14:paraId="767BD5F2" w14:textId="77777777" w:rsidR="00CF2C99" w:rsidRPr="00EB094C" w:rsidRDefault="00CF2C99" w:rsidP="00CF2C99">
            <w:pPr>
              <w:spacing w:before="120" w:after="40"/>
              <w:rPr>
                <w:rFonts w:cs="Times New Roman"/>
                <w:color w:val="000000" w:themeColor="text1"/>
                <w:sz w:val="20"/>
                <w:szCs w:val="20"/>
                <w:lang w:val="id-ID"/>
              </w:rPr>
            </w:pPr>
            <w:r w:rsidRPr="00EB094C">
              <w:rPr>
                <w:sz w:val="20"/>
                <w:szCs w:val="20"/>
              </w:rPr>
              <w:t>SWOT, PEST, Value Chain, CSF (Ward &amp; Peppard)</w:t>
            </w:r>
          </w:p>
        </w:tc>
      </w:tr>
      <w:tr w:rsidR="00CF2C99" w:rsidRPr="00EB094C" w14:paraId="2E37866C" w14:textId="77777777" w:rsidTr="00CF2C99">
        <w:tc>
          <w:tcPr>
            <w:tcW w:w="1413" w:type="dxa"/>
          </w:tcPr>
          <w:p w14:paraId="2B7E9694" w14:textId="77777777" w:rsidR="00CF2C99" w:rsidRPr="00EB094C" w:rsidRDefault="00CF2C99" w:rsidP="00CF2C99">
            <w:pPr>
              <w:spacing w:before="120" w:after="40"/>
              <w:rPr>
                <w:rFonts w:cs="Times New Roman"/>
                <w:color w:val="000000" w:themeColor="text1"/>
                <w:sz w:val="20"/>
                <w:szCs w:val="20"/>
                <w:lang w:val="id-ID"/>
              </w:rPr>
            </w:pPr>
            <w:r w:rsidRPr="00EB094C">
              <w:rPr>
                <w:sz w:val="20"/>
                <w:szCs w:val="20"/>
              </w:rPr>
              <w:t>Application portfolio</w:t>
            </w:r>
          </w:p>
        </w:tc>
        <w:tc>
          <w:tcPr>
            <w:tcW w:w="3098" w:type="dxa"/>
          </w:tcPr>
          <w:p w14:paraId="32638023" w14:textId="77777777" w:rsidR="00CF2C99" w:rsidRPr="00EB094C" w:rsidRDefault="00CF2C99" w:rsidP="00CF2C99">
            <w:pPr>
              <w:spacing w:before="120" w:after="40"/>
              <w:rPr>
                <w:rFonts w:cs="Times New Roman"/>
                <w:color w:val="000000" w:themeColor="text1"/>
                <w:sz w:val="20"/>
                <w:szCs w:val="20"/>
                <w:lang w:val="id-ID"/>
              </w:rPr>
            </w:pPr>
            <w:r w:rsidRPr="00EB094C">
              <w:rPr>
                <w:sz w:val="20"/>
                <w:szCs w:val="20"/>
              </w:rPr>
              <w:t>McFarlan Strategic Grid and priorities application (Ward &amp; Peppard)</w:t>
            </w:r>
          </w:p>
        </w:tc>
      </w:tr>
      <w:tr w:rsidR="00CF2C99" w:rsidRPr="00EB094C" w14:paraId="7358554D" w14:textId="77777777" w:rsidTr="00CF2C99">
        <w:tc>
          <w:tcPr>
            <w:tcW w:w="1413" w:type="dxa"/>
          </w:tcPr>
          <w:p w14:paraId="232CB08F" w14:textId="77777777" w:rsidR="00CF2C99" w:rsidRPr="00EB094C" w:rsidRDefault="00CF2C99" w:rsidP="00CF2C99">
            <w:pPr>
              <w:spacing w:before="120" w:after="40"/>
              <w:rPr>
                <w:rFonts w:cs="Times New Roman"/>
                <w:color w:val="000000" w:themeColor="text1"/>
                <w:sz w:val="20"/>
                <w:szCs w:val="20"/>
                <w:lang w:val="id-ID"/>
              </w:rPr>
            </w:pPr>
            <w:r w:rsidRPr="00EB094C">
              <w:rPr>
                <w:sz w:val="20"/>
                <w:szCs w:val="20"/>
              </w:rPr>
              <w:t>Enterprise architecture</w:t>
            </w:r>
          </w:p>
        </w:tc>
        <w:tc>
          <w:tcPr>
            <w:tcW w:w="3098" w:type="dxa"/>
          </w:tcPr>
          <w:p w14:paraId="047E10D4" w14:textId="77777777" w:rsidR="00CF2C99" w:rsidRPr="00EB094C" w:rsidRDefault="00CF2C99" w:rsidP="00CF2C99">
            <w:pPr>
              <w:spacing w:before="120" w:after="40"/>
              <w:rPr>
                <w:rFonts w:cs="Times New Roman"/>
                <w:color w:val="000000" w:themeColor="text1"/>
                <w:sz w:val="20"/>
                <w:szCs w:val="20"/>
                <w:lang w:val="id-ID"/>
              </w:rPr>
            </w:pPr>
            <w:r w:rsidRPr="00EB094C">
              <w:rPr>
                <w:sz w:val="20"/>
                <w:szCs w:val="20"/>
              </w:rPr>
              <w:t>Architecture business , data, applications , technology (TOGAF)</w:t>
            </w:r>
          </w:p>
        </w:tc>
      </w:tr>
      <w:tr w:rsidR="00CF2C99" w:rsidRPr="00EB094C" w14:paraId="6B5F889A" w14:textId="77777777" w:rsidTr="00CF2C99">
        <w:tc>
          <w:tcPr>
            <w:tcW w:w="1413" w:type="dxa"/>
          </w:tcPr>
          <w:p w14:paraId="1ECD6555" w14:textId="77777777" w:rsidR="00CF2C99" w:rsidRPr="00EB094C" w:rsidRDefault="00CF2C99" w:rsidP="00CF2C99">
            <w:pPr>
              <w:spacing w:before="120" w:after="40"/>
              <w:rPr>
                <w:rFonts w:cs="Times New Roman"/>
                <w:color w:val="000000" w:themeColor="text1"/>
                <w:sz w:val="20"/>
                <w:szCs w:val="20"/>
                <w:lang w:val="id-ID"/>
              </w:rPr>
            </w:pPr>
            <w:r w:rsidRPr="00EB094C">
              <w:rPr>
                <w:sz w:val="20"/>
                <w:szCs w:val="20"/>
              </w:rPr>
              <w:t>Governance objectives</w:t>
            </w:r>
          </w:p>
        </w:tc>
        <w:tc>
          <w:tcPr>
            <w:tcW w:w="3098" w:type="dxa"/>
          </w:tcPr>
          <w:p w14:paraId="48B5392E" w14:textId="77777777" w:rsidR="00CF2C99" w:rsidRPr="00EB094C" w:rsidRDefault="00CF2C99" w:rsidP="00CF2C99">
            <w:pPr>
              <w:spacing w:before="120" w:after="40"/>
              <w:rPr>
                <w:rFonts w:cs="Times New Roman"/>
                <w:color w:val="000000" w:themeColor="text1"/>
                <w:sz w:val="20"/>
                <w:szCs w:val="20"/>
                <w:lang w:val="id-ID"/>
              </w:rPr>
            </w:pPr>
            <w:r w:rsidRPr="00EB094C">
              <w:rPr>
                <w:sz w:val="20"/>
                <w:szCs w:val="20"/>
              </w:rPr>
              <w:t>Mapping objective organization to governance objectives ( COBIT 2019)</w:t>
            </w:r>
          </w:p>
        </w:tc>
      </w:tr>
      <w:tr w:rsidR="00CF2C99" w:rsidRPr="00EB094C" w14:paraId="794E8E33" w14:textId="77777777" w:rsidTr="00CF2C99">
        <w:tc>
          <w:tcPr>
            <w:tcW w:w="1413" w:type="dxa"/>
          </w:tcPr>
          <w:p w14:paraId="4B08758E" w14:textId="77777777" w:rsidR="00CF2C99" w:rsidRPr="00EB094C" w:rsidRDefault="00CF2C99" w:rsidP="00CF2C99">
            <w:pPr>
              <w:spacing w:before="120" w:after="40"/>
              <w:rPr>
                <w:rFonts w:cs="Times New Roman"/>
                <w:color w:val="000000" w:themeColor="text1"/>
                <w:sz w:val="20"/>
                <w:szCs w:val="20"/>
                <w:lang w:val="id-ID"/>
              </w:rPr>
            </w:pPr>
            <w:r w:rsidRPr="00EB094C">
              <w:rPr>
                <w:sz w:val="20"/>
                <w:szCs w:val="20"/>
              </w:rPr>
              <w:t>Capability assessment</w:t>
            </w:r>
          </w:p>
        </w:tc>
        <w:tc>
          <w:tcPr>
            <w:tcW w:w="3098" w:type="dxa"/>
          </w:tcPr>
          <w:p w14:paraId="1E929AEF" w14:textId="77777777" w:rsidR="00CF2C99" w:rsidRPr="00EB094C" w:rsidRDefault="00CF2C99" w:rsidP="00CF2C99">
            <w:pPr>
              <w:spacing w:before="120" w:after="40"/>
              <w:rPr>
                <w:rFonts w:cs="Times New Roman"/>
                <w:color w:val="000000" w:themeColor="text1"/>
                <w:sz w:val="20"/>
                <w:szCs w:val="20"/>
                <w:lang w:val="id-ID"/>
              </w:rPr>
            </w:pPr>
            <w:r w:rsidRPr="00EB094C">
              <w:rPr>
                <w:sz w:val="20"/>
                <w:szCs w:val="20"/>
              </w:rPr>
              <w:t>Current capability and target capability (COBIT 2019)</w:t>
            </w:r>
          </w:p>
        </w:tc>
      </w:tr>
      <w:tr w:rsidR="00CF2C99" w:rsidRPr="00EB094C" w14:paraId="3AB383A8" w14:textId="77777777" w:rsidTr="00CF2C99">
        <w:tc>
          <w:tcPr>
            <w:tcW w:w="1413" w:type="dxa"/>
          </w:tcPr>
          <w:p w14:paraId="55B23063" w14:textId="77777777" w:rsidR="00CF2C99" w:rsidRPr="00EB094C" w:rsidRDefault="00CF2C99" w:rsidP="00CF2C99">
            <w:pPr>
              <w:spacing w:before="120" w:after="40"/>
              <w:rPr>
                <w:rFonts w:cs="Times New Roman"/>
                <w:color w:val="000000" w:themeColor="text1"/>
                <w:sz w:val="20"/>
                <w:szCs w:val="20"/>
                <w:lang w:val="id-ID"/>
              </w:rPr>
            </w:pPr>
            <w:r w:rsidRPr="00EB094C">
              <w:rPr>
                <w:sz w:val="20"/>
                <w:szCs w:val="20"/>
              </w:rPr>
              <w:t>Risk control</w:t>
            </w:r>
          </w:p>
        </w:tc>
        <w:tc>
          <w:tcPr>
            <w:tcW w:w="3098" w:type="dxa"/>
          </w:tcPr>
          <w:p w14:paraId="2FF73B87" w14:textId="77777777" w:rsidR="00CF2C99" w:rsidRPr="00EB094C" w:rsidRDefault="00CF2C99" w:rsidP="00CF2C99">
            <w:pPr>
              <w:spacing w:before="120" w:after="40"/>
              <w:rPr>
                <w:rFonts w:cs="Times New Roman"/>
                <w:color w:val="000000" w:themeColor="text1"/>
                <w:sz w:val="20"/>
                <w:szCs w:val="20"/>
                <w:lang w:val="id-ID"/>
              </w:rPr>
            </w:pPr>
            <w:r w:rsidRPr="00EB094C">
              <w:rPr>
                <w:sz w:val="20"/>
                <w:szCs w:val="20"/>
              </w:rPr>
              <w:t>Identification risk , control , and mitigation (COBIT 2019)</w:t>
            </w:r>
          </w:p>
        </w:tc>
      </w:tr>
      <w:tr w:rsidR="00CF2C99" w:rsidRPr="00EB094C" w14:paraId="7C186E67" w14:textId="77777777" w:rsidTr="00CF2C99">
        <w:tc>
          <w:tcPr>
            <w:tcW w:w="1413" w:type="dxa"/>
          </w:tcPr>
          <w:p w14:paraId="13CEA72A" w14:textId="77777777" w:rsidR="00CF2C99" w:rsidRPr="00EB094C" w:rsidRDefault="00CF2C99" w:rsidP="00CF2C99">
            <w:pPr>
              <w:spacing w:before="120" w:after="40"/>
              <w:rPr>
                <w:rFonts w:cs="Times New Roman"/>
                <w:color w:val="000000" w:themeColor="text1"/>
                <w:sz w:val="20"/>
                <w:szCs w:val="20"/>
                <w:lang w:val="id-ID"/>
              </w:rPr>
            </w:pPr>
            <w:r w:rsidRPr="00EB094C">
              <w:rPr>
                <w:sz w:val="20"/>
                <w:szCs w:val="20"/>
              </w:rPr>
              <w:t>Performance measurement</w:t>
            </w:r>
          </w:p>
        </w:tc>
        <w:tc>
          <w:tcPr>
            <w:tcW w:w="3098" w:type="dxa"/>
          </w:tcPr>
          <w:p w14:paraId="79EFB5A5" w14:textId="77777777" w:rsidR="00CF2C99" w:rsidRPr="00EB094C" w:rsidRDefault="00CF2C99" w:rsidP="00CF2C99">
            <w:pPr>
              <w:spacing w:before="120" w:after="40"/>
              <w:rPr>
                <w:rFonts w:cs="Times New Roman"/>
                <w:color w:val="000000" w:themeColor="text1"/>
                <w:sz w:val="20"/>
                <w:szCs w:val="20"/>
                <w:lang w:val="id-ID"/>
              </w:rPr>
            </w:pPr>
            <w:r w:rsidRPr="00EB094C">
              <w:rPr>
                <w:sz w:val="20"/>
                <w:szCs w:val="20"/>
              </w:rPr>
              <w:t>KPI, readiness index, and monitoring (COBIT 2019)</w:t>
            </w:r>
          </w:p>
        </w:tc>
      </w:tr>
    </w:tbl>
    <w:p w14:paraId="5050622C" w14:textId="77777777" w:rsidR="00184176" w:rsidRPr="008F6FAA" w:rsidRDefault="0054063A">
      <w:pPr>
        <w:pStyle w:val="Judul1"/>
        <w:rPr>
          <w:color w:val="000000" w:themeColor="text1"/>
          <w:szCs w:val="24"/>
        </w:rPr>
      </w:pPr>
      <w:r w:rsidRPr="008F6FAA">
        <w:rPr>
          <w:rFonts w:ascii="Times New Roman" w:eastAsia="Times New Roman" w:hAnsi="Times New Roman"/>
          <w:color w:val="000000" w:themeColor="text1"/>
          <w:szCs w:val="24"/>
        </w:rPr>
        <w:t>5. Research Methodology</w:t>
      </w:r>
    </w:p>
    <w:p w14:paraId="36D31C75" w14:textId="77777777" w:rsidR="00B73625" w:rsidRPr="00BD50C2" w:rsidRDefault="00455AE2">
      <w:pPr>
        <w:ind w:firstLine="312"/>
        <w:rPr>
          <w:rFonts w:cs="Times New Roman"/>
          <w:color w:val="EE0000"/>
        </w:rPr>
      </w:pPr>
      <w:commentRangeStart w:id="7"/>
      <w:commentRangeStart w:id="8"/>
      <w:r w:rsidRPr="00BD50C2">
        <w:rPr>
          <w:rFonts w:cs="Times New Roman"/>
          <w:color w:val="EE0000"/>
        </w:rPr>
        <w:t>This study uses a design science research approach . This approach was chosen because the study aims to produce conceptual artifacts in the form of a planning framework for IT strategy that can be used to solve practical problems in organizations. Stages of the study covering identification of the problem, determination of the solution, design and development of objectives, artifacts, demonstrations, evaluation, and communication, as shown in the figure below.</w:t>
      </w:r>
      <w:commentRangeEnd w:id="7"/>
      <w:r w:rsidR="00BD50C2" w:rsidRPr="00BD50C2">
        <w:rPr>
          <w:rStyle w:val="ReferensiKomentar"/>
          <w:rFonts w:cs="Times New Roman"/>
          <w:color w:val="EE0000"/>
          <w:sz w:val="22"/>
          <w:szCs w:val="22"/>
        </w:rPr>
        <w:commentReference w:id="7"/>
      </w:r>
      <w:commentRangeEnd w:id="8"/>
      <w:r w:rsidR="00BD50C2" w:rsidRPr="00BD50C2">
        <w:rPr>
          <w:rStyle w:val="ReferensiKomentar"/>
          <w:rFonts w:cs="Times New Roman"/>
          <w:color w:val="EE0000"/>
          <w:sz w:val="22"/>
          <w:szCs w:val="22"/>
        </w:rPr>
        <w:commentReference w:id="8"/>
      </w:r>
    </w:p>
    <w:p w14:paraId="4619A119" w14:textId="77777777" w:rsidR="000105BF" w:rsidRDefault="000105BF">
      <w:pPr>
        <w:ind w:firstLine="312"/>
        <w:rPr>
          <w:rFonts w:cs="Times New Roman"/>
        </w:rPr>
      </w:pPr>
    </w:p>
    <w:p w14:paraId="7AC9BBA8" w14:textId="77777777" w:rsidR="000105BF" w:rsidRDefault="000105BF">
      <w:pPr>
        <w:ind w:firstLine="312"/>
        <w:rPr>
          <w:rFonts w:cs="Times New Roman"/>
        </w:rPr>
      </w:pPr>
    </w:p>
    <w:p w14:paraId="7B40C7B7" w14:textId="77777777" w:rsidR="000105BF" w:rsidRDefault="000105BF">
      <w:pPr>
        <w:ind w:firstLine="312"/>
        <w:rPr>
          <w:rFonts w:cs="Times New Roman"/>
        </w:rPr>
      </w:pPr>
    </w:p>
    <w:p w14:paraId="0A8BA790" w14:textId="77777777" w:rsidR="000105BF" w:rsidRDefault="000105BF">
      <w:pPr>
        <w:ind w:firstLine="312"/>
      </w:pPr>
    </w:p>
    <w:p w14:paraId="5BF7929D" w14:textId="77777777" w:rsidR="0054063A" w:rsidRDefault="0054063A" w:rsidP="0054063A">
      <w:pPr>
        <w:pBdr>
          <w:top w:val="single" w:sz="4" w:space="1" w:color="auto"/>
          <w:left w:val="single" w:sz="4" w:space="4" w:color="auto"/>
          <w:bottom w:val="single" w:sz="4" w:space="1" w:color="auto"/>
          <w:right w:val="single" w:sz="4" w:space="4" w:color="auto"/>
        </w:pBdr>
        <w:ind w:firstLine="312"/>
        <w:jc w:val="center"/>
      </w:pPr>
    </w:p>
    <w:p w14:paraId="43C07045" w14:textId="77777777" w:rsidR="0054063A" w:rsidRDefault="0054063A" w:rsidP="0054063A">
      <w:pPr>
        <w:pBdr>
          <w:top w:val="single" w:sz="4" w:space="1" w:color="auto"/>
          <w:left w:val="single" w:sz="4" w:space="4" w:color="auto"/>
          <w:bottom w:val="single" w:sz="4" w:space="1" w:color="auto"/>
          <w:right w:val="single" w:sz="4" w:space="4" w:color="auto"/>
        </w:pBdr>
        <w:ind w:firstLine="312"/>
        <w:jc w:val="center"/>
      </w:pPr>
      <w:r>
        <w:rPr>
          <w:noProof/>
        </w:rPr>
        <mc:AlternateContent>
          <mc:Choice Requires="wps">
            <w:drawing>
              <wp:anchor distT="0" distB="0" distL="114300" distR="114300" simplePos="0" relativeHeight="251683840" behindDoc="0" locked="0" layoutInCell="1" allowOverlap="1" wp14:anchorId="22D91F9A" wp14:editId="7E9E0F37">
                <wp:simplePos x="0" y="0"/>
                <wp:positionH relativeFrom="column">
                  <wp:posOffset>0</wp:posOffset>
                </wp:positionH>
                <wp:positionV relativeFrom="paragraph">
                  <wp:posOffset>34290</wp:posOffset>
                </wp:positionV>
                <wp:extent cx="670214" cy="299605"/>
                <wp:effectExtent l="57150" t="19050" r="73025" b="100965"/>
                <wp:wrapNone/>
                <wp:docPr id="970196318" name="Persegi Panjang: Sudut Lengkung 1"/>
                <wp:cNvGraphicFramePr/>
                <a:graphic xmlns:a="http://schemas.openxmlformats.org/drawingml/2006/main">
                  <a:graphicData uri="http://schemas.microsoft.com/office/word/2010/wordprocessingShape">
                    <wps:wsp>
                      <wps:cNvSpPr/>
                      <wps:spPr>
                        <a:xfrm>
                          <a:off x="0" y="0"/>
                          <a:ext cx="670214" cy="299605"/>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3F06E2DB" w14:textId="77777777" w:rsidR="0054063A" w:rsidRPr="00742FE9" w:rsidRDefault="0054063A" w:rsidP="0054063A">
                            <w:pPr>
                              <w:rPr>
                                <w:color w:val="000000" w:themeColor="text1"/>
                                <w:sz w:val="12"/>
                                <w:szCs w:val="12"/>
                              </w:rPr>
                            </w:pPr>
                            <w:r>
                              <w:rPr>
                                <w:color w:val="000000" w:themeColor="text1"/>
                                <w:sz w:val="12"/>
                                <w:szCs w:val="12"/>
                              </w:rPr>
                              <w:t>1.</w:t>
                            </w:r>
                            <w:r w:rsidRPr="00742FE9">
                              <w:rPr>
                                <w:color w:val="000000" w:themeColor="text1"/>
                                <w:sz w:val="12"/>
                                <w:szCs w:val="12"/>
                              </w:rPr>
                              <w:t>Problem 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D91F9A" id="Persegi Panjang: Sudut Lengkung 1" o:spid="_x0000_s1026" style="position:absolute;left:0;text-align:left;margin-left:0;margin-top:2.7pt;width:52.75pt;height:2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" filled="f" strokecolor="black [3213]">
                <v:shadow on="t" color="black" opacity="22937f" origin=",.5" offset="0,.63889mm"/>
                <v:textbox>
                  <w:txbxContent>
                    <w:p w14:paraId="3F06E2DB" w14:textId="77777777" w:rsidR="0054063A" w:rsidRPr="00742FE9" w:rsidRDefault="0054063A" w:rsidP="0054063A">
                      <w:pPr>
                        <w:rPr>
                          <w:color w:val="000000" w:themeColor="text1"/>
                          <w:sz w:val="12"/>
                          <w:szCs w:val="12"/>
                        </w:rPr>
                      </w:pPr>
                      <w:r>
                        <w:rPr>
                          <w:color w:val="000000" w:themeColor="text1"/>
                          <w:sz w:val="12"/>
                          <w:szCs w:val="12"/>
                        </w:rPr>
                        <w:t>1.</w:t>
                      </w:r>
                      <w:r w:rsidRPr="00742FE9">
                        <w:rPr>
                          <w:color w:val="000000" w:themeColor="text1"/>
                          <w:sz w:val="12"/>
                          <w:szCs w:val="12"/>
                        </w:rPr>
                        <w:t>Problem Identification</w:t>
                      </w:r>
                    </w:p>
                  </w:txbxContent>
                </v:textbox>
              </v:roundrect>
            </w:pict>
          </mc:Fallback>
        </mc:AlternateContent>
      </w:r>
      <w:r>
        <w:rPr>
          <w:noProof/>
        </w:rPr>
        <mc:AlternateContent>
          <mc:Choice Requires="wps">
            <w:drawing>
              <wp:anchor distT="0" distB="0" distL="114300" distR="114300" simplePos="0" relativeHeight="251684864" behindDoc="0" locked="0" layoutInCell="1" allowOverlap="1" wp14:anchorId="10BA9AA2" wp14:editId="61CAF0D2">
                <wp:simplePos x="0" y="0"/>
                <wp:positionH relativeFrom="column">
                  <wp:posOffset>900430</wp:posOffset>
                </wp:positionH>
                <wp:positionV relativeFrom="paragraph">
                  <wp:posOffset>20955</wp:posOffset>
                </wp:positionV>
                <wp:extent cx="878032" cy="299605"/>
                <wp:effectExtent l="57150" t="19050" r="74930" b="100965"/>
                <wp:wrapNone/>
                <wp:docPr id="1594607895" name="Persegi Panjang: Sudut Lengkung 1"/>
                <wp:cNvGraphicFramePr/>
                <a:graphic xmlns:a="http://schemas.openxmlformats.org/drawingml/2006/main">
                  <a:graphicData uri="http://schemas.microsoft.com/office/word/2010/wordprocessingShape">
                    <wps:wsp>
                      <wps:cNvSpPr/>
                      <wps:spPr>
                        <a:xfrm>
                          <a:off x="0" y="0"/>
                          <a:ext cx="878032" cy="299605"/>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070B612" w14:textId="77777777" w:rsidR="0054063A" w:rsidRPr="00742FE9" w:rsidRDefault="0054063A" w:rsidP="0054063A">
                            <w:pPr>
                              <w:rPr>
                                <w:color w:val="000000" w:themeColor="text1"/>
                                <w:sz w:val="12"/>
                                <w:szCs w:val="12"/>
                              </w:rPr>
                            </w:pPr>
                            <w:r>
                              <w:rPr>
                                <w:color w:val="000000" w:themeColor="text1"/>
                                <w:sz w:val="12"/>
                                <w:szCs w:val="12"/>
                              </w:rPr>
                              <w:t>2.Define Objectives of a solution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BA9AA2" id="_x0000_s1027" style="position:absolute;left:0;text-align:left;margin-left:70.9pt;margin-top:1.65pt;width:69.15pt;height:23.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" filled="f" strokecolor="black [3213]">
                <v:shadow on="t" color="black" opacity="22937f" origin=",.5" offset="0,.63889mm"/>
                <v:textbox>
                  <w:txbxContent>
                    <w:p w14:paraId="7070B612" w14:textId="77777777" w:rsidR="0054063A" w:rsidRPr="00742FE9" w:rsidRDefault="0054063A" w:rsidP="0054063A">
                      <w:pPr>
                        <w:rPr>
                          <w:color w:val="000000" w:themeColor="text1"/>
                          <w:sz w:val="12"/>
                          <w:szCs w:val="12"/>
                        </w:rPr>
                      </w:pPr>
                      <w:r>
                        <w:rPr>
                          <w:color w:val="000000" w:themeColor="text1"/>
                          <w:sz w:val="12"/>
                          <w:szCs w:val="12"/>
                        </w:rPr>
                        <w:t>2.Define Objectives of a solution</w:t>
                      </w:r>
                    </w:p>
                  </w:txbxContent>
                </v:textbox>
              </v:roundrect>
            </w:pict>
          </mc:Fallback>
        </mc:AlternateContent>
      </w:r>
      <w:r>
        <w:rPr>
          <w:noProof/>
        </w:rPr>
        <mc:AlternateContent>
          <mc:Choice Requires="wps">
            <w:drawing>
              <wp:anchor distT="0" distB="0" distL="114300" distR="114300" simplePos="0" relativeHeight="251685888" behindDoc="0" locked="0" layoutInCell="1" allowOverlap="1" wp14:anchorId="41859C6E" wp14:editId="3DCEF044">
                <wp:simplePos x="0" y="0"/>
                <wp:positionH relativeFrom="column">
                  <wp:posOffset>676910</wp:posOffset>
                </wp:positionH>
                <wp:positionV relativeFrom="paragraph">
                  <wp:posOffset>245745</wp:posOffset>
                </wp:positionV>
                <wp:extent cx="158750" cy="0"/>
                <wp:effectExtent l="38100" t="76200" r="31750" b="133350"/>
                <wp:wrapNone/>
                <wp:docPr id="137302721" name="Konektor Panah Lurus 2"/>
                <wp:cNvGraphicFramePr/>
                <a:graphic xmlns:a="http://schemas.openxmlformats.org/drawingml/2006/main">
                  <a:graphicData uri="http://schemas.microsoft.com/office/word/2010/wordprocessingShape">
                    <wps:wsp>
                      <wps:cNvCnPr/>
                      <wps:spPr>
                        <a:xfrm>
                          <a:off x="0" y="0"/>
                          <a:ext cx="158750"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D0A93FB" id="_x0000_t32" coordsize="21600,21600" o:spt="32" o:oned="t" path="m,l21600,21600e" filled="f">
                <v:path arrowok="t" fillok="f" o:connecttype="none"/>
                <o:lock v:ext="edit" shapetype="t"/>
              </v:shapetype>
              <v:shape id="Konektor Panah Lurus 2" o:spid="_x0000_s1026" type="#_x0000_t32" style="position:absolute;margin-left:53.3pt;margin-top:19.35pt;width:12.5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" strokecolor="black [3213]"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86912" behindDoc="0" locked="0" layoutInCell="1" allowOverlap="1" wp14:anchorId="46E44568" wp14:editId="3E47856B">
                <wp:simplePos x="0" y="0"/>
                <wp:positionH relativeFrom="column">
                  <wp:posOffset>1774825</wp:posOffset>
                </wp:positionH>
                <wp:positionV relativeFrom="paragraph">
                  <wp:posOffset>224790</wp:posOffset>
                </wp:positionV>
                <wp:extent cx="159327" cy="0"/>
                <wp:effectExtent l="38100" t="76200" r="31750" b="133350"/>
                <wp:wrapNone/>
                <wp:docPr id="1993453118" name="Konektor Panah Lurus 2"/>
                <wp:cNvGraphicFramePr/>
                <a:graphic xmlns:a="http://schemas.openxmlformats.org/drawingml/2006/main">
                  <a:graphicData uri="http://schemas.microsoft.com/office/word/2010/wordprocessingShape">
                    <wps:wsp>
                      <wps:cNvCnPr/>
                      <wps:spPr>
                        <a:xfrm>
                          <a:off x="0" y="0"/>
                          <a:ext cx="159327"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6321907" id="Konektor Panah Lurus 2" o:spid="_x0000_s1026" type="#_x0000_t32" style="position:absolute;margin-left:139.75pt;margin-top:17.7pt;width:12.55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" strokecolor="black [3213]"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87936" behindDoc="0" locked="0" layoutInCell="1" allowOverlap="1" wp14:anchorId="58D61D28" wp14:editId="292965B8">
                <wp:simplePos x="0" y="0"/>
                <wp:positionH relativeFrom="column">
                  <wp:posOffset>1951990</wp:posOffset>
                </wp:positionH>
                <wp:positionV relativeFrom="paragraph">
                  <wp:posOffset>18415</wp:posOffset>
                </wp:positionV>
                <wp:extent cx="670214" cy="299605"/>
                <wp:effectExtent l="57150" t="19050" r="73025" b="100965"/>
                <wp:wrapNone/>
                <wp:docPr id="1126377014" name="Persegi Panjang: Sudut Lengkung 1"/>
                <wp:cNvGraphicFramePr/>
                <a:graphic xmlns:a="http://schemas.openxmlformats.org/drawingml/2006/main">
                  <a:graphicData uri="http://schemas.microsoft.com/office/word/2010/wordprocessingShape">
                    <wps:wsp>
                      <wps:cNvSpPr/>
                      <wps:spPr>
                        <a:xfrm>
                          <a:off x="0" y="0"/>
                          <a:ext cx="670214" cy="299605"/>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0ABEB673" w14:textId="77777777" w:rsidR="0054063A" w:rsidRPr="00742FE9" w:rsidRDefault="0054063A" w:rsidP="0054063A">
                            <w:pPr>
                              <w:rPr>
                                <w:color w:val="000000" w:themeColor="text1"/>
                                <w:sz w:val="12"/>
                                <w:szCs w:val="12"/>
                              </w:rPr>
                            </w:pPr>
                            <w:r>
                              <w:rPr>
                                <w:color w:val="000000" w:themeColor="text1"/>
                                <w:sz w:val="12"/>
                                <w:szCs w:val="12"/>
                              </w:rPr>
                              <w:t>3. Design &amp;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D61D28" id="_x0000_s1028" style="position:absolute;left:0;text-align:left;margin-left:153.7pt;margin-top:1.45pt;width:52.75pt;height:23.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" filled="f" strokecolor="black [3213]">
                <v:shadow on="t" color="black" opacity="22937f" origin=",.5" offset="0,.63889mm"/>
                <v:textbox>
                  <w:txbxContent>
                    <w:p w14:paraId="0ABEB673" w14:textId="77777777" w:rsidR="0054063A" w:rsidRPr="00742FE9" w:rsidRDefault="0054063A" w:rsidP="0054063A">
                      <w:pPr>
                        <w:rPr>
                          <w:color w:val="000000" w:themeColor="text1"/>
                          <w:sz w:val="12"/>
                          <w:szCs w:val="12"/>
                        </w:rPr>
                      </w:pPr>
                      <w:r>
                        <w:rPr>
                          <w:color w:val="000000" w:themeColor="text1"/>
                          <w:sz w:val="12"/>
                          <w:szCs w:val="12"/>
                        </w:rPr>
                        <w:t>3. Design &amp; Development</w:t>
                      </w:r>
                    </w:p>
                  </w:txbxContent>
                </v:textbox>
              </v:roundrect>
            </w:pict>
          </mc:Fallback>
        </mc:AlternateContent>
      </w:r>
      <w:r>
        <w:rPr>
          <w:noProof/>
        </w:rPr>
        <mc:AlternateContent>
          <mc:Choice Requires="wps">
            <w:drawing>
              <wp:anchor distT="0" distB="0" distL="114300" distR="114300" simplePos="0" relativeHeight="251688960" behindDoc="0" locked="0" layoutInCell="1" allowOverlap="1" wp14:anchorId="343003AF" wp14:editId="310A2120">
                <wp:simplePos x="0" y="0"/>
                <wp:positionH relativeFrom="column">
                  <wp:posOffset>1868805</wp:posOffset>
                </wp:positionH>
                <wp:positionV relativeFrom="paragraph">
                  <wp:posOffset>505460</wp:posOffset>
                </wp:positionV>
                <wp:extent cx="775566" cy="299605"/>
                <wp:effectExtent l="57150" t="19050" r="81915" b="100965"/>
                <wp:wrapNone/>
                <wp:docPr id="1308503590" name="Persegi Panjang: Sudut Lengkung 1"/>
                <wp:cNvGraphicFramePr/>
                <a:graphic xmlns:a="http://schemas.openxmlformats.org/drawingml/2006/main">
                  <a:graphicData uri="http://schemas.microsoft.com/office/word/2010/wordprocessingShape">
                    <wps:wsp>
                      <wps:cNvSpPr/>
                      <wps:spPr>
                        <a:xfrm>
                          <a:off x="0" y="0"/>
                          <a:ext cx="775566" cy="299605"/>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6D741DCF" w14:textId="77777777" w:rsidR="0054063A" w:rsidRPr="00742FE9" w:rsidRDefault="0054063A" w:rsidP="0054063A">
                            <w:pPr>
                              <w:rPr>
                                <w:color w:val="000000" w:themeColor="text1"/>
                                <w:sz w:val="12"/>
                                <w:szCs w:val="12"/>
                              </w:rPr>
                            </w:pPr>
                            <w:r>
                              <w:rPr>
                                <w:color w:val="000000" w:themeColor="text1"/>
                                <w:sz w:val="12"/>
                                <w:szCs w:val="12"/>
                              </w:rPr>
                              <w:t>4. Demonstration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3003AF" id="_x0000_s1029" style="position:absolute;left:0;text-align:left;margin-left:147.15pt;margin-top:39.8pt;width:61.05pt;height:2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" filled="f" strokecolor="black [3213]">
                <v:shadow on="t" color="black" opacity="22937f" origin=",.5" offset="0,.63889mm"/>
                <v:textbox>
                  <w:txbxContent>
                    <w:p w14:paraId="6D741DCF" w14:textId="77777777" w:rsidR="0054063A" w:rsidRPr="00742FE9" w:rsidRDefault="0054063A" w:rsidP="0054063A">
                      <w:pPr>
                        <w:rPr>
                          <w:color w:val="000000" w:themeColor="text1"/>
                          <w:sz w:val="12"/>
                          <w:szCs w:val="12"/>
                        </w:rPr>
                      </w:pPr>
                      <w:r>
                        <w:rPr>
                          <w:color w:val="000000" w:themeColor="text1"/>
                          <w:sz w:val="12"/>
                          <w:szCs w:val="12"/>
                        </w:rPr>
                        <w:t>4. Demonstration</w:t>
                      </w:r>
                    </w:p>
                  </w:txbxContent>
                </v:textbox>
              </v:roundrect>
            </w:pict>
          </mc:Fallback>
        </mc:AlternateContent>
      </w:r>
      <w:r>
        <w:rPr>
          <w:noProof/>
        </w:rPr>
        <mc:AlternateContent>
          <mc:Choice Requires="wps">
            <w:drawing>
              <wp:anchor distT="0" distB="0" distL="114300" distR="114300" simplePos="0" relativeHeight="251689984" behindDoc="0" locked="0" layoutInCell="1" allowOverlap="1" wp14:anchorId="6CA58637" wp14:editId="251AD1A9">
                <wp:simplePos x="0" y="0"/>
                <wp:positionH relativeFrom="column">
                  <wp:posOffset>2208530</wp:posOffset>
                </wp:positionH>
                <wp:positionV relativeFrom="paragraph">
                  <wp:posOffset>408305</wp:posOffset>
                </wp:positionV>
                <wp:extent cx="158750" cy="0"/>
                <wp:effectExtent l="98425" t="15875" r="73025" b="92075"/>
                <wp:wrapNone/>
                <wp:docPr id="359188341" name="Konektor Panah Lurus 2"/>
                <wp:cNvGraphicFramePr/>
                <a:graphic xmlns:a="http://schemas.openxmlformats.org/drawingml/2006/main">
                  <a:graphicData uri="http://schemas.microsoft.com/office/word/2010/wordprocessingShape">
                    <wps:wsp>
                      <wps:cNvCnPr/>
                      <wps:spPr>
                        <a:xfrm rot="5400000">
                          <a:off x="0" y="0"/>
                          <a:ext cx="158750"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86CB035" id="Konektor Panah Lurus 2" o:spid="_x0000_s1026" type="#_x0000_t32" style="position:absolute;margin-left:173.9pt;margin-top:32.15pt;width:12.5pt;height:0;rotation:9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" strokecolor="black [3213]"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91008" behindDoc="0" locked="0" layoutInCell="1" allowOverlap="1" wp14:anchorId="10EA069B" wp14:editId="7D0C2359">
                <wp:simplePos x="0" y="0"/>
                <wp:positionH relativeFrom="column">
                  <wp:posOffset>1714500</wp:posOffset>
                </wp:positionH>
                <wp:positionV relativeFrom="paragraph">
                  <wp:posOffset>712470</wp:posOffset>
                </wp:positionV>
                <wp:extent cx="159327" cy="0"/>
                <wp:effectExtent l="57150" t="76200" r="0" b="133350"/>
                <wp:wrapNone/>
                <wp:docPr id="1369331747" name="Konektor Panah Lurus 2"/>
                <wp:cNvGraphicFramePr/>
                <a:graphic xmlns:a="http://schemas.openxmlformats.org/drawingml/2006/main">
                  <a:graphicData uri="http://schemas.microsoft.com/office/word/2010/wordprocessingShape">
                    <wps:wsp>
                      <wps:cNvCnPr/>
                      <wps:spPr>
                        <a:xfrm rot="10800000">
                          <a:off x="0" y="0"/>
                          <a:ext cx="159327"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7FCBF3" id="Konektor Panah Lurus 2" o:spid="_x0000_s1026" type="#_x0000_t32" style="position:absolute;margin-left:135pt;margin-top:56.1pt;width:12.55pt;height:0;rotation:18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" strokecolor="black [3213]"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92032" behindDoc="0" locked="0" layoutInCell="1" allowOverlap="1" wp14:anchorId="55B512A1" wp14:editId="1E9889B9">
                <wp:simplePos x="0" y="0"/>
                <wp:positionH relativeFrom="column">
                  <wp:posOffset>1019175</wp:posOffset>
                </wp:positionH>
                <wp:positionV relativeFrom="paragraph">
                  <wp:posOffset>538480</wp:posOffset>
                </wp:positionV>
                <wp:extent cx="670214" cy="299605"/>
                <wp:effectExtent l="57150" t="19050" r="73025" b="100965"/>
                <wp:wrapNone/>
                <wp:docPr id="1826810855" name="Persegi Panjang: Sudut Lengkung 1"/>
                <wp:cNvGraphicFramePr/>
                <a:graphic xmlns:a="http://schemas.openxmlformats.org/drawingml/2006/main">
                  <a:graphicData uri="http://schemas.microsoft.com/office/word/2010/wordprocessingShape">
                    <wps:wsp>
                      <wps:cNvSpPr/>
                      <wps:spPr>
                        <a:xfrm>
                          <a:off x="0" y="0"/>
                          <a:ext cx="670214" cy="299605"/>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4B52A671" w14:textId="77777777" w:rsidR="0054063A" w:rsidRPr="00742FE9" w:rsidRDefault="0054063A" w:rsidP="0054063A">
                            <w:pPr>
                              <w:rPr>
                                <w:color w:val="000000" w:themeColor="text1"/>
                                <w:sz w:val="12"/>
                                <w:szCs w:val="12"/>
                              </w:rPr>
                            </w:pPr>
                            <w:r>
                              <w:rPr>
                                <w:color w:val="000000" w:themeColor="text1"/>
                                <w:sz w:val="12"/>
                                <w:szCs w:val="12"/>
                              </w:rPr>
                              <w:t>5.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B512A1" id="_x0000_s1030" style="position:absolute;left:0;text-align:left;margin-left:80.25pt;margin-top:42.4pt;width:52.75pt;height:2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" filled="f" strokecolor="black [3213]">
                <v:shadow on="t" color="black" opacity="22937f" origin=",.5" offset="0,.63889mm"/>
                <v:textbox>
                  <w:txbxContent>
                    <w:p w14:paraId="4B52A671" w14:textId="77777777" w:rsidR="0054063A" w:rsidRPr="00742FE9" w:rsidRDefault="0054063A" w:rsidP="0054063A">
                      <w:pPr>
                        <w:rPr>
                          <w:color w:val="000000" w:themeColor="text1"/>
                          <w:sz w:val="12"/>
                          <w:szCs w:val="12"/>
                        </w:rPr>
                      </w:pPr>
                      <w:r>
                        <w:rPr>
                          <w:color w:val="000000" w:themeColor="text1"/>
                          <w:sz w:val="12"/>
                          <w:szCs w:val="12"/>
                        </w:rPr>
                        <w:t>5. Evaluation</w:t>
                      </w:r>
                    </w:p>
                  </w:txbxContent>
                </v:textbox>
              </v:roundrect>
            </w:pict>
          </mc:Fallback>
        </mc:AlternateContent>
      </w:r>
      <w:r>
        <w:rPr>
          <w:noProof/>
        </w:rPr>
        <mc:AlternateContent>
          <mc:Choice Requires="wps">
            <w:drawing>
              <wp:anchor distT="0" distB="0" distL="114300" distR="114300" simplePos="0" relativeHeight="251693056" behindDoc="0" locked="0" layoutInCell="1" allowOverlap="1" wp14:anchorId="5CE852E0" wp14:editId="57C03EF4">
                <wp:simplePos x="0" y="0"/>
                <wp:positionH relativeFrom="column">
                  <wp:posOffset>850265</wp:posOffset>
                </wp:positionH>
                <wp:positionV relativeFrom="paragraph">
                  <wp:posOffset>759460</wp:posOffset>
                </wp:positionV>
                <wp:extent cx="159327" cy="0"/>
                <wp:effectExtent l="57150" t="76200" r="0" b="133350"/>
                <wp:wrapNone/>
                <wp:docPr id="152273104" name="Konektor Panah Lurus 2"/>
                <wp:cNvGraphicFramePr/>
                <a:graphic xmlns:a="http://schemas.openxmlformats.org/drawingml/2006/main">
                  <a:graphicData uri="http://schemas.microsoft.com/office/word/2010/wordprocessingShape">
                    <wps:wsp>
                      <wps:cNvCnPr/>
                      <wps:spPr>
                        <a:xfrm rot="10800000">
                          <a:off x="0" y="0"/>
                          <a:ext cx="159327"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BD88135" id="Konektor Panah Lurus 2" o:spid="_x0000_s1026" type="#_x0000_t32" style="position:absolute;margin-left:66.95pt;margin-top:59.8pt;width:12.55pt;height:0;rotation:18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" strokecolor="black [3213]"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94080" behindDoc="0" locked="0" layoutInCell="1" allowOverlap="1" wp14:anchorId="053BFFD8" wp14:editId="69D2B5D7">
                <wp:simplePos x="0" y="0"/>
                <wp:positionH relativeFrom="column">
                  <wp:posOffset>53340</wp:posOffset>
                </wp:positionH>
                <wp:positionV relativeFrom="paragraph">
                  <wp:posOffset>567690</wp:posOffset>
                </wp:positionV>
                <wp:extent cx="796348" cy="299605"/>
                <wp:effectExtent l="57150" t="19050" r="80010" b="100965"/>
                <wp:wrapNone/>
                <wp:docPr id="1695793866" name="Persegi Panjang: Sudut Lengkung 1"/>
                <wp:cNvGraphicFramePr/>
                <a:graphic xmlns:a="http://schemas.openxmlformats.org/drawingml/2006/main">
                  <a:graphicData uri="http://schemas.microsoft.com/office/word/2010/wordprocessingShape">
                    <wps:wsp>
                      <wps:cNvSpPr/>
                      <wps:spPr>
                        <a:xfrm>
                          <a:off x="0" y="0"/>
                          <a:ext cx="796348" cy="299605"/>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665BF562" w14:textId="77777777" w:rsidR="0054063A" w:rsidRPr="00742FE9" w:rsidRDefault="0054063A" w:rsidP="0054063A">
                            <w:pPr>
                              <w:rPr>
                                <w:color w:val="000000" w:themeColor="text1"/>
                                <w:sz w:val="12"/>
                                <w:szCs w:val="12"/>
                              </w:rPr>
                            </w:pPr>
                            <w:r>
                              <w:rPr>
                                <w:color w:val="000000" w:themeColor="text1"/>
                                <w:sz w:val="12"/>
                                <w:szCs w:val="12"/>
                              </w:rPr>
                              <w:t>6. Communication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3BFFD8" id="_x0000_s1031" style="position:absolute;left:0;text-align:left;margin-left:4.2pt;margin-top:44.7pt;width:62.7pt;height:23.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" filled="f" strokecolor="black [3213]">
                <v:shadow on="t" color="black" opacity="22937f" origin=",.5" offset="0,.63889mm"/>
                <v:textbox>
                  <w:txbxContent>
                    <w:p w14:paraId="665BF562" w14:textId="77777777" w:rsidR="0054063A" w:rsidRPr="00742FE9" w:rsidRDefault="0054063A" w:rsidP="0054063A">
                      <w:pPr>
                        <w:rPr>
                          <w:color w:val="000000" w:themeColor="text1"/>
                          <w:sz w:val="12"/>
                          <w:szCs w:val="12"/>
                        </w:rPr>
                      </w:pPr>
                      <w:r>
                        <w:rPr>
                          <w:color w:val="000000" w:themeColor="text1"/>
                          <w:sz w:val="12"/>
                          <w:szCs w:val="12"/>
                        </w:rPr>
                        <w:t>6. Communication</w:t>
                      </w:r>
                    </w:p>
                  </w:txbxContent>
                </v:textbox>
              </v:roundrect>
            </w:pict>
          </mc:Fallback>
        </mc:AlternateContent>
      </w:r>
    </w:p>
    <w:p w14:paraId="489FDBBC" w14:textId="77777777" w:rsidR="0054063A" w:rsidRDefault="0054063A" w:rsidP="0054063A">
      <w:pPr>
        <w:pBdr>
          <w:top w:val="single" w:sz="4" w:space="1" w:color="auto"/>
          <w:left w:val="single" w:sz="4" w:space="4" w:color="auto"/>
          <w:bottom w:val="single" w:sz="4" w:space="1" w:color="auto"/>
          <w:right w:val="single" w:sz="4" w:space="4" w:color="auto"/>
        </w:pBdr>
        <w:ind w:firstLine="312"/>
        <w:jc w:val="center"/>
      </w:pPr>
    </w:p>
    <w:p w14:paraId="37BD9EE1" w14:textId="77777777" w:rsidR="0054063A" w:rsidRDefault="0054063A" w:rsidP="0054063A">
      <w:pPr>
        <w:pBdr>
          <w:top w:val="single" w:sz="4" w:space="1" w:color="auto"/>
          <w:left w:val="single" w:sz="4" w:space="4" w:color="auto"/>
          <w:bottom w:val="single" w:sz="4" w:space="1" w:color="auto"/>
          <w:right w:val="single" w:sz="4" w:space="4" w:color="auto"/>
        </w:pBdr>
        <w:ind w:firstLine="312"/>
        <w:jc w:val="center"/>
      </w:pPr>
    </w:p>
    <w:p w14:paraId="0084E094" w14:textId="77777777" w:rsidR="0054063A" w:rsidRDefault="0054063A" w:rsidP="0054063A">
      <w:pPr>
        <w:pBdr>
          <w:top w:val="single" w:sz="4" w:space="1" w:color="auto"/>
          <w:left w:val="single" w:sz="4" w:space="4" w:color="auto"/>
          <w:bottom w:val="single" w:sz="4" w:space="1" w:color="auto"/>
          <w:right w:val="single" w:sz="4" w:space="4" w:color="auto"/>
        </w:pBdr>
        <w:ind w:firstLine="312"/>
        <w:jc w:val="center"/>
      </w:pPr>
    </w:p>
    <w:p w14:paraId="04A84225" w14:textId="77777777" w:rsidR="0054063A" w:rsidRDefault="0054063A" w:rsidP="0054063A">
      <w:pPr>
        <w:pBdr>
          <w:top w:val="single" w:sz="4" w:space="1" w:color="auto"/>
          <w:left w:val="single" w:sz="4" w:space="4" w:color="auto"/>
          <w:bottom w:val="single" w:sz="4" w:space="1" w:color="auto"/>
          <w:right w:val="single" w:sz="4" w:space="4" w:color="auto"/>
        </w:pBdr>
        <w:ind w:firstLine="312"/>
        <w:jc w:val="center"/>
      </w:pPr>
    </w:p>
    <w:p w14:paraId="45FE37A5" w14:textId="77777777" w:rsidR="0054063A" w:rsidRDefault="0054063A" w:rsidP="0054063A">
      <w:pPr>
        <w:pBdr>
          <w:top w:val="single" w:sz="4" w:space="1" w:color="auto"/>
          <w:left w:val="single" w:sz="4" w:space="4" w:color="auto"/>
          <w:bottom w:val="single" w:sz="4" w:space="1" w:color="auto"/>
          <w:right w:val="single" w:sz="4" w:space="4" w:color="auto"/>
        </w:pBdr>
        <w:ind w:firstLine="312"/>
        <w:jc w:val="center"/>
      </w:pPr>
    </w:p>
    <w:p w14:paraId="44A98EBD" w14:textId="77777777" w:rsidR="0054063A" w:rsidRDefault="0054063A" w:rsidP="0054063A">
      <w:pPr>
        <w:pBdr>
          <w:top w:val="single" w:sz="4" w:space="1" w:color="auto"/>
          <w:left w:val="single" w:sz="4" w:space="4" w:color="auto"/>
          <w:bottom w:val="single" w:sz="4" w:space="1" w:color="auto"/>
          <w:right w:val="single" w:sz="4" w:space="4" w:color="auto"/>
        </w:pBdr>
        <w:ind w:firstLine="312"/>
        <w:jc w:val="center"/>
      </w:pPr>
    </w:p>
    <w:p w14:paraId="37D5C26D" w14:textId="77777777" w:rsidR="0054063A" w:rsidRDefault="0054063A" w:rsidP="0054063A">
      <w:pPr>
        <w:jc w:val="center"/>
      </w:pPr>
    </w:p>
    <w:p w14:paraId="1E909A4E" w14:textId="77777777" w:rsidR="00816F17" w:rsidRDefault="00816F17" w:rsidP="00816F17">
      <w:pPr>
        <w:ind w:firstLine="312"/>
        <w:jc w:val="center"/>
      </w:pPr>
      <w:r>
        <w:t xml:space="preserve">Figure 2. Stages Methodology Research </w:t>
      </w:r>
    </w:p>
    <w:p w14:paraId="2C7C597C" w14:textId="77777777" w:rsidR="00455AE2" w:rsidRDefault="00455AE2" w:rsidP="00455AE2">
      <w:pPr>
        <w:ind w:firstLine="312"/>
      </w:pPr>
      <w:r>
        <w:t xml:space="preserve"> </w:t>
      </w:r>
      <w:r>
        <w:rPr>
          <w:rFonts w:cs="Times New Roman"/>
        </w:rPr>
        <w:t xml:space="preserve">Data collection techniques include literature studies, framework analysis, instrument compilation, expert judgment questionnaire, Delphi round 1, Delphi round 2, and documentation comment expert. Instrument use Likert scale (1 to 5) </w:t>
      </w:r>
      <w:r w:rsidR="00871863">
        <w:rPr>
          <w:rFonts w:cs="Times New Roman"/>
        </w:rPr>
        <w:fldChar w:fldCharType="begin" w:fldLock="1"/>
      </w:r>
      <w:r w:rsidR="00871863">
        <w:rPr>
          <w:rFonts w:cs="Times New Roman"/>
        </w:rPr>
        <w:instrText>ADDIN CSL_CITATION {"citationItems":[{"id":"ITEM-1","itemData":{"DOI":"10.3389/fpsyg.2021.637547","ISSN":"16641078","abstract":"Developing self-report Likert scales is an essential part of modern psychology. However, it is hard for psychologists to remain apprised of best practices as methodological developments accumulate. To address this, this current paper offers a selective review of advances in Likert scale development that have occurred over the past 25 years. We reviewed six major measurement journals (e.g., Psychological Methods, Educational, and Psychological Measurement) between the years 1995–2019 and identified key advances, ultimately including 40 papers and offering written summaries of each. We supplemented this review with an in-depth discussion of five particular advances: (1) conceptions of construct validity, (2) creating better construct definitions, (3) readability tests for generating items, (4) alternative measures of precision [e.g., coefficient omega and item response theory (IRT) information], and (5) ant colony optimization (ACO) for creating short forms. The Supplementary Material provides further technical details on these advances and offers guidance on software implementation. This paper is intended to be a resource for psychological researchers to be informed about more recent psychometric progress in Likert scale creation.","author":[{"dropping-particle":"","family":"Jebb","given":"Andrew T.","non-dropping-particle":"","parse-names":false,"suffix":""},{"dropping-particle":"","family":"Ng","given":"Vincent","non-dropping-particle":"","parse-names":false,"suffix":""},{"dropping-particle":"","family":"Tay","given":"Louis","non-dropping-particle":"","parse-names":false,"suffix":""}],"container-title":"Frontiers in Psychology","id":"ITEM-1","issue":"May","issued":{"date-parts":[["2021"]]},"page":"1-14","title":"A Review of Key Likert Scale Development Advances: 1995–2019","type":"article-journal","volume":"12"},"uris":["http://www.mendeley.com/documents/?uuid=ffff021d-f3b8-4710-a111-c5ec9abf35eb"]}],"mendeley":{"formattedCitation":"[36]","plainTextFormattedCitation":"[36]","previouslyFormattedCitation":"[36]"},"properties":{"noteIndex":0},"schema":"https://github.com/citation-style-language/schema/raw/master/csl-citation.json"}</w:instrText>
      </w:r>
      <w:r w:rsidR="00871863">
        <w:rPr>
          <w:rFonts w:cs="Times New Roman"/>
        </w:rPr>
        <w:fldChar w:fldCharType="separate"/>
      </w:r>
      <w:r w:rsidR="00871863" w:rsidRPr="00871863">
        <w:rPr>
          <w:rFonts w:cs="Times New Roman"/>
          <w:noProof/>
        </w:rPr>
        <w:t>[36]</w:t>
      </w:r>
      <w:r w:rsidR="00871863">
        <w:rPr>
          <w:rFonts w:cs="Times New Roman"/>
        </w:rPr>
        <w:fldChar w:fldCharType="end"/>
      </w:r>
      <w:r>
        <w:rPr>
          <w:rFonts w:cs="Times New Roman"/>
        </w:rPr>
        <w:t>to evaluate the relevance, clarity, completeness, measurability, and feasibility of implementation for every dimension and indicator of the framework.</w:t>
      </w:r>
    </w:p>
    <w:p w14:paraId="3981B7E6" w14:textId="77777777" w:rsidR="0054063A" w:rsidRDefault="00455AE2" w:rsidP="00455AE2">
      <w:pPr>
        <w:ind w:firstLine="312"/>
      </w:pPr>
      <w:r>
        <w:rPr>
          <w:rFonts w:cs="Times New Roman"/>
        </w:rPr>
        <w:t xml:space="preserve">This study also uses expert judgment with the Delphi method to evaluate and validate the developed results, content validity ratio, and Aiken's V </w:t>
      </w:r>
      <w:r w:rsidR="00871863">
        <w:rPr>
          <w:rFonts w:cs="Times New Roman"/>
        </w:rPr>
        <w:fldChar w:fldCharType="begin" w:fldLock="1"/>
      </w:r>
      <w:r w:rsidR="00871863">
        <w:rPr>
          <w:rFonts w:cs="Times New Roman"/>
        </w:rPr>
        <w:instrText>ADDIN CSL_CITATION {"citationItems":[{"id":"ITEM-1","itemData":{"author":[{"dropping-particle":"","family":"Ilyana","given":"Nur","non-dropping-particle":"","parse-names":false,"suffix":""},{"dropping-particle":"","family":"Tajuddin","given":"Ismarau","non-dropping-particle":"","parse-names":false,"suffix":""},{"dropping-particle":"","family":"Abas","given":"Ummu-hani","non-dropping-particle":"","parse-names":false,"suffix":""},{"dropping-particle":"","family":"Aziz","given":"Khairi Azhar","non-dropping-particle":"","parse-names":false,"suffix":""},{"dropping-particle":"","family":"Nor","given":"Rozi","non-dropping-particle":"","parse-names":false,"suffix":""},{"dropping-particle":"","family":"Nor","given":"Haizan","non-dropping-particle":"","parse-names":false,"suffix":""},{"dropping-particle":"","family":"Izni","given":"Nor Aziyatul","non-dropping-particle":"","parse-names":false,"suffix":""}],"id":"ITEM-1","issue":"6","issued":{"date-parts":[["2025"]]},"page":"601-608","title":"Content Valid ity Assessment Using Aiken ’ s V : Knowledge Integration Model for Blockchain in Higher Learning Institutions","type":"article-journal","volume":"16"},"uris":["http://www.mendeley.com/documents/?uuid=01369c42-6b5f-417e-b1d8-cd80915ce47b"]}],"mendeley":{"formattedCitation":"[37]","plainTextFormattedCitation":"[37]","previouslyFormattedCitation":"[37]"},"properties":{"noteIndex":0},"schema":"https://github.com/citation-style-language/schema/raw/master/csl-citation.json"}</w:instrText>
      </w:r>
      <w:r w:rsidR="00871863">
        <w:rPr>
          <w:rFonts w:cs="Times New Roman"/>
        </w:rPr>
        <w:fldChar w:fldCharType="separate"/>
      </w:r>
      <w:r w:rsidR="00871863" w:rsidRPr="00871863">
        <w:rPr>
          <w:rFonts w:cs="Times New Roman"/>
          <w:noProof/>
        </w:rPr>
        <w:t>[37]</w:t>
      </w:r>
      <w:r w:rsidR="00871863">
        <w:rPr>
          <w:rFonts w:cs="Times New Roman"/>
        </w:rPr>
        <w:fldChar w:fldCharType="end"/>
      </w:r>
      <w:r w:rsidR="00871863">
        <w:rPr>
          <w:rFonts w:cs="Times New Roman"/>
        </w:rPr>
        <w:fldChar w:fldCharType="begin" w:fldLock="1"/>
      </w:r>
      <w:r w:rsidR="00871863">
        <w:rPr>
          <w:rFonts w:cs="Times New Roman"/>
        </w:rPr>
        <w:instrText>ADDIN CSL_CITATION {"citationItems":[{"id":"ITEM-1","itemData":{"author":[{"dropping-particle":"","family":"Aiken","given":"Lewis R.","non-dropping-particle":"","parse-names":false,"suffix":""}],"container-title":"Sage Journal","id":"ITEM-1","issue":"1","issued":{"date-parts":[["1985"]]},"title":"Three Coefficients for Analayzing The Reliability and Validity of Rating","type":"article-journal","volume":"4"},"uris":["http://www.mendeley.com/documents/?uuid=ded134ee-6e4c-4a94-bab4-2b7a85ca026c"]}],"mendeley":{"formattedCitation":"[38]","plainTextFormattedCitation":"[38]"},"properties":{"noteIndex":0},"schema":"https://github.com/citation-style-language/schema/raw/master/csl-citation.json"}</w:instrText>
      </w:r>
      <w:r w:rsidR="00871863">
        <w:rPr>
          <w:rFonts w:cs="Times New Roman"/>
        </w:rPr>
        <w:fldChar w:fldCharType="separate"/>
      </w:r>
      <w:r w:rsidR="00871863" w:rsidRPr="00871863">
        <w:rPr>
          <w:rFonts w:cs="Times New Roman"/>
          <w:noProof/>
        </w:rPr>
        <w:t>[38]</w:t>
      </w:r>
      <w:r w:rsidR="00871863">
        <w:rPr>
          <w:rFonts w:cs="Times New Roman"/>
        </w:rPr>
        <w:fldChar w:fldCharType="end"/>
      </w:r>
      <w:r w:rsidR="00871863">
        <w:rPr>
          <w:rFonts w:cs="Times New Roman"/>
        </w:rPr>
        <w:t xml:space="preserve"> .</w:t>
      </w:r>
      <w:r>
        <w:rPr>
          <w:rFonts w:cs="Times New Roman"/>
        </w:rPr>
        <w:t xml:space="preserve"> The reliability of an instrument can be assessed using Cronbach's alpha.</w:t>
      </w:r>
    </w:p>
    <w:p w14:paraId="4078C1D4" w14:textId="77777777" w:rsidR="008A602A" w:rsidRPr="008F6FAA" w:rsidRDefault="008A602A" w:rsidP="008A602A">
      <w:pPr>
        <w:pStyle w:val="Judul2"/>
        <w:rPr>
          <w:color w:val="000000" w:themeColor="text1"/>
          <w:szCs w:val="22"/>
        </w:rPr>
      </w:pPr>
      <w:r w:rsidRPr="008F6FAA">
        <w:rPr>
          <w:rFonts w:ascii="Times New Roman" w:eastAsia="Times New Roman" w:hAnsi="Times New Roman"/>
          <w:color w:val="000000" w:themeColor="text1"/>
          <w:szCs w:val="22"/>
        </w:rPr>
        <w:t xml:space="preserve">5.1. </w:t>
      </w:r>
      <w:r w:rsidR="00CD01FF" w:rsidRPr="008F6FAA">
        <w:rPr>
          <w:rFonts w:ascii="Times New Roman" w:eastAsia="Times New Roman" w:hAnsi="Times New Roman"/>
          <w:color w:val="000000" w:themeColor="text1"/>
          <w:szCs w:val="22"/>
        </w:rPr>
        <w:t>for</w:t>
      </w:r>
      <w:r w:rsidRPr="008F6FAA">
        <w:rPr>
          <w:rFonts w:ascii="Times New Roman" w:eastAsia="Times New Roman" w:hAnsi="Times New Roman"/>
          <w:color w:val="000000" w:themeColor="text1"/>
          <w:szCs w:val="22"/>
        </w:rPr>
        <w:t>mula Testing</w:t>
      </w:r>
    </w:p>
    <w:p w14:paraId="722B443F" w14:textId="5E6818C6" w:rsidR="00585202" w:rsidRPr="00585202" w:rsidRDefault="00455AE2" w:rsidP="00585202">
      <w:pPr>
        <w:ind w:firstLine="312"/>
        <w:rPr>
          <w:strike/>
          <w:color w:val="EE0000"/>
        </w:rPr>
      </w:pPr>
      <w:r w:rsidRPr="00585202">
        <w:rPr>
          <w:rFonts w:cs="Times New Roman"/>
          <w:strike/>
          <w:color w:val="EE0000"/>
        </w:rPr>
        <w:t>Validity content can be counted using the content validity ratio and Aiken's V. Reliability of the instrument can be counted using Cronbach's alpha. Delphi consensus can be analyzed using the interquartile range. Index readiness is used to implement the count-percentage readiness for every framework dimension.</w:t>
      </w:r>
      <w:r w:rsidR="00585202" w:rsidRPr="00585202">
        <w:t xml:space="preserve"> </w:t>
      </w:r>
      <w:commentRangeStart w:id="9"/>
      <w:r w:rsidR="00585202" w:rsidRPr="00585202">
        <w:rPr>
          <w:color w:val="EE0000"/>
        </w:rPr>
        <w:t>Validity content can be calculated using the content validity ratio and Aiken's V. Reliability of the instrument can be calculated using Cronbach's alpha. Delphi consensus can be analyzed using the interquartile range. In this study, the expert-assessed applicability index is used to measure the perceived completeness, suitability, and implementation feasibility of each PRASASTI framework dimension based on expert evaluation. This index does not represent organizational maturity or actual organizational readiness</w:t>
      </w:r>
      <w:commentRangeEnd w:id="9"/>
      <w:r w:rsidR="00585202" w:rsidRPr="00585202">
        <w:rPr>
          <w:rStyle w:val="ReferensiKomentar"/>
          <w:strike/>
          <w:color w:val="EE0000"/>
          <w:sz w:val="22"/>
          <w:szCs w:val="22"/>
        </w:rPr>
        <w:commentReference w:id="9"/>
      </w:r>
    </w:p>
    <w:p w14:paraId="73B0C298" w14:textId="00E611D6" w:rsidR="00455AE2" w:rsidRPr="00585202" w:rsidRDefault="00455AE2" w:rsidP="00455AE2">
      <w:pPr>
        <w:ind w:firstLine="312"/>
        <w:rPr>
          <w:color w:val="EE0000"/>
        </w:rPr>
      </w:pPr>
    </w:p>
    <w:p w14:paraId="5F264697" w14:textId="77777777" w:rsidR="008A602A" w:rsidRDefault="008A602A" w:rsidP="008A602A">
      <w:pPr>
        <w:ind w:firstLine="312"/>
      </w:pPr>
      <w:r>
        <w:t xml:space="preserve">As for the formulation for </w:t>
      </w:r>
      <w:r w:rsidR="00B54B5D">
        <w:t>c</w:t>
      </w:r>
      <w:r>
        <w:t xml:space="preserve">ontent </w:t>
      </w:r>
      <w:r w:rsidR="00B54B5D">
        <w:t>v</w:t>
      </w:r>
      <w:r>
        <w:t xml:space="preserve">alidity </w:t>
      </w:r>
      <w:r w:rsidR="00B54B5D">
        <w:t>r</w:t>
      </w:r>
      <w:r>
        <w:t>atio:</w:t>
      </w:r>
    </w:p>
    <w:p w14:paraId="5A6EF4FB" w14:textId="77777777" w:rsidR="008A602A" w:rsidRDefault="008A602A" w:rsidP="008A602A">
      <w:pPr>
        <w:tabs>
          <w:tab w:val="center" w:pos="2127"/>
          <w:tab w:val="right" w:pos="4395"/>
        </w:tabs>
        <w:spacing w:before="120" w:after="120"/>
        <w:jc w:val="center"/>
        <w:rPr>
          <w:sz w:val="20"/>
        </w:rPr>
      </w:pPr>
      <w:r>
        <w:rPr>
          <w:sz w:val="20"/>
        </w:rPr>
        <w:tab/>
        <w:t xml:space="preserve">CVR </w:t>
      </w:r>
      <w:r w:rsidRPr="00C86BEB">
        <w:rPr>
          <w:sz w:val="20"/>
          <w:vertAlign w:val="subscript"/>
        </w:rPr>
        <w:t xml:space="preserve">i </w:t>
      </w:r>
      <w:r>
        <w:rPr>
          <w:sz w:val="20"/>
        </w:rPr>
        <w:t xml:space="preserve">= ( </w:t>
      </w:r>
      <w:r w:rsidRPr="00C86BEB">
        <w:rPr>
          <w:sz w:val="28"/>
          <w:szCs w:val="28"/>
        </w:rPr>
        <w:t xml:space="preserve">n </w:t>
      </w:r>
      <w:r w:rsidRPr="00C86BEB">
        <w:rPr>
          <w:sz w:val="20"/>
          <w:vertAlign w:val="subscript"/>
        </w:rPr>
        <w:t xml:space="preserve">e </w:t>
      </w:r>
      <w:r>
        <w:rPr>
          <w:sz w:val="20"/>
        </w:rPr>
        <w:t xml:space="preserve">- N/2) / (N/2) </w:t>
      </w:r>
      <w:r>
        <w:rPr>
          <w:sz w:val="20"/>
        </w:rPr>
        <w:tab/>
        <w:t>(1)</w:t>
      </w:r>
    </w:p>
    <w:p w14:paraId="6DB93120" w14:textId="77777777" w:rsidR="00EB094C" w:rsidRDefault="008A602A" w:rsidP="00EB094C">
      <w:pPr>
        <w:spacing w:before="120" w:after="120"/>
        <w:rPr>
          <w:sz w:val="20"/>
        </w:rPr>
      </w:pPr>
      <w:r>
        <w:rPr>
          <w:sz w:val="20"/>
        </w:rPr>
        <w:t>Information :</w:t>
      </w:r>
    </w:p>
    <w:p w14:paraId="749E80B3" w14:textId="77777777" w:rsidR="00455AE2" w:rsidRDefault="00455AE2" w:rsidP="00455AE2">
      <w:pPr>
        <w:spacing w:before="120" w:after="120"/>
      </w:pPr>
      <w:r>
        <w:rPr>
          <w:rFonts w:cs="Times New Roman"/>
        </w:rPr>
        <w:t xml:space="preserve">Respondents' validation was designed for up to 19 people, including expert planning IT strategists, enterprise architecture experts, IT governance </w:t>
      </w:r>
      <w:r>
        <w:rPr>
          <w:rFonts w:cs="Times New Roman"/>
        </w:rPr>
        <w:lastRenderedPageBreak/>
        <w:t>experts, IT practitioners, and academic system information experts. Amount: This is used for expert judgment and Delphi,</w:t>
      </w:r>
    </w:p>
    <w:p w14:paraId="7FBC3867" w14:textId="77777777" w:rsidR="009204AA" w:rsidRDefault="008A602A" w:rsidP="0054063A">
      <w:pPr>
        <w:spacing w:before="120" w:after="40"/>
        <w:rPr>
          <w:sz w:val="20"/>
        </w:rPr>
      </w:pPr>
      <w:r w:rsidRPr="00C86BEB">
        <w:rPr>
          <w:sz w:val="28"/>
          <w:szCs w:val="28"/>
        </w:rPr>
        <w:t>n</w:t>
      </w:r>
      <w:r w:rsidRPr="00C86BEB">
        <w:rPr>
          <w:sz w:val="20"/>
          <w:vertAlign w:val="subscript"/>
        </w:rPr>
        <w:t xml:space="preserve">e </w:t>
      </w:r>
      <w:r w:rsidRPr="00C86BEB">
        <w:t xml:space="preserve">= number the expert who rated the item as important </w:t>
      </w:r>
      <w:r w:rsidRPr="00C86BEB">
        <w:br/>
      </w:r>
      <m:oMath>
        <m:r>
          <w:rPr>
            <w:rFonts w:ascii="Cambria Math" w:hAnsi="Cambria Math"/>
          </w:rPr>
          <m:t>N</m:t>
        </m:r>
      </m:oMath>
      <w:r w:rsidRPr="00C86BEB">
        <w:t>= number of all experts</w:t>
      </w:r>
    </w:p>
    <w:p w14:paraId="72CCBE7A" w14:textId="77777777" w:rsidR="00EB094C" w:rsidRDefault="00EB094C" w:rsidP="0054063A">
      <w:pPr>
        <w:spacing w:before="120" w:after="40"/>
        <w:rPr>
          <w:sz w:val="20"/>
        </w:rPr>
      </w:pPr>
    </w:p>
    <w:p w14:paraId="33B4404A" w14:textId="77777777" w:rsidR="00184176" w:rsidRDefault="00000000" w:rsidP="00EB094C">
      <w:pPr>
        <w:spacing w:before="120" w:after="40"/>
        <w:jc w:val="center"/>
      </w:pPr>
      <w:r>
        <w:rPr>
          <w:sz w:val="20"/>
        </w:rPr>
        <w:t>3. Variables and indicators study</w:t>
      </w:r>
    </w:p>
    <w:p w14:paraId="25131500" w14:textId="77777777" w:rsidR="00C86BEB" w:rsidRDefault="00C86BEB" w:rsidP="00C86BEB">
      <w:pPr>
        <w:spacing w:before="120" w:after="120"/>
      </w:pPr>
    </w:p>
    <w:p w14:paraId="68196ABA" w14:textId="77777777" w:rsidR="00C86BEB" w:rsidRDefault="00C86BEB" w:rsidP="00C86BEB">
      <w:pPr>
        <w:spacing w:before="120" w:after="120"/>
      </w:pPr>
      <w:r>
        <w:t>The formulation of Aiken's V is:</w:t>
      </w:r>
    </w:p>
    <w:p w14:paraId="32205795" w14:textId="77777777" w:rsidR="00184176" w:rsidRDefault="00954037" w:rsidP="00954037">
      <w:pPr>
        <w:tabs>
          <w:tab w:val="center" w:pos="1985"/>
          <w:tab w:val="right" w:pos="4536"/>
        </w:tabs>
        <w:spacing w:before="120" w:after="120"/>
        <w:jc w:val="center"/>
        <w:rPr>
          <w:sz w:val="20"/>
        </w:rPr>
      </w:pPr>
      <w:r>
        <w:rPr>
          <w:sz w:val="20"/>
        </w:rPr>
        <w:tab/>
        <w:t xml:space="preserve">V = </w:t>
      </w:r>
      <w:r w:rsidR="00C86BEB">
        <w:rPr>
          <w:sz w:val="20"/>
        </w:rPr>
        <w:sym w:font="Symbol" w:char="F053"/>
      </w:r>
      <w:r>
        <w:rPr>
          <w:sz w:val="20"/>
        </w:rPr>
        <w:t xml:space="preserve">(s) / [n(c - 1)] </w:t>
      </w:r>
      <w:r>
        <w:rPr>
          <w:sz w:val="20"/>
        </w:rPr>
        <w:tab/>
        <w:t>(2)</w:t>
      </w:r>
    </w:p>
    <w:p w14:paraId="1DCCCC31" w14:textId="77777777" w:rsidR="00C86BEB" w:rsidRDefault="00C86BEB" w:rsidP="00C86BEB">
      <w:pPr>
        <w:spacing w:before="120" w:after="120"/>
        <w:rPr>
          <w:sz w:val="20"/>
        </w:rPr>
      </w:pPr>
      <w:r>
        <w:rPr>
          <w:sz w:val="20"/>
        </w:rPr>
        <w:t>Information :</w:t>
      </w:r>
    </w:p>
    <w:p w14:paraId="54C23E34" w14:textId="77777777" w:rsidR="00C86BEB" w:rsidRDefault="00C86BEB" w:rsidP="00C86BEB">
      <w:pPr>
        <w:spacing w:before="120" w:after="120"/>
        <w:jc w:val="left"/>
      </w:pPr>
      <w:r>
        <w:t xml:space="preserve">s=r−l </w:t>
      </w:r>
      <w:r w:rsidRPr="00C86BEB">
        <w:rPr>
          <w:vertAlign w:val="subscript"/>
        </w:rPr>
        <w:t>o</w:t>
      </w:r>
    </w:p>
    <w:p w14:paraId="3AD938E4" w14:textId="77777777" w:rsidR="00C86BEB" w:rsidRPr="00EB094C" w:rsidRDefault="00C86BEB" w:rsidP="00EB094C">
      <w:pPr>
        <w:spacing w:before="120" w:after="120"/>
        <w:jc w:val="left"/>
      </w:pPr>
      <m:oMath>
        <m:r>
          <w:rPr>
            <w:rFonts w:ascii="Cambria Math" w:hAnsi="Cambria Math"/>
          </w:rPr>
          <m:t>r</m:t>
        </m:r>
      </m:oMath>
      <w:r w:rsidRPr="00C86BEB">
        <w:t xml:space="preserve">= score given by expert </w:t>
      </w:r>
      <w:r w:rsidRPr="00C86BEB">
        <w:br/>
      </w:r>
      <m:oMath>
        <m:sSub>
          <m:sSubPr>
            <m:ctrlPr>
              <w:rPr>
                <w:rFonts w:ascii="Cambria Math" w:hAnsi="Cambria Math"/>
              </w:rPr>
            </m:ctrlPr>
          </m:sSubPr>
          <m:e>
            <m:r>
              <w:rPr>
                <w:rFonts w:ascii="Cambria Math" w:hAnsi="Cambria Math"/>
              </w:rPr>
              <m:t>l</m:t>
            </m:r>
          </m:e>
          <m:sub>
            <m:r>
              <w:rPr>
                <w:rFonts w:ascii="Cambria Math" w:hAnsi="Cambria Math"/>
              </w:rPr>
              <m:t>o</m:t>
            </m:r>
          </m:sub>
        </m:sSub>
      </m:oMath>
      <w:r w:rsidRPr="00C86BEB">
        <w:t xml:space="preserve">= lowest score </w:t>
      </w:r>
      <w:r w:rsidRPr="00C86BEB">
        <w:br/>
      </w:r>
      <m:oMath>
        <m:r>
          <w:rPr>
            <w:rFonts w:ascii="Cambria Math" w:hAnsi="Cambria Math"/>
          </w:rPr>
          <m:t>n</m:t>
        </m:r>
      </m:oMath>
      <w:r w:rsidRPr="00C86BEB">
        <w:t xml:space="preserve">= number of experts </w:t>
      </w:r>
      <w:r w:rsidRPr="00C86BEB">
        <w:br/>
      </w:r>
      <m:oMath>
        <m:r>
          <w:rPr>
            <w:rFonts w:ascii="Cambria Math" w:hAnsi="Cambria Math"/>
          </w:rPr>
          <m:t>c</m:t>
        </m:r>
      </m:oMath>
      <w:r w:rsidRPr="00C86BEB">
        <w:t>= number of assessment categories</w:t>
      </w:r>
    </w:p>
    <w:p w14:paraId="3A68612A" w14:textId="77777777" w:rsidR="00C86BEB" w:rsidRDefault="00C86BEB" w:rsidP="00C86BEB">
      <w:pPr>
        <w:spacing w:before="120" w:after="120"/>
        <w:rPr>
          <w:sz w:val="20"/>
        </w:rPr>
      </w:pPr>
      <w:r>
        <w:rPr>
          <w:sz w:val="20"/>
        </w:rPr>
        <w:t>The Cronbach's Alpha formula is :</w:t>
      </w:r>
    </w:p>
    <w:p w14:paraId="51645608" w14:textId="77777777" w:rsidR="00852FC2" w:rsidRDefault="00F30A68" w:rsidP="00F30A68">
      <w:pPr>
        <w:spacing w:before="120" w:after="120"/>
        <w:rPr>
          <w:sz w:val="20"/>
        </w:rPr>
      </w:pPr>
      <w:r>
        <w:rPr>
          <w:sz w:val="20"/>
        </w:rPr>
        <w:t xml:space="preserve">                      </w:t>
      </w:r>
      <w:r w:rsidR="00C86BEB">
        <w:rPr>
          <w:sz w:val="20"/>
        </w:rPr>
        <w:sym w:font="Symbol" w:char="F061"/>
      </w:r>
      <w:r w:rsidR="00C86BEB">
        <w:rPr>
          <w:sz w:val="20"/>
        </w:rPr>
        <w:t xml:space="preserve">= </w:t>
      </w:r>
      <w:r w:rsidR="005E1355" w:rsidRPr="005E1355">
        <w:rPr>
          <w:sz w:val="20"/>
          <w:u w:val="single"/>
        </w:rPr>
        <w:t xml:space="preserve">k </w:t>
      </w:r>
      <w:r w:rsidR="00C86BEB">
        <w:rPr>
          <w:sz w:val="20"/>
        </w:rPr>
        <w:t xml:space="preserve">* (1 - </w:t>
      </w:r>
      <w:r w:rsidR="00C86BEB" w:rsidRPr="005E1355">
        <w:rPr>
          <w:sz w:val="20"/>
          <w:u w:val="single"/>
        </w:rPr>
        <w:sym w:font="Symbol" w:char="F053"/>
      </w:r>
      <w:r w:rsidR="00852FC2" w:rsidRPr="005E1355">
        <w:rPr>
          <w:sz w:val="24"/>
          <w:szCs w:val="24"/>
          <w:u w:val="single"/>
        </w:rPr>
        <w:t xml:space="preserve">σ </w:t>
      </w:r>
      <w:r w:rsidR="005E1355" w:rsidRPr="00A7499C">
        <w:rPr>
          <w:sz w:val="24"/>
          <w:szCs w:val="24"/>
          <w:vertAlign w:val="subscript"/>
        </w:rPr>
        <w:t>i</w:t>
      </w:r>
      <w:r w:rsidR="00C86BEB" w:rsidRPr="00A7499C">
        <w:rPr>
          <w:sz w:val="20"/>
          <w:vertAlign w:val="superscript"/>
        </w:rPr>
        <w:t xml:space="preserve">2 </w:t>
      </w:r>
      <w:r w:rsidR="00C86BEB">
        <w:rPr>
          <w:sz w:val="20"/>
        </w:rPr>
        <w:t xml:space="preserve">) (3) </w:t>
      </w:r>
      <w:r w:rsidR="005E1355">
        <w:rPr>
          <w:sz w:val="20"/>
        </w:rPr>
        <w:br/>
      </w:r>
      <w:r w:rsidR="00A7499C">
        <w:rPr>
          <w:sz w:val="20"/>
        </w:rPr>
        <w:t xml:space="preserve">                               </w:t>
      </w:r>
      <w:r w:rsidR="0082622F">
        <w:rPr>
          <w:sz w:val="20"/>
        </w:rPr>
        <w:t xml:space="preserve">(k - 1) </w:t>
      </w:r>
      <w:r w:rsidR="00A7499C">
        <w:rPr>
          <w:sz w:val="20"/>
        </w:rPr>
        <w:t xml:space="preserve">                           </w:t>
      </w:r>
      <w:r w:rsidR="005E1355" w:rsidRPr="005E1355">
        <w:rPr>
          <w:sz w:val="24"/>
          <w:szCs w:val="24"/>
        </w:rPr>
        <w:t xml:space="preserve">σ </w:t>
      </w:r>
      <w:r w:rsidR="005E1355" w:rsidRPr="005E1355">
        <w:rPr>
          <w:sz w:val="24"/>
          <w:szCs w:val="24"/>
          <w:vertAlign w:val="subscript"/>
        </w:rPr>
        <w:t xml:space="preserve">i </w:t>
      </w:r>
      <w:r w:rsidR="005E1355" w:rsidRPr="005E1355">
        <w:rPr>
          <w:sz w:val="20"/>
          <w:vertAlign w:val="superscript"/>
        </w:rPr>
        <w:t>2</w:t>
      </w:r>
      <w:r w:rsidR="005E1355">
        <w:rPr>
          <w:sz w:val="20"/>
        </w:rPr>
        <w:t xml:space="preserve"> </w:t>
      </w:r>
    </w:p>
    <w:p w14:paraId="11455F94" w14:textId="77777777" w:rsidR="005E1355" w:rsidRDefault="00F30A68" w:rsidP="00F30A68">
      <w:pPr>
        <w:spacing w:before="120" w:after="120"/>
        <w:jc w:val="left"/>
        <w:rPr>
          <w:sz w:val="20"/>
        </w:rPr>
      </w:pPr>
      <w:r w:rsidRPr="00F30A68">
        <w:rPr>
          <w:sz w:val="20"/>
        </w:rPr>
        <w:t xml:space="preserve">Description : </w:t>
      </w:r>
      <w:r w:rsidRPr="00F30A68">
        <w:rPr>
          <w:sz w:val="20"/>
        </w:rPr>
        <w:br/>
      </w:r>
      <m:oMath>
        <m:r>
          <w:rPr>
            <w:rFonts w:ascii="Cambria Math" w:hAnsi="Cambria Math"/>
            <w:sz w:val="20"/>
          </w:rPr>
          <m:t>k</m:t>
        </m:r>
      </m:oMath>
      <w:r w:rsidRPr="00F30A68">
        <w:rPr>
          <w:sz w:val="20"/>
        </w:rPr>
        <w:t xml:space="preserve">= number of items </w:t>
      </w:r>
      <w:r w:rsidRPr="00F30A68">
        <w:rPr>
          <w:sz w:val="20"/>
        </w:rPr>
        <w:br/>
      </w:r>
      <m:oMath>
        <m:sSubSup>
          <m:sSubSupPr>
            <m:ctrlPr>
              <w:rPr>
                <w:rFonts w:ascii="Cambria Math" w:hAnsi="Cambria Math"/>
                <w:sz w:val="20"/>
              </w:rPr>
            </m:ctrlPr>
          </m:sSubSupPr>
          <m:e>
            <m:r>
              <w:rPr>
                <w:rFonts w:ascii="Cambria Math" w:hAnsi="Cambria Math"/>
                <w:sz w:val="20"/>
              </w:rPr>
              <m:t>σ</m:t>
            </m:r>
          </m:e>
          <m:sub>
            <m:r>
              <w:rPr>
                <w:rFonts w:ascii="Cambria Math" w:hAnsi="Cambria Math"/>
                <w:sz w:val="20"/>
              </w:rPr>
              <m:t>i</m:t>
            </m:r>
          </m:sub>
          <m:sup>
            <m:r>
              <w:rPr>
                <w:rFonts w:ascii="Cambria Math" w:hAnsi="Cambria Math"/>
                <w:sz w:val="20"/>
              </w:rPr>
              <m:t>2</m:t>
            </m:r>
          </m:sup>
        </m:sSubSup>
      </m:oMath>
      <w:r w:rsidRPr="00F30A68">
        <w:rPr>
          <w:sz w:val="20"/>
        </w:rPr>
        <w:t xml:space="preserve">= item variance </w:t>
      </w:r>
      <w:r w:rsidRPr="00F30A68">
        <w:rPr>
          <w:sz w:val="20"/>
        </w:rPr>
        <w:br/>
      </w:r>
      <m:oMath>
        <m:sSubSup>
          <m:sSubSupPr>
            <m:ctrlPr>
              <w:rPr>
                <w:rFonts w:ascii="Cambria Math" w:hAnsi="Cambria Math"/>
                <w:sz w:val="20"/>
              </w:rPr>
            </m:ctrlPr>
          </m:sSubSupPr>
          <m:e>
            <m:r>
              <w:rPr>
                <w:rFonts w:ascii="Cambria Math" w:hAnsi="Cambria Math"/>
                <w:sz w:val="20"/>
              </w:rPr>
              <m:t>σ</m:t>
            </m:r>
          </m:e>
          <m:sub>
            <m:r>
              <w:rPr>
                <w:rFonts w:ascii="Cambria Math" w:hAnsi="Cambria Math"/>
                <w:sz w:val="20"/>
              </w:rPr>
              <m:t>t</m:t>
            </m:r>
          </m:sub>
          <m:sup>
            <m:r>
              <w:rPr>
                <w:rFonts w:ascii="Cambria Math" w:hAnsi="Cambria Math"/>
                <w:sz w:val="20"/>
              </w:rPr>
              <m:t>2</m:t>
            </m:r>
          </m:sup>
        </m:sSubSup>
      </m:oMath>
      <w:r w:rsidRPr="00F30A68">
        <w:rPr>
          <w:sz w:val="20"/>
        </w:rPr>
        <w:t>= total variance</w:t>
      </w:r>
    </w:p>
    <w:p w14:paraId="2D706F1C" w14:textId="77777777" w:rsidR="0082622F" w:rsidRPr="0082622F" w:rsidRDefault="0082622F">
      <w:pPr>
        <w:spacing w:before="120" w:after="120"/>
        <w:jc w:val="center"/>
        <w:rPr>
          <w:sz w:val="20"/>
        </w:rPr>
      </w:pPr>
    </w:p>
    <w:p w14:paraId="4D633D71" w14:textId="77777777" w:rsidR="0082622F" w:rsidRDefault="00F30A68" w:rsidP="00F30A68">
      <w:pPr>
        <w:spacing w:before="120" w:after="120"/>
        <w:rPr>
          <w:sz w:val="20"/>
        </w:rPr>
      </w:pPr>
      <w:r>
        <w:rPr>
          <w:sz w:val="20"/>
        </w:rPr>
        <w:t>As for the formulation Reading Index:</w:t>
      </w:r>
    </w:p>
    <w:p w14:paraId="733901B2" w14:textId="77777777" w:rsidR="00184176" w:rsidRDefault="00F30A68" w:rsidP="0092123C">
      <w:pPr>
        <w:spacing w:before="120" w:after="120"/>
        <w:jc w:val="center"/>
        <w:rPr>
          <w:sz w:val="20"/>
        </w:rPr>
      </w:pPr>
      <w:r>
        <w:rPr>
          <w:sz w:val="20"/>
        </w:rPr>
        <w:t>Index = (Actual Score / Maximum Score) x 100% (4)</w:t>
      </w:r>
    </w:p>
    <w:p w14:paraId="49E94AF0" w14:textId="77777777" w:rsidR="00585202" w:rsidRPr="00585202" w:rsidRDefault="00585202" w:rsidP="00585202">
      <w:pPr>
        <w:spacing w:before="120" w:after="120"/>
        <w:rPr>
          <w:color w:val="EE0000"/>
        </w:rPr>
      </w:pPr>
      <w:commentRangeStart w:id="10"/>
      <w:r w:rsidRPr="00585202">
        <w:rPr>
          <w:color w:val="EE0000"/>
          <w:sz w:val="20"/>
        </w:rPr>
        <w:t>All statistical indicators, including Content Validity Ratio (CVR), Content Validity Index (CVI), Aiken's V, Cronbach's Alpha, Kendall's W, and IQR, were calculated using the original numerical values. For presentation purposes, the results were rounded consistently to two decimal places to improve readability while maintaining calculation accuracy.</w:t>
      </w:r>
      <w:commentRangeEnd w:id="10"/>
      <w:r w:rsidRPr="00585202">
        <w:rPr>
          <w:rStyle w:val="ReferensiKomentar"/>
          <w:color w:val="EE0000"/>
          <w:sz w:val="22"/>
          <w:szCs w:val="22"/>
        </w:rPr>
        <w:commentReference w:id="10"/>
      </w:r>
    </w:p>
    <w:p w14:paraId="2E0EA7FD" w14:textId="77777777" w:rsidR="00585202" w:rsidRDefault="00585202" w:rsidP="00585202">
      <w:pPr>
        <w:spacing w:before="120" w:after="120"/>
      </w:pPr>
    </w:p>
    <w:p w14:paraId="6D030E36" w14:textId="77777777" w:rsidR="00184176" w:rsidRPr="008F6FAA" w:rsidRDefault="00000000">
      <w:pPr>
        <w:pStyle w:val="Judul1"/>
        <w:rPr>
          <w:color w:val="000000" w:themeColor="text1"/>
          <w:szCs w:val="24"/>
        </w:rPr>
      </w:pPr>
      <w:r w:rsidRPr="008F6FAA">
        <w:rPr>
          <w:rFonts w:ascii="Times New Roman" w:eastAsia="Times New Roman" w:hAnsi="Times New Roman"/>
          <w:color w:val="000000" w:themeColor="text1"/>
          <w:szCs w:val="24"/>
        </w:rPr>
        <w:t>6. Results</w:t>
      </w:r>
    </w:p>
    <w:p w14:paraId="294513E5" w14:textId="77777777" w:rsidR="00910674" w:rsidRDefault="00910674">
      <w:pPr>
        <w:ind w:firstLine="312"/>
      </w:pPr>
      <w:r>
        <w:t>As for the results discussion in study This is as following :</w:t>
      </w:r>
    </w:p>
    <w:p w14:paraId="5A190FC8" w14:textId="77777777" w:rsidR="00910674" w:rsidRDefault="00910674">
      <w:pPr>
        <w:ind w:firstLine="312"/>
      </w:pPr>
    </w:p>
    <w:p w14:paraId="0E7F5276" w14:textId="77777777" w:rsidR="00D876CD" w:rsidRPr="008F6FAA" w:rsidRDefault="00D876CD" w:rsidP="00F7693D">
      <w:pPr>
        <w:rPr>
          <w:b/>
          <w:bCs/>
        </w:rPr>
      </w:pPr>
      <w:r w:rsidRPr="008F6FAA">
        <w:rPr>
          <w:b/>
          <w:bCs/>
        </w:rPr>
        <w:t>6.1 Problem Identification</w:t>
      </w:r>
    </w:p>
    <w:p w14:paraId="458B346F" w14:textId="77777777" w:rsidR="00D90B35" w:rsidRDefault="00D90B35" w:rsidP="00D90B35">
      <w:pPr>
        <w:ind w:firstLine="312"/>
      </w:pPr>
      <w:r>
        <w:rPr>
          <w:rFonts w:cs="Times New Roman"/>
        </w:rPr>
        <w:t xml:space="preserve">The first stage is problem identification. At this stage, the researcher analyzes the main problem that occurred in the object of research. In the study of the development of a planning framework, the main IT strategic issue identified is that many organizations do not yet have an integrated IT planning framework. IT strategy planning is often still done in a partial </w:t>
      </w:r>
      <w:r>
        <w:rPr>
          <w:rFonts w:cs="Times New Roman"/>
        </w:rPr>
        <w:t>way, for example, by only compiling a list of applications, only creating architectural blueprints, or only conducting an IT governance audit without connecting it to the business strategy and organization.</w:t>
      </w:r>
    </w:p>
    <w:p w14:paraId="08676FAD" w14:textId="77777777" w:rsidR="00D90B35" w:rsidRDefault="00D90B35" w:rsidP="00D90B35">
      <w:pPr>
        <w:ind w:firstLine="312"/>
      </w:pPr>
      <w:r>
        <w:rPr>
          <w:rFonts w:cs="Times New Roman"/>
        </w:rPr>
        <w:t>At this stage, the researcher finds that Ward and Peppard's approach is strong in analyzing strategic IS/IT and portfolio applications, but does not yet provide a detailed design of enterprise architecture in general. TOGAF is strong in compilation architecture, business , data, applications, and technology, but not yet in ways that provide specialized strategic analysis and application portfolio approaches, such as those of Ward and Peppard. Meanwhile, COBIT 2019 is strong in IT governance, capability assessment, risk control, and performance measurement, but not the main framework for developing IS/IT strategies and enterprise architecture blueprints. Therefore, the main problem is not yet the lack of a framework that integrates aspects of strategy, architecture, governance, risk, and performance measurement.</w:t>
      </w:r>
    </w:p>
    <w:p w14:paraId="0334022A" w14:textId="77777777" w:rsidR="00F7693D" w:rsidRDefault="00F7693D">
      <w:pPr>
        <w:ind w:firstLine="312"/>
      </w:pPr>
    </w:p>
    <w:p w14:paraId="7D43AF37" w14:textId="77777777" w:rsidR="00D876CD" w:rsidRPr="008F6FAA" w:rsidRDefault="00D876CD" w:rsidP="00F7693D">
      <w:pPr>
        <w:rPr>
          <w:b/>
          <w:bCs/>
        </w:rPr>
      </w:pPr>
      <w:r w:rsidRPr="008F6FAA">
        <w:rPr>
          <w:b/>
          <w:bCs/>
        </w:rPr>
        <w:t>6.2 Define objectives of a solution</w:t>
      </w:r>
    </w:p>
    <w:p w14:paraId="28A5C666" w14:textId="77777777" w:rsidR="00187973" w:rsidRDefault="00187973" w:rsidP="00187973">
      <w:pPr>
        <w:ind w:firstLine="312"/>
      </w:pPr>
      <w:r>
        <w:t xml:space="preserve"> </w:t>
      </w:r>
      <w:r w:rsidR="005E08E3">
        <w:t xml:space="preserve">The </w:t>
      </w:r>
      <w:r w:rsidR="005E08E3">
        <w:rPr>
          <w:rFonts w:cs="Times New Roman"/>
        </w:rPr>
        <w:t>s</w:t>
      </w:r>
      <w:r>
        <w:rPr>
          <w:rFonts w:cs="Times New Roman"/>
        </w:rPr>
        <w:t>tage two is to define the objective of the solution to be developed. The goal of the solution is to develop a new framework that integrates three main frameworks: Ward and Peppard, TOGAF, and COBIT 2019.</w:t>
      </w:r>
    </w:p>
    <w:p w14:paraId="7AB8F35E" w14:textId="77777777" w:rsidR="00187973" w:rsidRDefault="00187973" w:rsidP="00187973">
      <w:pPr>
        <w:ind w:firstLine="312"/>
      </w:pPr>
      <w:r>
        <w:rPr>
          <w:rFonts w:cs="Times New Roman"/>
        </w:rPr>
        <w:t>Solution goals that can be explained in terms of a number of targets. First, the framework must be capable of helping organizations conduct strategic business analysis and IS/IT analysis. Second , the framework must be capable of producing a portfolio-appropriate application for the organization's needs. Third , the framework must be capable of translating IS/IT strategy into an enterprise architecture blueprint. Fourth , the framework must provide a mechanism for mapping governance objectives and capability assessment. Fifth, the framework must include aspects of risk control, performance measurement, a readiness index, and gap analysis.</w:t>
      </w:r>
    </w:p>
    <w:p w14:paraId="245D65D2" w14:textId="77777777" w:rsidR="00F7693D" w:rsidRPr="008961E9" w:rsidRDefault="00F7693D">
      <w:pPr>
        <w:ind w:firstLine="312"/>
      </w:pPr>
    </w:p>
    <w:p w14:paraId="2E17E8C1" w14:textId="77777777" w:rsidR="00F7693D" w:rsidRDefault="00F7693D">
      <w:pPr>
        <w:ind w:firstLine="312"/>
      </w:pPr>
    </w:p>
    <w:p w14:paraId="6649082E" w14:textId="77777777" w:rsidR="00D876CD" w:rsidRPr="008F6FAA" w:rsidRDefault="00D876CD" w:rsidP="006D5C6B">
      <w:pPr>
        <w:rPr>
          <w:b/>
          <w:bCs/>
        </w:rPr>
      </w:pPr>
      <w:r w:rsidRPr="008F6FAA">
        <w:rPr>
          <w:b/>
          <w:bCs/>
        </w:rPr>
        <w:t>6.3 Design and development</w:t>
      </w:r>
    </w:p>
    <w:p w14:paraId="1ACBC546" w14:textId="77777777" w:rsidR="005E08E3" w:rsidRDefault="005E08E3" w:rsidP="005E08E3">
      <w:pPr>
        <w:ind w:firstLine="312"/>
      </w:pPr>
      <w:r>
        <w:t xml:space="preserve"> </w:t>
      </w:r>
      <w:r>
        <w:rPr>
          <w:rFonts w:cs="Times New Roman"/>
        </w:rPr>
        <w:t xml:space="preserve">The third stage is design and development, namely the process of developing artifacts and research . This framework is the result of integrating three main sources: Ward and Peppard for strategic analysis and application portfolio aspects; TOGAF for enterprise architecture aspects; and COBIT 2019 for aspects of governance, capability, risk, control, and performance measurement. At this stage, the researcher begins compiling the framework structure. Ward and Peppard's components are used </w:t>
      </w:r>
      <w:r>
        <w:rPr>
          <w:rFonts w:cs="Times New Roman"/>
        </w:rPr>
        <w:lastRenderedPageBreak/>
        <w:t>in the initial framework for identifying the need for business, IS/IT direction, internal and external conditions of the organization, as well as priority future applications. TOGAF components are used to compile business, data, application, and technology architecture. COBIT 2019 components are used to map IT governance objectives, measure process capability, manage risk, determine controls, and compile KPIs.</w:t>
      </w:r>
    </w:p>
    <w:p w14:paraId="165BCBE0" w14:textId="77777777" w:rsidR="005E08E3" w:rsidRDefault="005E08E3" w:rsidP="005E08E3">
      <w:pPr>
        <w:ind w:firstLine="312"/>
      </w:pPr>
      <w:r>
        <w:rPr>
          <w:rFonts w:cs="Times New Roman"/>
        </w:rPr>
        <w:t>The stages of design and development of the framework artifact can be depicted in Figure 3 below :</w:t>
      </w:r>
    </w:p>
    <w:p w14:paraId="5AA901C0" w14:textId="77777777" w:rsidR="002F241A" w:rsidRDefault="002F241A">
      <w:pPr>
        <w:ind w:firstLine="312"/>
      </w:pPr>
    </w:p>
    <w:p w14:paraId="20B5177E" w14:textId="77777777" w:rsidR="00AF7271" w:rsidRDefault="00AF7271">
      <w:pPr>
        <w:ind w:firstLine="312"/>
      </w:pPr>
      <w:r w:rsidRPr="002F241A">
        <w:rPr>
          <w:noProof/>
        </w:rPr>
        <w:drawing>
          <wp:inline distT="0" distB="0" distL="0" distR="0" wp14:anchorId="00F31510" wp14:editId="087BB738">
            <wp:extent cx="2473036" cy="2385060"/>
            <wp:effectExtent l="0" t="0" r="3810" b="0"/>
            <wp:docPr id="590172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7283" name=""/>
                    <pic:cNvPicPr/>
                  </pic:nvPicPr>
                  <pic:blipFill>
                    <a:blip r:embed="rId18"/>
                    <a:stretch>
                      <a:fillRect/>
                    </a:stretch>
                  </pic:blipFill>
                  <pic:spPr>
                    <a:xfrm>
                      <a:off x="0" y="0"/>
                      <a:ext cx="2473036" cy="2385060"/>
                    </a:xfrm>
                    <a:prstGeom prst="rect">
                      <a:avLst/>
                    </a:prstGeom>
                  </pic:spPr>
                </pic:pic>
              </a:graphicData>
            </a:graphic>
          </wp:inline>
        </w:drawing>
      </w:r>
    </w:p>
    <w:p w14:paraId="5E52F019" w14:textId="77777777" w:rsidR="002F241A" w:rsidRDefault="00161BEF" w:rsidP="007F438A">
      <w:pPr>
        <w:ind w:firstLine="312"/>
        <w:jc w:val="center"/>
      </w:pPr>
      <w:r>
        <w:t xml:space="preserve">Figure 3. </w:t>
      </w:r>
      <w:r w:rsidR="007F438A" w:rsidRPr="007F438A">
        <w:t xml:space="preserve">Artifact Framework </w:t>
      </w:r>
      <w:r w:rsidR="00D93BA0">
        <w:t>Flowchart</w:t>
      </w:r>
    </w:p>
    <w:p w14:paraId="2ED1D92F" w14:textId="77777777" w:rsidR="008961E9" w:rsidRDefault="008961E9" w:rsidP="000818D0"/>
    <w:p w14:paraId="43859B58" w14:textId="77777777" w:rsidR="00CF2C99" w:rsidRDefault="00CF2C99" w:rsidP="000818D0">
      <w:pPr>
        <w:sectPr w:rsidR="00CF2C99" w:rsidSect="009204AA">
          <w:type w:val="continuous"/>
          <w:pgSz w:w="11906" w:h="16838"/>
          <w:pgMar w:top="1440" w:right="1077" w:bottom="1440" w:left="1077" w:header="850" w:footer="992" w:gutter="0"/>
          <w:cols w:num="2" w:space="500"/>
          <w:docGrid w:linePitch="360"/>
        </w:sectPr>
      </w:pPr>
    </w:p>
    <w:p w14:paraId="77A54C71" w14:textId="77777777" w:rsidR="00CF2C99" w:rsidRDefault="00CF2C99" w:rsidP="00402B0F">
      <w:pPr>
        <w:ind w:firstLine="312"/>
      </w:pPr>
    </w:p>
    <w:p w14:paraId="1B728436" w14:textId="77777777" w:rsidR="00402B0F" w:rsidRDefault="00402B0F" w:rsidP="00402B0F">
      <w:pPr>
        <w:ind w:firstLine="312"/>
      </w:pPr>
      <w:r>
        <w:t>As for identification component from each framework can depicted in form table under This :</w:t>
      </w:r>
    </w:p>
    <w:p w14:paraId="1346DA85" w14:textId="77777777" w:rsidR="00402B0F" w:rsidRDefault="00402B0F" w:rsidP="00402B0F">
      <w:pPr>
        <w:ind w:firstLine="312"/>
      </w:pPr>
    </w:p>
    <w:p w14:paraId="2039DE0F" w14:textId="77777777" w:rsidR="008961E9" w:rsidRDefault="008961E9" w:rsidP="006339CC">
      <w:pPr>
        <w:ind w:firstLine="312"/>
        <w:jc w:val="center"/>
        <w:sectPr w:rsidR="008961E9" w:rsidSect="008961E9">
          <w:type w:val="continuous"/>
          <w:pgSz w:w="11906" w:h="16838"/>
          <w:pgMar w:top="1440" w:right="1077" w:bottom="1440" w:left="1077" w:header="850" w:footer="992" w:gutter="0"/>
          <w:cols w:space="500"/>
          <w:docGrid w:linePitch="360"/>
        </w:sectPr>
      </w:pPr>
      <w:r w:rsidRPr="008961E9">
        <w:t>Table 4. Mapping Framework Components in the Design and Development Stage</w:t>
      </w:r>
    </w:p>
    <w:tbl>
      <w:tblPr>
        <w:tblStyle w:val="KisiTabel"/>
        <w:tblW w:w="0" w:type="auto"/>
        <w:tblLook w:val="04A0" w:firstRow="1" w:lastRow="0" w:firstColumn="1" w:lastColumn="0" w:noHBand="0" w:noVBand="1"/>
      </w:tblPr>
      <w:tblGrid>
        <w:gridCol w:w="461"/>
        <w:gridCol w:w="1377"/>
        <w:gridCol w:w="1701"/>
        <w:gridCol w:w="4262"/>
        <w:gridCol w:w="1941"/>
      </w:tblGrid>
      <w:tr w:rsidR="008961E9" w:rsidRPr="008961E9" w14:paraId="781F7C3A" w14:textId="77777777" w:rsidTr="008961E9">
        <w:tc>
          <w:tcPr>
            <w:tcW w:w="461" w:type="dxa"/>
          </w:tcPr>
          <w:p w14:paraId="6708B2B3" w14:textId="77777777" w:rsidR="008961E9" w:rsidRPr="006F1854" w:rsidRDefault="008961E9" w:rsidP="008961E9">
            <w:pPr>
              <w:rPr>
                <w:rFonts w:cs="Times New Roman"/>
                <w:b/>
                <w:bCs/>
                <w:sz w:val="20"/>
                <w:szCs w:val="20"/>
              </w:rPr>
            </w:pPr>
            <w:r w:rsidRPr="006F1854">
              <w:rPr>
                <w:rFonts w:cs="Times New Roman"/>
                <w:b/>
                <w:bCs/>
                <w:sz w:val="20"/>
                <w:szCs w:val="20"/>
              </w:rPr>
              <w:t>No</w:t>
            </w:r>
          </w:p>
        </w:tc>
        <w:tc>
          <w:tcPr>
            <w:tcW w:w="1377" w:type="dxa"/>
          </w:tcPr>
          <w:p w14:paraId="53BC6148" w14:textId="77777777" w:rsidR="008961E9" w:rsidRPr="006F1854" w:rsidRDefault="008961E9" w:rsidP="008961E9">
            <w:pPr>
              <w:rPr>
                <w:rFonts w:cs="Times New Roman"/>
                <w:b/>
                <w:bCs/>
                <w:sz w:val="20"/>
                <w:szCs w:val="20"/>
              </w:rPr>
            </w:pPr>
            <w:r w:rsidRPr="006F1854">
              <w:rPr>
                <w:rFonts w:cs="Times New Roman"/>
                <w:b/>
                <w:bCs/>
                <w:sz w:val="20"/>
                <w:szCs w:val="20"/>
              </w:rPr>
              <w:t>Source Framework</w:t>
            </w:r>
          </w:p>
        </w:tc>
        <w:tc>
          <w:tcPr>
            <w:tcW w:w="1701" w:type="dxa"/>
          </w:tcPr>
          <w:p w14:paraId="7CECE257" w14:textId="77777777" w:rsidR="008961E9" w:rsidRPr="006F1854" w:rsidRDefault="008961E9" w:rsidP="008961E9">
            <w:pPr>
              <w:rPr>
                <w:rFonts w:cs="Times New Roman"/>
                <w:b/>
                <w:bCs/>
                <w:sz w:val="20"/>
                <w:szCs w:val="20"/>
              </w:rPr>
            </w:pPr>
            <w:r w:rsidRPr="006F1854">
              <w:rPr>
                <w:rFonts w:cs="Times New Roman"/>
                <w:b/>
                <w:bCs/>
                <w:sz w:val="20"/>
                <w:szCs w:val="20"/>
              </w:rPr>
              <w:t>Main Components</w:t>
            </w:r>
          </w:p>
        </w:tc>
        <w:tc>
          <w:tcPr>
            <w:tcW w:w="4262" w:type="dxa"/>
          </w:tcPr>
          <w:p w14:paraId="26B425FC" w14:textId="77777777" w:rsidR="008961E9" w:rsidRPr="006F1854" w:rsidRDefault="008961E9" w:rsidP="008961E9">
            <w:pPr>
              <w:rPr>
                <w:rFonts w:cs="Times New Roman"/>
                <w:b/>
                <w:bCs/>
                <w:sz w:val="20"/>
                <w:szCs w:val="20"/>
              </w:rPr>
            </w:pPr>
            <w:r w:rsidRPr="006F1854">
              <w:rPr>
                <w:rFonts w:cs="Times New Roman"/>
                <w:b/>
                <w:bCs/>
                <w:sz w:val="20"/>
                <w:szCs w:val="20"/>
              </w:rPr>
              <w:t>Function in the New Framework</w:t>
            </w:r>
          </w:p>
        </w:tc>
        <w:tc>
          <w:tcPr>
            <w:tcW w:w="1941" w:type="dxa"/>
          </w:tcPr>
          <w:p w14:paraId="6821EA1E" w14:textId="77777777" w:rsidR="008961E9" w:rsidRPr="006F1854" w:rsidRDefault="008961E9" w:rsidP="008961E9">
            <w:pPr>
              <w:rPr>
                <w:rFonts w:cs="Times New Roman"/>
                <w:b/>
                <w:bCs/>
                <w:sz w:val="20"/>
                <w:szCs w:val="20"/>
              </w:rPr>
            </w:pPr>
            <w:r w:rsidRPr="006F1854">
              <w:rPr>
                <w:rFonts w:cs="Times New Roman"/>
                <w:b/>
                <w:bCs/>
                <w:sz w:val="20"/>
                <w:szCs w:val="20"/>
              </w:rPr>
              <w:t>Output Generated</w:t>
            </w:r>
          </w:p>
        </w:tc>
      </w:tr>
      <w:tr w:rsidR="008961E9" w:rsidRPr="008961E9" w14:paraId="13F62152" w14:textId="77777777" w:rsidTr="008961E9">
        <w:tc>
          <w:tcPr>
            <w:tcW w:w="461" w:type="dxa"/>
          </w:tcPr>
          <w:p w14:paraId="6AEDBC85" w14:textId="77777777" w:rsidR="008961E9" w:rsidRPr="008961E9" w:rsidRDefault="008961E9" w:rsidP="008961E9">
            <w:pPr>
              <w:rPr>
                <w:rFonts w:cs="Times New Roman"/>
                <w:sz w:val="20"/>
                <w:szCs w:val="20"/>
              </w:rPr>
            </w:pPr>
            <w:r w:rsidRPr="008961E9">
              <w:rPr>
                <w:rFonts w:cs="Times New Roman"/>
                <w:sz w:val="20"/>
                <w:szCs w:val="20"/>
              </w:rPr>
              <w:t>1</w:t>
            </w:r>
          </w:p>
        </w:tc>
        <w:tc>
          <w:tcPr>
            <w:tcW w:w="1377" w:type="dxa"/>
          </w:tcPr>
          <w:p w14:paraId="3D663978" w14:textId="77777777" w:rsidR="008961E9" w:rsidRPr="008961E9" w:rsidRDefault="008961E9" w:rsidP="008961E9">
            <w:pPr>
              <w:rPr>
                <w:rFonts w:cs="Times New Roman"/>
                <w:sz w:val="20"/>
                <w:szCs w:val="20"/>
              </w:rPr>
            </w:pPr>
            <w:r w:rsidRPr="008961E9">
              <w:rPr>
                <w:rFonts w:cs="Times New Roman"/>
                <w:sz w:val="20"/>
                <w:szCs w:val="20"/>
              </w:rPr>
              <w:t>Ward and Peppard</w:t>
            </w:r>
          </w:p>
        </w:tc>
        <w:tc>
          <w:tcPr>
            <w:tcW w:w="1701" w:type="dxa"/>
          </w:tcPr>
          <w:p w14:paraId="15B793E0" w14:textId="77777777" w:rsidR="008961E9" w:rsidRPr="008961E9" w:rsidRDefault="008961E9" w:rsidP="008961E9">
            <w:pPr>
              <w:rPr>
                <w:rFonts w:cs="Times New Roman"/>
                <w:sz w:val="20"/>
                <w:szCs w:val="20"/>
              </w:rPr>
            </w:pPr>
            <w:r w:rsidRPr="008961E9">
              <w:rPr>
                <w:rFonts w:cs="Times New Roman"/>
                <w:sz w:val="20"/>
                <w:szCs w:val="20"/>
              </w:rPr>
              <w:t>Strategic analysis</w:t>
            </w:r>
          </w:p>
        </w:tc>
        <w:tc>
          <w:tcPr>
            <w:tcW w:w="4262" w:type="dxa"/>
          </w:tcPr>
          <w:p w14:paraId="3EB0C5B4" w14:textId="77777777" w:rsidR="008961E9" w:rsidRPr="008961E9" w:rsidRDefault="008961E9" w:rsidP="008961E9">
            <w:pPr>
              <w:rPr>
                <w:rFonts w:cs="Times New Roman"/>
                <w:sz w:val="20"/>
                <w:szCs w:val="20"/>
              </w:rPr>
            </w:pPr>
            <w:r w:rsidRPr="008961E9">
              <w:rPr>
                <w:rFonts w:cs="Times New Roman"/>
                <w:sz w:val="20"/>
                <w:szCs w:val="20"/>
              </w:rPr>
              <w:t>Identifying need business , direction strategic organization , opportunities , threats , strengths and weaknesses related to IS/IT</w:t>
            </w:r>
          </w:p>
        </w:tc>
        <w:tc>
          <w:tcPr>
            <w:tcW w:w="1941" w:type="dxa"/>
          </w:tcPr>
          <w:p w14:paraId="1E9D4F41" w14:textId="77777777" w:rsidR="008961E9" w:rsidRPr="008961E9" w:rsidRDefault="008961E9" w:rsidP="008961E9">
            <w:pPr>
              <w:rPr>
                <w:rFonts w:cs="Times New Roman"/>
                <w:sz w:val="20"/>
                <w:szCs w:val="20"/>
              </w:rPr>
            </w:pPr>
            <w:r w:rsidRPr="008961E9">
              <w:rPr>
                <w:rFonts w:cs="Times New Roman"/>
                <w:sz w:val="20"/>
                <w:szCs w:val="20"/>
              </w:rPr>
              <w:t>Analysis need business and IS/IT strategy direction</w:t>
            </w:r>
          </w:p>
        </w:tc>
      </w:tr>
      <w:tr w:rsidR="008961E9" w:rsidRPr="008961E9" w14:paraId="662278C6" w14:textId="77777777" w:rsidTr="008961E9">
        <w:tc>
          <w:tcPr>
            <w:tcW w:w="461" w:type="dxa"/>
          </w:tcPr>
          <w:p w14:paraId="6468FCCF" w14:textId="77777777" w:rsidR="008961E9" w:rsidRPr="008961E9" w:rsidRDefault="008961E9" w:rsidP="008961E9">
            <w:pPr>
              <w:rPr>
                <w:rFonts w:cs="Times New Roman"/>
                <w:sz w:val="20"/>
                <w:szCs w:val="20"/>
              </w:rPr>
            </w:pPr>
            <w:r w:rsidRPr="008961E9">
              <w:rPr>
                <w:rFonts w:cs="Times New Roman"/>
                <w:sz w:val="20"/>
                <w:szCs w:val="20"/>
              </w:rPr>
              <w:t>2</w:t>
            </w:r>
          </w:p>
        </w:tc>
        <w:tc>
          <w:tcPr>
            <w:tcW w:w="1377" w:type="dxa"/>
          </w:tcPr>
          <w:p w14:paraId="2AB78FFB" w14:textId="77777777" w:rsidR="008961E9" w:rsidRPr="008961E9" w:rsidRDefault="008961E9" w:rsidP="008961E9">
            <w:pPr>
              <w:rPr>
                <w:rFonts w:cs="Times New Roman"/>
                <w:sz w:val="20"/>
                <w:szCs w:val="20"/>
              </w:rPr>
            </w:pPr>
            <w:r w:rsidRPr="008961E9">
              <w:rPr>
                <w:rFonts w:cs="Times New Roman"/>
                <w:sz w:val="20"/>
                <w:szCs w:val="20"/>
              </w:rPr>
              <w:t>Ward and Peppard</w:t>
            </w:r>
          </w:p>
        </w:tc>
        <w:tc>
          <w:tcPr>
            <w:tcW w:w="1701" w:type="dxa"/>
          </w:tcPr>
          <w:p w14:paraId="5F1B508C" w14:textId="77777777" w:rsidR="008961E9" w:rsidRPr="008961E9" w:rsidRDefault="008961E9" w:rsidP="008961E9">
            <w:pPr>
              <w:rPr>
                <w:rFonts w:cs="Times New Roman"/>
                <w:sz w:val="20"/>
                <w:szCs w:val="20"/>
              </w:rPr>
            </w:pPr>
            <w:r w:rsidRPr="008961E9">
              <w:rPr>
                <w:rFonts w:cs="Times New Roman"/>
                <w:sz w:val="20"/>
                <w:szCs w:val="20"/>
              </w:rPr>
              <w:t>Internal business analysis</w:t>
            </w:r>
          </w:p>
        </w:tc>
        <w:tc>
          <w:tcPr>
            <w:tcW w:w="4262" w:type="dxa"/>
          </w:tcPr>
          <w:p w14:paraId="35EDE5D3" w14:textId="77777777" w:rsidR="008961E9" w:rsidRPr="008961E9" w:rsidRDefault="008961E9" w:rsidP="008961E9">
            <w:pPr>
              <w:rPr>
                <w:rFonts w:cs="Times New Roman"/>
                <w:sz w:val="20"/>
                <w:szCs w:val="20"/>
              </w:rPr>
            </w:pPr>
            <w:r w:rsidRPr="008961E9">
              <w:rPr>
                <w:rFonts w:cs="Times New Roman"/>
                <w:sz w:val="20"/>
                <w:szCs w:val="20"/>
              </w:rPr>
              <w:t>Analyze business processes , resources power , structure organization , and needs internal information</w:t>
            </w:r>
          </w:p>
        </w:tc>
        <w:tc>
          <w:tcPr>
            <w:tcW w:w="1941" w:type="dxa"/>
          </w:tcPr>
          <w:p w14:paraId="029696C3" w14:textId="77777777" w:rsidR="008961E9" w:rsidRPr="008961E9" w:rsidRDefault="008961E9" w:rsidP="008961E9">
            <w:pPr>
              <w:rPr>
                <w:rFonts w:cs="Times New Roman"/>
                <w:sz w:val="20"/>
                <w:szCs w:val="20"/>
              </w:rPr>
            </w:pPr>
            <w:r w:rsidRPr="008961E9">
              <w:rPr>
                <w:rFonts w:cs="Times New Roman"/>
                <w:sz w:val="20"/>
                <w:szCs w:val="20"/>
              </w:rPr>
              <w:t>Business process and requirements map internal information</w:t>
            </w:r>
          </w:p>
        </w:tc>
      </w:tr>
      <w:tr w:rsidR="008961E9" w:rsidRPr="008961E9" w14:paraId="212D5E40" w14:textId="77777777" w:rsidTr="008961E9">
        <w:tc>
          <w:tcPr>
            <w:tcW w:w="461" w:type="dxa"/>
          </w:tcPr>
          <w:p w14:paraId="53803E24" w14:textId="77777777" w:rsidR="008961E9" w:rsidRPr="008961E9" w:rsidRDefault="008961E9" w:rsidP="008961E9">
            <w:pPr>
              <w:rPr>
                <w:rFonts w:cs="Times New Roman"/>
                <w:sz w:val="20"/>
                <w:szCs w:val="20"/>
              </w:rPr>
            </w:pPr>
            <w:r w:rsidRPr="008961E9">
              <w:rPr>
                <w:rFonts w:cs="Times New Roman"/>
                <w:sz w:val="20"/>
                <w:szCs w:val="20"/>
              </w:rPr>
              <w:t>3</w:t>
            </w:r>
          </w:p>
        </w:tc>
        <w:tc>
          <w:tcPr>
            <w:tcW w:w="1377" w:type="dxa"/>
          </w:tcPr>
          <w:p w14:paraId="79DCBF5F" w14:textId="77777777" w:rsidR="008961E9" w:rsidRPr="008961E9" w:rsidRDefault="008961E9" w:rsidP="008961E9">
            <w:pPr>
              <w:rPr>
                <w:rFonts w:cs="Times New Roman"/>
                <w:sz w:val="20"/>
                <w:szCs w:val="20"/>
              </w:rPr>
            </w:pPr>
            <w:r w:rsidRPr="008961E9">
              <w:rPr>
                <w:rFonts w:cs="Times New Roman"/>
                <w:sz w:val="20"/>
                <w:szCs w:val="20"/>
              </w:rPr>
              <w:t>Ward and Peppard</w:t>
            </w:r>
          </w:p>
        </w:tc>
        <w:tc>
          <w:tcPr>
            <w:tcW w:w="1701" w:type="dxa"/>
          </w:tcPr>
          <w:p w14:paraId="24A6869D" w14:textId="77777777" w:rsidR="008961E9" w:rsidRPr="008961E9" w:rsidRDefault="008961E9" w:rsidP="008961E9">
            <w:pPr>
              <w:rPr>
                <w:rFonts w:cs="Times New Roman"/>
                <w:sz w:val="20"/>
                <w:szCs w:val="20"/>
              </w:rPr>
            </w:pPr>
            <w:r w:rsidRPr="008961E9">
              <w:rPr>
                <w:rFonts w:cs="Times New Roman"/>
                <w:sz w:val="20"/>
                <w:szCs w:val="20"/>
              </w:rPr>
              <w:t>External business analysis</w:t>
            </w:r>
          </w:p>
        </w:tc>
        <w:tc>
          <w:tcPr>
            <w:tcW w:w="4262" w:type="dxa"/>
          </w:tcPr>
          <w:p w14:paraId="23870C7B" w14:textId="77777777" w:rsidR="008961E9" w:rsidRPr="008961E9" w:rsidRDefault="008961E9" w:rsidP="008961E9">
            <w:pPr>
              <w:rPr>
                <w:rFonts w:cs="Times New Roman"/>
                <w:sz w:val="20"/>
                <w:szCs w:val="20"/>
              </w:rPr>
            </w:pPr>
            <w:r w:rsidRPr="008961E9">
              <w:rPr>
                <w:rFonts w:cs="Times New Roman"/>
                <w:sz w:val="20"/>
                <w:szCs w:val="20"/>
              </w:rPr>
              <w:t>Analyze factor external like regulation , competition , technology , and stakeholder needs</w:t>
            </w:r>
          </w:p>
        </w:tc>
        <w:tc>
          <w:tcPr>
            <w:tcW w:w="1941" w:type="dxa"/>
          </w:tcPr>
          <w:p w14:paraId="0EF67D30" w14:textId="77777777" w:rsidR="008961E9" w:rsidRPr="008961E9" w:rsidRDefault="008961E9" w:rsidP="008961E9">
            <w:pPr>
              <w:rPr>
                <w:rFonts w:cs="Times New Roman"/>
                <w:sz w:val="20"/>
                <w:szCs w:val="20"/>
              </w:rPr>
            </w:pPr>
            <w:r w:rsidRPr="008961E9">
              <w:rPr>
                <w:rFonts w:cs="Times New Roman"/>
                <w:sz w:val="20"/>
                <w:szCs w:val="20"/>
              </w:rPr>
              <w:t>Analysis environment external organization</w:t>
            </w:r>
          </w:p>
        </w:tc>
      </w:tr>
      <w:tr w:rsidR="008961E9" w:rsidRPr="008961E9" w14:paraId="5758398D" w14:textId="77777777" w:rsidTr="008961E9">
        <w:tc>
          <w:tcPr>
            <w:tcW w:w="461" w:type="dxa"/>
          </w:tcPr>
          <w:p w14:paraId="64857F7C" w14:textId="77777777" w:rsidR="008961E9" w:rsidRPr="008961E9" w:rsidRDefault="008961E9" w:rsidP="008961E9">
            <w:pPr>
              <w:rPr>
                <w:rFonts w:cs="Times New Roman"/>
                <w:sz w:val="20"/>
                <w:szCs w:val="20"/>
              </w:rPr>
            </w:pPr>
            <w:r w:rsidRPr="008961E9">
              <w:rPr>
                <w:rFonts w:cs="Times New Roman"/>
                <w:sz w:val="20"/>
                <w:szCs w:val="20"/>
              </w:rPr>
              <w:t>4</w:t>
            </w:r>
          </w:p>
        </w:tc>
        <w:tc>
          <w:tcPr>
            <w:tcW w:w="1377" w:type="dxa"/>
          </w:tcPr>
          <w:p w14:paraId="7078A7C3" w14:textId="77777777" w:rsidR="008961E9" w:rsidRPr="008961E9" w:rsidRDefault="008961E9" w:rsidP="008961E9">
            <w:pPr>
              <w:rPr>
                <w:rFonts w:cs="Times New Roman"/>
                <w:sz w:val="20"/>
                <w:szCs w:val="20"/>
              </w:rPr>
            </w:pPr>
            <w:r w:rsidRPr="008961E9">
              <w:rPr>
                <w:rFonts w:cs="Times New Roman"/>
                <w:sz w:val="20"/>
                <w:szCs w:val="20"/>
              </w:rPr>
              <w:t>Ward and Peppard</w:t>
            </w:r>
          </w:p>
        </w:tc>
        <w:tc>
          <w:tcPr>
            <w:tcW w:w="1701" w:type="dxa"/>
          </w:tcPr>
          <w:p w14:paraId="5FC8DD5F" w14:textId="77777777" w:rsidR="008961E9" w:rsidRPr="008961E9" w:rsidRDefault="008961E9" w:rsidP="008961E9">
            <w:pPr>
              <w:rPr>
                <w:rFonts w:cs="Times New Roman"/>
                <w:sz w:val="20"/>
                <w:szCs w:val="20"/>
              </w:rPr>
            </w:pPr>
            <w:r w:rsidRPr="008961E9">
              <w:rPr>
                <w:rFonts w:cs="Times New Roman"/>
                <w:sz w:val="20"/>
                <w:szCs w:val="20"/>
              </w:rPr>
              <w:t>Internal IS/IT analysis</w:t>
            </w:r>
          </w:p>
        </w:tc>
        <w:tc>
          <w:tcPr>
            <w:tcW w:w="4262" w:type="dxa"/>
          </w:tcPr>
          <w:p w14:paraId="37E17754" w14:textId="77777777" w:rsidR="008961E9" w:rsidRPr="008961E9" w:rsidRDefault="008961E9" w:rsidP="008961E9">
            <w:pPr>
              <w:rPr>
                <w:rFonts w:cs="Times New Roman"/>
                <w:sz w:val="20"/>
                <w:szCs w:val="20"/>
              </w:rPr>
            </w:pPr>
            <w:r w:rsidRPr="008961E9">
              <w:rPr>
                <w:rFonts w:cs="Times New Roman"/>
                <w:sz w:val="20"/>
                <w:szCs w:val="20"/>
              </w:rPr>
              <w:t>Evaluate condition applications , infrastructure , data, IT human resources, and IT services that are currently being walk</w:t>
            </w:r>
          </w:p>
        </w:tc>
        <w:tc>
          <w:tcPr>
            <w:tcW w:w="1941" w:type="dxa"/>
          </w:tcPr>
          <w:p w14:paraId="5FABA7FB" w14:textId="77777777" w:rsidR="008961E9" w:rsidRPr="008961E9" w:rsidRDefault="008961E9" w:rsidP="008961E9">
            <w:pPr>
              <w:rPr>
                <w:rFonts w:cs="Times New Roman"/>
                <w:sz w:val="20"/>
                <w:szCs w:val="20"/>
              </w:rPr>
            </w:pPr>
            <w:r w:rsidRPr="008961E9">
              <w:rPr>
                <w:rFonts w:cs="Times New Roman"/>
                <w:sz w:val="20"/>
                <w:szCs w:val="20"/>
              </w:rPr>
              <w:t>Condition existing IS/IT</w:t>
            </w:r>
          </w:p>
        </w:tc>
      </w:tr>
      <w:tr w:rsidR="008961E9" w:rsidRPr="008961E9" w14:paraId="3EF13B89" w14:textId="77777777" w:rsidTr="008961E9">
        <w:tc>
          <w:tcPr>
            <w:tcW w:w="461" w:type="dxa"/>
          </w:tcPr>
          <w:p w14:paraId="6EA4A93E" w14:textId="77777777" w:rsidR="008961E9" w:rsidRPr="008961E9" w:rsidRDefault="008961E9" w:rsidP="008961E9">
            <w:pPr>
              <w:rPr>
                <w:rFonts w:cs="Times New Roman"/>
                <w:sz w:val="20"/>
                <w:szCs w:val="20"/>
              </w:rPr>
            </w:pPr>
            <w:r w:rsidRPr="008961E9">
              <w:rPr>
                <w:rFonts w:cs="Times New Roman"/>
                <w:sz w:val="20"/>
                <w:szCs w:val="20"/>
              </w:rPr>
              <w:t>5</w:t>
            </w:r>
          </w:p>
        </w:tc>
        <w:tc>
          <w:tcPr>
            <w:tcW w:w="1377" w:type="dxa"/>
          </w:tcPr>
          <w:p w14:paraId="3DFD9341" w14:textId="77777777" w:rsidR="008961E9" w:rsidRPr="008961E9" w:rsidRDefault="008961E9" w:rsidP="008961E9">
            <w:pPr>
              <w:rPr>
                <w:rFonts w:cs="Times New Roman"/>
                <w:sz w:val="20"/>
                <w:szCs w:val="20"/>
              </w:rPr>
            </w:pPr>
            <w:r w:rsidRPr="008961E9">
              <w:rPr>
                <w:rFonts w:cs="Times New Roman"/>
                <w:sz w:val="20"/>
                <w:szCs w:val="20"/>
              </w:rPr>
              <w:t>Ward and Peppard</w:t>
            </w:r>
          </w:p>
        </w:tc>
        <w:tc>
          <w:tcPr>
            <w:tcW w:w="1701" w:type="dxa"/>
          </w:tcPr>
          <w:p w14:paraId="4406F576" w14:textId="77777777" w:rsidR="008961E9" w:rsidRPr="008961E9" w:rsidRDefault="008961E9" w:rsidP="008961E9">
            <w:pPr>
              <w:rPr>
                <w:rFonts w:cs="Times New Roman"/>
                <w:sz w:val="20"/>
                <w:szCs w:val="20"/>
              </w:rPr>
            </w:pPr>
            <w:r w:rsidRPr="008961E9">
              <w:rPr>
                <w:rFonts w:cs="Times New Roman"/>
                <w:sz w:val="20"/>
                <w:szCs w:val="20"/>
              </w:rPr>
              <w:t>External IS/IT analysis</w:t>
            </w:r>
          </w:p>
        </w:tc>
        <w:tc>
          <w:tcPr>
            <w:tcW w:w="4262" w:type="dxa"/>
          </w:tcPr>
          <w:p w14:paraId="5A038955" w14:textId="77777777" w:rsidR="008961E9" w:rsidRPr="008961E9" w:rsidRDefault="008961E9" w:rsidP="008961E9">
            <w:pPr>
              <w:rPr>
                <w:rFonts w:cs="Times New Roman"/>
                <w:sz w:val="20"/>
                <w:szCs w:val="20"/>
              </w:rPr>
            </w:pPr>
            <w:r w:rsidRPr="008961E9">
              <w:rPr>
                <w:rFonts w:cs="Times New Roman"/>
                <w:sz w:val="20"/>
                <w:szCs w:val="20"/>
              </w:rPr>
              <w:t>Identifying trend technology and practice best relevant​ with organization</w:t>
            </w:r>
          </w:p>
        </w:tc>
        <w:tc>
          <w:tcPr>
            <w:tcW w:w="1941" w:type="dxa"/>
          </w:tcPr>
          <w:p w14:paraId="54B85712" w14:textId="77777777" w:rsidR="008961E9" w:rsidRPr="008961E9" w:rsidRDefault="008961E9" w:rsidP="008961E9">
            <w:pPr>
              <w:rPr>
                <w:rFonts w:cs="Times New Roman"/>
                <w:sz w:val="20"/>
                <w:szCs w:val="20"/>
              </w:rPr>
            </w:pPr>
            <w:r w:rsidRPr="008961E9">
              <w:rPr>
                <w:rFonts w:cs="Times New Roman"/>
                <w:sz w:val="20"/>
                <w:szCs w:val="20"/>
              </w:rPr>
              <w:t>Opportunity adoption technology new</w:t>
            </w:r>
          </w:p>
        </w:tc>
      </w:tr>
      <w:tr w:rsidR="008961E9" w:rsidRPr="008961E9" w14:paraId="45DAE407" w14:textId="77777777" w:rsidTr="008961E9">
        <w:tc>
          <w:tcPr>
            <w:tcW w:w="461" w:type="dxa"/>
          </w:tcPr>
          <w:p w14:paraId="4785C31F" w14:textId="77777777" w:rsidR="008961E9" w:rsidRPr="008961E9" w:rsidRDefault="008961E9" w:rsidP="008961E9">
            <w:pPr>
              <w:rPr>
                <w:rFonts w:cs="Times New Roman"/>
                <w:sz w:val="20"/>
                <w:szCs w:val="20"/>
              </w:rPr>
            </w:pPr>
            <w:r w:rsidRPr="008961E9">
              <w:rPr>
                <w:rFonts w:cs="Times New Roman"/>
                <w:sz w:val="20"/>
                <w:szCs w:val="20"/>
              </w:rPr>
              <w:t>6</w:t>
            </w:r>
          </w:p>
        </w:tc>
        <w:tc>
          <w:tcPr>
            <w:tcW w:w="1377" w:type="dxa"/>
          </w:tcPr>
          <w:p w14:paraId="719B599F" w14:textId="77777777" w:rsidR="008961E9" w:rsidRPr="008961E9" w:rsidRDefault="008961E9" w:rsidP="008961E9">
            <w:pPr>
              <w:rPr>
                <w:rFonts w:cs="Times New Roman"/>
                <w:sz w:val="20"/>
                <w:szCs w:val="20"/>
              </w:rPr>
            </w:pPr>
            <w:r w:rsidRPr="008961E9">
              <w:rPr>
                <w:rFonts w:cs="Times New Roman"/>
                <w:sz w:val="20"/>
                <w:szCs w:val="20"/>
              </w:rPr>
              <w:t>Ward and Peppard</w:t>
            </w:r>
          </w:p>
        </w:tc>
        <w:tc>
          <w:tcPr>
            <w:tcW w:w="1701" w:type="dxa"/>
          </w:tcPr>
          <w:p w14:paraId="6FCA0F09" w14:textId="77777777" w:rsidR="008961E9" w:rsidRPr="008961E9" w:rsidRDefault="008961E9" w:rsidP="008961E9">
            <w:pPr>
              <w:rPr>
                <w:rFonts w:cs="Times New Roman"/>
                <w:sz w:val="20"/>
                <w:szCs w:val="20"/>
              </w:rPr>
            </w:pPr>
            <w:r w:rsidRPr="008961E9">
              <w:rPr>
                <w:rFonts w:cs="Times New Roman"/>
                <w:sz w:val="20"/>
                <w:szCs w:val="20"/>
              </w:rPr>
              <w:t>Application portfolio</w:t>
            </w:r>
          </w:p>
        </w:tc>
        <w:tc>
          <w:tcPr>
            <w:tcW w:w="4262" w:type="dxa"/>
          </w:tcPr>
          <w:p w14:paraId="35AFCA3A" w14:textId="77777777" w:rsidR="008961E9" w:rsidRPr="008961E9" w:rsidRDefault="008961E9" w:rsidP="008961E9">
            <w:pPr>
              <w:rPr>
                <w:rFonts w:cs="Times New Roman"/>
                <w:sz w:val="20"/>
                <w:szCs w:val="20"/>
              </w:rPr>
            </w:pPr>
            <w:r w:rsidRPr="008961E9">
              <w:rPr>
                <w:rFonts w:cs="Times New Roman"/>
                <w:sz w:val="20"/>
                <w:szCs w:val="20"/>
              </w:rPr>
              <w:t>Determine priority future applications​ based on mark strategic and needs organization</w:t>
            </w:r>
          </w:p>
        </w:tc>
        <w:tc>
          <w:tcPr>
            <w:tcW w:w="1941" w:type="dxa"/>
          </w:tcPr>
          <w:p w14:paraId="33EDD396" w14:textId="77777777" w:rsidR="008961E9" w:rsidRPr="008961E9" w:rsidRDefault="008961E9" w:rsidP="008961E9">
            <w:pPr>
              <w:rPr>
                <w:rFonts w:cs="Times New Roman"/>
                <w:sz w:val="20"/>
                <w:szCs w:val="20"/>
              </w:rPr>
            </w:pPr>
            <w:r w:rsidRPr="008961E9">
              <w:rPr>
                <w:rFonts w:cs="Times New Roman"/>
                <w:sz w:val="20"/>
                <w:szCs w:val="20"/>
              </w:rPr>
              <w:t>Portfolio future applications​</w:t>
            </w:r>
          </w:p>
        </w:tc>
      </w:tr>
      <w:tr w:rsidR="008961E9" w:rsidRPr="008961E9" w14:paraId="39F6D3EB" w14:textId="77777777" w:rsidTr="008961E9">
        <w:tc>
          <w:tcPr>
            <w:tcW w:w="461" w:type="dxa"/>
          </w:tcPr>
          <w:p w14:paraId="796AC5C5" w14:textId="77777777" w:rsidR="008961E9" w:rsidRPr="008961E9" w:rsidRDefault="008961E9" w:rsidP="008961E9">
            <w:pPr>
              <w:rPr>
                <w:rFonts w:cs="Times New Roman"/>
                <w:sz w:val="20"/>
                <w:szCs w:val="20"/>
              </w:rPr>
            </w:pPr>
            <w:r w:rsidRPr="008961E9">
              <w:rPr>
                <w:rFonts w:cs="Times New Roman"/>
                <w:sz w:val="20"/>
                <w:szCs w:val="20"/>
              </w:rPr>
              <w:t>7</w:t>
            </w:r>
          </w:p>
        </w:tc>
        <w:tc>
          <w:tcPr>
            <w:tcW w:w="1377" w:type="dxa"/>
          </w:tcPr>
          <w:p w14:paraId="1031FF9E" w14:textId="77777777" w:rsidR="008961E9" w:rsidRPr="008961E9" w:rsidRDefault="008961E9" w:rsidP="008961E9">
            <w:pPr>
              <w:rPr>
                <w:rFonts w:cs="Times New Roman"/>
                <w:sz w:val="20"/>
                <w:szCs w:val="20"/>
              </w:rPr>
            </w:pPr>
            <w:r w:rsidRPr="008961E9">
              <w:rPr>
                <w:rFonts w:cs="Times New Roman"/>
                <w:sz w:val="20"/>
                <w:szCs w:val="20"/>
              </w:rPr>
              <w:t>TOGAF</w:t>
            </w:r>
          </w:p>
        </w:tc>
        <w:tc>
          <w:tcPr>
            <w:tcW w:w="1701" w:type="dxa"/>
          </w:tcPr>
          <w:p w14:paraId="69281D59" w14:textId="77777777" w:rsidR="008961E9" w:rsidRPr="008961E9" w:rsidRDefault="008961E9" w:rsidP="008961E9">
            <w:pPr>
              <w:rPr>
                <w:rFonts w:cs="Times New Roman"/>
                <w:sz w:val="20"/>
                <w:szCs w:val="20"/>
              </w:rPr>
            </w:pPr>
            <w:r w:rsidRPr="008961E9">
              <w:rPr>
                <w:rFonts w:cs="Times New Roman"/>
                <w:sz w:val="20"/>
                <w:szCs w:val="20"/>
              </w:rPr>
              <w:t>Architectural vision</w:t>
            </w:r>
          </w:p>
        </w:tc>
        <w:tc>
          <w:tcPr>
            <w:tcW w:w="4262" w:type="dxa"/>
          </w:tcPr>
          <w:p w14:paraId="42FACE14" w14:textId="77777777" w:rsidR="008961E9" w:rsidRPr="008961E9" w:rsidRDefault="008961E9" w:rsidP="008961E9">
            <w:pPr>
              <w:rPr>
                <w:rFonts w:cs="Times New Roman"/>
                <w:sz w:val="20"/>
                <w:szCs w:val="20"/>
              </w:rPr>
            </w:pPr>
            <w:r w:rsidRPr="008961E9">
              <w:rPr>
                <w:rFonts w:cs="Times New Roman"/>
                <w:sz w:val="20"/>
                <w:szCs w:val="20"/>
              </w:rPr>
              <w:t>Developing a vision harmonious architecture​ with objective business and IT strategy</w:t>
            </w:r>
          </w:p>
        </w:tc>
        <w:tc>
          <w:tcPr>
            <w:tcW w:w="1941" w:type="dxa"/>
          </w:tcPr>
          <w:p w14:paraId="2AC09A93" w14:textId="77777777" w:rsidR="008961E9" w:rsidRPr="008961E9" w:rsidRDefault="008961E9" w:rsidP="008961E9">
            <w:pPr>
              <w:rPr>
                <w:rFonts w:cs="Times New Roman"/>
                <w:sz w:val="20"/>
                <w:szCs w:val="20"/>
              </w:rPr>
            </w:pPr>
            <w:r w:rsidRPr="008961E9">
              <w:rPr>
                <w:rFonts w:cs="Times New Roman"/>
                <w:sz w:val="20"/>
                <w:szCs w:val="20"/>
              </w:rPr>
              <w:t>Enterprise architecture vision</w:t>
            </w:r>
          </w:p>
        </w:tc>
      </w:tr>
      <w:tr w:rsidR="008961E9" w:rsidRPr="008961E9" w14:paraId="5B80CAB0" w14:textId="77777777" w:rsidTr="008961E9">
        <w:tc>
          <w:tcPr>
            <w:tcW w:w="461" w:type="dxa"/>
          </w:tcPr>
          <w:p w14:paraId="4D2CA208" w14:textId="77777777" w:rsidR="008961E9" w:rsidRPr="008961E9" w:rsidRDefault="008961E9" w:rsidP="008961E9">
            <w:pPr>
              <w:rPr>
                <w:rFonts w:cs="Times New Roman"/>
                <w:sz w:val="20"/>
                <w:szCs w:val="20"/>
              </w:rPr>
            </w:pPr>
            <w:r w:rsidRPr="008961E9">
              <w:rPr>
                <w:rFonts w:cs="Times New Roman"/>
                <w:sz w:val="20"/>
                <w:szCs w:val="20"/>
              </w:rPr>
              <w:t>8</w:t>
            </w:r>
          </w:p>
        </w:tc>
        <w:tc>
          <w:tcPr>
            <w:tcW w:w="1377" w:type="dxa"/>
          </w:tcPr>
          <w:p w14:paraId="4450E792" w14:textId="77777777" w:rsidR="008961E9" w:rsidRPr="008961E9" w:rsidRDefault="008961E9" w:rsidP="008961E9">
            <w:pPr>
              <w:rPr>
                <w:rFonts w:cs="Times New Roman"/>
                <w:sz w:val="20"/>
                <w:szCs w:val="20"/>
              </w:rPr>
            </w:pPr>
            <w:r w:rsidRPr="008961E9">
              <w:rPr>
                <w:rFonts w:cs="Times New Roman"/>
                <w:sz w:val="20"/>
                <w:szCs w:val="20"/>
              </w:rPr>
              <w:t>TOGAF</w:t>
            </w:r>
          </w:p>
        </w:tc>
        <w:tc>
          <w:tcPr>
            <w:tcW w:w="1701" w:type="dxa"/>
          </w:tcPr>
          <w:p w14:paraId="6ED09DA2" w14:textId="77777777" w:rsidR="008961E9" w:rsidRPr="008961E9" w:rsidRDefault="008961E9" w:rsidP="008961E9">
            <w:pPr>
              <w:rPr>
                <w:rFonts w:cs="Times New Roman"/>
                <w:sz w:val="20"/>
                <w:szCs w:val="20"/>
              </w:rPr>
            </w:pPr>
            <w:r w:rsidRPr="008961E9">
              <w:rPr>
                <w:rFonts w:cs="Times New Roman"/>
                <w:sz w:val="20"/>
                <w:szCs w:val="20"/>
              </w:rPr>
              <w:t>Business architecture</w:t>
            </w:r>
          </w:p>
        </w:tc>
        <w:tc>
          <w:tcPr>
            <w:tcW w:w="4262" w:type="dxa"/>
          </w:tcPr>
          <w:p w14:paraId="543C48A3" w14:textId="77777777" w:rsidR="008961E9" w:rsidRPr="008961E9" w:rsidRDefault="008961E9" w:rsidP="008961E9">
            <w:pPr>
              <w:rPr>
                <w:rFonts w:cs="Times New Roman"/>
                <w:sz w:val="20"/>
                <w:szCs w:val="20"/>
              </w:rPr>
            </w:pPr>
            <w:r w:rsidRPr="008961E9">
              <w:rPr>
                <w:rFonts w:cs="Times New Roman"/>
                <w:sz w:val="20"/>
                <w:szCs w:val="20"/>
              </w:rPr>
              <w:t>Mapping business processes , functions organizations , services , actors , and capabilities business</w:t>
            </w:r>
          </w:p>
        </w:tc>
        <w:tc>
          <w:tcPr>
            <w:tcW w:w="1941" w:type="dxa"/>
          </w:tcPr>
          <w:p w14:paraId="27BB6790" w14:textId="77777777" w:rsidR="008961E9" w:rsidRPr="008961E9" w:rsidRDefault="008961E9" w:rsidP="008961E9">
            <w:pPr>
              <w:rPr>
                <w:rFonts w:cs="Times New Roman"/>
                <w:sz w:val="20"/>
                <w:szCs w:val="20"/>
              </w:rPr>
            </w:pPr>
            <w:r w:rsidRPr="008961E9">
              <w:rPr>
                <w:rFonts w:cs="Times New Roman"/>
                <w:sz w:val="20"/>
                <w:szCs w:val="20"/>
              </w:rPr>
              <w:t>Architectural blueprint business</w:t>
            </w:r>
          </w:p>
        </w:tc>
      </w:tr>
      <w:tr w:rsidR="008961E9" w:rsidRPr="008961E9" w14:paraId="54BC7922" w14:textId="77777777" w:rsidTr="008961E9">
        <w:tc>
          <w:tcPr>
            <w:tcW w:w="461" w:type="dxa"/>
          </w:tcPr>
          <w:p w14:paraId="76ECB7CC" w14:textId="77777777" w:rsidR="008961E9" w:rsidRPr="008961E9" w:rsidRDefault="008961E9" w:rsidP="008961E9">
            <w:pPr>
              <w:rPr>
                <w:rFonts w:cs="Times New Roman"/>
                <w:sz w:val="20"/>
                <w:szCs w:val="20"/>
              </w:rPr>
            </w:pPr>
            <w:r w:rsidRPr="008961E9">
              <w:rPr>
                <w:rFonts w:cs="Times New Roman"/>
                <w:sz w:val="20"/>
                <w:szCs w:val="20"/>
              </w:rPr>
              <w:t>9</w:t>
            </w:r>
          </w:p>
        </w:tc>
        <w:tc>
          <w:tcPr>
            <w:tcW w:w="1377" w:type="dxa"/>
          </w:tcPr>
          <w:p w14:paraId="72540298" w14:textId="77777777" w:rsidR="008961E9" w:rsidRPr="008961E9" w:rsidRDefault="008961E9" w:rsidP="008961E9">
            <w:pPr>
              <w:rPr>
                <w:rFonts w:cs="Times New Roman"/>
                <w:sz w:val="20"/>
                <w:szCs w:val="20"/>
              </w:rPr>
            </w:pPr>
            <w:r w:rsidRPr="008961E9">
              <w:rPr>
                <w:rFonts w:cs="Times New Roman"/>
                <w:sz w:val="20"/>
                <w:szCs w:val="20"/>
              </w:rPr>
              <w:t>TOGAF</w:t>
            </w:r>
          </w:p>
        </w:tc>
        <w:tc>
          <w:tcPr>
            <w:tcW w:w="1701" w:type="dxa"/>
          </w:tcPr>
          <w:p w14:paraId="1BF47A3B" w14:textId="77777777" w:rsidR="008961E9" w:rsidRPr="008961E9" w:rsidRDefault="008961E9" w:rsidP="008961E9">
            <w:pPr>
              <w:rPr>
                <w:rFonts w:cs="Times New Roman"/>
                <w:sz w:val="20"/>
                <w:szCs w:val="20"/>
              </w:rPr>
            </w:pPr>
            <w:r w:rsidRPr="008961E9">
              <w:rPr>
                <w:rFonts w:cs="Times New Roman"/>
                <w:sz w:val="20"/>
                <w:szCs w:val="20"/>
              </w:rPr>
              <w:t>Data architecture</w:t>
            </w:r>
          </w:p>
        </w:tc>
        <w:tc>
          <w:tcPr>
            <w:tcW w:w="4262" w:type="dxa"/>
          </w:tcPr>
          <w:p w14:paraId="0D01EA66" w14:textId="77777777" w:rsidR="008961E9" w:rsidRPr="008961E9" w:rsidRDefault="008961E9" w:rsidP="008961E9">
            <w:pPr>
              <w:rPr>
                <w:rFonts w:cs="Times New Roman"/>
                <w:sz w:val="20"/>
                <w:szCs w:val="20"/>
              </w:rPr>
            </w:pPr>
            <w:r w:rsidRPr="008961E9">
              <w:rPr>
                <w:rFonts w:cs="Times New Roman"/>
                <w:sz w:val="20"/>
                <w:szCs w:val="20"/>
              </w:rPr>
              <w:t>Designing data structures , data requirements , data flows , and integration information</w:t>
            </w:r>
          </w:p>
        </w:tc>
        <w:tc>
          <w:tcPr>
            <w:tcW w:w="1941" w:type="dxa"/>
          </w:tcPr>
          <w:p w14:paraId="1D8A110A" w14:textId="77777777" w:rsidR="008961E9" w:rsidRPr="008961E9" w:rsidRDefault="008961E9" w:rsidP="008961E9">
            <w:pPr>
              <w:rPr>
                <w:rFonts w:cs="Times New Roman"/>
                <w:sz w:val="20"/>
                <w:szCs w:val="20"/>
              </w:rPr>
            </w:pPr>
            <w:r w:rsidRPr="008961E9">
              <w:rPr>
                <w:rFonts w:cs="Times New Roman"/>
                <w:sz w:val="20"/>
                <w:szCs w:val="20"/>
              </w:rPr>
              <w:t>Data architecture blueprint</w:t>
            </w:r>
          </w:p>
        </w:tc>
      </w:tr>
      <w:tr w:rsidR="008961E9" w:rsidRPr="008961E9" w14:paraId="53F0BE83" w14:textId="77777777" w:rsidTr="008961E9">
        <w:tc>
          <w:tcPr>
            <w:tcW w:w="461" w:type="dxa"/>
          </w:tcPr>
          <w:p w14:paraId="5D7FF8A6" w14:textId="77777777" w:rsidR="008961E9" w:rsidRPr="008961E9" w:rsidRDefault="008961E9" w:rsidP="008961E9">
            <w:pPr>
              <w:rPr>
                <w:rFonts w:cs="Times New Roman"/>
                <w:sz w:val="20"/>
                <w:szCs w:val="20"/>
              </w:rPr>
            </w:pPr>
            <w:r w:rsidRPr="008961E9">
              <w:rPr>
                <w:rFonts w:cs="Times New Roman"/>
                <w:sz w:val="20"/>
                <w:szCs w:val="20"/>
              </w:rPr>
              <w:t>10</w:t>
            </w:r>
          </w:p>
        </w:tc>
        <w:tc>
          <w:tcPr>
            <w:tcW w:w="1377" w:type="dxa"/>
          </w:tcPr>
          <w:p w14:paraId="1172D658" w14:textId="77777777" w:rsidR="008961E9" w:rsidRPr="008961E9" w:rsidRDefault="008961E9" w:rsidP="008961E9">
            <w:pPr>
              <w:rPr>
                <w:rFonts w:cs="Times New Roman"/>
                <w:sz w:val="20"/>
                <w:szCs w:val="20"/>
              </w:rPr>
            </w:pPr>
            <w:r w:rsidRPr="008961E9">
              <w:rPr>
                <w:rFonts w:cs="Times New Roman"/>
                <w:sz w:val="20"/>
                <w:szCs w:val="20"/>
              </w:rPr>
              <w:t>TOGAF</w:t>
            </w:r>
          </w:p>
        </w:tc>
        <w:tc>
          <w:tcPr>
            <w:tcW w:w="1701" w:type="dxa"/>
          </w:tcPr>
          <w:p w14:paraId="7D959FDE" w14:textId="77777777" w:rsidR="008961E9" w:rsidRPr="008961E9" w:rsidRDefault="008961E9" w:rsidP="008961E9">
            <w:pPr>
              <w:rPr>
                <w:rFonts w:cs="Times New Roman"/>
                <w:sz w:val="20"/>
                <w:szCs w:val="20"/>
              </w:rPr>
            </w:pPr>
            <w:r w:rsidRPr="008961E9">
              <w:rPr>
                <w:rFonts w:cs="Times New Roman"/>
                <w:sz w:val="20"/>
                <w:szCs w:val="20"/>
              </w:rPr>
              <w:t>Application architecture</w:t>
            </w:r>
          </w:p>
        </w:tc>
        <w:tc>
          <w:tcPr>
            <w:tcW w:w="4262" w:type="dxa"/>
          </w:tcPr>
          <w:p w14:paraId="702306CD" w14:textId="77777777" w:rsidR="008961E9" w:rsidRPr="008961E9" w:rsidRDefault="008961E9" w:rsidP="008961E9">
            <w:pPr>
              <w:rPr>
                <w:rFonts w:cs="Times New Roman"/>
                <w:sz w:val="20"/>
                <w:szCs w:val="20"/>
              </w:rPr>
            </w:pPr>
            <w:r w:rsidRPr="008961E9">
              <w:rPr>
                <w:rFonts w:cs="Times New Roman"/>
                <w:sz w:val="20"/>
                <w:szCs w:val="20"/>
              </w:rPr>
              <w:t>Designing connection between applications , integration systems and support application to business processes</w:t>
            </w:r>
          </w:p>
        </w:tc>
        <w:tc>
          <w:tcPr>
            <w:tcW w:w="1941" w:type="dxa"/>
          </w:tcPr>
          <w:p w14:paraId="0AC8C9C2" w14:textId="77777777" w:rsidR="008961E9" w:rsidRPr="008961E9" w:rsidRDefault="008961E9" w:rsidP="008961E9">
            <w:pPr>
              <w:rPr>
                <w:rFonts w:cs="Times New Roman"/>
                <w:sz w:val="20"/>
                <w:szCs w:val="20"/>
              </w:rPr>
            </w:pPr>
            <w:r w:rsidRPr="008961E9">
              <w:rPr>
                <w:rFonts w:cs="Times New Roman"/>
                <w:sz w:val="20"/>
                <w:szCs w:val="20"/>
              </w:rPr>
              <w:t>Architectural blueprint application</w:t>
            </w:r>
          </w:p>
        </w:tc>
      </w:tr>
      <w:tr w:rsidR="008961E9" w:rsidRPr="008961E9" w14:paraId="148C8070" w14:textId="77777777" w:rsidTr="008961E9">
        <w:tc>
          <w:tcPr>
            <w:tcW w:w="461" w:type="dxa"/>
          </w:tcPr>
          <w:p w14:paraId="55C999C8" w14:textId="77777777" w:rsidR="008961E9" w:rsidRPr="008961E9" w:rsidRDefault="008961E9" w:rsidP="008961E9">
            <w:pPr>
              <w:rPr>
                <w:rFonts w:cs="Times New Roman"/>
                <w:sz w:val="20"/>
                <w:szCs w:val="20"/>
              </w:rPr>
            </w:pPr>
            <w:r w:rsidRPr="008961E9">
              <w:rPr>
                <w:rFonts w:cs="Times New Roman"/>
                <w:sz w:val="20"/>
                <w:szCs w:val="20"/>
              </w:rPr>
              <w:t>11</w:t>
            </w:r>
          </w:p>
        </w:tc>
        <w:tc>
          <w:tcPr>
            <w:tcW w:w="1377" w:type="dxa"/>
          </w:tcPr>
          <w:p w14:paraId="321D609A" w14:textId="77777777" w:rsidR="008961E9" w:rsidRPr="008961E9" w:rsidRDefault="008961E9" w:rsidP="008961E9">
            <w:pPr>
              <w:rPr>
                <w:rFonts w:cs="Times New Roman"/>
                <w:sz w:val="20"/>
                <w:szCs w:val="20"/>
              </w:rPr>
            </w:pPr>
            <w:r w:rsidRPr="008961E9">
              <w:rPr>
                <w:rFonts w:cs="Times New Roman"/>
                <w:sz w:val="20"/>
                <w:szCs w:val="20"/>
              </w:rPr>
              <w:t>TOGAF</w:t>
            </w:r>
          </w:p>
        </w:tc>
        <w:tc>
          <w:tcPr>
            <w:tcW w:w="1701" w:type="dxa"/>
          </w:tcPr>
          <w:p w14:paraId="2C0FD0B5" w14:textId="77777777" w:rsidR="008961E9" w:rsidRPr="008961E9" w:rsidRDefault="008961E9" w:rsidP="008961E9">
            <w:pPr>
              <w:rPr>
                <w:rFonts w:cs="Times New Roman"/>
                <w:sz w:val="20"/>
                <w:szCs w:val="20"/>
              </w:rPr>
            </w:pPr>
            <w:r w:rsidRPr="008961E9">
              <w:rPr>
                <w:rFonts w:cs="Times New Roman"/>
                <w:sz w:val="20"/>
                <w:szCs w:val="20"/>
              </w:rPr>
              <w:t>Technology architecture</w:t>
            </w:r>
          </w:p>
        </w:tc>
        <w:tc>
          <w:tcPr>
            <w:tcW w:w="4262" w:type="dxa"/>
          </w:tcPr>
          <w:p w14:paraId="75C684A5" w14:textId="77777777" w:rsidR="008961E9" w:rsidRPr="008961E9" w:rsidRDefault="008961E9" w:rsidP="008961E9">
            <w:pPr>
              <w:rPr>
                <w:rFonts w:cs="Times New Roman"/>
                <w:sz w:val="20"/>
                <w:szCs w:val="20"/>
              </w:rPr>
            </w:pPr>
            <w:r w:rsidRPr="008961E9">
              <w:rPr>
                <w:rFonts w:cs="Times New Roman"/>
                <w:sz w:val="20"/>
                <w:szCs w:val="20"/>
              </w:rPr>
              <w:t>Designing need infrastructure , network , platform, security , and technology supporters</w:t>
            </w:r>
          </w:p>
        </w:tc>
        <w:tc>
          <w:tcPr>
            <w:tcW w:w="1941" w:type="dxa"/>
          </w:tcPr>
          <w:p w14:paraId="5BDBA66D" w14:textId="77777777" w:rsidR="008961E9" w:rsidRPr="008961E9" w:rsidRDefault="008961E9" w:rsidP="008961E9">
            <w:pPr>
              <w:rPr>
                <w:rFonts w:cs="Times New Roman"/>
                <w:sz w:val="20"/>
                <w:szCs w:val="20"/>
              </w:rPr>
            </w:pPr>
            <w:r w:rsidRPr="008961E9">
              <w:rPr>
                <w:rFonts w:cs="Times New Roman"/>
                <w:sz w:val="20"/>
                <w:szCs w:val="20"/>
              </w:rPr>
              <w:t>Architectural blueprint technology</w:t>
            </w:r>
          </w:p>
        </w:tc>
      </w:tr>
      <w:tr w:rsidR="008961E9" w:rsidRPr="008961E9" w14:paraId="7D309E90" w14:textId="77777777" w:rsidTr="008961E9">
        <w:tc>
          <w:tcPr>
            <w:tcW w:w="461" w:type="dxa"/>
          </w:tcPr>
          <w:p w14:paraId="6D27FE2F" w14:textId="77777777" w:rsidR="008961E9" w:rsidRPr="008961E9" w:rsidRDefault="008961E9" w:rsidP="008961E9">
            <w:pPr>
              <w:rPr>
                <w:rFonts w:cs="Times New Roman"/>
                <w:sz w:val="20"/>
                <w:szCs w:val="20"/>
              </w:rPr>
            </w:pPr>
            <w:r w:rsidRPr="008961E9">
              <w:rPr>
                <w:rFonts w:cs="Times New Roman"/>
                <w:sz w:val="20"/>
                <w:szCs w:val="20"/>
              </w:rPr>
              <w:t>12</w:t>
            </w:r>
          </w:p>
        </w:tc>
        <w:tc>
          <w:tcPr>
            <w:tcW w:w="1377" w:type="dxa"/>
          </w:tcPr>
          <w:p w14:paraId="324F4570" w14:textId="77777777" w:rsidR="008961E9" w:rsidRPr="008961E9" w:rsidRDefault="008961E9" w:rsidP="008961E9">
            <w:pPr>
              <w:rPr>
                <w:rFonts w:cs="Times New Roman"/>
                <w:sz w:val="20"/>
                <w:szCs w:val="20"/>
              </w:rPr>
            </w:pPr>
            <w:r w:rsidRPr="008961E9">
              <w:rPr>
                <w:rFonts w:cs="Times New Roman"/>
                <w:sz w:val="20"/>
                <w:szCs w:val="20"/>
              </w:rPr>
              <w:t>TOGAF</w:t>
            </w:r>
          </w:p>
        </w:tc>
        <w:tc>
          <w:tcPr>
            <w:tcW w:w="1701" w:type="dxa"/>
          </w:tcPr>
          <w:p w14:paraId="2627B6FA" w14:textId="77777777" w:rsidR="008961E9" w:rsidRPr="008961E9" w:rsidRDefault="008961E9" w:rsidP="008961E9">
            <w:pPr>
              <w:rPr>
                <w:rFonts w:cs="Times New Roman"/>
                <w:sz w:val="20"/>
                <w:szCs w:val="20"/>
              </w:rPr>
            </w:pPr>
            <w:r w:rsidRPr="008961E9">
              <w:rPr>
                <w:rFonts w:cs="Times New Roman"/>
                <w:sz w:val="20"/>
                <w:szCs w:val="20"/>
              </w:rPr>
              <w:t>Migration planning</w:t>
            </w:r>
          </w:p>
        </w:tc>
        <w:tc>
          <w:tcPr>
            <w:tcW w:w="4262" w:type="dxa"/>
          </w:tcPr>
          <w:p w14:paraId="5CA34DC4" w14:textId="77777777" w:rsidR="008961E9" w:rsidRPr="008961E9" w:rsidRDefault="008961E9" w:rsidP="008961E9">
            <w:pPr>
              <w:rPr>
                <w:rFonts w:cs="Times New Roman"/>
                <w:sz w:val="20"/>
                <w:szCs w:val="20"/>
              </w:rPr>
            </w:pPr>
            <w:r w:rsidRPr="008961E9">
              <w:rPr>
                <w:rFonts w:cs="Times New Roman"/>
                <w:sz w:val="20"/>
                <w:szCs w:val="20"/>
              </w:rPr>
              <w:t>Determine stages migration from condition moment This going to target condition</w:t>
            </w:r>
          </w:p>
        </w:tc>
        <w:tc>
          <w:tcPr>
            <w:tcW w:w="1941" w:type="dxa"/>
          </w:tcPr>
          <w:p w14:paraId="7FEB33D6" w14:textId="77777777" w:rsidR="008961E9" w:rsidRPr="008961E9" w:rsidRDefault="008961E9" w:rsidP="008961E9">
            <w:pPr>
              <w:rPr>
                <w:rFonts w:cs="Times New Roman"/>
                <w:sz w:val="20"/>
                <w:szCs w:val="20"/>
              </w:rPr>
            </w:pPr>
            <w:r w:rsidRPr="008961E9">
              <w:rPr>
                <w:rFonts w:cs="Times New Roman"/>
                <w:sz w:val="20"/>
                <w:szCs w:val="20"/>
              </w:rPr>
              <w:t>Migration roadmap architecture</w:t>
            </w:r>
          </w:p>
        </w:tc>
      </w:tr>
      <w:tr w:rsidR="008961E9" w:rsidRPr="008961E9" w14:paraId="56152084" w14:textId="77777777" w:rsidTr="008961E9">
        <w:tc>
          <w:tcPr>
            <w:tcW w:w="461" w:type="dxa"/>
          </w:tcPr>
          <w:p w14:paraId="4D3FE409" w14:textId="77777777" w:rsidR="008961E9" w:rsidRPr="008961E9" w:rsidRDefault="008961E9" w:rsidP="008961E9">
            <w:pPr>
              <w:rPr>
                <w:rFonts w:cs="Times New Roman"/>
                <w:sz w:val="20"/>
                <w:szCs w:val="20"/>
              </w:rPr>
            </w:pPr>
            <w:r w:rsidRPr="008961E9">
              <w:rPr>
                <w:rFonts w:cs="Times New Roman"/>
                <w:sz w:val="20"/>
                <w:szCs w:val="20"/>
              </w:rPr>
              <w:t>13</w:t>
            </w:r>
          </w:p>
        </w:tc>
        <w:tc>
          <w:tcPr>
            <w:tcW w:w="1377" w:type="dxa"/>
          </w:tcPr>
          <w:p w14:paraId="271C1280" w14:textId="77777777" w:rsidR="008961E9" w:rsidRPr="008961E9" w:rsidRDefault="008961E9" w:rsidP="008961E9">
            <w:pPr>
              <w:rPr>
                <w:rFonts w:cs="Times New Roman"/>
                <w:sz w:val="20"/>
                <w:szCs w:val="20"/>
              </w:rPr>
            </w:pPr>
            <w:r w:rsidRPr="008961E9">
              <w:rPr>
                <w:rFonts w:cs="Times New Roman"/>
                <w:sz w:val="20"/>
                <w:szCs w:val="20"/>
              </w:rPr>
              <w:t>COBIT 2019</w:t>
            </w:r>
          </w:p>
        </w:tc>
        <w:tc>
          <w:tcPr>
            <w:tcW w:w="1701" w:type="dxa"/>
          </w:tcPr>
          <w:p w14:paraId="7AFE7B2F" w14:textId="77777777" w:rsidR="008961E9" w:rsidRPr="008961E9" w:rsidRDefault="008961E9" w:rsidP="008961E9">
            <w:pPr>
              <w:rPr>
                <w:rFonts w:cs="Times New Roman"/>
                <w:sz w:val="20"/>
                <w:szCs w:val="20"/>
              </w:rPr>
            </w:pPr>
            <w:r w:rsidRPr="008961E9">
              <w:rPr>
                <w:rFonts w:cs="Times New Roman"/>
                <w:sz w:val="20"/>
                <w:szCs w:val="20"/>
              </w:rPr>
              <w:t>Governance objectives</w:t>
            </w:r>
          </w:p>
        </w:tc>
        <w:tc>
          <w:tcPr>
            <w:tcW w:w="4262" w:type="dxa"/>
          </w:tcPr>
          <w:p w14:paraId="0FC8AD3E" w14:textId="77777777" w:rsidR="008961E9" w:rsidRPr="008961E9" w:rsidRDefault="008961E9" w:rsidP="008961E9">
            <w:pPr>
              <w:rPr>
                <w:rFonts w:cs="Times New Roman"/>
                <w:sz w:val="20"/>
                <w:szCs w:val="20"/>
              </w:rPr>
            </w:pPr>
            <w:r w:rsidRPr="008961E9">
              <w:rPr>
                <w:rFonts w:cs="Times New Roman"/>
                <w:sz w:val="20"/>
                <w:szCs w:val="20"/>
              </w:rPr>
              <w:t>Map objective organization to IT governance objectives​</w:t>
            </w:r>
          </w:p>
        </w:tc>
        <w:tc>
          <w:tcPr>
            <w:tcW w:w="1941" w:type="dxa"/>
          </w:tcPr>
          <w:p w14:paraId="20AADE0B" w14:textId="77777777" w:rsidR="008961E9" w:rsidRPr="008961E9" w:rsidRDefault="008961E9" w:rsidP="008961E9">
            <w:pPr>
              <w:rPr>
                <w:rFonts w:cs="Times New Roman"/>
                <w:sz w:val="20"/>
                <w:szCs w:val="20"/>
              </w:rPr>
            </w:pPr>
            <w:r w:rsidRPr="008961E9">
              <w:rPr>
                <w:rFonts w:cs="Times New Roman"/>
                <w:sz w:val="20"/>
                <w:szCs w:val="20"/>
              </w:rPr>
              <w:t>Governance objectives map</w:t>
            </w:r>
          </w:p>
        </w:tc>
      </w:tr>
      <w:tr w:rsidR="008961E9" w:rsidRPr="008961E9" w14:paraId="500E4F2D" w14:textId="77777777" w:rsidTr="008961E9">
        <w:tc>
          <w:tcPr>
            <w:tcW w:w="461" w:type="dxa"/>
          </w:tcPr>
          <w:p w14:paraId="038D3D9A" w14:textId="77777777" w:rsidR="008961E9" w:rsidRPr="008961E9" w:rsidRDefault="008961E9" w:rsidP="008961E9">
            <w:pPr>
              <w:rPr>
                <w:rFonts w:cs="Times New Roman"/>
                <w:sz w:val="20"/>
                <w:szCs w:val="20"/>
              </w:rPr>
            </w:pPr>
            <w:r w:rsidRPr="008961E9">
              <w:rPr>
                <w:rFonts w:cs="Times New Roman"/>
                <w:sz w:val="20"/>
                <w:szCs w:val="20"/>
              </w:rPr>
              <w:t>14</w:t>
            </w:r>
          </w:p>
        </w:tc>
        <w:tc>
          <w:tcPr>
            <w:tcW w:w="1377" w:type="dxa"/>
          </w:tcPr>
          <w:p w14:paraId="5C80E1A9" w14:textId="77777777" w:rsidR="008961E9" w:rsidRPr="008961E9" w:rsidRDefault="008961E9" w:rsidP="008961E9">
            <w:pPr>
              <w:rPr>
                <w:rFonts w:cs="Times New Roman"/>
                <w:sz w:val="20"/>
                <w:szCs w:val="20"/>
              </w:rPr>
            </w:pPr>
            <w:r w:rsidRPr="008961E9">
              <w:rPr>
                <w:rFonts w:cs="Times New Roman"/>
                <w:sz w:val="20"/>
                <w:szCs w:val="20"/>
              </w:rPr>
              <w:t>COBIT 2019</w:t>
            </w:r>
          </w:p>
        </w:tc>
        <w:tc>
          <w:tcPr>
            <w:tcW w:w="1701" w:type="dxa"/>
          </w:tcPr>
          <w:p w14:paraId="575DEA62" w14:textId="77777777" w:rsidR="008961E9" w:rsidRPr="008961E9" w:rsidRDefault="008961E9" w:rsidP="008961E9">
            <w:pPr>
              <w:rPr>
                <w:rFonts w:cs="Times New Roman"/>
                <w:sz w:val="20"/>
                <w:szCs w:val="20"/>
              </w:rPr>
            </w:pPr>
            <w:r w:rsidRPr="008961E9">
              <w:rPr>
                <w:rFonts w:cs="Times New Roman"/>
                <w:sz w:val="20"/>
                <w:szCs w:val="20"/>
              </w:rPr>
              <w:t>Capability assessment</w:t>
            </w:r>
          </w:p>
        </w:tc>
        <w:tc>
          <w:tcPr>
            <w:tcW w:w="4262" w:type="dxa"/>
          </w:tcPr>
          <w:p w14:paraId="48F59136" w14:textId="77777777" w:rsidR="008961E9" w:rsidRPr="008961E9" w:rsidRDefault="008961E9" w:rsidP="008961E9">
            <w:pPr>
              <w:rPr>
                <w:rFonts w:cs="Times New Roman"/>
                <w:sz w:val="20"/>
                <w:szCs w:val="20"/>
              </w:rPr>
            </w:pPr>
            <w:r w:rsidRPr="008961E9">
              <w:rPr>
                <w:rFonts w:cs="Times New Roman"/>
                <w:sz w:val="20"/>
                <w:szCs w:val="20"/>
              </w:rPr>
              <w:t>Measure current IT process capabilities this and determine capability targets</w:t>
            </w:r>
          </w:p>
        </w:tc>
        <w:tc>
          <w:tcPr>
            <w:tcW w:w="1941" w:type="dxa"/>
          </w:tcPr>
          <w:p w14:paraId="0FD095C5" w14:textId="77777777" w:rsidR="008961E9" w:rsidRPr="008961E9" w:rsidRDefault="008961E9" w:rsidP="008961E9">
            <w:pPr>
              <w:rPr>
                <w:rFonts w:cs="Times New Roman"/>
                <w:sz w:val="20"/>
                <w:szCs w:val="20"/>
              </w:rPr>
            </w:pPr>
            <w:r w:rsidRPr="008961E9">
              <w:rPr>
                <w:rFonts w:cs="Times New Roman"/>
                <w:sz w:val="20"/>
                <w:szCs w:val="20"/>
              </w:rPr>
              <w:t>Current capability and target capability values</w:t>
            </w:r>
          </w:p>
        </w:tc>
      </w:tr>
      <w:tr w:rsidR="008961E9" w:rsidRPr="008961E9" w14:paraId="7B5EACA9" w14:textId="77777777" w:rsidTr="008961E9">
        <w:tc>
          <w:tcPr>
            <w:tcW w:w="461" w:type="dxa"/>
          </w:tcPr>
          <w:p w14:paraId="50005C6B" w14:textId="77777777" w:rsidR="008961E9" w:rsidRPr="008961E9" w:rsidRDefault="008961E9" w:rsidP="008961E9">
            <w:pPr>
              <w:rPr>
                <w:rFonts w:cs="Times New Roman"/>
                <w:sz w:val="20"/>
                <w:szCs w:val="20"/>
              </w:rPr>
            </w:pPr>
            <w:r w:rsidRPr="008961E9">
              <w:rPr>
                <w:rFonts w:cs="Times New Roman"/>
                <w:sz w:val="20"/>
                <w:szCs w:val="20"/>
              </w:rPr>
              <w:lastRenderedPageBreak/>
              <w:t>15</w:t>
            </w:r>
          </w:p>
        </w:tc>
        <w:tc>
          <w:tcPr>
            <w:tcW w:w="1377" w:type="dxa"/>
          </w:tcPr>
          <w:p w14:paraId="38E6645D" w14:textId="77777777" w:rsidR="008961E9" w:rsidRPr="008961E9" w:rsidRDefault="008961E9" w:rsidP="008961E9">
            <w:pPr>
              <w:rPr>
                <w:rFonts w:cs="Times New Roman"/>
                <w:sz w:val="20"/>
                <w:szCs w:val="20"/>
              </w:rPr>
            </w:pPr>
            <w:r w:rsidRPr="008961E9">
              <w:rPr>
                <w:rFonts w:cs="Times New Roman"/>
                <w:sz w:val="20"/>
                <w:szCs w:val="20"/>
              </w:rPr>
              <w:t>COBIT 2019</w:t>
            </w:r>
          </w:p>
        </w:tc>
        <w:tc>
          <w:tcPr>
            <w:tcW w:w="1701" w:type="dxa"/>
          </w:tcPr>
          <w:p w14:paraId="79A52869" w14:textId="77777777" w:rsidR="008961E9" w:rsidRPr="008961E9" w:rsidRDefault="008961E9" w:rsidP="008961E9">
            <w:pPr>
              <w:rPr>
                <w:rFonts w:cs="Times New Roman"/>
                <w:sz w:val="20"/>
                <w:szCs w:val="20"/>
              </w:rPr>
            </w:pPr>
            <w:r w:rsidRPr="008961E9">
              <w:rPr>
                <w:rFonts w:cs="Times New Roman"/>
                <w:sz w:val="20"/>
                <w:szCs w:val="20"/>
              </w:rPr>
              <w:t>Risk and control</w:t>
            </w:r>
          </w:p>
        </w:tc>
        <w:tc>
          <w:tcPr>
            <w:tcW w:w="4262" w:type="dxa"/>
          </w:tcPr>
          <w:p w14:paraId="500C422C" w14:textId="77777777" w:rsidR="008961E9" w:rsidRPr="008961E9" w:rsidRDefault="008961E9" w:rsidP="008961E9">
            <w:pPr>
              <w:rPr>
                <w:rFonts w:cs="Times New Roman"/>
                <w:sz w:val="20"/>
                <w:szCs w:val="20"/>
              </w:rPr>
            </w:pPr>
            <w:r w:rsidRPr="008961E9">
              <w:rPr>
                <w:rFonts w:cs="Times New Roman"/>
                <w:sz w:val="20"/>
                <w:szCs w:val="20"/>
              </w:rPr>
              <w:t>Identifying IT risks , controls , and mitigations required</w:t>
            </w:r>
          </w:p>
        </w:tc>
        <w:tc>
          <w:tcPr>
            <w:tcW w:w="1941" w:type="dxa"/>
          </w:tcPr>
          <w:p w14:paraId="01537FE9" w14:textId="77777777" w:rsidR="008961E9" w:rsidRPr="008961E9" w:rsidRDefault="008961E9" w:rsidP="008961E9">
            <w:pPr>
              <w:rPr>
                <w:rFonts w:cs="Times New Roman"/>
                <w:sz w:val="20"/>
                <w:szCs w:val="20"/>
              </w:rPr>
            </w:pPr>
            <w:r w:rsidRPr="008961E9">
              <w:rPr>
                <w:rFonts w:cs="Times New Roman"/>
                <w:sz w:val="20"/>
                <w:szCs w:val="20"/>
              </w:rPr>
              <w:t>IT risk , control and mitigation register</w:t>
            </w:r>
          </w:p>
        </w:tc>
      </w:tr>
      <w:tr w:rsidR="008961E9" w:rsidRPr="008961E9" w14:paraId="03A5E082" w14:textId="77777777" w:rsidTr="008961E9">
        <w:tc>
          <w:tcPr>
            <w:tcW w:w="461" w:type="dxa"/>
          </w:tcPr>
          <w:p w14:paraId="7A12D73D" w14:textId="77777777" w:rsidR="008961E9" w:rsidRPr="008961E9" w:rsidRDefault="008961E9" w:rsidP="008961E9">
            <w:pPr>
              <w:rPr>
                <w:rFonts w:cs="Times New Roman"/>
                <w:sz w:val="20"/>
                <w:szCs w:val="20"/>
              </w:rPr>
            </w:pPr>
            <w:r w:rsidRPr="008961E9">
              <w:rPr>
                <w:rFonts w:cs="Times New Roman"/>
                <w:sz w:val="20"/>
                <w:szCs w:val="20"/>
              </w:rPr>
              <w:t>16</w:t>
            </w:r>
          </w:p>
        </w:tc>
        <w:tc>
          <w:tcPr>
            <w:tcW w:w="1377" w:type="dxa"/>
          </w:tcPr>
          <w:p w14:paraId="3FD830AD" w14:textId="77777777" w:rsidR="008961E9" w:rsidRPr="008961E9" w:rsidRDefault="008961E9" w:rsidP="008961E9">
            <w:pPr>
              <w:rPr>
                <w:rFonts w:cs="Times New Roman"/>
                <w:sz w:val="20"/>
                <w:szCs w:val="20"/>
              </w:rPr>
            </w:pPr>
            <w:r w:rsidRPr="008961E9">
              <w:rPr>
                <w:rFonts w:cs="Times New Roman"/>
                <w:sz w:val="20"/>
                <w:szCs w:val="20"/>
              </w:rPr>
              <w:t>COBIT 2019</w:t>
            </w:r>
          </w:p>
        </w:tc>
        <w:tc>
          <w:tcPr>
            <w:tcW w:w="1701" w:type="dxa"/>
          </w:tcPr>
          <w:p w14:paraId="63D03DE1" w14:textId="77777777" w:rsidR="008961E9" w:rsidRPr="008961E9" w:rsidRDefault="008961E9" w:rsidP="008961E9">
            <w:pPr>
              <w:rPr>
                <w:rFonts w:cs="Times New Roman"/>
                <w:sz w:val="20"/>
                <w:szCs w:val="20"/>
              </w:rPr>
            </w:pPr>
            <w:r w:rsidRPr="008961E9">
              <w:rPr>
                <w:rFonts w:cs="Times New Roman"/>
                <w:sz w:val="20"/>
                <w:szCs w:val="20"/>
              </w:rPr>
              <w:t>Performance measurement</w:t>
            </w:r>
          </w:p>
        </w:tc>
        <w:tc>
          <w:tcPr>
            <w:tcW w:w="4262" w:type="dxa"/>
          </w:tcPr>
          <w:p w14:paraId="46E2C332" w14:textId="77777777" w:rsidR="008961E9" w:rsidRPr="008961E9" w:rsidRDefault="008961E9" w:rsidP="008961E9">
            <w:pPr>
              <w:rPr>
                <w:rFonts w:cs="Times New Roman"/>
                <w:sz w:val="20"/>
                <w:szCs w:val="20"/>
              </w:rPr>
            </w:pPr>
            <w:r w:rsidRPr="008961E9">
              <w:rPr>
                <w:rFonts w:cs="Times New Roman"/>
                <w:sz w:val="20"/>
                <w:szCs w:val="20"/>
              </w:rPr>
              <w:t>Determine KPIs, monitoring indicators , and measures success roadmap implementation</w:t>
            </w:r>
          </w:p>
        </w:tc>
        <w:tc>
          <w:tcPr>
            <w:tcW w:w="1941" w:type="dxa"/>
          </w:tcPr>
          <w:p w14:paraId="04672292" w14:textId="77777777" w:rsidR="008961E9" w:rsidRPr="008961E9" w:rsidRDefault="008961E9" w:rsidP="008961E9">
            <w:pPr>
              <w:rPr>
                <w:rFonts w:cs="Times New Roman"/>
                <w:sz w:val="20"/>
                <w:szCs w:val="20"/>
              </w:rPr>
            </w:pPr>
            <w:r w:rsidRPr="008961E9">
              <w:rPr>
                <w:rFonts w:cs="Times New Roman"/>
                <w:sz w:val="20"/>
                <w:szCs w:val="20"/>
              </w:rPr>
              <w:t>KPIs and indicators IT performance</w:t>
            </w:r>
          </w:p>
        </w:tc>
      </w:tr>
    </w:tbl>
    <w:p w14:paraId="0DA287D0" w14:textId="77777777" w:rsidR="008961E9" w:rsidRDefault="008961E9">
      <w:pPr>
        <w:ind w:firstLine="312"/>
      </w:pPr>
    </w:p>
    <w:p w14:paraId="2F40ECF6" w14:textId="77777777" w:rsidR="008961E9" w:rsidRDefault="008961E9">
      <w:pPr>
        <w:ind w:firstLine="312"/>
      </w:pPr>
    </w:p>
    <w:p w14:paraId="68CF6E42" w14:textId="77777777" w:rsidR="00402B0F" w:rsidRDefault="00402B0F" w:rsidP="00402B0F">
      <w:pPr>
        <w:ind w:firstLine="312"/>
      </w:pPr>
      <w:r>
        <w:t xml:space="preserve">As for mapping and similarities and roles from </w:t>
      </w:r>
      <w:r w:rsidR="000818D0">
        <w:t xml:space="preserve">each framework </w:t>
      </w:r>
      <w:r>
        <w:t>can depicted in form table under This :</w:t>
      </w:r>
    </w:p>
    <w:p w14:paraId="78C5D275" w14:textId="77777777" w:rsidR="000818D0" w:rsidRDefault="000818D0" w:rsidP="00402B0F">
      <w:pPr>
        <w:ind w:firstLine="312"/>
      </w:pPr>
    </w:p>
    <w:p w14:paraId="5827D5B4" w14:textId="77777777" w:rsidR="00E25293" w:rsidRDefault="00E25293" w:rsidP="00E25293">
      <w:pPr>
        <w:ind w:firstLine="312"/>
        <w:jc w:val="center"/>
        <w:sectPr w:rsidR="00E25293" w:rsidSect="00E25293">
          <w:type w:val="continuous"/>
          <w:pgSz w:w="11906" w:h="16838"/>
          <w:pgMar w:top="1440" w:right="1077" w:bottom="1440" w:left="1077" w:header="850" w:footer="992" w:gutter="0"/>
          <w:cols w:space="500"/>
          <w:docGrid w:linePitch="360"/>
        </w:sectPr>
      </w:pPr>
      <w:r w:rsidRPr="008961E9">
        <w:t xml:space="preserve">Table 5. Mapping </w:t>
      </w:r>
      <w:r>
        <w:t xml:space="preserve">similarities and roles from each framework at the </w:t>
      </w:r>
      <w:r w:rsidRPr="008961E9">
        <w:t xml:space="preserve">design and development </w:t>
      </w:r>
      <w:r>
        <w:t>stage</w:t>
      </w:r>
    </w:p>
    <w:p w14:paraId="0B3E3655" w14:textId="77777777" w:rsidR="008961E9" w:rsidRDefault="008961E9">
      <w:pPr>
        <w:ind w:firstLine="312"/>
      </w:pPr>
    </w:p>
    <w:tbl>
      <w:tblPr>
        <w:tblStyle w:val="KisiTabel"/>
        <w:tblW w:w="0" w:type="auto"/>
        <w:tblLook w:val="04A0" w:firstRow="1" w:lastRow="0" w:firstColumn="1" w:lastColumn="0" w:noHBand="0" w:noVBand="1"/>
      </w:tblPr>
      <w:tblGrid>
        <w:gridCol w:w="461"/>
        <w:gridCol w:w="1483"/>
        <w:gridCol w:w="1879"/>
        <w:gridCol w:w="1801"/>
        <w:gridCol w:w="1538"/>
        <w:gridCol w:w="2580"/>
      </w:tblGrid>
      <w:tr w:rsidR="00402B0F" w:rsidRPr="00402B0F" w14:paraId="45006C76" w14:textId="77777777" w:rsidTr="000818D0">
        <w:trPr>
          <w:tblHeader/>
        </w:trPr>
        <w:tc>
          <w:tcPr>
            <w:tcW w:w="461" w:type="dxa"/>
            <w:vAlign w:val="center"/>
          </w:tcPr>
          <w:p w14:paraId="6CB7097B" w14:textId="77777777" w:rsidR="00402B0F" w:rsidRPr="00402B0F" w:rsidRDefault="00402B0F" w:rsidP="000818D0">
            <w:pPr>
              <w:jc w:val="center"/>
              <w:rPr>
                <w:b/>
                <w:bCs/>
                <w:sz w:val="20"/>
                <w:szCs w:val="20"/>
              </w:rPr>
            </w:pPr>
            <w:r w:rsidRPr="00402B0F">
              <w:rPr>
                <w:b/>
                <w:bCs/>
                <w:sz w:val="20"/>
                <w:szCs w:val="20"/>
              </w:rPr>
              <w:t>No</w:t>
            </w:r>
          </w:p>
        </w:tc>
        <w:tc>
          <w:tcPr>
            <w:tcW w:w="1294" w:type="dxa"/>
            <w:vAlign w:val="center"/>
          </w:tcPr>
          <w:p w14:paraId="44F3B323" w14:textId="77777777" w:rsidR="00402B0F" w:rsidRPr="00402B0F" w:rsidRDefault="00402B0F" w:rsidP="000818D0">
            <w:pPr>
              <w:jc w:val="center"/>
              <w:rPr>
                <w:b/>
                <w:bCs/>
                <w:sz w:val="20"/>
                <w:szCs w:val="20"/>
              </w:rPr>
            </w:pPr>
            <w:r w:rsidRPr="00402B0F">
              <w:rPr>
                <w:b/>
                <w:bCs/>
                <w:sz w:val="20"/>
                <w:szCs w:val="20"/>
              </w:rPr>
              <w:t>Integration Aspects</w:t>
            </w:r>
          </w:p>
        </w:tc>
        <w:tc>
          <w:tcPr>
            <w:tcW w:w="1926" w:type="dxa"/>
            <w:vAlign w:val="center"/>
          </w:tcPr>
          <w:p w14:paraId="542C1E81" w14:textId="77777777" w:rsidR="00402B0F" w:rsidRPr="00402B0F" w:rsidRDefault="00402B0F" w:rsidP="000818D0">
            <w:pPr>
              <w:jc w:val="center"/>
              <w:rPr>
                <w:b/>
                <w:bCs/>
                <w:sz w:val="20"/>
                <w:szCs w:val="20"/>
              </w:rPr>
            </w:pPr>
            <w:r w:rsidRPr="00402B0F">
              <w:rPr>
                <w:b/>
                <w:bCs/>
                <w:sz w:val="20"/>
                <w:szCs w:val="20"/>
              </w:rPr>
              <w:t>Ward and Peppard</w:t>
            </w:r>
          </w:p>
        </w:tc>
        <w:tc>
          <w:tcPr>
            <w:tcW w:w="1843" w:type="dxa"/>
            <w:vAlign w:val="center"/>
          </w:tcPr>
          <w:p w14:paraId="3B9B1E12" w14:textId="77777777" w:rsidR="00402B0F" w:rsidRPr="00402B0F" w:rsidRDefault="00402B0F" w:rsidP="000818D0">
            <w:pPr>
              <w:jc w:val="center"/>
              <w:rPr>
                <w:b/>
                <w:bCs/>
                <w:sz w:val="20"/>
                <w:szCs w:val="20"/>
              </w:rPr>
            </w:pPr>
            <w:r w:rsidRPr="00402B0F">
              <w:rPr>
                <w:b/>
                <w:bCs/>
                <w:sz w:val="20"/>
                <w:szCs w:val="20"/>
              </w:rPr>
              <w:t>TOGAF</w:t>
            </w:r>
          </w:p>
        </w:tc>
        <w:tc>
          <w:tcPr>
            <w:tcW w:w="1559" w:type="dxa"/>
            <w:vAlign w:val="center"/>
          </w:tcPr>
          <w:p w14:paraId="48DD5EE6" w14:textId="77777777" w:rsidR="00402B0F" w:rsidRPr="00402B0F" w:rsidRDefault="00402B0F" w:rsidP="000818D0">
            <w:pPr>
              <w:jc w:val="center"/>
              <w:rPr>
                <w:b/>
                <w:bCs/>
                <w:sz w:val="20"/>
                <w:szCs w:val="20"/>
              </w:rPr>
            </w:pPr>
            <w:r w:rsidRPr="00402B0F">
              <w:rPr>
                <w:b/>
                <w:bCs/>
                <w:sz w:val="20"/>
                <w:szCs w:val="20"/>
              </w:rPr>
              <w:t>COBIT 2019</w:t>
            </w:r>
          </w:p>
        </w:tc>
        <w:tc>
          <w:tcPr>
            <w:tcW w:w="2659" w:type="dxa"/>
            <w:vAlign w:val="center"/>
          </w:tcPr>
          <w:p w14:paraId="6F8E6688" w14:textId="77777777" w:rsidR="00402B0F" w:rsidRPr="00402B0F" w:rsidRDefault="00402B0F" w:rsidP="000818D0">
            <w:pPr>
              <w:jc w:val="center"/>
              <w:rPr>
                <w:b/>
                <w:bCs/>
                <w:sz w:val="20"/>
                <w:szCs w:val="20"/>
              </w:rPr>
            </w:pPr>
            <w:r w:rsidRPr="00402B0F">
              <w:rPr>
                <w:b/>
                <w:bCs/>
                <w:sz w:val="20"/>
                <w:szCs w:val="20"/>
              </w:rPr>
              <w:t>Roles in the New Framework</w:t>
            </w:r>
          </w:p>
        </w:tc>
      </w:tr>
      <w:tr w:rsidR="00402B0F" w:rsidRPr="00402B0F" w14:paraId="19EFBA76" w14:textId="77777777" w:rsidTr="00402B0F">
        <w:tc>
          <w:tcPr>
            <w:tcW w:w="461" w:type="dxa"/>
          </w:tcPr>
          <w:p w14:paraId="3C4DCADA" w14:textId="77777777" w:rsidR="00402B0F" w:rsidRPr="00402B0F" w:rsidRDefault="00402B0F" w:rsidP="00402B0F">
            <w:pPr>
              <w:rPr>
                <w:sz w:val="20"/>
                <w:szCs w:val="20"/>
              </w:rPr>
            </w:pPr>
            <w:r w:rsidRPr="00402B0F">
              <w:rPr>
                <w:sz w:val="20"/>
                <w:szCs w:val="20"/>
              </w:rPr>
              <w:t>1</w:t>
            </w:r>
          </w:p>
        </w:tc>
        <w:tc>
          <w:tcPr>
            <w:tcW w:w="1294" w:type="dxa"/>
          </w:tcPr>
          <w:p w14:paraId="0F6BDAD3" w14:textId="77777777" w:rsidR="00402B0F" w:rsidRPr="00402B0F" w:rsidRDefault="00402B0F" w:rsidP="00402B0F">
            <w:pPr>
              <w:rPr>
                <w:sz w:val="20"/>
                <w:szCs w:val="20"/>
              </w:rPr>
            </w:pPr>
            <w:r w:rsidRPr="00402B0F">
              <w:rPr>
                <w:sz w:val="20"/>
                <w:szCs w:val="20"/>
              </w:rPr>
              <w:t>Orientation main</w:t>
            </w:r>
          </w:p>
        </w:tc>
        <w:tc>
          <w:tcPr>
            <w:tcW w:w="1926" w:type="dxa"/>
          </w:tcPr>
          <w:p w14:paraId="37B68B06" w14:textId="77777777" w:rsidR="00402B0F" w:rsidRPr="00402B0F" w:rsidRDefault="00402B0F" w:rsidP="00402B0F">
            <w:pPr>
              <w:rPr>
                <w:sz w:val="20"/>
                <w:szCs w:val="20"/>
              </w:rPr>
            </w:pPr>
            <w:r w:rsidRPr="00402B0F">
              <w:rPr>
                <w:sz w:val="20"/>
                <w:szCs w:val="20"/>
              </w:rPr>
              <w:t>Planning strategic IS/IT</w:t>
            </w:r>
          </w:p>
        </w:tc>
        <w:tc>
          <w:tcPr>
            <w:tcW w:w="1843" w:type="dxa"/>
          </w:tcPr>
          <w:p w14:paraId="71002BC2" w14:textId="77777777" w:rsidR="00402B0F" w:rsidRPr="00402B0F" w:rsidRDefault="00402B0F" w:rsidP="00402B0F">
            <w:pPr>
              <w:rPr>
                <w:sz w:val="20"/>
                <w:szCs w:val="20"/>
              </w:rPr>
            </w:pPr>
            <w:r w:rsidRPr="00402B0F">
              <w:rPr>
                <w:sz w:val="20"/>
                <w:szCs w:val="20"/>
              </w:rPr>
              <w:t>Enterprise Architecture</w:t>
            </w:r>
          </w:p>
        </w:tc>
        <w:tc>
          <w:tcPr>
            <w:tcW w:w="1559" w:type="dxa"/>
          </w:tcPr>
          <w:p w14:paraId="2E9BB5BA" w14:textId="77777777" w:rsidR="00402B0F" w:rsidRPr="00402B0F" w:rsidRDefault="00402B0F" w:rsidP="00402B0F">
            <w:pPr>
              <w:rPr>
                <w:sz w:val="20"/>
                <w:szCs w:val="20"/>
              </w:rPr>
            </w:pPr>
            <w:r w:rsidRPr="00402B0F">
              <w:rPr>
                <w:sz w:val="20"/>
                <w:szCs w:val="20"/>
              </w:rPr>
              <w:t>IT governance and management​</w:t>
            </w:r>
          </w:p>
        </w:tc>
        <w:tc>
          <w:tcPr>
            <w:tcW w:w="2659" w:type="dxa"/>
          </w:tcPr>
          <w:p w14:paraId="26976AFA" w14:textId="77777777" w:rsidR="00402B0F" w:rsidRPr="00402B0F" w:rsidRDefault="00402B0F" w:rsidP="00402B0F">
            <w:pPr>
              <w:rPr>
                <w:sz w:val="20"/>
                <w:szCs w:val="20"/>
              </w:rPr>
            </w:pPr>
            <w:r w:rsidRPr="00402B0F">
              <w:rPr>
                <w:sz w:val="20"/>
                <w:szCs w:val="20"/>
              </w:rPr>
              <w:t>Combining IT strategy, architecture , and governance in one integrated framework</w:t>
            </w:r>
          </w:p>
        </w:tc>
      </w:tr>
      <w:tr w:rsidR="00402B0F" w:rsidRPr="00402B0F" w14:paraId="2D5A4DFB" w14:textId="77777777" w:rsidTr="00402B0F">
        <w:tc>
          <w:tcPr>
            <w:tcW w:w="461" w:type="dxa"/>
          </w:tcPr>
          <w:p w14:paraId="1CD0F8D7" w14:textId="77777777" w:rsidR="00402B0F" w:rsidRPr="00402B0F" w:rsidRDefault="00402B0F" w:rsidP="00402B0F">
            <w:pPr>
              <w:rPr>
                <w:sz w:val="20"/>
                <w:szCs w:val="20"/>
              </w:rPr>
            </w:pPr>
            <w:r w:rsidRPr="00402B0F">
              <w:rPr>
                <w:sz w:val="20"/>
                <w:szCs w:val="20"/>
              </w:rPr>
              <w:t>2</w:t>
            </w:r>
          </w:p>
        </w:tc>
        <w:tc>
          <w:tcPr>
            <w:tcW w:w="1294" w:type="dxa"/>
          </w:tcPr>
          <w:p w14:paraId="17E71DE2" w14:textId="77777777" w:rsidR="00402B0F" w:rsidRPr="00402B0F" w:rsidRDefault="00402B0F" w:rsidP="00402B0F">
            <w:pPr>
              <w:rPr>
                <w:sz w:val="20"/>
                <w:szCs w:val="20"/>
              </w:rPr>
            </w:pPr>
            <w:r w:rsidRPr="00402B0F">
              <w:rPr>
                <w:sz w:val="20"/>
                <w:szCs w:val="20"/>
              </w:rPr>
              <w:t>Alignment business and IT</w:t>
            </w:r>
          </w:p>
        </w:tc>
        <w:tc>
          <w:tcPr>
            <w:tcW w:w="1926" w:type="dxa"/>
          </w:tcPr>
          <w:p w14:paraId="18722F69" w14:textId="77777777" w:rsidR="00402B0F" w:rsidRPr="00402B0F" w:rsidRDefault="00402B0F" w:rsidP="00402B0F">
            <w:pPr>
              <w:rPr>
                <w:sz w:val="20"/>
                <w:szCs w:val="20"/>
              </w:rPr>
            </w:pPr>
            <w:r w:rsidRPr="00402B0F">
              <w:rPr>
                <w:sz w:val="20"/>
                <w:szCs w:val="20"/>
              </w:rPr>
              <w:t>Aligning business strategy with IS/IT strategy</w:t>
            </w:r>
          </w:p>
        </w:tc>
        <w:tc>
          <w:tcPr>
            <w:tcW w:w="1843" w:type="dxa"/>
          </w:tcPr>
          <w:p w14:paraId="6F918D7B" w14:textId="77777777" w:rsidR="00402B0F" w:rsidRPr="00402B0F" w:rsidRDefault="00402B0F" w:rsidP="00402B0F">
            <w:pPr>
              <w:rPr>
                <w:sz w:val="20"/>
                <w:szCs w:val="20"/>
              </w:rPr>
            </w:pPr>
            <w:r w:rsidRPr="00402B0F">
              <w:rPr>
                <w:sz w:val="20"/>
                <w:szCs w:val="20"/>
              </w:rPr>
              <w:t>Aligning architecture business , data, applications , and technology</w:t>
            </w:r>
          </w:p>
        </w:tc>
        <w:tc>
          <w:tcPr>
            <w:tcW w:w="1559" w:type="dxa"/>
          </w:tcPr>
          <w:p w14:paraId="3DEDACAF" w14:textId="77777777" w:rsidR="00402B0F" w:rsidRPr="00402B0F" w:rsidRDefault="00402B0F" w:rsidP="00402B0F">
            <w:pPr>
              <w:rPr>
                <w:sz w:val="20"/>
                <w:szCs w:val="20"/>
              </w:rPr>
            </w:pPr>
            <w:r w:rsidRPr="00402B0F">
              <w:rPr>
                <w:sz w:val="20"/>
                <w:szCs w:val="20"/>
              </w:rPr>
              <w:t>Aligning objective organization with governance objectives</w:t>
            </w:r>
          </w:p>
        </w:tc>
        <w:tc>
          <w:tcPr>
            <w:tcW w:w="2659" w:type="dxa"/>
          </w:tcPr>
          <w:p w14:paraId="620678EF" w14:textId="77777777" w:rsidR="00402B0F" w:rsidRPr="00402B0F" w:rsidRDefault="00402B0F" w:rsidP="00402B0F">
            <w:pPr>
              <w:rPr>
                <w:sz w:val="20"/>
                <w:szCs w:val="20"/>
              </w:rPr>
            </w:pPr>
            <w:r w:rsidRPr="00402B0F">
              <w:rPr>
                <w:sz w:val="20"/>
                <w:szCs w:val="20"/>
              </w:rPr>
              <w:t>Ensure all over IT initiatives support objective organization</w:t>
            </w:r>
          </w:p>
        </w:tc>
      </w:tr>
      <w:tr w:rsidR="00402B0F" w:rsidRPr="00402B0F" w14:paraId="422BFA9C" w14:textId="77777777" w:rsidTr="00402B0F">
        <w:tc>
          <w:tcPr>
            <w:tcW w:w="461" w:type="dxa"/>
          </w:tcPr>
          <w:p w14:paraId="7C6E51E6" w14:textId="77777777" w:rsidR="00402B0F" w:rsidRPr="00402B0F" w:rsidRDefault="00402B0F" w:rsidP="00402B0F">
            <w:pPr>
              <w:rPr>
                <w:sz w:val="20"/>
                <w:szCs w:val="20"/>
              </w:rPr>
            </w:pPr>
            <w:r w:rsidRPr="00402B0F">
              <w:rPr>
                <w:sz w:val="20"/>
                <w:szCs w:val="20"/>
              </w:rPr>
              <w:t>3</w:t>
            </w:r>
          </w:p>
        </w:tc>
        <w:tc>
          <w:tcPr>
            <w:tcW w:w="1294" w:type="dxa"/>
          </w:tcPr>
          <w:p w14:paraId="2F48DBD8" w14:textId="77777777" w:rsidR="00402B0F" w:rsidRPr="00402B0F" w:rsidRDefault="00402B0F" w:rsidP="00402B0F">
            <w:pPr>
              <w:rPr>
                <w:sz w:val="20"/>
                <w:szCs w:val="20"/>
              </w:rPr>
            </w:pPr>
            <w:r w:rsidRPr="00402B0F">
              <w:rPr>
                <w:sz w:val="20"/>
                <w:szCs w:val="20"/>
              </w:rPr>
              <w:t>Analysis condition organization</w:t>
            </w:r>
          </w:p>
        </w:tc>
        <w:tc>
          <w:tcPr>
            <w:tcW w:w="1926" w:type="dxa"/>
          </w:tcPr>
          <w:p w14:paraId="1926A78A" w14:textId="77777777" w:rsidR="00402B0F" w:rsidRPr="00402B0F" w:rsidRDefault="00402B0F" w:rsidP="00402B0F">
            <w:pPr>
              <w:rPr>
                <w:sz w:val="20"/>
                <w:szCs w:val="20"/>
              </w:rPr>
            </w:pPr>
            <w:r w:rsidRPr="00402B0F">
              <w:rPr>
                <w:sz w:val="20"/>
                <w:szCs w:val="20"/>
              </w:rPr>
              <w:t>Analyze environment internal- external business and IS/IT</w:t>
            </w:r>
          </w:p>
        </w:tc>
        <w:tc>
          <w:tcPr>
            <w:tcW w:w="1843" w:type="dxa"/>
          </w:tcPr>
          <w:p w14:paraId="7AF62A34" w14:textId="77777777" w:rsidR="00402B0F" w:rsidRPr="00402B0F" w:rsidRDefault="00402B0F" w:rsidP="00402B0F">
            <w:pPr>
              <w:rPr>
                <w:sz w:val="20"/>
                <w:szCs w:val="20"/>
              </w:rPr>
            </w:pPr>
            <w:r w:rsidRPr="00402B0F">
              <w:rPr>
                <w:sz w:val="20"/>
                <w:szCs w:val="20"/>
              </w:rPr>
              <w:t>Identifying baseline architecture and target architecture</w:t>
            </w:r>
          </w:p>
        </w:tc>
        <w:tc>
          <w:tcPr>
            <w:tcW w:w="1559" w:type="dxa"/>
          </w:tcPr>
          <w:p w14:paraId="50BDFB42" w14:textId="77777777" w:rsidR="00402B0F" w:rsidRPr="00402B0F" w:rsidRDefault="00402B0F" w:rsidP="00402B0F">
            <w:pPr>
              <w:rPr>
                <w:sz w:val="20"/>
                <w:szCs w:val="20"/>
              </w:rPr>
            </w:pPr>
            <w:r w:rsidRPr="00402B0F">
              <w:rPr>
                <w:sz w:val="20"/>
                <w:szCs w:val="20"/>
              </w:rPr>
              <w:t>Using enterprise goals and design factors</w:t>
            </w:r>
          </w:p>
        </w:tc>
        <w:tc>
          <w:tcPr>
            <w:tcW w:w="2659" w:type="dxa"/>
          </w:tcPr>
          <w:p w14:paraId="235D023F" w14:textId="77777777" w:rsidR="00402B0F" w:rsidRPr="00402B0F" w:rsidRDefault="00402B0F" w:rsidP="00402B0F">
            <w:pPr>
              <w:rPr>
                <w:sz w:val="20"/>
                <w:szCs w:val="20"/>
              </w:rPr>
            </w:pPr>
            <w:r w:rsidRPr="00402B0F">
              <w:rPr>
                <w:sz w:val="20"/>
                <w:szCs w:val="20"/>
              </w:rPr>
              <w:t xml:space="preserve">Become base </w:t>
            </w:r>
            <w:r w:rsidR="00CD01FF">
              <w:rPr>
                <w:sz w:val="20"/>
                <w:szCs w:val="20"/>
              </w:rPr>
              <w:t>for</w:t>
            </w:r>
            <w:r w:rsidRPr="00402B0F">
              <w:rPr>
                <w:sz w:val="20"/>
                <w:szCs w:val="20"/>
              </w:rPr>
              <w:t xml:space="preserve"> understand condition moment this and the need change</w:t>
            </w:r>
          </w:p>
        </w:tc>
      </w:tr>
      <w:tr w:rsidR="00402B0F" w:rsidRPr="00402B0F" w14:paraId="6EBDC60B" w14:textId="77777777" w:rsidTr="00402B0F">
        <w:tc>
          <w:tcPr>
            <w:tcW w:w="461" w:type="dxa"/>
          </w:tcPr>
          <w:p w14:paraId="2C3A16B4" w14:textId="77777777" w:rsidR="00402B0F" w:rsidRPr="00402B0F" w:rsidRDefault="00402B0F" w:rsidP="00402B0F">
            <w:pPr>
              <w:rPr>
                <w:sz w:val="20"/>
                <w:szCs w:val="20"/>
              </w:rPr>
            </w:pPr>
            <w:r w:rsidRPr="00402B0F">
              <w:rPr>
                <w:sz w:val="20"/>
                <w:szCs w:val="20"/>
              </w:rPr>
              <w:t>4</w:t>
            </w:r>
          </w:p>
        </w:tc>
        <w:tc>
          <w:tcPr>
            <w:tcW w:w="1294" w:type="dxa"/>
          </w:tcPr>
          <w:p w14:paraId="4B85BDAC" w14:textId="77777777" w:rsidR="00402B0F" w:rsidRPr="00402B0F" w:rsidRDefault="00402B0F" w:rsidP="00402B0F">
            <w:pPr>
              <w:rPr>
                <w:sz w:val="20"/>
                <w:szCs w:val="20"/>
              </w:rPr>
            </w:pPr>
            <w:r w:rsidRPr="00402B0F">
              <w:rPr>
                <w:sz w:val="20"/>
                <w:szCs w:val="20"/>
              </w:rPr>
              <w:t>Planning application</w:t>
            </w:r>
          </w:p>
        </w:tc>
        <w:tc>
          <w:tcPr>
            <w:tcW w:w="1926" w:type="dxa"/>
          </w:tcPr>
          <w:p w14:paraId="64CA57DC" w14:textId="77777777" w:rsidR="00402B0F" w:rsidRPr="00402B0F" w:rsidRDefault="00402B0F" w:rsidP="00402B0F">
            <w:pPr>
              <w:rPr>
                <w:sz w:val="20"/>
                <w:szCs w:val="20"/>
              </w:rPr>
            </w:pPr>
            <w:r w:rsidRPr="00402B0F">
              <w:rPr>
                <w:sz w:val="20"/>
                <w:szCs w:val="20"/>
              </w:rPr>
              <w:t>Building a portfolio application moment this and the future</w:t>
            </w:r>
          </w:p>
        </w:tc>
        <w:tc>
          <w:tcPr>
            <w:tcW w:w="1843" w:type="dxa"/>
          </w:tcPr>
          <w:p w14:paraId="41996DBC" w14:textId="77777777" w:rsidR="00402B0F" w:rsidRPr="00402B0F" w:rsidRDefault="00402B0F" w:rsidP="00402B0F">
            <w:pPr>
              <w:rPr>
                <w:sz w:val="20"/>
                <w:szCs w:val="20"/>
              </w:rPr>
            </w:pPr>
            <w:r w:rsidRPr="00402B0F">
              <w:rPr>
                <w:sz w:val="20"/>
                <w:szCs w:val="20"/>
              </w:rPr>
              <w:t>Designing application architecture</w:t>
            </w:r>
          </w:p>
        </w:tc>
        <w:tc>
          <w:tcPr>
            <w:tcW w:w="1559" w:type="dxa"/>
          </w:tcPr>
          <w:p w14:paraId="3613A4D5" w14:textId="77777777" w:rsidR="00402B0F" w:rsidRPr="00402B0F" w:rsidRDefault="00402B0F" w:rsidP="00402B0F">
            <w:pPr>
              <w:rPr>
                <w:sz w:val="20"/>
                <w:szCs w:val="20"/>
              </w:rPr>
            </w:pPr>
            <w:r w:rsidRPr="00402B0F">
              <w:rPr>
                <w:sz w:val="20"/>
                <w:szCs w:val="20"/>
              </w:rPr>
              <w:t>Arrange control and management application</w:t>
            </w:r>
          </w:p>
        </w:tc>
        <w:tc>
          <w:tcPr>
            <w:tcW w:w="2659" w:type="dxa"/>
          </w:tcPr>
          <w:p w14:paraId="2AA7498F" w14:textId="77777777" w:rsidR="00402B0F" w:rsidRPr="00402B0F" w:rsidRDefault="00402B0F" w:rsidP="00402B0F">
            <w:pPr>
              <w:rPr>
                <w:sz w:val="20"/>
                <w:szCs w:val="20"/>
              </w:rPr>
            </w:pPr>
            <w:r w:rsidRPr="00402B0F">
              <w:rPr>
                <w:sz w:val="20"/>
                <w:szCs w:val="20"/>
              </w:rPr>
              <w:t>Determine priority aligned applications​ with architecture and governance</w:t>
            </w:r>
          </w:p>
        </w:tc>
      </w:tr>
      <w:tr w:rsidR="00402B0F" w:rsidRPr="00402B0F" w14:paraId="55CD824E" w14:textId="77777777" w:rsidTr="00402B0F">
        <w:tc>
          <w:tcPr>
            <w:tcW w:w="461" w:type="dxa"/>
          </w:tcPr>
          <w:p w14:paraId="01637EB3" w14:textId="77777777" w:rsidR="00402B0F" w:rsidRPr="00402B0F" w:rsidRDefault="00402B0F" w:rsidP="00402B0F">
            <w:pPr>
              <w:rPr>
                <w:sz w:val="20"/>
                <w:szCs w:val="20"/>
              </w:rPr>
            </w:pPr>
            <w:r w:rsidRPr="00402B0F">
              <w:rPr>
                <w:sz w:val="20"/>
                <w:szCs w:val="20"/>
              </w:rPr>
              <w:t>5</w:t>
            </w:r>
          </w:p>
        </w:tc>
        <w:tc>
          <w:tcPr>
            <w:tcW w:w="1294" w:type="dxa"/>
          </w:tcPr>
          <w:p w14:paraId="61003F50" w14:textId="77777777" w:rsidR="00402B0F" w:rsidRPr="00402B0F" w:rsidRDefault="00402B0F" w:rsidP="00402B0F">
            <w:pPr>
              <w:rPr>
                <w:sz w:val="20"/>
                <w:szCs w:val="20"/>
              </w:rPr>
            </w:pPr>
            <w:r w:rsidRPr="00402B0F">
              <w:rPr>
                <w:sz w:val="20"/>
                <w:szCs w:val="20"/>
              </w:rPr>
              <w:t>Design architecture</w:t>
            </w:r>
          </w:p>
        </w:tc>
        <w:tc>
          <w:tcPr>
            <w:tcW w:w="1926" w:type="dxa"/>
          </w:tcPr>
          <w:p w14:paraId="6189D94C" w14:textId="77777777" w:rsidR="00402B0F" w:rsidRPr="00402B0F" w:rsidRDefault="00402B0F" w:rsidP="00402B0F">
            <w:pPr>
              <w:rPr>
                <w:sz w:val="20"/>
                <w:szCs w:val="20"/>
              </w:rPr>
            </w:pPr>
            <w:r w:rsidRPr="00402B0F">
              <w:rPr>
                <w:sz w:val="20"/>
                <w:szCs w:val="20"/>
              </w:rPr>
              <w:t>Not designing architecture in a way details</w:t>
            </w:r>
          </w:p>
        </w:tc>
        <w:tc>
          <w:tcPr>
            <w:tcW w:w="1843" w:type="dxa"/>
          </w:tcPr>
          <w:p w14:paraId="006219DF" w14:textId="77777777" w:rsidR="00402B0F" w:rsidRPr="00402B0F" w:rsidRDefault="00402B0F" w:rsidP="00402B0F">
            <w:pPr>
              <w:rPr>
                <w:sz w:val="20"/>
                <w:szCs w:val="20"/>
              </w:rPr>
            </w:pPr>
            <w:r w:rsidRPr="00402B0F">
              <w:rPr>
                <w:sz w:val="20"/>
                <w:szCs w:val="20"/>
              </w:rPr>
              <w:t>Developing business, data, application, and technology architecture</w:t>
            </w:r>
          </w:p>
        </w:tc>
        <w:tc>
          <w:tcPr>
            <w:tcW w:w="1559" w:type="dxa"/>
          </w:tcPr>
          <w:p w14:paraId="4E872AA5" w14:textId="77777777" w:rsidR="00402B0F" w:rsidRPr="00402B0F" w:rsidRDefault="00402B0F" w:rsidP="00402B0F">
            <w:pPr>
              <w:rPr>
                <w:sz w:val="20"/>
                <w:szCs w:val="20"/>
              </w:rPr>
            </w:pPr>
            <w:r w:rsidRPr="00402B0F">
              <w:rPr>
                <w:sz w:val="20"/>
                <w:szCs w:val="20"/>
              </w:rPr>
              <w:t>Supporting governance of IT architecture and services</w:t>
            </w:r>
          </w:p>
        </w:tc>
        <w:tc>
          <w:tcPr>
            <w:tcW w:w="2659" w:type="dxa"/>
          </w:tcPr>
          <w:p w14:paraId="327BE358" w14:textId="77777777" w:rsidR="00402B0F" w:rsidRPr="00402B0F" w:rsidRDefault="00402B0F" w:rsidP="00402B0F">
            <w:pPr>
              <w:rPr>
                <w:sz w:val="20"/>
                <w:szCs w:val="20"/>
              </w:rPr>
            </w:pPr>
            <w:r w:rsidRPr="00402B0F">
              <w:rPr>
                <w:sz w:val="20"/>
                <w:szCs w:val="20"/>
              </w:rPr>
              <w:t>TOGAF becomes basic enterprise architecture blueprint</w:t>
            </w:r>
          </w:p>
        </w:tc>
      </w:tr>
      <w:tr w:rsidR="00402B0F" w:rsidRPr="00402B0F" w14:paraId="3A4521ED" w14:textId="77777777" w:rsidTr="00402B0F">
        <w:tc>
          <w:tcPr>
            <w:tcW w:w="461" w:type="dxa"/>
          </w:tcPr>
          <w:p w14:paraId="480CD449" w14:textId="77777777" w:rsidR="00402B0F" w:rsidRPr="00402B0F" w:rsidRDefault="00402B0F" w:rsidP="00402B0F">
            <w:pPr>
              <w:rPr>
                <w:sz w:val="20"/>
                <w:szCs w:val="20"/>
              </w:rPr>
            </w:pPr>
            <w:r w:rsidRPr="00402B0F">
              <w:rPr>
                <w:sz w:val="20"/>
                <w:szCs w:val="20"/>
              </w:rPr>
              <w:t>6</w:t>
            </w:r>
          </w:p>
        </w:tc>
        <w:tc>
          <w:tcPr>
            <w:tcW w:w="1294" w:type="dxa"/>
          </w:tcPr>
          <w:p w14:paraId="2F38C837" w14:textId="77777777" w:rsidR="00402B0F" w:rsidRPr="00402B0F" w:rsidRDefault="00402B0F" w:rsidP="00402B0F">
            <w:pPr>
              <w:rPr>
                <w:sz w:val="20"/>
                <w:szCs w:val="20"/>
              </w:rPr>
            </w:pPr>
            <w:r w:rsidRPr="00402B0F">
              <w:rPr>
                <w:sz w:val="20"/>
                <w:szCs w:val="20"/>
              </w:rPr>
              <w:t>IT governance​</w:t>
            </w:r>
          </w:p>
        </w:tc>
        <w:tc>
          <w:tcPr>
            <w:tcW w:w="1926" w:type="dxa"/>
          </w:tcPr>
          <w:p w14:paraId="3065BBB3" w14:textId="77777777" w:rsidR="00402B0F" w:rsidRPr="00402B0F" w:rsidRDefault="00402B0F" w:rsidP="00402B0F">
            <w:pPr>
              <w:rPr>
                <w:sz w:val="20"/>
                <w:szCs w:val="20"/>
              </w:rPr>
            </w:pPr>
            <w:r w:rsidRPr="00402B0F">
              <w:rPr>
                <w:sz w:val="20"/>
                <w:szCs w:val="20"/>
              </w:rPr>
              <w:t>Developing IS/IT management strategies</w:t>
            </w:r>
          </w:p>
        </w:tc>
        <w:tc>
          <w:tcPr>
            <w:tcW w:w="1843" w:type="dxa"/>
          </w:tcPr>
          <w:p w14:paraId="49DE9413" w14:textId="77777777" w:rsidR="00402B0F" w:rsidRPr="00402B0F" w:rsidRDefault="00402B0F" w:rsidP="00402B0F">
            <w:pPr>
              <w:rPr>
                <w:sz w:val="20"/>
                <w:szCs w:val="20"/>
              </w:rPr>
            </w:pPr>
            <w:r w:rsidRPr="00402B0F">
              <w:rPr>
                <w:sz w:val="20"/>
                <w:szCs w:val="20"/>
              </w:rPr>
              <w:t>Supporting architecture governance</w:t>
            </w:r>
          </w:p>
        </w:tc>
        <w:tc>
          <w:tcPr>
            <w:tcW w:w="1559" w:type="dxa"/>
          </w:tcPr>
          <w:p w14:paraId="7AE372C4" w14:textId="77777777" w:rsidR="00402B0F" w:rsidRPr="00402B0F" w:rsidRDefault="00402B0F" w:rsidP="00402B0F">
            <w:pPr>
              <w:rPr>
                <w:sz w:val="20"/>
                <w:szCs w:val="20"/>
              </w:rPr>
            </w:pPr>
            <w:r w:rsidRPr="00402B0F">
              <w:rPr>
                <w:sz w:val="20"/>
                <w:szCs w:val="20"/>
              </w:rPr>
              <w:t>Providing governance and management objectives</w:t>
            </w:r>
          </w:p>
        </w:tc>
        <w:tc>
          <w:tcPr>
            <w:tcW w:w="2659" w:type="dxa"/>
          </w:tcPr>
          <w:p w14:paraId="02B6CF8E" w14:textId="77777777" w:rsidR="00402B0F" w:rsidRPr="00402B0F" w:rsidRDefault="00402B0F" w:rsidP="00402B0F">
            <w:pPr>
              <w:rPr>
                <w:sz w:val="20"/>
                <w:szCs w:val="20"/>
              </w:rPr>
            </w:pPr>
            <w:r w:rsidRPr="00402B0F">
              <w:rPr>
                <w:sz w:val="20"/>
                <w:szCs w:val="20"/>
              </w:rPr>
              <w:t>COBIT 2019 becomes base IT control , measurement , and governance</w:t>
            </w:r>
          </w:p>
        </w:tc>
      </w:tr>
      <w:tr w:rsidR="00402B0F" w:rsidRPr="00402B0F" w14:paraId="658AB373" w14:textId="77777777" w:rsidTr="00402B0F">
        <w:tc>
          <w:tcPr>
            <w:tcW w:w="461" w:type="dxa"/>
          </w:tcPr>
          <w:p w14:paraId="09334271" w14:textId="77777777" w:rsidR="00402B0F" w:rsidRPr="00402B0F" w:rsidRDefault="00402B0F" w:rsidP="00402B0F">
            <w:pPr>
              <w:rPr>
                <w:sz w:val="20"/>
                <w:szCs w:val="20"/>
              </w:rPr>
            </w:pPr>
            <w:r w:rsidRPr="00402B0F">
              <w:rPr>
                <w:sz w:val="20"/>
                <w:szCs w:val="20"/>
              </w:rPr>
              <w:t>7</w:t>
            </w:r>
          </w:p>
        </w:tc>
        <w:tc>
          <w:tcPr>
            <w:tcW w:w="1294" w:type="dxa"/>
          </w:tcPr>
          <w:p w14:paraId="0E889C28" w14:textId="77777777" w:rsidR="00402B0F" w:rsidRPr="00402B0F" w:rsidRDefault="00402B0F" w:rsidP="00402B0F">
            <w:pPr>
              <w:rPr>
                <w:sz w:val="20"/>
                <w:szCs w:val="20"/>
              </w:rPr>
            </w:pPr>
            <w:r w:rsidRPr="00402B0F">
              <w:rPr>
                <w:sz w:val="20"/>
                <w:szCs w:val="20"/>
              </w:rPr>
              <w:t>Measurement capability</w:t>
            </w:r>
          </w:p>
        </w:tc>
        <w:tc>
          <w:tcPr>
            <w:tcW w:w="1926" w:type="dxa"/>
          </w:tcPr>
          <w:p w14:paraId="29DB595D" w14:textId="77777777" w:rsidR="00402B0F" w:rsidRPr="00402B0F" w:rsidRDefault="00402B0F" w:rsidP="00402B0F">
            <w:pPr>
              <w:rPr>
                <w:sz w:val="20"/>
                <w:szCs w:val="20"/>
              </w:rPr>
            </w:pPr>
            <w:r w:rsidRPr="00402B0F">
              <w:rPr>
                <w:sz w:val="20"/>
                <w:szCs w:val="20"/>
              </w:rPr>
              <w:t>Does not provide a detailed process capability model details</w:t>
            </w:r>
          </w:p>
        </w:tc>
        <w:tc>
          <w:tcPr>
            <w:tcW w:w="1843" w:type="dxa"/>
          </w:tcPr>
          <w:p w14:paraId="5F000C6A" w14:textId="77777777" w:rsidR="00402B0F" w:rsidRPr="00402B0F" w:rsidRDefault="00402B0F" w:rsidP="00402B0F">
            <w:pPr>
              <w:rPr>
                <w:sz w:val="20"/>
                <w:szCs w:val="20"/>
              </w:rPr>
            </w:pPr>
            <w:r w:rsidRPr="00402B0F">
              <w:rPr>
                <w:sz w:val="20"/>
                <w:szCs w:val="20"/>
              </w:rPr>
              <w:t>Support evaluation readiness architecture</w:t>
            </w:r>
          </w:p>
        </w:tc>
        <w:tc>
          <w:tcPr>
            <w:tcW w:w="1559" w:type="dxa"/>
          </w:tcPr>
          <w:p w14:paraId="1FE9313A" w14:textId="77777777" w:rsidR="00402B0F" w:rsidRPr="00402B0F" w:rsidRDefault="00402B0F" w:rsidP="00402B0F">
            <w:pPr>
              <w:rPr>
                <w:sz w:val="20"/>
                <w:szCs w:val="20"/>
              </w:rPr>
            </w:pPr>
            <w:r w:rsidRPr="00402B0F">
              <w:rPr>
                <w:sz w:val="20"/>
                <w:szCs w:val="20"/>
              </w:rPr>
              <w:t>Provide capability assessment</w:t>
            </w:r>
          </w:p>
        </w:tc>
        <w:tc>
          <w:tcPr>
            <w:tcW w:w="2659" w:type="dxa"/>
          </w:tcPr>
          <w:p w14:paraId="50123511" w14:textId="77777777" w:rsidR="00402B0F" w:rsidRPr="00402B0F" w:rsidRDefault="00402B0F" w:rsidP="00402B0F">
            <w:pPr>
              <w:rPr>
                <w:sz w:val="20"/>
                <w:szCs w:val="20"/>
              </w:rPr>
            </w:pPr>
            <w:r w:rsidRPr="00402B0F">
              <w:rPr>
                <w:sz w:val="20"/>
                <w:szCs w:val="20"/>
              </w:rPr>
              <w:t>Measure condition moment this , targets, and IT capability gaps</w:t>
            </w:r>
          </w:p>
        </w:tc>
      </w:tr>
      <w:tr w:rsidR="00402B0F" w:rsidRPr="00402B0F" w14:paraId="4A043DF8" w14:textId="77777777" w:rsidTr="00402B0F">
        <w:tc>
          <w:tcPr>
            <w:tcW w:w="461" w:type="dxa"/>
          </w:tcPr>
          <w:p w14:paraId="151340A9" w14:textId="77777777" w:rsidR="00402B0F" w:rsidRPr="00402B0F" w:rsidRDefault="00402B0F" w:rsidP="00402B0F">
            <w:pPr>
              <w:rPr>
                <w:sz w:val="20"/>
                <w:szCs w:val="20"/>
              </w:rPr>
            </w:pPr>
            <w:r w:rsidRPr="00402B0F">
              <w:rPr>
                <w:sz w:val="20"/>
                <w:szCs w:val="20"/>
              </w:rPr>
              <w:t>8</w:t>
            </w:r>
          </w:p>
        </w:tc>
        <w:tc>
          <w:tcPr>
            <w:tcW w:w="1294" w:type="dxa"/>
          </w:tcPr>
          <w:p w14:paraId="1EA44CDE" w14:textId="77777777" w:rsidR="00402B0F" w:rsidRPr="00402B0F" w:rsidRDefault="00402B0F" w:rsidP="00402B0F">
            <w:pPr>
              <w:rPr>
                <w:sz w:val="20"/>
                <w:szCs w:val="20"/>
              </w:rPr>
            </w:pPr>
            <w:r w:rsidRPr="00402B0F">
              <w:rPr>
                <w:sz w:val="20"/>
                <w:szCs w:val="20"/>
              </w:rPr>
              <w:t>Risk and control</w:t>
            </w:r>
          </w:p>
        </w:tc>
        <w:tc>
          <w:tcPr>
            <w:tcW w:w="1926" w:type="dxa"/>
          </w:tcPr>
          <w:p w14:paraId="2025A057" w14:textId="77777777" w:rsidR="00402B0F" w:rsidRPr="00402B0F" w:rsidRDefault="00402B0F" w:rsidP="00402B0F">
            <w:pPr>
              <w:rPr>
                <w:sz w:val="20"/>
                <w:szCs w:val="20"/>
              </w:rPr>
            </w:pPr>
            <w:r w:rsidRPr="00402B0F">
              <w:rPr>
                <w:sz w:val="20"/>
                <w:szCs w:val="20"/>
              </w:rPr>
              <w:t>Identifying risk strategic through analysis environment</w:t>
            </w:r>
          </w:p>
        </w:tc>
        <w:tc>
          <w:tcPr>
            <w:tcW w:w="1843" w:type="dxa"/>
          </w:tcPr>
          <w:p w14:paraId="5E84EC37" w14:textId="77777777" w:rsidR="00402B0F" w:rsidRPr="00402B0F" w:rsidRDefault="00402B0F" w:rsidP="00402B0F">
            <w:pPr>
              <w:rPr>
                <w:sz w:val="20"/>
                <w:szCs w:val="20"/>
              </w:rPr>
            </w:pPr>
            <w:r w:rsidRPr="00402B0F">
              <w:rPr>
                <w:sz w:val="20"/>
                <w:szCs w:val="20"/>
              </w:rPr>
              <w:t>Consider risk in design architecture</w:t>
            </w:r>
          </w:p>
        </w:tc>
        <w:tc>
          <w:tcPr>
            <w:tcW w:w="1559" w:type="dxa"/>
          </w:tcPr>
          <w:p w14:paraId="2C66E62E" w14:textId="77777777" w:rsidR="00402B0F" w:rsidRPr="00402B0F" w:rsidRDefault="00402B0F" w:rsidP="00402B0F">
            <w:pPr>
              <w:rPr>
                <w:sz w:val="20"/>
                <w:szCs w:val="20"/>
              </w:rPr>
            </w:pPr>
            <w:r w:rsidRPr="00402B0F">
              <w:rPr>
                <w:sz w:val="20"/>
                <w:szCs w:val="20"/>
              </w:rPr>
              <w:t>Provide risk management and control objectives</w:t>
            </w:r>
          </w:p>
        </w:tc>
        <w:tc>
          <w:tcPr>
            <w:tcW w:w="2659" w:type="dxa"/>
          </w:tcPr>
          <w:p w14:paraId="02993148" w14:textId="77777777" w:rsidR="00402B0F" w:rsidRPr="00402B0F" w:rsidRDefault="00402B0F" w:rsidP="00402B0F">
            <w:pPr>
              <w:rPr>
                <w:sz w:val="20"/>
                <w:szCs w:val="20"/>
              </w:rPr>
            </w:pPr>
            <w:r w:rsidRPr="00402B0F">
              <w:rPr>
                <w:sz w:val="20"/>
                <w:szCs w:val="20"/>
              </w:rPr>
              <w:t>Ensuring IT strategy and architecture have control and mitigation risk</w:t>
            </w:r>
          </w:p>
        </w:tc>
      </w:tr>
      <w:tr w:rsidR="00402B0F" w:rsidRPr="00402B0F" w14:paraId="479B5EF8" w14:textId="77777777" w:rsidTr="00402B0F">
        <w:tc>
          <w:tcPr>
            <w:tcW w:w="461" w:type="dxa"/>
          </w:tcPr>
          <w:p w14:paraId="1FCA3062" w14:textId="77777777" w:rsidR="00402B0F" w:rsidRPr="00402B0F" w:rsidRDefault="00402B0F" w:rsidP="00402B0F">
            <w:pPr>
              <w:rPr>
                <w:sz w:val="20"/>
                <w:szCs w:val="20"/>
              </w:rPr>
            </w:pPr>
            <w:r w:rsidRPr="00402B0F">
              <w:rPr>
                <w:sz w:val="20"/>
                <w:szCs w:val="20"/>
              </w:rPr>
              <w:t>9</w:t>
            </w:r>
          </w:p>
        </w:tc>
        <w:tc>
          <w:tcPr>
            <w:tcW w:w="1294" w:type="dxa"/>
          </w:tcPr>
          <w:p w14:paraId="2AAEEF8D" w14:textId="77777777" w:rsidR="00402B0F" w:rsidRPr="00402B0F" w:rsidRDefault="00402B0F" w:rsidP="00402B0F">
            <w:pPr>
              <w:rPr>
                <w:sz w:val="20"/>
                <w:szCs w:val="20"/>
              </w:rPr>
            </w:pPr>
            <w:r w:rsidRPr="00402B0F">
              <w:rPr>
                <w:sz w:val="20"/>
                <w:szCs w:val="20"/>
              </w:rPr>
              <w:t>Implementation roadmap</w:t>
            </w:r>
          </w:p>
        </w:tc>
        <w:tc>
          <w:tcPr>
            <w:tcW w:w="1926" w:type="dxa"/>
          </w:tcPr>
          <w:p w14:paraId="1428C6CC" w14:textId="77777777" w:rsidR="00402B0F" w:rsidRPr="00402B0F" w:rsidRDefault="00402B0F" w:rsidP="00402B0F">
            <w:pPr>
              <w:rPr>
                <w:sz w:val="20"/>
                <w:szCs w:val="20"/>
              </w:rPr>
            </w:pPr>
            <w:r w:rsidRPr="00402B0F">
              <w:rPr>
                <w:sz w:val="20"/>
                <w:szCs w:val="20"/>
              </w:rPr>
              <w:t>Produce IS/IT strategic direction and priorities application</w:t>
            </w:r>
          </w:p>
        </w:tc>
        <w:tc>
          <w:tcPr>
            <w:tcW w:w="1843" w:type="dxa"/>
          </w:tcPr>
          <w:p w14:paraId="7B5F3A07" w14:textId="77777777" w:rsidR="00402B0F" w:rsidRPr="00402B0F" w:rsidRDefault="00402B0F" w:rsidP="00402B0F">
            <w:pPr>
              <w:rPr>
                <w:sz w:val="20"/>
                <w:szCs w:val="20"/>
              </w:rPr>
            </w:pPr>
            <w:r w:rsidRPr="00402B0F">
              <w:rPr>
                <w:sz w:val="20"/>
                <w:szCs w:val="20"/>
              </w:rPr>
              <w:t>Providing migration planning</w:t>
            </w:r>
          </w:p>
        </w:tc>
        <w:tc>
          <w:tcPr>
            <w:tcW w:w="1559" w:type="dxa"/>
          </w:tcPr>
          <w:p w14:paraId="0F42080C" w14:textId="77777777" w:rsidR="00402B0F" w:rsidRPr="00402B0F" w:rsidRDefault="00402B0F" w:rsidP="00402B0F">
            <w:pPr>
              <w:rPr>
                <w:sz w:val="20"/>
                <w:szCs w:val="20"/>
              </w:rPr>
            </w:pPr>
            <w:r w:rsidRPr="00402B0F">
              <w:rPr>
                <w:sz w:val="20"/>
                <w:szCs w:val="20"/>
              </w:rPr>
              <w:t>Provide KPIs and monitoring mechanisms</w:t>
            </w:r>
          </w:p>
        </w:tc>
        <w:tc>
          <w:tcPr>
            <w:tcW w:w="2659" w:type="dxa"/>
          </w:tcPr>
          <w:p w14:paraId="733B5E3E" w14:textId="77777777" w:rsidR="00402B0F" w:rsidRPr="00402B0F" w:rsidRDefault="00402B0F" w:rsidP="00402B0F">
            <w:pPr>
              <w:rPr>
                <w:sz w:val="20"/>
                <w:szCs w:val="20"/>
              </w:rPr>
            </w:pPr>
            <w:r w:rsidRPr="00402B0F">
              <w:rPr>
                <w:sz w:val="20"/>
                <w:szCs w:val="20"/>
              </w:rPr>
              <w:t>Produce a targeted and measurable IT implementation roadmap</w:t>
            </w:r>
          </w:p>
        </w:tc>
      </w:tr>
      <w:tr w:rsidR="00402B0F" w:rsidRPr="00402B0F" w14:paraId="546C8C66" w14:textId="77777777" w:rsidTr="00402B0F">
        <w:tc>
          <w:tcPr>
            <w:tcW w:w="461" w:type="dxa"/>
          </w:tcPr>
          <w:p w14:paraId="2E97200B" w14:textId="77777777" w:rsidR="00402B0F" w:rsidRPr="00402B0F" w:rsidRDefault="00402B0F" w:rsidP="00402B0F">
            <w:pPr>
              <w:rPr>
                <w:sz w:val="20"/>
                <w:szCs w:val="20"/>
              </w:rPr>
            </w:pPr>
            <w:r w:rsidRPr="00402B0F">
              <w:rPr>
                <w:sz w:val="20"/>
                <w:szCs w:val="20"/>
              </w:rPr>
              <w:t>10</w:t>
            </w:r>
          </w:p>
        </w:tc>
        <w:tc>
          <w:tcPr>
            <w:tcW w:w="1294" w:type="dxa"/>
          </w:tcPr>
          <w:p w14:paraId="76B51890" w14:textId="77777777" w:rsidR="00402B0F" w:rsidRPr="00402B0F" w:rsidRDefault="00402B0F" w:rsidP="00402B0F">
            <w:pPr>
              <w:rPr>
                <w:sz w:val="20"/>
                <w:szCs w:val="20"/>
              </w:rPr>
            </w:pPr>
            <w:r w:rsidRPr="00402B0F">
              <w:rPr>
                <w:sz w:val="20"/>
                <w:szCs w:val="20"/>
              </w:rPr>
              <w:t>Main output</w:t>
            </w:r>
          </w:p>
        </w:tc>
        <w:tc>
          <w:tcPr>
            <w:tcW w:w="1926" w:type="dxa"/>
          </w:tcPr>
          <w:p w14:paraId="1C7C52F6" w14:textId="77777777" w:rsidR="00402B0F" w:rsidRPr="00402B0F" w:rsidRDefault="00402B0F" w:rsidP="00402B0F">
            <w:pPr>
              <w:rPr>
                <w:sz w:val="20"/>
                <w:szCs w:val="20"/>
              </w:rPr>
            </w:pPr>
            <w:r w:rsidRPr="00402B0F">
              <w:rPr>
                <w:sz w:val="20"/>
                <w:szCs w:val="20"/>
              </w:rPr>
              <w:t>IS/IT strategy and portfolio application</w:t>
            </w:r>
          </w:p>
        </w:tc>
        <w:tc>
          <w:tcPr>
            <w:tcW w:w="1843" w:type="dxa"/>
          </w:tcPr>
          <w:p w14:paraId="68876A93" w14:textId="77777777" w:rsidR="00402B0F" w:rsidRPr="00402B0F" w:rsidRDefault="00402B0F" w:rsidP="00402B0F">
            <w:pPr>
              <w:rPr>
                <w:sz w:val="20"/>
                <w:szCs w:val="20"/>
              </w:rPr>
            </w:pPr>
            <w:r w:rsidRPr="00402B0F">
              <w:rPr>
                <w:sz w:val="20"/>
                <w:szCs w:val="20"/>
              </w:rPr>
              <w:t>Enterprise architecture blueprint</w:t>
            </w:r>
          </w:p>
        </w:tc>
        <w:tc>
          <w:tcPr>
            <w:tcW w:w="1559" w:type="dxa"/>
          </w:tcPr>
          <w:p w14:paraId="2E1086FC" w14:textId="77777777" w:rsidR="00402B0F" w:rsidRPr="00402B0F" w:rsidRDefault="00402B0F" w:rsidP="00402B0F">
            <w:pPr>
              <w:rPr>
                <w:sz w:val="20"/>
                <w:szCs w:val="20"/>
              </w:rPr>
            </w:pPr>
            <w:r w:rsidRPr="00402B0F">
              <w:rPr>
                <w:sz w:val="20"/>
                <w:szCs w:val="20"/>
              </w:rPr>
              <w:t>Governance objectives, capability level, risk control, and KPI</w:t>
            </w:r>
          </w:p>
        </w:tc>
        <w:tc>
          <w:tcPr>
            <w:tcW w:w="2659" w:type="dxa"/>
          </w:tcPr>
          <w:p w14:paraId="4B173582" w14:textId="77777777" w:rsidR="00402B0F" w:rsidRPr="00402B0F" w:rsidRDefault="00402B0F" w:rsidP="00402B0F">
            <w:pPr>
              <w:rPr>
                <w:sz w:val="20"/>
                <w:szCs w:val="20"/>
              </w:rPr>
            </w:pPr>
            <w:r w:rsidRPr="00402B0F">
              <w:rPr>
                <w:sz w:val="20"/>
                <w:szCs w:val="20"/>
              </w:rPr>
              <w:t>Produce IT Master Plan, digital transformation roadmap , EA blueprint, and IT governance model</w:t>
            </w:r>
          </w:p>
        </w:tc>
      </w:tr>
    </w:tbl>
    <w:p w14:paraId="63530C87" w14:textId="77777777" w:rsidR="00402B0F" w:rsidRDefault="00402B0F" w:rsidP="000818D0">
      <w:pPr>
        <w:sectPr w:rsidR="00402B0F" w:rsidSect="00402B0F">
          <w:type w:val="continuous"/>
          <w:pgSz w:w="11906" w:h="16838"/>
          <w:pgMar w:top="1440" w:right="1077" w:bottom="1440" w:left="1077" w:header="850" w:footer="992" w:gutter="0"/>
          <w:cols w:space="500"/>
          <w:docGrid w:linePitch="360"/>
        </w:sectPr>
      </w:pPr>
    </w:p>
    <w:p w14:paraId="04149154" w14:textId="77777777" w:rsidR="00A5306B" w:rsidRDefault="007A37CA">
      <w:pPr>
        <w:ind w:firstLine="312"/>
      </w:pPr>
      <w:r w:rsidRPr="007A37CA">
        <w:t xml:space="preserve">Result of stage This can in the form of table integration framework, framework flowchart , conceptual model , indicators measurement , </w:t>
      </w:r>
      <w:r w:rsidRPr="007A37CA">
        <w:t xml:space="preserve">instruments validation , as well as formula calculations used </w:t>
      </w:r>
      <w:r w:rsidR="005B755E">
        <w:t>. As seen</w:t>
      </w:r>
      <w:r w:rsidRPr="007A37CA">
        <w:t>​</w:t>
      </w:r>
      <w:r w:rsidR="005B755E">
        <w:t>​ in table</w:t>
      </w:r>
      <w:r w:rsidR="000818D0">
        <w:t xml:space="preserve"> </w:t>
      </w:r>
      <w:r w:rsidR="005B755E">
        <w:t xml:space="preserve">under </w:t>
      </w:r>
      <w:r w:rsidR="00161BEF">
        <w:t>t</w:t>
      </w:r>
      <w:r w:rsidR="005B755E">
        <w:t xml:space="preserve">his related </w:t>
      </w:r>
      <w:r w:rsidR="005B755E">
        <w:lastRenderedPageBreak/>
        <w:t xml:space="preserve">with </w:t>
      </w:r>
      <w:r w:rsidR="00161BEF">
        <w:t>m</w:t>
      </w:r>
      <w:r w:rsidR="005B755E">
        <w:t>apping integration based on order framework development .</w:t>
      </w:r>
    </w:p>
    <w:p w14:paraId="241807C7" w14:textId="77777777" w:rsidR="00A5306B" w:rsidRDefault="00A5306B">
      <w:pPr>
        <w:ind w:firstLine="312"/>
      </w:pPr>
    </w:p>
    <w:p w14:paraId="48EF22FA" w14:textId="77777777" w:rsidR="00A5306B" w:rsidRDefault="00A5306B">
      <w:pPr>
        <w:ind w:firstLine="312"/>
        <w:sectPr w:rsidR="00A5306B">
          <w:type w:val="continuous"/>
          <w:pgSz w:w="11906" w:h="16838"/>
          <w:pgMar w:top="1440" w:right="1077" w:bottom="1440" w:left="1077" w:header="850" w:footer="992" w:gutter="0"/>
          <w:cols w:num="2" w:space="500"/>
          <w:docGrid w:linePitch="360"/>
        </w:sectPr>
      </w:pPr>
    </w:p>
    <w:p w14:paraId="535228A7" w14:textId="77777777" w:rsidR="0045109D" w:rsidRPr="00A82AF3" w:rsidRDefault="0045109D" w:rsidP="0045109D">
      <w:pPr>
        <w:ind w:firstLine="312"/>
        <w:jc w:val="center"/>
        <w:rPr>
          <w:color w:val="EE0000"/>
        </w:rPr>
        <w:sectPr w:rsidR="0045109D" w:rsidRPr="00A82AF3" w:rsidSect="0045109D">
          <w:type w:val="continuous"/>
          <w:pgSz w:w="11906" w:h="16838"/>
          <w:pgMar w:top="1440" w:right="1077" w:bottom="1440" w:left="1077" w:header="850" w:footer="992" w:gutter="0"/>
          <w:cols w:space="500"/>
          <w:docGrid w:linePitch="360"/>
        </w:sectPr>
      </w:pPr>
      <w:commentRangeStart w:id="11"/>
      <w:commentRangeStart w:id="12"/>
      <w:r w:rsidRPr="00A82AF3">
        <w:rPr>
          <w:color w:val="EE0000"/>
        </w:rPr>
        <w:t>Table 6. Integration Mapping of Ward and Peppard, TOGAF, and COBIT 2019 into the Proposed PRASASTI Framework</w:t>
      </w:r>
      <w:commentRangeEnd w:id="11"/>
      <w:r w:rsidR="00A82AF3" w:rsidRPr="00A82AF3">
        <w:rPr>
          <w:rStyle w:val="ReferensiKomentar"/>
          <w:color w:val="EE0000"/>
          <w:sz w:val="22"/>
          <w:szCs w:val="22"/>
        </w:rPr>
        <w:commentReference w:id="11"/>
      </w:r>
      <w:commentRangeEnd w:id="12"/>
      <w:r w:rsidR="00A82AF3" w:rsidRPr="00A82AF3">
        <w:rPr>
          <w:rStyle w:val="ReferensiKomentar"/>
          <w:color w:val="EE0000"/>
          <w:sz w:val="22"/>
          <w:szCs w:val="22"/>
        </w:rPr>
        <w:commentReference w:id="12"/>
      </w:r>
    </w:p>
    <w:p w14:paraId="191DA7D1" w14:textId="77777777" w:rsidR="00A5306B" w:rsidRDefault="00A5306B">
      <w:pPr>
        <w:ind w:firstLine="312"/>
      </w:pPr>
    </w:p>
    <w:tbl>
      <w:tblPr>
        <w:tblStyle w:val="KisiTabel"/>
        <w:tblW w:w="10201" w:type="dxa"/>
        <w:tblLayout w:type="fixed"/>
        <w:tblLook w:val="04A0" w:firstRow="1" w:lastRow="0" w:firstColumn="1" w:lastColumn="0" w:noHBand="0" w:noVBand="1"/>
      </w:tblPr>
      <w:tblGrid>
        <w:gridCol w:w="466"/>
        <w:gridCol w:w="1230"/>
        <w:gridCol w:w="1701"/>
        <w:gridCol w:w="1276"/>
        <w:gridCol w:w="1418"/>
        <w:gridCol w:w="1701"/>
        <w:gridCol w:w="1134"/>
        <w:gridCol w:w="1275"/>
      </w:tblGrid>
      <w:tr w:rsidR="0045109D" w:rsidRPr="00A82AF3" w14:paraId="61E8410E" w14:textId="77777777" w:rsidTr="0045109D">
        <w:trPr>
          <w:tblHeader/>
        </w:trPr>
        <w:tc>
          <w:tcPr>
            <w:tcW w:w="466" w:type="dxa"/>
          </w:tcPr>
          <w:p w14:paraId="51D8B536" w14:textId="77777777" w:rsidR="0045109D" w:rsidRPr="00A82AF3" w:rsidRDefault="0045109D" w:rsidP="007F5238">
            <w:pPr>
              <w:rPr>
                <w:rFonts w:asciiTheme="minorHAnsi" w:hAnsiTheme="minorHAnsi"/>
                <w:b/>
                <w:bCs/>
                <w:color w:val="EE0000"/>
                <w:sz w:val="20"/>
                <w:szCs w:val="20"/>
              </w:rPr>
            </w:pPr>
            <w:r w:rsidRPr="00A82AF3">
              <w:rPr>
                <w:rFonts w:asciiTheme="minorHAnsi" w:hAnsiTheme="minorHAnsi"/>
                <w:b/>
                <w:bCs/>
                <w:color w:val="EE0000"/>
                <w:sz w:val="20"/>
                <w:szCs w:val="20"/>
              </w:rPr>
              <w:t>No</w:t>
            </w:r>
          </w:p>
        </w:tc>
        <w:tc>
          <w:tcPr>
            <w:tcW w:w="1230" w:type="dxa"/>
          </w:tcPr>
          <w:p w14:paraId="01ACBB74" w14:textId="77777777" w:rsidR="0045109D" w:rsidRPr="00A82AF3" w:rsidRDefault="0045109D" w:rsidP="007F5238">
            <w:pPr>
              <w:rPr>
                <w:rFonts w:asciiTheme="minorHAnsi" w:hAnsiTheme="minorHAnsi"/>
                <w:b/>
                <w:bCs/>
                <w:color w:val="EE0000"/>
                <w:sz w:val="20"/>
                <w:szCs w:val="20"/>
              </w:rPr>
            </w:pPr>
            <w:r w:rsidRPr="00A82AF3">
              <w:rPr>
                <w:rFonts w:asciiTheme="minorHAnsi" w:hAnsiTheme="minorHAnsi"/>
                <w:b/>
                <w:bCs/>
                <w:color w:val="EE0000"/>
                <w:sz w:val="20"/>
                <w:szCs w:val="20"/>
              </w:rPr>
              <w:t>IT Strategic Planning Stage</w:t>
            </w:r>
          </w:p>
        </w:tc>
        <w:tc>
          <w:tcPr>
            <w:tcW w:w="1701" w:type="dxa"/>
          </w:tcPr>
          <w:p w14:paraId="5A9FF4A8" w14:textId="77777777" w:rsidR="0045109D" w:rsidRPr="00A82AF3" w:rsidRDefault="0045109D" w:rsidP="007F5238">
            <w:pPr>
              <w:rPr>
                <w:rFonts w:asciiTheme="minorHAnsi" w:hAnsiTheme="minorHAnsi"/>
                <w:b/>
                <w:bCs/>
                <w:color w:val="EE0000"/>
                <w:sz w:val="20"/>
                <w:szCs w:val="20"/>
              </w:rPr>
            </w:pPr>
            <w:r w:rsidRPr="00A82AF3">
              <w:rPr>
                <w:rFonts w:asciiTheme="minorHAnsi" w:hAnsiTheme="minorHAnsi"/>
                <w:b/>
                <w:bCs/>
                <w:color w:val="EE0000"/>
                <w:sz w:val="20"/>
                <w:szCs w:val="20"/>
              </w:rPr>
              <w:t>Ward &amp; Peppard Contribution</w:t>
            </w:r>
          </w:p>
        </w:tc>
        <w:tc>
          <w:tcPr>
            <w:tcW w:w="1276" w:type="dxa"/>
          </w:tcPr>
          <w:p w14:paraId="4579AE9E" w14:textId="77777777" w:rsidR="0045109D" w:rsidRPr="00A82AF3" w:rsidRDefault="0045109D" w:rsidP="007F5238">
            <w:pPr>
              <w:rPr>
                <w:rFonts w:asciiTheme="minorHAnsi" w:hAnsiTheme="minorHAnsi"/>
                <w:b/>
                <w:bCs/>
                <w:color w:val="EE0000"/>
                <w:sz w:val="20"/>
                <w:szCs w:val="20"/>
              </w:rPr>
            </w:pPr>
            <w:r w:rsidRPr="00A82AF3">
              <w:rPr>
                <w:rFonts w:asciiTheme="minorHAnsi" w:hAnsiTheme="minorHAnsi"/>
                <w:b/>
                <w:bCs/>
                <w:color w:val="EE0000"/>
                <w:sz w:val="20"/>
                <w:szCs w:val="20"/>
              </w:rPr>
              <w:t>TOGAF ADM Contribution</w:t>
            </w:r>
          </w:p>
        </w:tc>
        <w:tc>
          <w:tcPr>
            <w:tcW w:w="1418" w:type="dxa"/>
          </w:tcPr>
          <w:p w14:paraId="682CCF38" w14:textId="77777777" w:rsidR="0045109D" w:rsidRPr="00A82AF3" w:rsidRDefault="0045109D" w:rsidP="007F5238">
            <w:pPr>
              <w:rPr>
                <w:rFonts w:asciiTheme="minorHAnsi" w:hAnsiTheme="minorHAnsi"/>
                <w:b/>
                <w:bCs/>
                <w:color w:val="EE0000"/>
                <w:sz w:val="20"/>
                <w:szCs w:val="20"/>
              </w:rPr>
            </w:pPr>
            <w:r w:rsidRPr="00A82AF3">
              <w:rPr>
                <w:rFonts w:asciiTheme="minorHAnsi" w:hAnsiTheme="minorHAnsi"/>
                <w:b/>
                <w:bCs/>
                <w:color w:val="EE0000"/>
                <w:sz w:val="20"/>
                <w:szCs w:val="20"/>
              </w:rPr>
              <w:t>COBIT 2019 Contribution</w:t>
            </w:r>
          </w:p>
        </w:tc>
        <w:tc>
          <w:tcPr>
            <w:tcW w:w="1701" w:type="dxa"/>
          </w:tcPr>
          <w:p w14:paraId="1A167FCC" w14:textId="77777777" w:rsidR="0045109D" w:rsidRPr="00A82AF3" w:rsidRDefault="0045109D" w:rsidP="007F5238">
            <w:pPr>
              <w:rPr>
                <w:rFonts w:asciiTheme="minorHAnsi" w:hAnsiTheme="minorHAnsi"/>
                <w:b/>
                <w:bCs/>
                <w:color w:val="EE0000"/>
                <w:sz w:val="20"/>
                <w:szCs w:val="20"/>
              </w:rPr>
            </w:pPr>
            <w:r w:rsidRPr="00A82AF3">
              <w:rPr>
                <w:rFonts w:asciiTheme="minorHAnsi" w:hAnsiTheme="minorHAnsi"/>
                <w:b/>
                <w:bCs/>
                <w:color w:val="EE0000"/>
                <w:sz w:val="20"/>
                <w:szCs w:val="20"/>
              </w:rPr>
              <w:t>Integration Mechanism / Transformation</w:t>
            </w:r>
          </w:p>
        </w:tc>
        <w:tc>
          <w:tcPr>
            <w:tcW w:w="1134" w:type="dxa"/>
          </w:tcPr>
          <w:p w14:paraId="6C317086" w14:textId="77777777" w:rsidR="0045109D" w:rsidRPr="00A82AF3" w:rsidRDefault="0045109D" w:rsidP="007F5238">
            <w:pPr>
              <w:rPr>
                <w:rFonts w:asciiTheme="minorHAnsi" w:hAnsiTheme="minorHAnsi"/>
                <w:b/>
                <w:bCs/>
                <w:color w:val="EE0000"/>
                <w:sz w:val="20"/>
                <w:szCs w:val="20"/>
              </w:rPr>
            </w:pPr>
            <w:r w:rsidRPr="00A82AF3">
              <w:rPr>
                <w:rFonts w:asciiTheme="minorHAnsi" w:hAnsiTheme="minorHAnsi"/>
                <w:b/>
                <w:bCs/>
                <w:color w:val="EE0000"/>
                <w:sz w:val="20"/>
                <w:szCs w:val="20"/>
              </w:rPr>
              <w:t>Output Artifact</w:t>
            </w:r>
          </w:p>
        </w:tc>
        <w:tc>
          <w:tcPr>
            <w:tcW w:w="1275" w:type="dxa"/>
          </w:tcPr>
          <w:p w14:paraId="3FB6C675" w14:textId="77777777" w:rsidR="0045109D" w:rsidRPr="00A82AF3" w:rsidRDefault="0045109D" w:rsidP="007F5238">
            <w:pPr>
              <w:rPr>
                <w:rFonts w:asciiTheme="minorHAnsi" w:hAnsiTheme="minorHAnsi"/>
                <w:b/>
                <w:bCs/>
                <w:color w:val="EE0000"/>
                <w:sz w:val="20"/>
                <w:szCs w:val="20"/>
              </w:rPr>
            </w:pPr>
            <w:r w:rsidRPr="00A82AF3">
              <w:rPr>
                <w:rFonts w:asciiTheme="minorHAnsi" w:hAnsiTheme="minorHAnsi"/>
                <w:b/>
                <w:bCs/>
                <w:color w:val="EE0000"/>
                <w:sz w:val="20"/>
                <w:szCs w:val="20"/>
              </w:rPr>
              <w:t>Dimension</w:t>
            </w:r>
          </w:p>
        </w:tc>
      </w:tr>
      <w:tr w:rsidR="0045109D" w:rsidRPr="00A82AF3" w14:paraId="19C524F2" w14:textId="77777777" w:rsidTr="0045109D">
        <w:tc>
          <w:tcPr>
            <w:tcW w:w="466" w:type="dxa"/>
          </w:tcPr>
          <w:p w14:paraId="2614AC06"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1</w:t>
            </w:r>
          </w:p>
        </w:tc>
        <w:tc>
          <w:tcPr>
            <w:tcW w:w="1230" w:type="dxa"/>
          </w:tcPr>
          <w:p w14:paraId="02183847"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Initiation and Preparation</w:t>
            </w:r>
          </w:p>
        </w:tc>
        <w:tc>
          <w:tcPr>
            <w:tcW w:w="1701" w:type="dxa"/>
          </w:tcPr>
          <w:p w14:paraId="7633A3F4"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Identify initial business needs and strategic objectives</w:t>
            </w:r>
          </w:p>
        </w:tc>
        <w:tc>
          <w:tcPr>
            <w:tcW w:w="1276" w:type="dxa"/>
          </w:tcPr>
          <w:p w14:paraId="3625AF45"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Preliminary Phase: define architecture principles, scope, and stakeholders</w:t>
            </w:r>
          </w:p>
        </w:tc>
        <w:tc>
          <w:tcPr>
            <w:tcW w:w="1418" w:type="dxa"/>
          </w:tcPr>
          <w:p w14:paraId="5EC1BC90"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EDM01, APO01: governance framework and management objectives</w:t>
            </w:r>
          </w:p>
        </w:tc>
        <w:tc>
          <w:tcPr>
            <w:tcW w:w="1701" w:type="dxa"/>
          </w:tcPr>
          <w:p w14:paraId="496BB9A0"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Establish governance structure, scope, principles, and planning mechanism for IT Masterplan development</w:t>
            </w:r>
          </w:p>
        </w:tc>
        <w:tc>
          <w:tcPr>
            <w:tcW w:w="1134" w:type="dxa"/>
          </w:tcPr>
          <w:p w14:paraId="44BD1CBF"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Project Charter, Scope, Governance Structure</w:t>
            </w:r>
          </w:p>
        </w:tc>
        <w:tc>
          <w:tcPr>
            <w:tcW w:w="1275" w:type="dxa"/>
          </w:tcPr>
          <w:p w14:paraId="26049B43"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Strategic Alignment</w:t>
            </w:r>
          </w:p>
        </w:tc>
      </w:tr>
      <w:tr w:rsidR="0045109D" w:rsidRPr="00A82AF3" w14:paraId="1023DFD0" w14:textId="77777777" w:rsidTr="0045109D">
        <w:tc>
          <w:tcPr>
            <w:tcW w:w="466" w:type="dxa"/>
          </w:tcPr>
          <w:p w14:paraId="3B2715F5"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2</w:t>
            </w:r>
          </w:p>
        </w:tc>
        <w:tc>
          <w:tcPr>
            <w:tcW w:w="1230" w:type="dxa"/>
          </w:tcPr>
          <w:p w14:paraId="65821AC3"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Business Strategy and Requirement Analysis</w:t>
            </w:r>
          </w:p>
        </w:tc>
        <w:tc>
          <w:tcPr>
            <w:tcW w:w="1701" w:type="dxa"/>
          </w:tcPr>
          <w:p w14:paraId="4B49A4F9"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Business analysis, internal/external analysis, CSF, SWOT, Value Chain</w:t>
            </w:r>
          </w:p>
        </w:tc>
        <w:tc>
          <w:tcPr>
            <w:tcW w:w="1276" w:type="dxa"/>
          </w:tcPr>
          <w:p w14:paraId="634AC124"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Phase A Architecture Vision: stakeholder needs and enterprise vision</w:t>
            </w:r>
          </w:p>
        </w:tc>
        <w:tc>
          <w:tcPr>
            <w:tcW w:w="1418" w:type="dxa"/>
          </w:tcPr>
          <w:p w14:paraId="45E0765E"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EDM02, EDM05, APO02: ensure business and IT alignment</w:t>
            </w:r>
          </w:p>
        </w:tc>
        <w:tc>
          <w:tcPr>
            <w:tcW w:w="1701" w:type="dxa"/>
          </w:tcPr>
          <w:p w14:paraId="4F29CA64"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Transform business objectives into strategic IT requirements</w:t>
            </w:r>
          </w:p>
        </w:tc>
        <w:tc>
          <w:tcPr>
            <w:tcW w:w="1134" w:type="dxa"/>
          </w:tcPr>
          <w:p w14:paraId="11463ACB"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Business Requirement Map, IT Strategic Requirement</w:t>
            </w:r>
          </w:p>
        </w:tc>
        <w:tc>
          <w:tcPr>
            <w:tcW w:w="1275" w:type="dxa"/>
          </w:tcPr>
          <w:p w14:paraId="4E4A36C4"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Strategic Alignment</w:t>
            </w:r>
          </w:p>
        </w:tc>
      </w:tr>
      <w:tr w:rsidR="0045109D" w:rsidRPr="00A82AF3" w14:paraId="337A50AC" w14:textId="77777777" w:rsidTr="0045109D">
        <w:tc>
          <w:tcPr>
            <w:tcW w:w="466" w:type="dxa"/>
          </w:tcPr>
          <w:p w14:paraId="4B4DE389"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3</w:t>
            </w:r>
          </w:p>
        </w:tc>
        <w:tc>
          <w:tcPr>
            <w:tcW w:w="1230" w:type="dxa"/>
          </w:tcPr>
          <w:p w14:paraId="061EE8B9"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Current SI/IT Assessment</w:t>
            </w:r>
          </w:p>
        </w:tc>
        <w:tc>
          <w:tcPr>
            <w:tcW w:w="1701" w:type="dxa"/>
          </w:tcPr>
          <w:p w14:paraId="6AD2AE89"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Internal IS/IT analysis, application portfolio, technology assessment</w:t>
            </w:r>
          </w:p>
        </w:tc>
        <w:tc>
          <w:tcPr>
            <w:tcW w:w="1276" w:type="dxa"/>
          </w:tcPr>
          <w:p w14:paraId="2F7EB9DA"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Baseline Architecture (Current State Architecture)</w:t>
            </w:r>
          </w:p>
        </w:tc>
        <w:tc>
          <w:tcPr>
            <w:tcW w:w="1418" w:type="dxa"/>
          </w:tcPr>
          <w:p w14:paraId="2BACB23E"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APO03, APO14, BAI09, BAI10, DSS01: assessment of assets, data, and services</w:t>
            </w:r>
          </w:p>
        </w:tc>
        <w:tc>
          <w:tcPr>
            <w:tcW w:w="1701" w:type="dxa"/>
          </w:tcPr>
          <w:p w14:paraId="1B3ECA65"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Integrate current application, data, technology, and capability conditions</w:t>
            </w:r>
          </w:p>
        </w:tc>
        <w:tc>
          <w:tcPr>
            <w:tcW w:w="1134" w:type="dxa"/>
          </w:tcPr>
          <w:p w14:paraId="52E73E4F"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Current State Architecture (As-Is)</w:t>
            </w:r>
          </w:p>
        </w:tc>
        <w:tc>
          <w:tcPr>
            <w:tcW w:w="1275" w:type="dxa"/>
          </w:tcPr>
          <w:p w14:paraId="0C4E50B1"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IS/IT Portfolio Planning</w:t>
            </w:r>
          </w:p>
        </w:tc>
      </w:tr>
      <w:tr w:rsidR="0045109D" w:rsidRPr="00A82AF3" w14:paraId="70DD71E5" w14:textId="77777777" w:rsidTr="0045109D">
        <w:tc>
          <w:tcPr>
            <w:tcW w:w="466" w:type="dxa"/>
          </w:tcPr>
          <w:p w14:paraId="76759D10"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4</w:t>
            </w:r>
          </w:p>
        </w:tc>
        <w:tc>
          <w:tcPr>
            <w:tcW w:w="1230" w:type="dxa"/>
          </w:tcPr>
          <w:p w14:paraId="19177310"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Target Identification</w:t>
            </w:r>
          </w:p>
        </w:tc>
        <w:tc>
          <w:tcPr>
            <w:tcW w:w="1701" w:type="dxa"/>
          </w:tcPr>
          <w:p w14:paraId="33A5F738"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Future IS/IT direction and strategic options</w:t>
            </w:r>
          </w:p>
        </w:tc>
        <w:tc>
          <w:tcPr>
            <w:tcW w:w="1276" w:type="dxa"/>
          </w:tcPr>
          <w:p w14:paraId="0109E0FC"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Target Architecture Definition</w:t>
            </w:r>
          </w:p>
        </w:tc>
        <w:tc>
          <w:tcPr>
            <w:tcW w:w="1418" w:type="dxa"/>
          </w:tcPr>
          <w:p w14:paraId="7308DB84"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COBIT Design Factors, Enterprise Goals, Alignment Goals</w:t>
            </w:r>
          </w:p>
        </w:tc>
        <w:tc>
          <w:tcPr>
            <w:tcW w:w="1701" w:type="dxa"/>
          </w:tcPr>
          <w:p w14:paraId="35DA4B18"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Determine target conditions based on standards, best practices, and organizational needs</w:t>
            </w:r>
          </w:p>
        </w:tc>
        <w:tc>
          <w:tcPr>
            <w:tcW w:w="1134" w:type="dxa"/>
          </w:tcPr>
          <w:p w14:paraId="127FAB91"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Target Capability and Target Architecture</w:t>
            </w:r>
          </w:p>
        </w:tc>
        <w:tc>
          <w:tcPr>
            <w:tcW w:w="1275" w:type="dxa"/>
          </w:tcPr>
          <w:p w14:paraId="46E596F8"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Enterprise Architecture Blueprint</w:t>
            </w:r>
          </w:p>
        </w:tc>
      </w:tr>
      <w:tr w:rsidR="0045109D" w:rsidRPr="00A82AF3" w14:paraId="01DC3AE4" w14:textId="77777777" w:rsidTr="0045109D">
        <w:tc>
          <w:tcPr>
            <w:tcW w:w="466" w:type="dxa"/>
          </w:tcPr>
          <w:p w14:paraId="7A675B2B"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5</w:t>
            </w:r>
          </w:p>
        </w:tc>
        <w:tc>
          <w:tcPr>
            <w:tcW w:w="1230" w:type="dxa"/>
          </w:tcPr>
          <w:p w14:paraId="6A217FEC"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Gap Analysis</w:t>
            </w:r>
          </w:p>
        </w:tc>
        <w:tc>
          <w:tcPr>
            <w:tcW w:w="1701" w:type="dxa"/>
          </w:tcPr>
          <w:p w14:paraId="223571F4"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Strategic gap analysis between current condition and business requirements</w:t>
            </w:r>
          </w:p>
        </w:tc>
        <w:tc>
          <w:tcPr>
            <w:tcW w:w="1276" w:type="dxa"/>
          </w:tcPr>
          <w:p w14:paraId="776162B9"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Architecture Gap Analysis</w:t>
            </w:r>
          </w:p>
        </w:tc>
        <w:tc>
          <w:tcPr>
            <w:tcW w:w="1418" w:type="dxa"/>
          </w:tcPr>
          <w:p w14:paraId="6E153F2D"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APO11, APO12, MEA01: capability, risk, and performance gaps</w:t>
            </w:r>
          </w:p>
        </w:tc>
        <w:tc>
          <w:tcPr>
            <w:tcW w:w="1701" w:type="dxa"/>
          </w:tcPr>
          <w:p w14:paraId="402597CF"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Compare As-Is and To-Be conditions to determine improvement priorities</w:t>
            </w:r>
          </w:p>
        </w:tc>
        <w:tc>
          <w:tcPr>
            <w:tcW w:w="1134" w:type="dxa"/>
          </w:tcPr>
          <w:p w14:paraId="7D3DC0C7"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Gap Analysis Report</w:t>
            </w:r>
          </w:p>
        </w:tc>
        <w:tc>
          <w:tcPr>
            <w:tcW w:w="1275" w:type="dxa"/>
          </w:tcPr>
          <w:p w14:paraId="451997AA"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Capability Assessment and Risk Integration</w:t>
            </w:r>
          </w:p>
        </w:tc>
      </w:tr>
      <w:tr w:rsidR="0045109D" w:rsidRPr="00A82AF3" w14:paraId="5AE314DC" w14:textId="77777777" w:rsidTr="0045109D">
        <w:tc>
          <w:tcPr>
            <w:tcW w:w="466" w:type="dxa"/>
          </w:tcPr>
          <w:p w14:paraId="78CBE00B"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6</w:t>
            </w:r>
          </w:p>
        </w:tc>
        <w:tc>
          <w:tcPr>
            <w:tcW w:w="1230" w:type="dxa"/>
          </w:tcPr>
          <w:p w14:paraId="405EEE13"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IT Strategy Formulation</w:t>
            </w:r>
          </w:p>
        </w:tc>
        <w:tc>
          <w:tcPr>
            <w:tcW w:w="1701" w:type="dxa"/>
          </w:tcPr>
          <w:p w14:paraId="14E024D9"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IS Strategy, IT Strategy, IS/IT Management Strategy</w:t>
            </w:r>
          </w:p>
        </w:tc>
        <w:tc>
          <w:tcPr>
            <w:tcW w:w="1276" w:type="dxa"/>
          </w:tcPr>
          <w:p w14:paraId="75F2596B"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Architecture Vision and Requirement Management</w:t>
            </w:r>
          </w:p>
        </w:tc>
        <w:tc>
          <w:tcPr>
            <w:tcW w:w="1418" w:type="dxa"/>
          </w:tcPr>
          <w:p w14:paraId="6D5D4DBD"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APO02, APO05, EDM02: strategic alignment and value delivery</w:t>
            </w:r>
          </w:p>
        </w:tc>
        <w:tc>
          <w:tcPr>
            <w:tcW w:w="1701" w:type="dxa"/>
          </w:tcPr>
          <w:p w14:paraId="2F7C2CD8"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Develop IT strategy aligned with organizational strategy</w:t>
            </w:r>
          </w:p>
        </w:tc>
        <w:tc>
          <w:tcPr>
            <w:tcW w:w="1134" w:type="dxa"/>
          </w:tcPr>
          <w:p w14:paraId="49D12493"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IT Strategy Document</w:t>
            </w:r>
          </w:p>
        </w:tc>
        <w:tc>
          <w:tcPr>
            <w:tcW w:w="1275" w:type="dxa"/>
          </w:tcPr>
          <w:p w14:paraId="7774E787"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Strategic Alignment</w:t>
            </w:r>
          </w:p>
        </w:tc>
      </w:tr>
      <w:tr w:rsidR="0045109D" w:rsidRPr="00A82AF3" w14:paraId="61E0E0CF" w14:textId="77777777" w:rsidTr="0045109D">
        <w:tc>
          <w:tcPr>
            <w:tcW w:w="466" w:type="dxa"/>
          </w:tcPr>
          <w:p w14:paraId="54A42EA3"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7</w:t>
            </w:r>
          </w:p>
        </w:tc>
        <w:tc>
          <w:tcPr>
            <w:tcW w:w="1230" w:type="dxa"/>
          </w:tcPr>
          <w:p w14:paraId="399E0094"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Enterprise Architecture Design</w:t>
            </w:r>
          </w:p>
        </w:tc>
        <w:tc>
          <w:tcPr>
            <w:tcW w:w="1701" w:type="dxa"/>
          </w:tcPr>
          <w:p w14:paraId="7D88EDAD"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Identify application and strategic information requirements</w:t>
            </w:r>
          </w:p>
        </w:tc>
        <w:tc>
          <w:tcPr>
            <w:tcW w:w="1276" w:type="dxa"/>
          </w:tcPr>
          <w:p w14:paraId="091303BB"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 xml:space="preserve">Phase B: Business Architecture; Phase C: Data and Application </w:t>
            </w:r>
            <w:r w:rsidRPr="00A82AF3">
              <w:rPr>
                <w:rFonts w:asciiTheme="minorHAnsi" w:hAnsiTheme="minorHAnsi"/>
                <w:color w:val="EE0000"/>
                <w:sz w:val="20"/>
                <w:szCs w:val="20"/>
              </w:rPr>
              <w:lastRenderedPageBreak/>
              <w:t>Architecture; Phase D: Technology Architecture</w:t>
            </w:r>
          </w:p>
        </w:tc>
        <w:tc>
          <w:tcPr>
            <w:tcW w:w="1418" w:type="dxa"/>
          </w:tcPr>
          <w:p w14:paraId="3982D668"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lastRenderedPageBreak/>
              <w:t>APO03, APO14, BAI03</w:t>
            </w:r>
          </w:p>
        </w:tc>
        <w:tc>
          <w:tcPr>
            <w:tcW w:w="1701" w:type="dxa"/>
          </w:tcPr>
          <w:p w14:paraId="6B681378"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Transform IT requirements into target architecture blueprint</w:t>
            </w:r>
          </w:p>
        </w:tc>
        <w:tc>
          <w:tcPr>
            <w:tcW w:w="1134" w:type="dxa"/>
          </w:tcPr>
          <w:p w14:paraId="12BFCB92"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Enterprise Architecture Blueprint</w:t>
            </w:r>
          </w:p>
        </w:tc>
        <w:tc>
          <w:tcPr>
            <w:tcW w:w="1275" w:type="dxa"/>
          </w:tcPr>
          <w:p w14:paraId="62F165F2"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Enterprise Architecture Blueprint</w:t>
            </w:r>
          </w:p>
        </w:tc>
      </w:tr>
      <w:tr w:rsidR="0045109D" w:rsidRPr="00A82AF3" w14:paraId="70A379C3" w14:textId="77777777" w:rsidTr="0045109D">
        <w:tc>
          <w:tcPr>
            <w:tcW w:w="466" w:type="dxa"/>
          </w:tcPr>
          <w:p w14:paraId="0B1D549F"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8</w:t>
            </w:r>
          </w:p>
        </w:tc>
        <w:tc>
          <w:tcPr>
            <w:tcW w:w="1230" w:type="dxa"/>
          </w:tcPr>
          <w:p w14:paraId="7F440F0E"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IT Portfolio and Priority Planning</w:t>
            </w:r>
          </w:p>
        </w:tc>
        <w:tc>
          <w:tcPr>
            <w:tcW w:w="1701" w:type="dxa"/>
          </w:tcPr>
          <w:p w14:paraId="71028E3C"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McFarlan Strategic Grid, application portfolio, investment priority</w:t>
            </w:r>
          </w:p>
        </w:tc>
        <w:tc>
          <w:tcPr>
            <w:tcW w:w="1276" w:type="dxa"/>
          </w:tcPr>
          <w:p w14:paraId="0A178145"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Phase E: Opportunities and Solutions</w:t>
            </w:r>
          </w:p>
        </w:tc>
        <w:tc>
          <w:tcPr>
            <w:tcW w:w="1418" w:type="dxa"/>
          </w:tcPr>
          <w:p w14:paraId="42C6F614"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APO05, BAI01, BAI02</w:t>
            </w:r>
          </w:p>
        </w:tc>
        <w:tc>
          <w:tcPr>
            <w:tcW w:w="1701" w:type="dxa"/>
          </w:tcPr>
          <w:p w14:paraId="65DB3814"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Determine application and program priorities based on business value, risk, and architecture requirements</w:t>
            </w:r>
          </w:p>
        </w:tc>
        <w:tc>
          <w:tcPr>
            <w:tcW w:w="1134" w:type="dxa"/>
          </w:tcPr>
          <w:p w14:paraId="260336CD"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IT Portfolio and Investment Priority</w:t>
            </w:r>
          </w:p>
        </w:tc>
        <w:tc>
          <w:tcPr>
            <w:tcW w:w="1275" w:type="dxa"/>
          </w:tcPr>
          <w:p w14:paraId="645A20A6"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IS/IT Portfolio Planning</w:t>
            </w:r>
          </w:p>
        </w:tc>
      </w:tr>
      <w:tr w:rsidR="0045109D" w:rsidRPr="00A82AF3" w14:paraId="0011615F" w14:textId="77777777" w:rsidTr="0045109D">
        <w:tc>
          <w:tcPr>
            <w:tcW w:w="466" w:type="dxa"/>
          </w:tcPr>
          <w:p w14:paraId="4A83188A"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9</w:t>
            </w:r>
          </w:p>
        </w:tc>
        <w:tc>
          <w:tcPr>
            <w:tcW w:w="1230" w:type="dxa"/>
          </w:tcPr>
          <w:p w14:paraId="225132C9"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IT Governance Development</w:t>
            </w:r>
          </w:p>
        </w:tc>
        <w:tc>
          <w:tcPr>
            <w:tcW w:w="1701" w:type="dxa"/>
          </w:tcPr>
          <w:p w14:paraId="20161BE4"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IS/IT Management Strategy</w:t>
            </w:r>
          </w:p>
        </w:tc>
        <w:tc>
          <w:tcPr>
            <w:tcW w:w="1276" w:type="dxa"/>
          </w:tcPr>
          <w:p w14:paraId="0B38CFA0"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Architecture Governance</w:t>
            </w:r>
          </w:p>
        </w:tc>
        <w:tc>
          <w:tcPr>
            <w:tcW w:w="1418" w:type="dxa"/>
          </w:tcPr>
          <w:p w14:paraId="1D81DFC7"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EDM01, EDM03, EDM04, APO01, APO13</w:t>
            </w:r>
          </w:p>
        </w:tc>
        <w:tc>
          <w:tcPr>
            <w:tcW w:w="1701" w:type="dxa"/>
          </w:tcPr>
          <w:p w14:paraId="1A72A70B"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Integrate governance structure, risk management, controls, and decision rights</w:t>
            </w:r>
          </w:p>
        </w:tc>
        <w:tc>
          <w:tcPr>
            <w:tcW w:w="1134" w:type="dxa"/>
          </w:tcPr>
          <w:p w14:paraId="3B7F0AFE"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IT Governance Framework</w:t>
            </w:r>
          </w:p>
        </w:tc>
        <w:tc>
          <w:tcPr>
            <w:tcW w:w="1275" w:type="dxa"/>
          </w:tcPr>
          <w:p w14:paraId="13D57C61"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Governance Objective Mapping</w:t>
            </w:r>
          </w:p>
        </w:tc>
      </w:tr>
      <w:tr w:rsidR="0045109D" w:rsidRPr="00A82AF3" w14:paraId="7812E28D" w14:textId="77777777" w:rsidTr="0045109D">
        <w:tc>
          <w:tcPr>
            <w:tcW w:w="466" w:type="dxa"/>
          </w:tcPr>
          <w:p w14:paraId="35D11B9B"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10</w:t>
            </w:r>
          </w:p>
        </w:tc>
        <w:tc>
          <w:tcPr>
            <w:tcW w:w="1230" w:type="dxa"/>
          </w:tcPr>
          <w:p w14:paraId="321CD597"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Implementation Roadmap Development</w:t>
            </w:r>
          </w:p>
        </w:tc>
        <w:tc>
          <w:tcPr>
            <w:tcW w:w="1701" w:type="dxa"/>
          </w:tcPr>
          <w:p w14:paraId="173ABF86"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Strategic initiatives and implementation planning</w:t>
            </w:r>
          </w:p>
        </w:tc>
        <w:tc>
          <w:tcPr>
            <w:tcW w:w="1276" w:type="dxa"/>
          </w:tcPr>
          <w:p w14:paraId="43D23DF6"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Phase E: Opportunities and Solutions; Phase F: Migration Planning; Phase G: Implementation Governance</w:t>
            </w:r>
          </w:p>
        </w:tc>
        <w:tc>
          <w:tcPr>
            <w:tcW w:w="1418" w:type="dxa"/>
          </w:tcPr>
          <w:p w14:paraId="739FEEBD"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BAI01, BAI11, APO05</w:t>
            </w:r>
          </w:p>
        </w:tc>
        <w:tc>
          <w:tcPr>
            <w:tcW w:w="1701" w:type="dxa"/>
          </w:tcPr>
          <w:p w14:paraId="5996C9D6"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Develop implementation stages based on priority, dependency, and organizational readiness</w:t>
            </w:r>
          </w:p>
        </w:tc>
        <w:tc>
          <w:tcPr>
            <w:tcW w:w="1134" w:type="dxa"/>
          </w:tcPr>
          <w:p w14:paraId="08C9F648"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IT Implementation Roadmap</w:t>
            </w:r>
          </w:p>
        </w:tc>
        <w:tc>
          <w:tcPr>
            <w:tcW w:w="1275" w:type="dxa"/>
          </w:tcPr>
          <w:p w14:paraId="46F9CBF9"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Performance Measurement and Implementation Planning</w:t>
            </w:r>
          </w:p>
        </w:tc>
      </w:tr>
      <w:tr w:rsidR="0045109D" w:rsidRPr="00A82AF3" w14:paraId="59DD7C12" w14:textId="77777777" w:rsidTr="0045109D">
        <w:tc>
          <w:tcPr>
            <w:tcW w:w="466" w:type="dxa"/>
          </w:tcPr>
          <w:p w14:paraId="078A25ED"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11</w:t>
            </w:r>
          </w:p>
        </w:tc>
        <w:tc>
          <w:tcPr>
            <w:tcW w:w="1230" w:type="dxa"/>
          </w:tcPr>
          <w:p w14:paraId="59DD9B63"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Investment and KPI Development</w:t>
            </w:r>
          </w:p>
        </w:tc>
        <w:tc>
          <w:tcPr>
            <w:tcW w:w="1701" w:type="dxa"/>
          </w:tcPr>
          <w:p w14:paraId="259EF7D6"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Strategic benefits and investment planning</w:t>
            </w:r>
          </w:p>
        </w:tc>
        <w:tc>
          <w:tcPr>
            <w:tcW w:w="1276" w:type="dxa"/>
          </w:tcPr>
          <w:p w14:paraId="5E96A289"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Architecture Capability Management</w:t>
            </w:r>
          </w:p>
        </w:tc>
        <w:tc>
          <w:tcPr>
            <w:tcW w:w="1418" w:type="dxa"/>
          </w:tcPr>
          <w:p w14:paraId="53E63AC9"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MEA01, MEA04, APO06</w:t>
            </w:r>
          </w:p>
        </w:tc>
        <w:tc>
          <w:tcPr>
            <w:tcW w:w="1701" w:type="dxa"/>
          </w:tcPr>
          <w:p w14:paraId="426A02C4"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Link IT investment with business benefits and performance indicators</w:t>
            </w:r>
          </w:p>
        </w:tc>
        <w:tc>
          <w:tcPr>
            <w:tcW w:w="1134" w:type="dxa"/>
          </w:tcPr>
          <w:p w14:paraId="77F8F98F"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IT Investment Plan and KPI Framework</w:t>
            </w:r>
          </w:p>
        </w:tc>
        <w:tc>
          <w:tcPr>
            <w:tcW w:w="1275" w:type="dxa"/>
          </w:tcPr>
          <w:p w14:paraId="258AD36B"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Performance Measurement</w:t>
            </w:r>
          </w:p>
        </w:tc>
      </w:tr>
      <w:tr w:rsidR="0045109D" w:rsidRPr="00A82AF3" w14:paraId="541D4404" w14:textId="77777777" w:rsidTr="0045109D">
        <w:tc>
          <w:tcPr>
            <w:tcW w:w="466" w:type="dxa"/>
          </w:tcPr>
          <w:p w14:paraId="20EDB454"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12</w:t>
            </w:r>
          </w:p>
        </w:tc>
        <w:tc>
          <w:tcPr>
            <w:tcW w:w="1230" w:type="dxa"/>
          </w:tcPr>
          <w:p w14:paraId="5A2BC2AC"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Validation and Finalization</w:t>
            </w:r>
          </w:p>
        </w:tc>
        <w:tc>
          <w:tcPr>
            <w:tcW w:w="1701" w:type="dxa"/>
          </w:tcPr>
          <w:p w14:paraId="5BD81740"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Strategic review and alignment evaluation</w:t>
            </w:r>
          </w:p>
        </w:tc>
        <w:tc>
          <w:tcPr>
            <w:tcW w:w="1276" w:type="dxa"/>
          </w:tcPr>
          <w:p w14:paraId="0C00D921"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Architecture Governance Review</w:t>
            </w:r>
          </w:p>
        </w:tc>
        <w:tc>
          <w:tcPr>
            <w:tcW w:w="1418" w:type="dxa"/>
          </w:tcPr>
          <w:p w14:paraId="17968987"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MEA01, MEA03: monitoring, evaluation, and compliance</w:t>
            </w:r>
          </w:p>
        </w:tc>
        <w:tc>
          <w:tcPr>
            <w:tcW w:w="1701" w:type="dxa"/>
          </w:tcPr>
          <w:p w14:paraId="0526BEE9"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Validate all artifacts to ensure alignment between strategy, architecture, and governance</w:t>
            </w:r>
          </w:p>
        </w:tc>
        <w:tc>
          <w:tcPr>
            <w:tcW w:w="1134" w:type="dxa"/>
          </w:tcPr>
          <w:p w14:paraId="3A76B355"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Final IT Masterplan Document</w:t>
            </w:r>
          </w:p>
        </w:tc>
        <w:tc>
          <w:tcPr>
            <w:tcW w:w="1275" w:type="dxa"/>
          </w:tcPr>
          <w:p w14:paraId="76CA90AD" w14:textId="77777777" w:rsidR="0045109D" w:rsidRPr="00A82AF3" w:rsidRDefault="0045109D" w:rsidP="007F5238">
            <w:pPr>
              <w:rPr>
                <w:rFonts w:asciiTheme="minorHAnsi" w:hAnsiTheme="minorHAnsi"/>
                <w:color w:val="EE0000"/>
                <w:sz w:val="20"/>
                <w:szCs w:val="20"/>
              </w:rPr>
            </w:pPr>
            <w:r w:rsidRPr="00A82AF3">
              <w:rPr>
                <w:rFonts w:asciiTheme="minorHAnsi" w:hAnsiTheme="minorHAnsi"/>
                <w:color w:val="EE0000"/>
                <w:sz w:val="20"/>
                <w:szCs w:val="20"/>
              </w:rPr>
              <w:t>Governance and Continuous Improvement</w:t>
            </w:r>
          </w:p>
        </w:tc>
      </w:tr>
    </w:tbl>
    <w:p w14:paraId="38959260" w14:textId="77777777" w:rsidR="00A5306B" w:rsidRDefault="00A5306B">
      <w:pPr>
        <w:ind w:firstLine="312"/>
      </w:pPr>
    </w:p>
    <w:p w14:paraId="5D1D3029" w14:textId="77777777" w:rsidR="00A5306B" w:rsidRDefault="00A5306B" w:rsidP="00391479">
      <w:pPr>
        <w:sectPr w:rsidR="00A5306B" w:rsidSect="00A5306B">
          <w:type w:val="continuous"/>
          <w:pgSz w:w="11906" w:h="16838"/>
          <w:pgMar w:top="1440" w:right="1077" w:bottom="1440" w:left="1077" w:header="850" w:footer="992" w:gutter="0"/>
          <w:cols w:space="500"/>
          <w:docGrid w:linePitch="360"/>
        </w:sectPr>
      </w:pPr>
    </w:p>
    <w:p w14:paraId="43CD7314" w14:textId="77777777" w:rsidR="0092123C" w:rsidRDefault="0092123C" w:rsidP="00391479">
      <w:pPr>
        <w:rPr>
          <w:lang w:val="id-ID"/>
        </w:rPr>
        <w:sectPr w:rsidR="0092123C" w:rsidSect="00034616">
          <w:type w:val="continuous"/>
          <w:pgSz w:w="11906" w:h="16838"/>
          <w:pgMar w:top="1440" w:right="1077" w:bottom="1440" w:left="1077" w:header="850" w:footer="992" w:gutter="0"/>
          <w:cols w:num="2" w:space="500"/>
          <w:docGrid w:linePitch="360"/>
        </w:sectPr>
      </w:pPr>
    </w:p>
    <w:p w14:paraId="3BC4AC78" w14:textId="77777777" w:rsidR="005E08E3" w:rsidRDefault="005E08E3" w:rsidP="005E08E3">
      <w:pPr>
        <w:ind w:firstLine="312"/>
      </w:pPr>
      <w:r>
        <w:rPr>
          <w:lang w:val="id-ID"/>
        </w:rPr>
        <w:t xml:space="preserve"> </w:t>
      </w:r>
      <w:r>
        <w:rPr>
          <w:rFonts w:cs="Times New Roman"/>
        </w:rPr>
        <w:t xml:space="preserve">The table above shows that each framework occupies a complementary position. Ward and Peppard are used as the basis for strategic IS/IT analysis, primarily to identify business needs, IS/IT conditions, IS/IT strategies, and application portfolios. TOGAF is used to translate the results of this strategic analysis into enterprise architecture designs through the ADM phases, particularly Architecture Vision, Business Architecture, Data </w:t>
      </w:r>
      <w:r>
        <w:rPr>
          <w:rFonts w:cs="Times New Roman"/>
        </w:rPr>
        <w:t>Architecture, and Application Architecture. Architecture , Technology Architecture , Opportunities and Solutions , Migration Planning and Implementation Governance . Meanwhile, COBIT 2019 is used to strengthen governance, capability, risk, control, and performance measurement aspects through EDM, APO, BAI, DSS, and MEA processes.</w:t>
      </w:r>
    </w:p>
    <w:p w14:paraId="03194825" w14:textId="77777777" w:rsidR="0092123C" w:rsidRDefault="005E08E3" w:rsidP="005E08E3">
      <w:pPr>
        <w:ind w:firstLine="312"/>
        <w:rPr>
          <w:lang w:val="id-ID"/>
        </w:rPr>
      </w:pPr>
      <w:r>
        <w:rPr>
          <w:rFonts w:cs="Times New Roman"/>
        </w:rPr>
        <w:lastRenderedPageBreak/>
        <w:t>With this mapping, the new framework not only produces an IS/IT strategy but also provides an architectural blueprint, an implementation roadmap, and governance. objectives, capability assessment, risk control, KPI, and monitoring mechanisms. Methodologically, Ward and Peppard serve as the strategic foundation, TOGAF as the architectural foundation, and COBIT 2019 as the governance and measurement foundation</w:t>
      </w:r>
    </w:p>
    <w:p w14:paraId="7BF17107" w14:textId="77777777" w:rsidR="00391479" w:rsidRDefault="00391479" w:rsidP="00391479">
      <w:pPr>
        <w:ind w:firstLine="312"/>
        <w:jc w:val="left"/>
      </w:pPr>
    </w:p>
    <w:p w14:paraId="788A2595" w14:textId="77777777" w:rsidR="00F5527D" w:rsidRPr="008F6FAA" w:rsidRDefault="00F5527D" w:rsidP="00391479">
      <w:pPr>
        <w:jc w:val="left"/>
        <w:rPr>
          <w:b/>
          <w:bCs/>
        </w:rPr>
      </w:pPr>
      <w:r w:rsidRPr="008F6FAA">
        <w:rPr>
          <w:b/>
          <w:bCs/>
        </w:rPr>
        <w:t xml:space="preserve">6.4. </w:t>
      </w:r>
      <w:r w:rsidR="00391479" w:rsidRPr="008F6FAA">
        <w:rPr>
          <w:b/>
          <w:bCs/>
        </w:rPr>
        <w:t>Demonstration</w:t>
      </w:r>
    </w:p>
    <w:p w14:paraId="66D0C8A0" w14:textId="77777777" w:rsidR="005E08E3" w:rsidRDefault="005E08E3" w:rsidP="005E08E3">
      <w:pPr>
        <w:ind w:firstLine="312"/>
      </w:pPr>
      <w:r>
        <w:t xml:space="preserve"> </w:t>
      </w:r>
      <w:r>
        <w:rPr>
          <w:rFonts w:cs="Times New Roman"/>
        </w:rPr>
        <w:t>The demonstration stage was carried out using an expert-based framework walkthrough approach, employing an expert judgment mechanism and the Delphi method. At this stage, the developed framework artifact was demonstrated to the experts using a help document, the framework design, a flowchart, a table mapping components, and scenarios for using the framework. Experts were​ requested to examine how the framework can be used in the planning process of IT strategy , starting from strategic analysis .</w:t>
      </w:r>
    </w:p>
    <w:p w14:paraId="72AD99EF" w14:textId="77777777" w:rsidR="005E08E3" w:rsidRDefault="005E08E3" w:rsidP="005E08E3">
      <w:pPr>
        <w:ind w:firstLine="312"/>
      </w:pPr>
      <w:r>
        <w:rPr>
          <w:rFonts w:cs="Times New Roman"/>
        </w:rPr>
        <w:t>Instrument questionnaire used to get an evaluation expert to clarify the concept, completeness of components , consistency of flow , relevance of indicators, and integration with inter-frameworks, as well as potential implementation of the framework in the organization . Assessment conducted across a number of Delphi rounds to reach consensus on the eligibility artifact. Input from experts in every field is used to refine the framework before entering the evaluation stage.</w:t>
      </w:r>
    </w:p>
    <w:p w14:paraId="08F750AD" w14:textId="77777777" w:rsidR="00FD6C5B" w:rsidRDefault="005C54B2" w:rsidP="00391479">
      <w:pPr>
        <w:ind w:firstLine="312"/>
      </w:pPr>
      <w:r w:rsidRPr="005C54B2">
        <w:t xml:space="preserve">  </w:t>
      </w:r>
    </w:p>
    <w:p w14:paraId="12DEB13A" w14:textId="77777777" w:rsidR="00D876CD" w:rsidRPr="008F6FAA" w:rsidRDefault="00D876CD" w:rsidP="00391479">
      <w:pPr>
        <w:rPr>
          <w:b/>
          <w:bCs/>
        </w:rPr>
      </w:pPr>
      <w:r w:rsidRPr="008F6FAA">
        <w:rPr>
          <w:b/>
          <w:bCs/>
        </w:rPr>
        <w:t>6.5 Evaluation</w:t>
      </w:r>
    </w:p>
    <w:p w14:paraId="0441B047" w14:textId="77777777" w:rsidR="006434A8" w:rsidRDefault="006434A8" w:rsidP="00391479">
      <w:r w:rsidRPr="006434A8">
        <w:t>Stage fifth is Evaluation, namely evaluate artifacts that have been developed and demonstrated . In study this , evaluation can done through expert judgment, Delphi method , validity test content ,</w:t>
      </w:r>
    </w:p>
    <w:p w14:paraId="67143BBA" w14:textId="77777777" w:rsidR="006434A8" w:rsidRDefault="006434A8" w:rsidP="00391479"/>
    <w:p w14:paraId="0E4447A8" w14:textId="77777777" w:rsidR="00910674" w:rsidRPr="008F6FAA" w:rsidRDefault="00D876CD" w:rsidP="00391479">
      <w:pPr>
        <w:rPr>
          <w:b/>
          <w:bCs/>
        </w:rPr>
      </w:pPr>
      <w:r w:rsidRPr="008F6FAA">
        <w:rPr>
          <w:b/>
          <w:bCs/>
        </w:rPr>
        <w:t>6.6 Communication</w:t>
      </w:r>
    </w:p>
    <w:p w14:paraId="6C7DBFE3" w14:textId="77777777" w:rsidR="000D3357" w:rsidRDefault="000D3357" w:rsidP="000D3357">
      <w:pPr>
        <w:ind w:firstLine="312"/>
      </w:pPr>
      <w:r>
        <w:rPr>
          <w:rFonts w:cs="Times New Roman"/>
        </w:rPr>
        <w:t>The sixth stage is Communication, namely conveying the results of the study to community academics and practitioners through journal articles. In the journal article, stage communication is presented as a compilation of parts: introduction, literature review, research method, proposed framework, results and discussion, conclusions, limitations, and bibliography.</w:t>
      </w:r>
    </w:p>
    <w:p w14:paraId="2F3748B9" w14:textId="77777777" w:rsidR="000D3357" w:rsidRDefault="000D3357" w:rsidP="000D3357">
      <w:pPr>
        <w:ind w:firstLine="312"/>
      </w:pPr>
      <w:r>
        <w:rPr>
          <w:rFonts w:cs="Times New Roman"/>
        </w:rPr>
        <w:t>Results section: This section uses the results data collection based on a questionnaire to show the method framework and how to present the results.</w:t>
      </w:r>
    </w:p>
    <w:p w14:paraId="76EDB25A" w14:textId="77777777" w:rsidR="00F5527D" w:rsidRDefault="00F5527D" w:rsidP="00F5527D">
      <w:pPr>
        <w:spacing w:before="120" w:after="40"/>
        <w:jc w:val="center"/>
      </w:pPr>
      <w:r>
        <w:rPr>
          <w:sz w:val="20"/>
        </w:rPr>
        <w:t xml:space="preserve">Table 6. Profile respondents  </w:t>
      </w:r>
    </w:p>
    <w:tbl>
      <w:tblPr>
        <w:tblStyle w:val="KisiTabel"/>
        <w:tblW w:w="0" w:type="auto"/>
        <w:jc w:val="center"/>
        <w:tblLayout w:type="fixed"/>
        <w:tblLook w:val="04A0" w:firstRow="1" w:lastRow="0" w:firstColumn="1" w:lastColumn="0" w:noHBand="0" w:noVBand="1"/>
      </w:tblPr>
      <w:tblGrid>
        <w:gridCol w:w="2405"/>
        <w:gridCol w:w="992"/>
        <w:gridCol w:w="1418"/>
      </w:tblGrid>
      <w:tr w:rsidR="00F5527D" w14:paraId="41D71479" w14:textId="77777777" w:rsidTr="003F14BE">
        <w:trPr>
          <w:tblHeader/>
          <w:jc w:val="center"/>
        </w:trPr>
        <w:tc>
          <w:tcPr>
            <w:tcW w:w="2405" w:type="dxa"/>
            <w:shd w:val="clear" w:color="auto" w:fill="D9EAF7"/>
          </w:tcPr>
          <w:p w14:paraId="17E01C09" w14:textId="77777777" w:rsidR="00F5527D" w:rsidRDefault="00F5527D" w:rsidP="003F14BE">
            <w:pPr>
              <w:jc w:val="left"/>
            </w:pPr>
            <w:r>
              <w:rPr>
                <w:b/>
                <w:sz w:val="20"/>
              </w:rPr>
              <w:t>Category respondents</w:t>
            </w:r>
          </w:p>
        </w:tc>
        <w:tc>
          <w:tcPr>
            <w:tcW w:w="992" w:type="dxa"/>
            <w:shd w:val="clear" w:color="auto" w:fill="D9EAF7"/>
          </w:tcPr>
          <w:p w14:paraId="0BA04A22" w14:textId="77777777" w:rsidR="00F5527D" w:rsidRDefault="00F5527D" w:rsidP="003F14BE">
            <w:pPr>
              <w:jc w:val="left"/>
            </w:pPr>
            <w:r>
              <w:rPr>
                <w:b/>
                <w:sz w:val="20"/>
              </w:rPr>
              <w:t>Amount</w:t>
            </w:r>
          </w:p>
        </w:tc>
        <w:tc>
          <w:tcPr>
            <w:tcW w:w="1418" w:type="dxa"/>
            <w:shd w:val="clear" w:color="auto" w:fill="D9EAF7"/>
          </w:tcPr>
          <w:p w14:paraId="1F48AB0F" w14:textId="77777777" w:rsidR="00F5527D" w:rsidRDefault="00F5527D" w:rsidP="003F14BE">
            <w:pPr>
              <w:jc w:val="left"/>
            </w:pPr>
            <w:r>
              <w:rPr>
                <w:b/>
                <w:sz w:val="20"/>
              </w:rPr>
              <w:t>Percentage</w:t>
            </w:r>
          </w:p>
        </w:tc>
      </w:tr>
      <w:tr w:rsidR="00F5527D" w14:paraId="369FC6AE" w14:textId="77777777" w:rsidTr="003F14BE">
        <w:trPr>
          <w:jc w:val="center"/>
        </w:trPr>
        <w:tc>
          <w:tcPr>
            <w:tcW w:w="2405" w:type="dxa"/>
          </w:tcPr>
          <w:p w14:paraId="73393E5F" w14:textId="77777777" w:rsidR="00F5527D" w:rsidRDefault="00F5527D" w:rsidP="003F14BE">
            <w:pPr>
              <w:jc w:val="left"/>
            </w:pPr>
            <w:r>
              <w:rPr>
                <w:sz w:val="20"/>
              </w:rPr>
              <w:t>Planning expert IT strategy</w:t>
            </w:r>
          </w:p>
        </w:tc>
        <w:tc>
          <w:tcPr>
            <w:tcW w:w="992" w:type="dxa"/>
          </w:tcPr>
          <w:p w14:paraId="761AA93C" w14:textId="77777777" w:rsidR="00F5527D" w:rsidRPr="002B7059" w:rsidRDefault="00F5527D" w:rsidP="003F14BE">
            <w:pPr>
              <w:jc w:val="left"/>
              <w:rPr>
                <w:sz w:val="16"/>
                <w:szCs w:val="16"/>
              </w:rPr>
            </w:pPr>
            <w:r w:rsidRPr="002B7059">
              <w:rPr>
                <w:sz w:val="20"/>
                <w:szCs w:val="16"/>
              </w:rPr>
              <w:t>5</w:t>
            </w:r>
          </w:p>
        </w:tc>
        <w:tc>
          <w:tcPr>
            <w:tcW w:w="1418" w:type="dxa"/>
          </w:tcPr>
          <w:p w14:paraId="77DB6432" w14:textId="77777777" w:rsidR="00F5527D" w:rsidRPr="002B7059" w:rsidRDefault="00F5527D" w:rsidP="003F14BE">
            <w:pPr>
              <w:jc w:val="left"/>
              <w:rPr>
                <w:sz w:val="16"/>
                <w:szCs w:val="16"/>
              </w:rPr>
            </w:pPr>
            <w:r w:rsidRPr="002B7059">
              <w:rPr>
                <w:sz w:val="20"/>
                <w:szCs w:val="16"/>
              </w:rPr>
              <w:t>26%</w:t>
            </w:r>
          </w:p>
        </w:tc>
      </w:tr>
      <w:tr w:rsidR="00F5527D" w14:paraId="4A7BF214" w14:textId="77777777" w:rsidTr="003F14BE">
        <w:trPr>
          <w:jc w:val="center"/>
        </w:trPr>
        <w:tc>
          <w:tcPr>
            <w:tcW w:w="2405" w:type="dxa"/>
          </w:tcPr>
          <w:p w14:paraId="2A95C612" w14:textId="77777777" w:rsidR="00F5527D" w:rsidRDefault="00F5527D" w:rsidP="003F14BE">
            <w:pPr>
              <w:jc w:val="left"/>
            </w:pPr>
            <w:r>
              <w:rPr>
                <w:sz w:val="20"/>
              </w:rPr>
              <w:t>Enterprise architecture expert</w:t>
            </w:r>
          </w:p>
        </w:tc>
        <w:tc>
          <w:tcPr>
            <w:tcW w:w="992" w:type="dxa"/>
          </w:tcPr>
          <w:p w14:paraId="4EDC779B" w14:textId="77777777" w:rsidR="00F5527D" w:rsidRPr="002B7059" w:rsidRDefault="00F5527D" w:rsidP="003F14BE">
            <w:pPr>
              <w:jc w:val="left"/>
              <w:rPr>
                <w:sz w:val="16"/>
                <w:szCs w:val="16"/>
              </w:rPr>
            </w:pPr>
            <w:r w:rsidRPr="002B7059">
              <w:rPr>
                <w:sz w:val="20"/>
                <w:szCs w:val="16"/>
              </w:rPr>
              <w:t>5</w:t>
            </w:r>
          </w:p>
        </w:tc>
        <w:tc>
          <w:tcPr>
            <w:tcW w:w="1418" w:type="dxa"/>
          </w:tcPr>
          <w:p w14:paraId="7AE551B1" w14:textId="77777777" w:rsidR="00F5527D" w:rsidRPr="002B7059" w:rsidRDefault="00F5527D" w:rsidP="003F14BE">
            <w:pPr>
              <w:jc w:val="left"/>
              <w:rPr>
                <w:sz w:val="16"/>
                <w:szCs w:val="16"/>
              </w:rPr>
            </w:pPr>
            <w:r w:rsidRPr="002B7059">
              <w:rPr>
                <w:sz w:val="20"/>
                <w:szCs w:val="16"/>
              </w:rPr>
              <w:t>26%</w:t>
            </w:r>
          </w:p>
        </w:tc>
      </w:tr>
      <w:tr w:rsidR="00F5527D" w14:paraId="192F0602" w14:textId="77777777" w:rsidTr="003F14BE">
        <w:trPr>
          <w:jc w:val="center"/>
        </w:trPr>
        <w:tc>
          <w:tcPr>
            <w:tcW w:w="2405" w:type="dxa"/>
          </w:tcPr>
          <w:p w14:paraId="1002CFFF" w14:textId="77777777" w:rsidR="00F5527D" w:rsidRDefault="00F5527D" w:rsidP="003F14BE">
            <w:pPr>
              <w:jc w:val="left"/>
            </w:pPr>
            <w:r>
              <w:rPr>
                <w:sz w:val="20"/>
              </w:rPr>
              <w:t>IT governance or COBIT expert</w:t>
            </w:r>
          </w:p>
        </w:tc>
        <w:tc>
          <w:tcPr>
            <w:tcW w:w="992" w:type="dxa"/>
          </w:tcPr>
          <w:p w14:paraId="56F21E3C" w14:textId="77777777" w:rsidR="00F5527D" w:rsidRPr="002B7059" w:rsidRDefault="00F5527D" w:rsidP="003F14BE">
            <w:pPr>
              <w:jc w:val="left"/>
              <w:rPr>
                <w:sz w:val="16"/>
                <w:szCs w:val="16"/>
              </w:rPr>
            </w:pPr>
            <w:r w:rsidRPr="002B7059">
              <w:rPr>
                <w:sz w:val="20"/>
                <w:szCs w:val="16"/>
              </w:rPr>
              <w:t>3</w:t>
            </w:r>
          </w:p>
        </w:tc>
        <w:tc>
          <w:tcPr>
            <w:tcW w:w="1418" w:type="dxa"/>
          </w:tcPr>
          <w:p w14:paraId="217ED145" w14:textId="77777777" w:rsidR="00F5527D" w:rsidRPr="002B7059" w:rsidRDefault="00F5527D" w:rsidP="003F14BE">
            <w:pPr>
              <w:jc w:val="left"/>
              <w:rPr>
                <w:sz w:val="16"/>
                <w:szCs w:val="16"/>
              </w:rPr>
            </w:pPr>
            <w:r w:rsidRPr="002B7059">
              <w:rPr>
                <w:sz w:val="20"/>
                <w:szCs w:val="16"/>
              </w:rPr>
              <w:t>16%</w:t>
            </w:r>
          </w:p>
        </w:tc>
      </w:tr>
      <w:tr w:rsidR="00F5527D" w14:paraId="5367B265" w14:textId="77777777" w:rsidTr="003F14BE">
        <w:trPr>
          <w:jc w:val="center"/>
        </w:trPr>
        <w:tc>
          <w:tcPr>
            <w:tcW w:w="2405" w:type="dxa"/>
          </w:tcPr>
          <w:p w14:paraId="3C062835" w14:textId="77777777" w:rsidR="00F5527D" w:rsidRDefault="00F5527D" w:rsidP="003F14BE">
            <w:pPr>
              <w:jc w:val="left"/>
            </w:pPr>
            <w:r>
              <w:rPr>
                <w:sz w:val="20"/>
              </w:rPr>
              <w:t>IT Practitioner or IT manager</w:t>
            </w:r>
          </w:p>
        </w:tc>
        <w:tc>
          <w:tcPr>
            <w:tcW w:w="992" w:type="dxa"/>
          </w:tcPr>
          <w:p w14:paraId="53415CE8" w14:textId="77777777" w:rsidR="00F5527D" w:rsidRPr="002B7059" w:rsidRDefault="00F5527D" w:rsidP="003F14BE">
            <w:pPr>
              <w:jc w:val="left"/>
              <w:rPr>
                <w:sz w:val="16"/>
                <w:szCs w:val="16"/>
              </w:rPr>
            </w:pPr>
            <w:r w:rsidRPr="002B7059">
              <w:rPr>
                <w:sz w:val="20"/>
                <w:szCs w:val="16"/>
              </w:rPr>
              <w:t>4</w:t>
            </w:r>
          </w:p>
        </w:tc>
        <w:tc>
          <w:tcPr>
            <w:tcW w:w="1418" w:type="dxa"/>
          </w:tcPr>
          <w:p w14:paraId="0D962074" w14:textId="77777777" w:rsidR="00F5527D" w:rsidRPr="002B7059" w:rsidRDefault="00F5527D" w:rsidP="003F14BE">
            <w:pPr>
              <w:jc w:val="left"/>
              <w:rPr>
                <w:sz w:val="16"/>
                <w:szCs w:val="16"/>
              </w:rPr>
            </w:pPr>
            <w:r w:rsidRPr="002B7059">
              <w:rPr>
                <w:sz w:val="20"/>
                <w:szCs w:val="16"/>
              </w:rPr>
              <w:t>21%</w:t>
            </w:r>
          </w:p>
        </w:tc>
      </w:tr>
      <w:tr w:rsidR="00F5527D" w14:paraId="27CDF9E6" w14:textId="77777777" w:rsidTr="003F14BE">
        <w:trPr>
          <w:jc w:val="center"/>
        </w:trPr>
        <w:tc>
          <w:tcPr>
            <w:tcW w:w="2405" w:type="dxa"/>
          </w:tcPr>
          <w:p w14:paraId="4C33A5A2" w14:textId="77777777" w:rsidR="00F5527D" w:rsidRDefault="00F5527D" w:rsidP="003F14BE">
            <w:pPr>
              <w:jc w:val="left"/>
            </w:pPr>
            <w:r>
              <w:rPr>
                <w:sz w:val="20"/>
              </w:rPr>
              <w:t>Academics system information</w:t>
            </w:r>
          </w:p>
        </w:tc>
        <w:tc>
          <w:tcPr>
            <w:tcW w:w="992" w:type="dxa"/>
          </w:tcPr>
          <w:p w14:paraId="746602A1" w14:textId="77777777" w:rsidR="00F5527D" w:rsidRPr="002B7059" w:rsidRDefault="00F5527D" w:rsidP="003F14BE">
            <w:pPr>
              <w:jc w:val="left"/>
              <w:rPr>
                <w:sz w:val="16"/>
                <w:szCs w:val="16"/>
              </w:rPr>
            </w:pPr>
            <w:r w:rsidRPr="002B7059">
              <w:rPr>
                <w:sz w:val="20"/>
                <w:szCs w:val="16"/>
              </w:rPr>
              <w:t>2</w:t>
            </w:r>
          </w:p>
        </w:tc>
        <w:tc>
          <w:tcPr>
            <w:tcW w:w="1418" w:type="dxa"/>
          </w:tcPr>
          <w:p w14:paraId="087FBEF9" w14:textId="77777777" w:rsidR="00F5527D" w:rsidRPr="002B7059" w:rsidRDefault="00F5527D" w:rsidP="003F14BE">
            <w:pPr>
              <w:jc w:val="left"/>
              <w:rPr>
                <w:sz w:val="16"/>
                <w:szCs w:val="16"/>
              </w:rPr>
            </w:pPr>
            <w:r w:rsidRPr="002B7059">
              <w:rPr>
                <w:sz w:val="20"/>
                <w:szCs w:val="16"/>
              </w:rPr>
              <w:t>11%</w:t>
            </w:r>
          </w:p>
        </w:tc>
      </w:tr>
      <w:tr w:rsidR="00F5527D" w14:paraId="18758ADB" w14:textId="77777777" w:rsidTr="003F14BE">
        <w:trPr>
          <w:jc w:val="center"/>
        </w:trPr>
        <w:tc>
          <w:tcPr>
            <w:tcW w:w="2405" w:type="dxa"/>
          </w:tcPr>
          <w:p w14:paraId="23F8C32D" w14:textId="77777777" w:rsidR="00F5527D" w:rsidRDefault="00F5527D" w:rsidP="003F14BE">
            <w:pPr>
              <w:jc w:val="left"/>
            </w:pPr>
            <w:r>
              <w:rPr>
                <w:sz w:val="20"/>
              </w:rPr>
              <w:t>Total</w:t>
            </w:r>
          </w:p>
        </w:tc>
        <w:tc>
          <w:tcPr>
            <w:tcW w:w="992" w:type="dxa"/>
          </w:tcPr>
          <w:p w14:paraId="196447ED" w14:textId="77777777" w:rsidR="00F5527D" w:rsidRDefault="00F5527D" w:rsidP="003F14BE">
            <w:pPr>
              <w:jc w:val="left"/>
            </w:pPr>
            <w:r>
              <w:rPr>
                <w:sz w:val="20"/>
              </w:rPr>
              <w:t>19</w:t>
            </w:r>
          </w:p>
        </w:tc>
        <w:tc>
          <w:tcPr>
            <w:tcW w:w="1418" w:type="dxa"/>
          </w:tcPr>
          <w:p w14:paraId="372819E1" w14:textId="77777777" w:rsidR="00F5527D" w:rsidRDefault="00F5527D" w:rsidP="003F14BE">
            <w:pPr>
              <w:jc w:val="left"/>
            </w:pPr>
            <w:r>
              <w:rPr>
                <w:sz w:val="20"/>
              </w:rPr>
              <w:t>100%</w:t>
            </w:r>
          </w:p>
        </w:tc>
      </w:tr>
    </w:tbl>
    <w:p w14:paraId="705CBD49" w14:textId="77777777" w:rsidR="00F5527D" w:rsidRDefault="00F5527D" w:rsidP="00391479">
      <w:pPr>
        <w:ind w:firstLine="312"/>
      </w:pPr>
    </w:p>
    <w:p w14:paraId="3348C9CD" w14:textId="594EA2A4" w:rsidR="00C94701" w:rsidRDefault="000D3357" w:rsidP="00C94701">
      <w:pPr>
        <w:ind w:firstLine="720"/>
      </w:pPr>
      <w:r>
        <w:rPr>
          <w:rFonts w:cs="Times New Roman"/>
        </w:rPr>
        <w:t>Table 6 above describes the profile of respondents involved​ in the planning framework assessment of the IT strategy . Total respondents: 19 people, across categories relevant to skills within an IT and governance organization.</w:t>
      </w:r>
      <w:r w:rsidR="00C94701" w:rsidRPr="00C94701">
        <w:rPr>
          <w:rFonts w:cs="Times New Roman"/>
          <w:color w:val="EE0000"/>
        </w:rPr>
        <w:t xml:space="preserve"> </w:t>
      </w:r>
      <w:commentRangeStart w:id="13"/>
      <w:r w:rsidR="00C94701" w:rsidRPr="00C94701">
        <w:rPr>
          <w:rFonts w:cs="Times New Roman"/>
          <w:color w:val="EE0000"/>
        </w:rPr>
        <w:t xml:space="preserve">The respondent percentages presented in Table </w:t>
      </w:r>
      <w:r w:rsidR="00C94701" w:rsidRPr="00C94701">
        <w:rPr>
          <w:rFonts w:cs="Times New Roman"/>
          <w:color w:val="EE0000"/>
        </w:rPr>
        <w:t>6</w:t>
      </w:r>
      <w:r w:rsidR="00C94701" w:rsidRPr="00C94701">
        <w:rPr>
          <w:rFonts w:cs="Times New Roman"/>
          <w:color w:val="EE0000"/>
        </w:rPr>
        <w:t xml:space="preserve"> are rounded to the nearest whole number for presentation purposes, while all statistical calculations were performed using the original numerical values.</w:t>
      </w:r>
      <w:commentRangeEnd w:id="13"/>
      <w:r w:rsidR="00C94701">
        <w:rPr>
          <w:rStyle w:val="ReferensiKomentar"/>
          <w:sz w:val="22"/>
          <w:szCs w:val="22"/>
        </w:rPr>
        <w:commentReference w:id="13"/>
      </w:r>
    </w:p>
    <w:p w14:paraId="30D68F88" w14:textId="0A729957" w:rsidR="000D3357" w:rsidRDefault="000D3357" w:rsidP="000D3357">
      <w:pPr>
        <w:ind w:firstLine="720"/>
      </w:pPr>
    </w:p>
    <w:p w14:paraId="324D318B" w14:textId="77777777" w:rsidR="000D3357" w:rsidRDefault="000D3357" w:rsidP="000D3357">
      <w:pPr>
        <w:ind w:firstLine="720"/>
      </w:pPr>
      <w:commentRangeStart w:id="14"/>
      <w:commentRangeStart w:id="15"/>
      <w:r>
        <w:rPr>
          <w:rFonts w:cs="Times New Roman"/>
        </w:rPr>
        <w:t>Planning expert IT strategists and enterprise architecture experts each numbering 5 people (26%), emphasizing the role they play in evaluating alignment of strategy and enterprise architecture .</w:t>
      </w:r>
    </w:p>
    <w:p w14:paraId="567272DE" w14:textId="77777777" w:rsidR="000D3357" w:rsidRDefault="000D3357" w:rsidP="000D3357">
      <w:r>
        <w:rPr>
          <w:rFonts w:cs="Times New Roman"/>
        </w:rPr>
        <w:t xml:space="preserve">There are 3 IT governance or COBIT experts (16%), providing perspective on IT governance, controls, and policies. IT practitioners or IT managers, numbering 4 people (21%), </w:t>
      </w:r>
      <w:commentRangeEnd w:id="14"/>
      <w:r w:rsidR="00922C9B">
        <w:rPr>
          <w:rStyle w:val="ReferensiKomentar"/>
          <w:rFonts w:cs="Times New Roman"/>
          <w:sz w:val="22"/>
          <w:szCs w:val="22"/>
        </w:rPr>
        <w:commentReference w:id="14"/>
      </w:r>
      <w:commentRangeEnd w:id="15"/>
      <w:r w:rsidR="00922C9B">
        <w:rPr>
          <w:rStyle w:val="ReferensiKomentar"/>
          <w:rFonts w:cs="Times New Roman"/>
          <w:sz w:val="22"/>
          <w:szCs w:val="22"/>
        </w:rPr>
        <w:commentReference w:id="15"/>
      </w:r>
      <w:r>
        <w:rPr>
          <w:rFonts w:cs="Times New Roman"/>
        </w:rPr>
        <w:t>provide input on the practical, related implementation of the framework in real organizational environments. The academic system information totals 2 people (11%), adding a corner view of theoretical and scientific validity to the framework.</w:t>
      </w:r>
    </w:p>
    <w:p w14:paraId="7FAD9286" w14:textId="77777777" w:rsidR="000D3357" w:rsidRDefault="000D3357" w:rsidP="000D3357">
      <w:pPr>
        <w:ind w:firstLine="720"/>
      </w:pPr>
      <w:r>
        <w:rPr>
          <w:rFonts w:cs="Times New Roman"/>
        </w:rPr>
        <w:t>Next, testing related to validity and reliability, including content validity and reliability, and instrument planning framework assessment, IT strategic testing. This aims to ensure that each instrument item used is​ truly relevant , consistent , and reliable for assessing the framework scientifically. The results of the validity and reliability tests are seen in Table 7 below.</w:t>
      </w:r>
    </w:p>
    <w:p w14:paraId="40DB23C1" w14:textId="77777777" w:rsidR="00F859D2" w:rsidRDefault="00F859D2" w:rsidP="004A0595">
      <w:pPr>
        <w:ind w:firstLine="720"/>
      </w:pPr>
    </w:p>
    <w:p w14:paraId="31F76D5E" w14:textId="77777777" w:rsidR="004A0595" w:rsidRDefault="004A0595" w:rsidP="004A0595">
      <w:pPr>
        <w:ind w:firstLine="720"/>
      </w:pPr>
      <w:r>
        <w:rPr>
          <w:sz w:val="20"/>
        </w:rPr>
        <w:t>Table 7. Validity and reliability test results</w:t>
      </w:r>
    </w:p>
    <w:tbl>
      <w:tblPr>
        <w:tblStyle w:val="KisiTabel"/>
        <w:tblW w:w="0" w:type="auto"/>
        <w:jc w:val="center"/>
        <w:tblLayout w:type="fixed"/>
        <w:tblLook w:val="04A0" w:firstRow="1" w:lastRow="0" w:firstColumn="1" w:lastColumn="0" w:noHBand="0" w:noVBand="1"/>
      </w:tblPr>
      <w:tblGrid>
        <w:gridCol w:w="1555"/>
        <w:gridCol w:w="992"/>
        <w:gridCol w:w="1843"/>
      </w:tblGrid>
      <w:tr w:rsidR="004A0595" w14:paraId="147B6106" w14:textId="77777777" w:rsidTr="003F14BE">
        <w:trPr>
          <w:tblHeader/>
          <w:jc w:val="center"/>
        </w:trPr>
        <w:tc>
          <w:tcPr>
            <w:tcW w:w="1555" w:type="dxa"/>
            <w:shd w:val="clear" w:color="auto" w:fill="D9EAF7"/>
          </w:tcPr>
          <w:p w14:paraId="7C2B8935" w14:textId="77777777" w:rsidR="004A0595" w:rsidRDefault="004A0595" w:rsidP="003F14BE">
            <w:pPr>
              <w:jc w:val="left"/>
            </w:pPr>
            <w:r>
              <w:rPr>
                <w:b/>
                <w:sz w:val="20"/>
              </w:rPr>
              <w:t>Test</w:t>
            </w:r>
          </w:p>
        </w:tc>
        <w:tc>
          <w:tcPr>
            <w:tcW w:w="992" w:type="dxa"/>
            <w:shd w:val="clear" w:color="auto" w:fill="D9EAF7"/>
          </w:tcPr>
          <w:p w14:paraId="2D3BC332" w14:textId="77777777" w:rsidR="004A0595" w:rsidRDefault="004A0595" w:rsidP="003F14BE">
            <w:pPr>
              <w:jc w:val="left"/>
            </w:pPr>
            <w:r>
              <w:rPr>
                <w:b/>
                <w:sz w:val="20"/>
              </w:rPr>
              <w:t>Results</w:t>
            </w:r>
          </w:p>
        </w:tc>
        <w:tc>
          <w:tcPr>
            <w:tcW w:w="1843" w:type="dxa"/>
            <w:shd w:val="clear" w:color="auto" w:fill="D9EAF7"/>
          </w:tcPr>
          <w:p w14:paraId="68BC2243" w14:textId="77777777" w:rsidR="004A0595" w:rsidRDefault="004A0595" w:rsidP="003F14BE">
            <w:pPr>
              <w:jc w:val="left"/>
            </w:pPr>
            <w:r>
              <w:rPr>
                <w:b/>
                <w:sz w:val="20"/>
              </w:rPr>
              <w:t>Interpretation</w:t>
            </w:r>
          </w:p>
        </w:tc>
      </w:tr>
      <w:tr w:rsidR="004A0595" w14:paraId="25DDC6EA" w14:textId="77777777" w:rsidTr="003F14BE">
        <w:trPr>
          <w:jc w:val="center"/>
        </w:trPr>
        <w:tc>
          <w:tcPr>
            <w:tcW w:w="1555" w:type="dxa"/>
          </w:tcPr>
          <w:p w14:paraId="5C45E03F" w14:textId="77777777" w:rsidR="004A0595" w:rsidRDefault="004A0595" w:rsidP="003F14BE">
            <w:pPr>
              <w:jc w:val="left"/>
            </w:pPr>
            <w:r>
              <w:rPr>
                <w:sz w:val="20"/>
              </w:rPr>
              <w:t>CVR</w:t>
            </w:r>
          </w:p>
        </w:tc>
        <w:tc>
          <w:tcPr>
            <w:tcW w:w="992" w:type="dxa"/>
          </w:tcPr>
          <w:p w14:paraId="7FB8AC25" w14:textId="77777777" w:rsidR="004A0595" w:rsidRDefault="004A0595" w:rsidP="003F14BE">
            <w:pPr>
              <w:jc w:val="left"/>
            </w:pPr>
            <w:r>
              <w:rPr>
                <w:sz w:val="20"/>
              </w:rPr>
              <w:t>0.68-1.00</w:t>
            </w:r>
          </w:p>
        </w:tc>
        <w:tc>
          <w:tcPr>
            <w:tcW w:w="1843" w:type="dxa"/>
          </w:tcPr>
          <w:p w14:paraId="6AB110C8" w14:textId="77777777" w:rsidR="004A0595" w:rsidRDefault="004A0595" w:rsidP="003F14BE">
            <w:pPr>
              <w:jc w:val="left"/>
            </w:pPr>
            <w:r>
              <w:rPr>
                <w:sz w:val="20"/>
              </w:rPr>
              <w:t>Valid</w:t>
            </w:r>
          </w:p>
        </w:tc>
      </w:tr>
      <w:tr w:rsidR="004A0595" w14:paraId="435FEEB7" w14:textId="77777777" w:rsidTr="003F14BE">
        <w:trPr>
          <w:jc w:val="center"/>
        </w:trPr>
        <w:tc>
          <w:tcPr>
            <w:tcW w:w="1555" w:type="dxa"/>
          </w:tcPr>
          <w:p w14:paraId="4824B4F5" w14:textId="77777777" w:rsidR="004A0595" w:rsidRDefault="004A0595" w:rsidP="003F14BE">
            <w:pPr>
              <w:jc w:val="left"/>
            </w:pPr>
            <w:r>
              <w:rPr>
                <w:sz w:val="20"/>
              </w:rPr>
              <w:t>S-CVI/Ave</w:t>
            </w:r>
          </w:p>
        </w:tc>
        <w:tc>
          <w:tcPr>
            <w:tcW w:w="992" w:type="dxa"/>
          </w:tcPr>
          <w:p w14:paraId="433EEC73" w14:textId="77777777" w:rsidR="004A0595" w:rsidRDefault="004A0595" w:rsidP="003F14BE">
            <w:pPr>
              <w:jc w:val="left"/>
            </w:pPr>
            <w:r>
              <w:rPr>
                <w:sz w:val="20"/>
              </w:rPr>
              <w:t>0.98</w:t>
            </w:r>
          </w:p>
        </w:tc>
        <w:tc>
          <w:tcPr>
            <w:tcW w:w="1843" w:type="dxa"/>
          </w:tcPr>
          <w:p w14:paraId="6001E2A0" w14:textId="77777777" w:rsidR="004A0595" w:rsidRDefault="004A0595" w:rsidP="003F14BE">
            <w:pPr>
              <w:jc w:val="left"/>
            </w:pPr>
            <w:r>
              <w:rPr>
                <w:sz w:val="20"/>
              </w:rPr>
              <w:t>Validity very good content</w:t>
            </w:r>
          </w:p>
        </w:tc>
      </w:tr>
      <w:tr w:rsidR="004A0595" w14:paraId="5F0C600A" w14:textId="77777777" w:rsidTr="003F14BE">
        <w:trPr>
          <w:jc w:val="center"/>
        </w:trPr>
        <w:tc>
          <w:tcPr>
            <w:tcW w:w="1555" w:type="dxa"/>
          </w:tcPr>
          <w:p w14:paraId="5255AD1C" w14:textId="77777777" w:rsidR="004A0595" w:rsidRDefault="004A0595" w:rsidP="003F14BE">
            <w:pPr>
              <w:jc w:val="left"/>
            </w:pPr>
            <w:r>
              <w:rPr>
                <w:sz w:val="20"/>
              </w:rPr>
              <w:t>Aiken's V</w:t>
            </w:r>
          </w:p>
        </w:tc>
        <w:tc>
          <w:tcPr>
            <w:tcW w:w="992" w:type="dxa"/>
          </w:tcPr>
          <w:p w14:paraId="3BDEE1B7" w14:textId="77777777" w:rsidR="004A0595" w:rsidRDefault="004A0595" w:rsidP="003F14BE">
            <w:pPr>
              <w:jc w:val="left"/>
            </w:pPr>
            <w:r>
              <w:rPr>
                <w:sz w:val="20"/>
              </w:rPr>
              <w:t>0.79-0.94</w:t>
            </w:r>
          </w:p>
        </w:tc>
        <w:tc>
          <w:tcPr>
            <w:tcW w:w="1843" w:type="dxa"/>
          </w:tcPr>
          <w:p w14:paraId="7085FB73" w14:textId="77777777" w:rsidR="004A0595" w:rsidRDefault="004A0595" w:rsidP="003F14BE">
            <w:pPr>
              <w:jc w:val="left"/>
            </w:pPr>
            <w:r>
              <w:rPr>
                <w:sz w:val="20"/>
              </w:rPr>
              <w:t>Agreement expert tall</w:t>
            </w:r>
          </w:p>
        </w:tc>
      </w:tr>
      <w:tr w:rsidR="004A0595" w14:paraId="58F41F05" w14:textId="77777777" w:rsidTr="003F14BE">
        <w:trPr>
          <w:jc w:val="center"/>
        </w:trPr>
        <w:tc>
          <w:tcPr>
            <w:tcW w:w="1555" w:type="dxa"/>
          </w:tcPr>
          <w:p w14:paraId="78CD43CF" w14:textId="77777777" w:rsidR="004A0595" w:rsidRDefault="004A0595" w:rsidP="003F14BE">
            <w:pPr>
              <w:jc w:val="left"/>
            </w:pPr>
            <w:r>
              <w:rPr>
                <w:sz w:val="20"/>
              </w:rPr>
              <w:t>Cronbach's Alpha</w:t>
            </w:r>
          </w:p>
        </w:tc>
        <w:tc>
          <w:tcPr>
            <w:tcW w:w="992" w:type="dxa"/>
          </w:tcPr>
          <w:p w14:paraId="75AF56C7" w14:textId="77777777" w:rsidR="004A0595" w:rsidRDefault="004A0595" w:rsidP="003F14BE">
            <w:pPr>
              <w:jc w:val="left"/>
            </w:pPr>
            <w:r>
              <w:rPr>
                <w:sz w:val="20"/>
              </w:rPr>
              <w:t>0.89</w:t>
            </w:r>
          </w:p>
        </w:tc>
        <w:tc>
          <w:tcPr>
            <w:tcW w:w="1843" w:type="dxa"/>
          </w:tcPr>
          <w:p w14:paraId="62A116CA" w14:textId="77777777" w:rsidR="004A0595" w:rsidRDefault="004A0595" w:rsidP="003F14BE">
            <w:pPr>
              <w:jc w:val="left"/>
            </w:pPr>
            <w:r>
              <w:rPr>
                <w:sz w:val="20"/>
              </w:rPr>
              <w:t>Reliable</w:t>
            </w:r>
          </w:p>
        </w:tc>
      </w:tr>
      <w:tr w:rsidR="004A0595" w14:paraId="32164A17" w14:textId="77777777" w:rsidTr="003F14BE">
        <w:trPr>
          <w:jc w:val="center"/>
        </w:trPr>
        <w:tc>
          <w:tcPr>
            <w:tcW w:w="1555" w:type="dxa"/>
          </w:tcPr>
          <w:p w14:paraId="2856E247" w14:textId="77777777" w:rsidR="004A0595" w:rsidRDefault="004A0595" w:rsidP="003F14BE">
            <w:pPr>
              <w:jc w:val="left"/>
            </w:pPr>
            <w:r>
              <w:rPr>
                <w:sz w:val="20"/>
              </w:rPr>
              <w:t>Kendall's W</w:t>
            </w:r>
          </w:p>
        </w:tc>
        <w:tc>
          <w:tcPr>
            <w:tcW w:w="992" w:type="dxa"/>
          </w:tcPr>
          <w:p w14:paraId="28338101" w14:textId="77777777" w:rsidR="004A0595" w:rsidRDefault="004A0595" w:rsidP="003F14BE">
            <w:pPr>
              <w:jc w:val="left"/>
            </w:pPr>
            <w:r>
              <w:rPr>
                <w:sz w:val="20"/>
              </w:rPr>
              <w:t>0.74</w:t>
            </w:r>
          </w:p>
        </w:tc>
        <w:tc>
          <w:tcPr>
            <w:tcW w:w="1843" w:type="dxa"/>
          </w:tcPr>
          <w:p w14:paraId="5AE8DA94" w14:textId="77777777" w:rsidR="004A0595" w:rsidRDefault="004A0595" w:rsidP="003F14BE">
            <w:pPr>
              <w:jc w:val="left"/>
            </w:pPr>
            <w:r>
              <w:rPr>
                <w:sz w:val="20"/>
              </w:rPr>
              <w:t>Consensus strong</w:t>
            </w:r>
          </w:p>
        </w:tc>
      </w:tr>
      <w:tr w:rsidR="004A0595" w14:paraId="30BFC86C" w14:textId="77777777" w:rsidTr="003F14BE">
        <w:trPr>
          <w:jc w:val="center"/>
        </w:trPr>
        <w:tc>
          <w:tcPr>
            <w:tcW w:w="1555" w:type="dxa"/>
          </w:tcPr>
          <w:p w14:paraId="1C252488" w14:textId="77777777" w:rsidR="004A0595" w:rsidRDefault="004A0595" w:rsidP="003F14BE">
            <w:pPr>
              <w:jc w:val="left"/>
            </w:pPr>
            <w:r>
              <w:rPr>
                <w:sz w:val="20"/>
              </w:rPr>
              <w:t>IQR Delphi round 2</w:t>
            </w:r>
          </w:p>
        </w:tc>
        <w:tc>
          <w:tcPr>
            <w:tcW w:w="992" w:type="dxa"/>
          </w:tcPr>
          <w:p w14:paraId="57F73685" w14:textId="77777777" w:rsidR="004A0595" w:rsidRDefault="004A0595" w:rsidP="003F14BE">
            <w:pPr>
              <w:jc w:val="left"/>
            </w:pPr>
            <w:r>
              <w:rPr>
                <w:sz w:val="20"/>
              </w:rPr>
              <w:t>&lt;= 1</w:t>
            </w:r>
          </w:p>
        </w:tc>
        <w:tc>
          <w:tcPr>
            <w:tcW w:w="1843" w:type="dxa"/>
          </w:tcPr>
          <w:p w14:paraId="41F3603C" w14:textId="77777777" w:rsidR="004A0595" w:rsidRDefault="004A0595" w:rsidP="003F14BE">
            <w:pPr>
              <w:jc w:val="left"/>
            </w:pPr>
            <w:r>
              <w:rPr>
                <w:sz w:val="20"/>
              </w:rPr>
              <w:t>Consensus achieved</w:t>
            </w:r>
          </w:p>
        </w:tc>
      </w:tr>
    </w:tbl>
    <w:p w14:paraId="48789CEB" w14:textId="77777777" w:rsidR="000D3357" w:rsidRDefault="000D3357" w:rsidP="000D3357">
      <w:pPr>
        <w:ind w:firstLine="720"/>
      </w:pPr>
      <w:commentRangeStart w:id="16"/>
      <w:commentRangeStart w:id="17"/>
      <w:commentRangeStart w:id="18"/>
      <w:r>
        <w:lastRenderedPageBreak/>
        <w:t xml:space="preserve"> </w:t>
      </w:r>
      <w:r>
        <w:rPr>
          <w:rFonts w:cs="Times New Roman"/>
        </w:rPr>
        <w:t xml:space="preserve">Based on Table 7, the instrument's validity and reliability testing indicate high reliability. CVR values range from 0.68 to 1.00, indicating that most items were deemed valid by the experts. S-CVI/Ave of 0.98 indicates that the validity of the content is a very good instrument </w:t>
      </w:r>
      <w:commentRangeEnd w:id="16"/>
      <w:r w:rsidR="00922C9B">
        <w:rPr>
          <w:rStyle w:val="ReferensiKomentar"/>
          <w:rFonts w:cs="Times New Roman"/>
          <w:sz w:val="22"/>
          <w:szCs w:val="22"/>
        </w:rPr>
        <w:commentReference w:id="16"/>
      </w:r>
      <w:commentRangeEnd w:id="17"/>
      <w:r w:rsidR="00922C9B">
        <w:rPr>
          <w:rStyle w:val="ReferensiKomentar"/>
          <w:rFonts w:cs="Times New Roman"/>
          <w:sz w:val="22"/>
          <w:szCs w:val="22"/>
        </w:rPr>
        <w:commentReference w:id="17"/>
      </w:r>
      <w:commentRangeEnd w:id="18"/>
      <w:r w:rsidR="00922C9B">
        <w:rPr>
          <w:rStyle w:val="ReferensiKomentar"/>
          <w:rFonts w:cs="Times New Roman"/>
          <w:sz w:val="22"/>
          <w:szCs w:val="22"/>
        </w:rPr>
        <w:commentReference w:id="18"/>
      </w:r>
      <w:r>
        <w:rPr>
          <w:rFonts w:cs="Times New Roman"/>
        </w:rPr>
        <w:t>. Aiken's V results show high agreement among experts (0.79–0.94), while Cronbach's Alpha of 0.89 indicates adequate reliability. Kendall's W value of 0.74 and the Delphi round 2 IQR ≤ 1 indicate strong consensus among experts on the suitability and eligibility of each instrument item.</w:t>
      </w:r>
    </w:p>
    <w:p w14:paraId="5628BA5D" w14:textId="532D125A" w:rsidR="004A0595" w:rsidRPr="00C63339" w:rsidRDefault="000D3357" w:rsidP="004A0595">
      <w:pPr>
        <w:ind w:firstLine="720"/>
        <w:rPr>
          <w:color w:val="EE0000"/>
        </w:rPr>
      </w:pPr>
      <w:r>
        <w:rPr>
          <w:rFonts w:cs="Times New Roman"/>
        </w:rPr>
        <w:t>Next</w:t>
      </w:r>
      <w:commentRangeStart w:id="19"/>
      <w:commentRangeStart w:id="20"/>
      <w:r w:rsidRPr="00C63339">
        <w:rPr>
          <w:rFonts w:cs="Times New Roman"/>
          <w:strike/>
          <w:color w:val="EE0000"/>
        </w:rPr>
        <w:t>, testing analysis against the readiness index and gap analysis for every planning framework dimension integrated with the IT strategy analysis.​ This aims to evaluate the organization's readiness to implement the framework and to identify the gap between the current condition and the ideal target for each dimension. As for the results, the readiness index testing and gap analysis are shown in Table 8 below.</w:t>
      </w:r>
      <w:r w:rsidR="00C63339" w:rsidRPr="00C63339">
        <w:t xml:space="preserve"> </w:t>
      </w:r>
      <w:commentRangeEnd w:id="19"/>
      <w:r w:rsidR="00C63339" w:rsidRPr="00C63339">
        <w:rPr>
          <w:rStyle w:val="ReferensiKomentar"/>
          <w:color w:val="EE0000"/>
          <w:sz w:val="22"/>
          <w:szCs w:val="22"/>
        </w:rPr>
        <w:commentReference w:id="19"/>
      </w:r>
      <w:commentRangeEnd w:id="20"/>
      <w:r w:rsidR="00C63339" w:rsidRPr="00C63339">
        <w:rPr>
          <w:rStyle w:val="ReferensiKomentar"/>
          <w:color w:val="EE0000"/>
          <w:sz w:val="22"/>
          <w:szCs w:val="22"/>
        </w:rPr>
        <w:commentReference w:id="20"/>
      </w:r>
      <w:r w:rsidR="00C63339" w:rsidRPr="00C63339">
        <w:rPr>
          <w:color w:val="EE0000"/>
        </w:rPr>
        <w:t>testing analysis was conducted using the expert-assessed applicability index and gap analysis for each integrated IT strategic planning framework dimension. This evaluation aims to measure the perceived applicability and implementation feasibility of the PRASASTI framework artifact and identify the difference between the current expert assessment score and the defined evaluation target for each dimension</w:t>
      </w:r>
    </w:p>
    <w:p w14:paraId="73825733" w14:textId="351555BE" w:rsidR="006B2D6B" w:rsidRPr="00E62FDB" w:rsidRDefault="006B2D6B" w:rsidP="006B2D6B">
      <w:pPr>
        <w:spacing w:before="120" w:after="40"/>
        <w:jc w:val="center"/>
        <w:rPr>
          <w:strike/>
          <w:color w:val="EE0000"/>
        </w:rPr>
      </w:pPr>
      <w:r>
        <w:rPr>
          <w:sz w:val="20"/>
        </w:rPr>
        <w:t xml:space="preserve">Table 8. </w:t>
      </w:r>
      <w:r w:rsidRPr="00E62FDB">
        <w:rPr>
          <w:strike/>
          <w:color w:val="EE0000"/>
          <w:sz w:val="20"/>
        </w:rPr>
        <w:t>Readiness index and gap analysis</w:t>
      </w:r>
      <w:r w:rsidR="00C63339">
        <w:rPr>
          <w:strike/>
          <w:color w:val="EE0000"/>
          <w:sz w:val="20"/>
        </w:rPr>
        <w:t xml:space="preserve"> </w:t>
      </w:r>
      <w:commentRangeStart w:id="21"/>
      <w:r w:rsidR="00C63339" w:rsidRPr="00C63339">
        <w:rPr>
          <w:color w:val="EE0000"/>
          <w:sz w:val="20"/>
        </w:rPr>
        <w:t>Expert-Assessed Applicability Index and Gap Analysis</w:t>
      </w:r>
      <w:commentRangeEnd w:id="21"/>
      <w:r w:rsidR="00C63339" w:rsidRPr="00E62FDB">
        <w:rPr>
          <w:rStyle w:val="ReferensiKomentar"/>
          <w:strike/>
          <w:color w:val="EE0000"/>
          <w:sz w:val="22"/>
          <w:szCs w:val="22"/>
        </w:rPr>
        <w:commentReference w:id="21"/>
      </w:r>
    </w:p>
    <w:tbl>
      <w:tblPr>
        <w:tblStyle w:val="KisiTabel"/>
        <w:tblW w:w="4673" w:type="dxa"/>
        <w:jc w:val="center"/>
        <w:tblLayout w:type="fixed"/>
        <w:tblLook w:val="04A0" w:firstRow="1" w:lastRow="0" w:firstColumn="1" w:lastColumn="0" w:noHBand="0" w:noVBand="1"/>
      </w:tblPr>
      <w:tblGrid>
        <w:gridCol w:w="2263"/>
        <w:gridCol w:w="1134"/>
        <w:gridCol w:w="1276"/>
      </w:tblGrid>
      <w:tr w:rsidR="006B2D6B" w14:paraId="0BD34372" w14:textId="77777777" w:rsidTr="000B57D6">
        <w:trPr>
          <w:tblHeader/>
          <w:jc w:val="center"/>
        </w:trPr>
        <w:tc>
          <w:tcPr>
            <w:tcW w:w="2263" w:type="dxa"/>
            <w:shd w:val="clear" w:color="auto" w:fill="D9EAF7"/>
          </w:tcPr>
          <w:p w14:paraId="6A58426D" w14:textId="77777777" w:rsidR="006B2D6B" w:rsidRDefault="006B2D6B" w:rsidP="003F14BE">
            <w:pPr>
              <w:jc w:val="left"/>
            </w:pPr>
            <w:r>
              <w:rPr>
                <w:b/>
                <w:sz w:val="20"/>
              </w:rPr>
              <w:t>Dimensions</w:t>
            </w:r>
          </w:p>
        </w:tc>
        <w:tc>
          <w:tcPr>
            <w:tcW w:w="1134" w:type="dxa"/>
            <w:shd w:val="clear" w:color="auto" w:fill="D9EAF7"/>
          </w:tcPr>
          <w:p w14:paraId="56F93606" w14:textId="77777777" w:rsidR="006B2D6B" w:rsidRDefault="006B2D6B" w:rsidP="000B57D6">
            <w:pPr>
              <w:jc w:val="center"/>
            </w:pPr>
            <w:r>
              <w:rPr>
                <w:b/>
                <w:sz w:val="20"/>
              </w:rPr>
              <w:t>Current/ Target</w:t>
            </w:r>
          </w:p>
        </w:tc>
        <w:tc>
          <w:tcPr>
            <w:tcW w:w="1276" w:type="dxa"/>
            <w:shd w:val="clear" w:color="auto" w:fill="D9EAF7"/>
          </w:tcPr>
          <w:p w14:paraId="319A69A2" w14:textId="77777777" w:rsidR="006B2D6B" w:rsidRDefault="006B2D6B" w:rsidP="003F14BE">
            <w:pPr>
              <w:jc w:val="left"/>
            </w:pPr>
            <w:r>
              <w:rPr>
                <w:b/>
                <w:sz w:val="20"/>
              </w:rPr>
              <w:t>Gap/Level</w:t>
            </w:r>
          </w:p>
        </w:tc>
      </w:tr>
      <w:tr w:rsidR="006B2D6B" w14:paraId="28A12E22" w14:textId="77777777" w:rsidTr="000B57D6">
        <w:trPr>
          <w:jc w:val="center"/>
        </w:trPr>
        <w:tc>
          <w:tcPr>
            <w:tcW w:w="2263" w:type="dxa"/>
          </w:tcPr>
          <w:p w14:paraId="42CF2CDA" w14:textId="77777777" w:rsidR="006B2D6B" w:rsidRDefault="006B2D6B" w:rsidP="003F14BE">
            <w:pPr>
              <w:jc w:val="left"/>
            </w:pPr>
            <w:r>
              <w:rPr>
                <w:sz w:val="20"/>
              </w:rPr>
              <w:t>Strategic alignment</w:t>
            </w:r>
          </w:p>
        </w:tc>
        <w:tc>
          <w:tcPr>
            <w:tcW w:w="1134" w:type="dxa"/>
          </w:tcPr>
          <w:p w14:paraId="20F88921" w14:textId="77777777" w:rsidR="006B2D6B" w:rsidRDefault="006B2D6B" w:rsidP="003F14BE">
            <w:pPr>
              <w:jc w:val="left"/>
            </w:pPr>
            <w:r>
              <w:rPr>
                <w:sz w:val="20"/>
              </w:rPr>
              <w:t>78% / 85%</w:t>
            </w:r>
          </w:p>
        </w:tc>
        <w:tc>
          <w:tcPr>
            <w:tcW w:w="1276" w:type="dxa"/>
          </w:tcPr>
          <w:p w14:paraId="79B179F9" w14:textId="77777777" w:rsidR="006B2D6B" w:rsidRDefault="00E90DDF" w:rsidP="003F14BE">
            <w:pPr>
              <w:jc w:val="left"/>
            </w:pPr>
            <w:r>
              <w:rPr>
                <w:sz w:val="20"/>
              </w:rPr>
              <w:t>7% / Managed</w:t>
            </w:r>
          </w:p>
        </w:tc>
      </w:tr>
      <w:tr w:rsidR="006B2D6B" w14:paraId="72A95301" w14:textId="77777777" w:rsidTr="000B57D6">
        <w:trPr>
          <w:jc w:val="center"/>
        </w:trPr>
        <w:tc>
          <w:tcPr>
            <w:tcW w:w="2263" w:type="dxa"/>
          </w:tcPr>
          <w:p w14:paraId="4A739EC0" w14:textId="77777777" w:rsidR="006B2D6B" w:rsidRDefault="006B2D6B" w:rsidP="003F14BE">
            <w:pPr>
              <w:jc w:val="left"/>
            </w:pPr>
            <w:r>
              <w:rPr>
                <w:sz w:val="20"/>
              </w:rPr>
              <w:t>IS/IT portfolio planning</w:t>
            </w:r>
          </w:p>
        </w:tc>
        <w:tc>
          <w:tcPr>
            <w:tcW w:w="1134" w:type="dxa"/>
          </w:tcPr>
          <w:p w14:paraId="509E01C4" w14:textId="77777777" w:rsidR="006B2D6B" w:rsidRDefault="006B2D6B" w:rsidP="003F14BE">
            <w:pPr>
              <w:jc w:val="left"/>
            </w:pPr>
            <w:r>
              <w:rPr>
                <w:sz w:val="20"/>
              </w:rPr>
              <w:t>75% / 85%</w:t>
            </w:r>
          </w:p>
        </w:tc>
        <w:tc>
          <w:tcPr>
            <w:tcW w:w="1276" w:type="dxa"/>
          </w:tcPr>
          <w:p w14:paraId="58B6AA1F" w14:textId="77777777" w:rsidR="006B2D6B" w:rsidRDefault="006B2D6B" w:rsidP="003F14BE">
            <w:pPr>
              <w:jc w:val="left"/>
            </w:pPr>
            <w:r>
              <w:rPr>
                <w:sz w:val="20"/>
              </w:rPr>
              <w:t>10% / Managed</w:t>
            </w:r>
          </w:p>
        </w:tc>
      </w:tr>
      <w:tr w:rsidR="006B2D6B" w14:paraId="14636602" w14:textId="77777777" w:rsidTr="000B57D6">
        <w:trPr>
          <w:jc w:val="center"/>
        </w:trPr>
        <w:tc>
          <w:tcPr>
            <w:tcW w:w="2263" w:type="dxa"/>
          </w:tcPr>
          <w:p w14:paraId="64E25535" w14:textId="77777777" w:rsidR="006B2D6B" w:rsidRDefault="006B2D6B" w:rsidP="003F14BE">
            <w:pPr>
              <w:jc w:val="left"/>
            </w:pPr>
            <w:r>
              <w:rPr>
                <w:sz w:val="20"/>
              </w:rPr>
              <w:t>Enterprise architecture blueprint</w:t>
            </w:r>
          </w:p>
        </w:tc>
        <w:tc>
          <w:tcPr>
            <w:tcW w:w="1134" w:type="dxa"/>
          </w:tcPr>
          <w:p w14:paraId="59EBB83B" w14:textId="77777777" w:rsidR="006B2D6B" w:rsidRDefault="006B2D6B" w:rsidP="003F14BE">
            <w:pPr>
              <w:jc w:val="left"/>
            </w:pPr>
            <w:r>
              <w:rPr>
                <w:sz w:val="20"/>
              </w:rPr>
              <w:t>72% / 85%</w:t>
            </w:r>
          </w:p>
        </w:tc>
        <w:tc>
          <w:tcPr>
            <w:tcW w:w="1276" w:type="dxa"/>
          </w:tcPr>
          <w:p w14:paraId="43079171" w14:textId="77777777" w:rsidR="006B2D6B" w:rsidRDefault="006B2D6B" w:rsidP="003F14BE">
            <w:pPr>
              <w:jc w:val="left"/>
            </w:pPr>
            <w:r>
              <w:rPr>
                <w:sz w:val="20"/>
              </w:rPr>
              <w:t>13% / Managed</w:t>
            </w:r>
          </w:p>
        </w:tc>
      </w:tr>
      <w:tr w:rsidR="006B2D6B" w14:paraId="5B43EF9C" w14:textId="77777777" w:rsidTr="000B57D6">
        <w:trPr>
          <w:jc w:val="center"/>
        </w:trPr>
        <w:tc>
          <w:tcPr>
            <w:tcW w:w="2263" w:type="dxa"/>
          </w:tcPr>
          <w:p w14:paraId="444D18EB" w14:textId="77777777" w:rsidR="006B2D6B" w:rsidRDefault="006B2D6B" w:rsidP="003F14BE">
            <w:pPr>
              <w:jc w:val="left"/>
            </w:pPr>
            <w:r>
              <w:rPr>
                <w:sz w:val="20"/>
              </w:rPr>
              <w:t>Governance objective mapping</w:t>
            </w:r>
          </w:p>
        </w:tc>
        <w:tc>
          <w:tcPr>
            <w:tcW w:w="1134" w:type="dxa"/>
          </w:tcPr>
          <w:p w14:paraId="5CC1C011" w14:textId="77777777" w:rsidR="006B2D6B" w:rsidRDefault="006B2D6B" w:rsidP="003F14BE">
            <w:pPr>
              <w:jc w:val="left"/>
            </w:pPr>
            <w:r>
              <w:rPr>
                <w:sz w:val="20"/>
              </w:rPr>
              <w:t>69% / 85%</w:t>
            </w:r>
          </w:p>
        </w:tc>
        <w:tc>
          <w:tcPr>
            <w:tcW w:w="1276" w:type="dxa"/>
          </w:tcPr>
          <w:p w14:paraId="0FF23E12" w14:textId="77777777" w:rsidR="006B2D6B" w:rsidRDefault="006B2D6B" w:rsidP="003F14BE">
            <w:pPr>
              <w:jc w:val="left"/>
            </w:pPr>
            <w:r>
              <w:rPr>
                <w:sz w:val="20"/>
              </w:rPr>
              <w:t>16% / Managed</w:t>
            </w:r>
          </w:p>
        </w:tc>
      </w:tr>
      <w:tr w:rsidR="006B2D6B" w14:paraId="1765FBAE" w14:textId="77777777" w:rsidTr="000B57D6">
        <w:trPr>
          <w:jc w:val="center"/>
        </w:trPr>
        <w:tc>
          <w:tcPr>
            <w:tcW w:w="2263" w:type="dxa"/>
          </w:tcPr>
          <w:p w14:paraId="584C20EB" w14:textId="77777777" w:rsidR="006B2D6B" w:rsidRDefault="006B2D6B" w:rsidP="003F14BE">
            <w:pPr>
              <w:jc w:val="left"/>
            </w:pPr>
            <w:r>
              <w:rPr>
                <w:sz w:val="20"/>
              </w:rPr>
              <w:t>Risk and control integration</w:t>
            </w:r>
          </w:p>
        </w:tc>
        <w:tc>
          <w:tcPr>
            <w:tcW w:w="1134" w:type="dxa"/>
          </w:tcPr>
          <w:p w14:paraId="7B97AAC3" w14:textId="77777777" w:rsidR="006B2D6B" w:rsidRDefault="006B2D6B" w:rsidP="003F14BE">
            <w:pPr>
              <w:jc w:val="left"/>
            </w:pPr>
            <w:r>
              <w:rPr>
                <w:sz w:val="20"/>
              </w:rPr>
              <w:t>66% / 85%</w:t>
            </w:r>
          </w:p>
        </w:tc>
        <w:tc>
          <w:tcPr>
            <w:tcW w:w="1276" w:type="dxa"/>
          </w:tcPr>
          <w:p w14:paraId="047F016A" w14:textId="77777777" w:rsidR="006B2D6B" w:rsidRDefault="006B2D6B" w:rsidP="003F14BE">
            <w:pPr>
              <w:jc w:val="left"/>
            </w:pPr>
            <w:r>
              <w:rPr>
                <w:sz w:val="20"/>
              </w:rPr>
              <w:t>19% / Managed</w:t>
            </w:r>
          </w:p>
        </w:tc>
      </w:tr>
      <w:tr w:rsidR="006B2D6B" w14:paraId="3DB4A93C" w14:textId="77777777" w:rsidTr="000B57D6">
        <w:trPr>
          <w:jc w:val="center"/>
        </w:trPr>
        <w:tc>
          <w:tcPr>
            <w:tcW w:w="2263" w:type="dxa"/>
          </w:tcPr>
          <w:p w14:paraId="3E74F038" w14:textId="77777777" w:rsidR="006B2D6B" w:rsidRDefault="006B2D6B" w:rsidP="003F14BE">
            <w:pPr>
              <w:jc w:val="left"/>
            </w:pPr>
            <w:r>
              <w:rPr>
                <w:sz w:val="20"/>
              </w:rPr>
              <w:t>Capability assessment</w:t>
            </w:r>
          </w:p>
        </w:tc>
        <w:tc>
          <w:tcPr>
            <w:tcW w:w="1134" w:type="dxa"/>
          </w:tcPr>
          <w:p w14:paraId="27305C0D" w14:textId="77777777" w:rsidR="006B2D6B" w:rsidRDefault="006B2D6B" w:rsidP="003F14BE">
            <w:pPr>
              <w:jc w:val="left"/>
            </w:pPr>
            <w:r>
              <w:rPr>
                <w:sz w:val="20"/>
              </w:rPr>
              <w:t>70% / 85%</w:t>
            </w:r>
          </w:p>
        </w:tc>
        <w:tc>
          <w:tcPr>
            <w:tcW w:w="1276" w:type="dxa"/>
          </w:tcPr>
          <w:p w14:paraId="0548320C" w14:textId="77777777" w:rsidR="006B2D6B" w:rsidRDefault="006B2D6B" w:rsidP="003F14BE">
            <w:pPr>
              <w:jc w:val="left"/>
            </w:pPr>
            <w:r>
              <w:rPr>
                <w:sz w:val="20"/>
              </w:rPr>
              <w:t>15% / Managed</w:t>
            </w:r>
          </w:p>
        </w:tc>
      </w:tr>
      <w:tr w:rsidR="006B2D6B" w14:paraId="31E15575" w14:textId="77777777" w:rsidTr="000B57D6">
        <w:trPr>
          <w:jc w:val="center"/>
        </w:trPr>
        <w:tc>
          <w:tcPr>
            <w:tcW w:w="2263" w:type="dxa"/>
          </w:tcPr>
          <w:p w14:paraId="56CD4973" w14:textId="77777777" w:rsidR="006B2D6B" w:rsidRDefault="006B2D6B" w:rsidP="003F14BE">
            <w:pPr>
              <w:jc w:val="left"/>
            </w:pPr>
            <w:r>
              <w:rPr>
                <w:sz w:val="20"/>
              </w:rPr>
              <w:t>Performance measurement</w:t>
            </w:r>
          </w:p>
        </w:tc>
        <w:tc>
          <w:tcPr>
            <w:tcW w:w="1134" w:type="dxa"/>
          </w:tcPr>
          <w:p w14:paraId="1C8794C6" w14:textId="77777777" w:rsidR="006B2D6B" w:rsidRDefault="006B2D6B" w:rsidP="003F14BE">
            <w:pPr>
              <w:jc w:val="left"/>
            </w:pPr>
            <w:r>
              <w:rPr>
                <w:sz w:val="20"/>
              </w:rPr>
              <w:t>68% / 85%</w:t>
            </w:r>
          </w:p>
        </w:tc>
        <w:tc>
          <w:tcPr>
            <w:tcW w:w="1276" w:type="dxa"/>
          </w:tcPr>
          <w:p w14:paraId="18633B29" w14:textId="77777777" w:rsidR="006B2D6B" w:rsidRDefault="006B2D6B" w:rsidP="003F14BE">
            <w:pPr>
              <w:jc w:val="left"/>
            </w:pPr>
            <w:r>
              <w:rPr>
                <w:sz w:val="20"/>
              </w:rPr>
              <w:t>17% / Managed</w:t>
            </w:r>
          </w:p>
        </w:tc>
      </w:tr>
      <w:tr w:rsidR="006B2D6B" w14:paraId="5E74F5A0" w14:textId="77777777" w:rsidTr="000B57D6">
        <w:trPr>
          <w:jc w:val="center"/>
        </w:trPr>
        <w:tc>
          <w:tcPr>
            <w:tcW w:w="2263" w:type="dxa"/>
          </w:tcPr>
          <w:p w14:paraId="2C9840DF" w14:textId="77777777" w:rsidR="006B2D6B" w:rsidRDefault="006B2D6B" w:rsidP="003F14BE">
            <w:pPr>
              <w:jc w:val="left"/>
            </w:pPr>
            <w:r>
              <w:rPr>
                <w:sz w:val="20"/>
              </w:rPr>
              <w:t>Implementation roadmap</w:t>
            </w:r>
          </w:p>
        </w:tc>
        <w:tc>
          <w:tcPr>
            <w:tcW w:w="1134" w:type="dxa"/>
          </w:tcPr>
          <w:p w14:paraId="67FD7CE8" w14:textId="77777777" w:rsidR="006B2D6B" w:rsidRDefault="006B2D6B" w:rsidP="003F14BE">
            <w:pPr>
              <w:jc w:val="left"/>
            </w:pPr>
            <w:r>
              <w:rPr>
                <w:sz w:val="20"/>
              </w:rPr>
              <w:t>73% / 85%</w:t>
            </w:r>
          </w:p>
        </w:tc>
        <w:tc>
          <w:tcPr>
            <w:tcW w:w="1276" w:type="dxa"/>
          </w:tcPr>
          <w:p w14:paraId="02ADBE94" w14:textId="77777777" w:rsidR="006B2D6B" w:rsidRDefault="006B2D6B" w:rsidP="003F14BE">
            <w:pPr>
              <w:jc w:val="left"/>
            </w:pPr>
            <w:r>
              <w:rPr>
                <w:sz w:val="20"/>
              </w:rPr>
              <w:t>12% / Managed</w:t>
            </w:r>
          </w:p>
        </w:tc>
      </w:tr>
      <w:tr w:rsidR="006B2D6B" w14:paraId="54A18D98" w14:textId="77777777" w:rsidTr="000B57D6">
        <w:trPr>
          <w:jc w:val="center"/>
        </w:trPr>
        <w:tc>
          <w:tcPr>
            <w:tcW w:w="2263" w:type="dxa"/>
          </w:tcPr>
          <w:p w14:paraId="47FFEE5E" w14:textId="77777777" w:rsidR="006B2D6B" w:rsidRDefault="006B2D6B" w:rsidP="003F14BE">
            <w:pPr>
              <w:jc w:val="left"/>
            </w:pPr>
            <w:r>
              <w:rPr>
                <w:sz w:val="20"/>
              </w:rPr>
              <w:t>Average</w:t>
            </w:r>
          </w:p>
        </w:tc>
        <w:tc>
          <w:tcPr>
            <w:tcW w:w="1134" w:type="dxa"/>
          </w:tcPr>
          <w:p w14:paraId="40686490" w14:textId="77777777" w:rsidR="006B2D6B" w:rsidRDefault="006B2D6B" w:rsidP="003F14BE">
            <w:pPr>
              <w:jc w:val="left"/>
            </w:pPr>
            <w:r>
              <w:rPr>
                <w:sz w:val="20"/>
              </w:rPr>
              <w:t>71% / 85%</w:t>
            </w:r>
          </w:p>
        </w:tc>
        <w:tc>
          <w:tcPr>
            <w:tcW w:w="1276" w:type="dxa"/>
          </w:tcPr>
          <w:p w14:paraId="7FE6CF09" w14:textId="77777777" w:rsidR="006B2D6B" w:rsidRDefault="006B2D6B" w:rsidP="003F14BE">
            <w:pPr>
              <w:jc w:val="left"/>
            </w:pPr>
            <w:r>
              <w:rPr>
                <w:sz w:val="20"/>
              </w:rPr>
              <w:t>14% / Managed</w:t>
            </w:r>
          </w:p>
        </w:tc>
      </w:tr>
    </w:tbl>
    <w:p w14:paraId="54C1EDD7" w14:textId="77777777" w:rsidR="004A0595" w:rsidRDefault="00565B24" w:rsidP="004A0595">
      <w:pPr>
        <w:ind w:firstLine="720"/>
      </w:pPr>
      <w:r w:rsidRPr="00565B24">
        <w:rPr>
          <w:noProof/>
        </w:rPr>
        <w:drawing>
          <wp:anchor distT="0" distB="0" distL="114300" distR="114300" simplePos="0" relativeHeight="251680768" behindDoc="0" locked="0" layoutInCell="1" allowOverlap="1" wp14:anchorId="6A8C4601" wp14:editId="22885462">
            <wp:simplePos x="0" y="0"/>
            <wp:positionH relativeFrom="column">
              <wp:align>right</wp:align>
            </wp:positionH>
            <wp:positionV relativeFrom="paragraph">
              <wp:posOffset>165100</wp:posOffset>
            </wp:positionV>
            <wp:extent cx="2937510" cy="1524000"/>
            <wp:effectExtent l="0" t="0" r="0" b="0"/>
            <wp:wrapSquare wrapText="bothSides"/>
            <wp:docPr id="13911245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24514" name=""/>
                    <pic:cNvPicPr/>
                  </pic:nvPicPr>
                  <pic:blipFill>
                    <a:blip r:embed="rId19"/>
                    <a:stretch>
                      <a:fillRect/>
                    </a:stretch>
                  </pic:blipFill>
                  <pic:spPr>
                    <a:xfrm>
                      <a:off x="0" y="0"/>
                      <a:ext cx="2937510" cy="1524000"/>
                    </a:xfrm>
                    <a:prstGeom prst="rect">
                      <a:avLst/>
                    </a:prstGeom>
                  </pic:spPr>
                </pic:pic>
              </a:graphicData>
            </a:graphic>
            <wp14:sizeRelV relativeFrom="margin">
              <wp14:pctHeight>0</wp14:pctHeight>
            </wp14:sizeRelV>
          </wp:anchor>
        </w:drawing>
      </w:r>
    </w:p>
    <w:p w14:paraId="2ECE20FB" w14:textId="77777777" w:rsidR="00565B24" w:rsidRPr="00922C9B" w:rsidRDefault="00565B24" w:rsidP="004A0595">
      <w:pPr>
        <w:ind w:firstLine="720"/>
        <w:rPr>
          <w:color w:val="EE0000"/>
        </w:rPr>
      </w:pPr>
      <w:commentRangeStart w:id="22"/>
      <w:commentRangeStart w:id="23"/>
      <w:r w:rsidRPr="00922C9B">
        <w:rPr>
          <w:color w:val="EE0000"/>
        </w:rPr>
        <w:t>Figure 5. Current vs target readiness</w:t>
      </w:r>
      <w:commentRangeEnd w:id="22"/>
      <w:r w:rsidR="00922C9B" w:rsidRPr="00922C9B">
        <w:rPr>
          <w:rStyle w:val="ReferensiKomentar"/>
          <w:color w:val="EE0000"/>
          <w:sz w:val="22"/>
          <w:szCs w:val="22"/>
        </w:rPr>
        <w:commentReference w:id="22"/>
      </w:r>
      <w:commentRangeEnd w:id="23"/>
      <w:r w:rsidR="00922C9B" w:rsidRPr="00922C9B">
        <w:rPr>
          <w:rStyle w:val="ReferensiKomentar"/>
          <w:color w:val="EE0000"/>
          <w:sz w:val="22"/>
          <w:szCs w:val="22"/>
        </w:rPr>
        <w:commentReference w:id="23"/>
      </w:r>
    </w:p>
    <w:p w14:paraId="34D408CA" w14:textId="77777777" w:rsidR="00565B24" w:rsidRDefault="00565B24" w:rsidP="004A0595">
      <w:pPr>
        <w:ind w:firstLine="720"/>
      </w:pPr>
    </w:p>
    <w:p w14:paraId="4561EB6C" w14:textId="0658B652" w:rsidR="00242ABC" w:rsidRDefault="00242ABC" w:rsidP="00242ABC">
      <w:pPr>
        <w:ind w:firstLine="720"/>
      </w:pPr>
      <w:r>
        <w:rPr>
          <w:rFonts w:cs="Times New Roman"/>
        </w:rPr>
        <w:t xml:space="preserve">Based on Table 8 and Figure 5, </w:t>
      </w:r>
      <w:r w:rsidRPr="00922C9B">
        <w:rPr>
          <w:rFonts w:cs="Times New Roman"/>
          <w:strike/>
          <w:color w:val="EE0000"/>
        </w:rPr>
        <w:t>it can be seen that organizational readiness for all the framework dimensions is in the Managed category</w:t>
      </w:r>
      <w:r w:rsidRPr="00922C9B">
        <w:rPr>
          <w:rFonts w:cs="Times New Roman"/>
          <w:color w:val="EE0000"/>
        </w:rPr>
        <w:t xml:space="preserve"> </w:t>
      </w:r>
      <w:r>
        <w:rPr>
          <w:rFonts w:cs="Times New Roman"/>
        </w:rPr>
        <w:t>,</w:t>
      </w:r>
      <w:r w:rsidR="00B44793">
        <w:rPr>
          <w:rFonts w:cs="Times New Roman"/>
        </w:rPr>
        <w:t xml:space="preserve"> </w:t>
      </w:r>
      <w:r w:rsidR="00B44793" w:rsidRPr="00B44793">
        <w:rPr>
          <w:color w:val="EE0000"/>
          <w:highlight w:val="yellow"/>
        </w:rPr>
        <w:t>the expert-assessed applicability level of all PRASASTI framework dimensions is categorized as Managed</w:t>
      </w:r>
      <w:r w:rsidRPr="00B44793">
        <w:rPr>
          <w:rFonts w:cs="Times New Roman"/>
          <w:color w:val="EE0000"/>
        </w:rPr>
        <w:t xml:space="preserve"> </w:t>
      </w:r>
      <w:r>
        <w:rPr>
          <w:rFonts w:cs="Times New Roman"/>
        </w:rPr>
        <w:t xml:space="preserve">although there is a gap between dimension one and the others. </w:t>
      </w:r>
      <w:commentRangeStart w:id="24"/>
      <w:commentRangeStart w:id="25"/>
      <w:r w:rsidR="00B44793" w:rsidRPr="00B44793">
        <w:rPr>
          <w:rFonts w:cs="Times New Roman"/>
          <w:color w:val="EE0000"/>
        </w:rPr>
        <w:t xml:space="preserve">The target value of 85% was defined as a benchmark for evaluating expert-assessed applicability of the framework. This threshold is used as an evaluation reference and should not be interpreted as a universal maturity standard applicable to all organizations. </w:t>
      </w:r>
      <w:commentRangeEnd w:id="24"/>
      <w:r w:rsidR="00B44793">
        <w:rPr>
          <w:rStyle w:val="ReferensiKomentar"/>
          <w:rFonts w:cs="Times New Roman"/>
          <w:sz w:val="22"/>
          <w:szCs w:val="22"/>
        </w:rPr>
        <w:commentReference w:id="24"/>
      </w:r>
      <w:commentRangeEnd w:id="25"/>
      <w:r w:rsidR="00000000">
        <w:rPr>
          <w:rStyle w:val="ReferensiKomentar"/>
          <w:rFonts w:cs="Times New Roman"/>
          <w:sz w:val="22"/>
          <w:szCs w:val="22"/>
        </w:rPr>
        <w:commentReference w:id="25"/>
      </w:r>
      <w:r>
        <w:rPr>
          <w:rFonts w:cs="Times New Roman"/>
        </w:rPr>
        <w:t xml:space="preserve">The Strategic Alignment dimension has a gap of </w:t>
      </w:r>
      <w:commentRangeStart w:id="26"/>
      <w:commentRangeStart w:id="27"/>
      <w:r>
        <w:rPr>
          <w:rFonts w:cs="Times New Roman"/>
        </w:rPr>
        <w:t xml:space="preserve">7% from </w:t>
      </w:r>
      <w:r w:rsidR="00B44793" w:rsidRPr="00B44793">
        <w:rPr>
          <w:rFonts w:cs="Times New Roman"/>
          <w:color w:val="EE0000"/>
        </w:rPr>
        <w:t xml:space="preserve">current score of 78 % and </w:t>
      </w:r>
      <w:r>
        <w:rPr>
          <w:rFonts w:cs="Times New Roman"/>
        </w:rPr>
        <w:t>the target of 85%, while Risk and Control Integration has the largest gap, by 19%</w:t>
      </w:r>
      <w:r w:rsidR="00B44793" w:rsidRPr="00B44793">
        <w:rPr>
          <w:rFonts w:cs="Times New Roman"/>
          <w:color w:val="EE0000"/>
        </w:rPr>
        <w:t xml:space="preserve"> </w:t>
      </w:r>
      <w:r w:rsidR="00B44793" w:rsidRPr="00B44793">
        <w:rPr>
          <w:rFonts w:cs="Times New Roman"/>
          <w:color w:val="EE0000"/>
        </w:rPr>
        <w:t xml:space="preserve">from current score of 66 % and </w:t>
      </w:r>
      <w:r>
        <w:rPr>
          <w:rFonts w:cs="Times New Roman"/>
        </w:rPr>
        <w:t xml:space="preserve">the target of 85%. Dimension: Other aspects, such as Enterprise architecture blueprint, Governance objective mapping, and Capability assessment, have a gap of around </w:t>
      </w:r>
      <w:r w:rsidR="00B44793" w:rsidRPr="00B44793">
        <w:rPr>
          <w:rFonts w:cs="Times New Roman"/>
          <w:color w:val="EE0000"/>
        </w:rPr>
        <w:t>13%, 16%,</w:t>
      </w:r>
      <w:r w:rsidR="00B44793">
        <w:rPr>
          <w:rFonts w:cs="Times New Roman"/>
        </w:rPr>
        <w:t xml:space="preserve"> </w:t>
      </w:r>
      <w:r w:rsidR="00B44793" w:rsidRPr="00B44793">
        <w:rPr>
          <w:rFonts w:cs="Times New Roman"/>
          <w:color w:val="EE0000"/>
        </w:rPr>
        <w:t>and</w:t>
      </w:r>
      <w:r w:rsidR="00B44793">
        <w:rPr>
          <w:rFonts w:cs="Times New Roman"/>
        </w:rPr>
        <w:t xml:space="preserve"> </w:t>
      </w:r>
      <w:r>
        <w:rPr>
          <w:rFonts w:cs="Times New Roman"/>
        </w:rPr>
        <w:t xml:space="preserve">15%, while Performance measurement has a gap of 17%. Overall, the average readiness index across all dimensions reached </w:t>
      </w:r>
      <w:r w:rsidR="00F57251" w:rsidRPr="00F57251">
        <w:rPr>
          <w:rFonts w:cs="Times New Roman"/>
          <w:color w:val="EE0000"/>
        </w:rPr>
        <w:t>71%</w:t>
      </w:r>
      <w:r w:rsidR="00F57251">
        <w:rPr>
          <w:rFonts w:cs="Times New Roman"/>
        </w:rPr>
        <w:t xml:space="preserve"> </w:t>
      </w:r>
      <w:commentRangeStart w:id="28"/>
      <w:commentRangeStart w:id="29"/>
      <w:r w:rsidRPr="00F57251">
        <w:rPr>
          <w:rFonts w:cs="Times New Roman"/>
          <w:strike/>
          <w:color w:val="EE0000"/>
        </w:rPr>
        <w:t>71.4</w:t>
      </w:r>
      <w:commentRangeEnd w:id="28"/>
      <w:r w:rsidR="00F57251">
        <w:rPr>
          <w:rStyle w:val="ReferensiKomentar"/>
          <w:rFonts w:cs="Times New Roman"/>
          <w:sz w:val="22"/>
          <w:szCs w:val="22"/>
        </w:rPr>
        <w:commentReference w:id="28"/>
      </w:r>
      <w:commentRangeEnd w:id="29"/>
      <w:r w:rsidR="00F57251">
        <w:rPr>
          <w:rStyle w:val="ReferensiKomentar"/>
          <w:rFonts w:cs="Times New Roman"/>
          <w:sz w:val="22"/>
          <w:szCs w:val="22"/>
        </w:rPr>
        <w:commentReference w:id="29"/>
      </w:r>
      <w:r>
        <w:rPr>
          <w:rFonts w:cs="Times New Roman"/>
        </w:rPr>
        <w:t xml:space="preserve">% of the 85% target, with an average gap of </w:t>
      </w:r>
      <w:r w:rsidR="00F57251" w:rsidRPr="00F57251">
        <w:rPr>
          <w:rFonts w:cs="Times New Roman"/>
          <w:color w:val="EE0000"/>
        </w:rPr>
        <w:t>14%</w:t>
      </w:r>
      <w:r w:rsidRPr="00F57251">
        <w:rPr>
          <w:rFonts w:cs="Times New Roman"/>
          <w:strike/>
          <w:color w:val="EE0000"/>
        </w:rPr>
        <w:t>15.6</w:t>
      </w:r>
      <w:r>
        <w:rPr>
          <w:rFonts w:cs="Times New Roman"/>
        </w:rPr>
        <w:t xml:space="preserve">%, </w:t>
      </w:r>
      <w:commentRangeEnd w:id="26"/>
      <w:r w:rsidR="00F57251">
        <w:rPr>
          <w:rStyle w:val="ReferensiKomentar"/>
          <w:rFonts w:cs="Times New Roman"/>
          <w:sz w:val="22"/>
          <w:szCs w:val="22"/>
        </w:rPr>
        <w:commentReference w:id="26"/>
      </w:r>
      <w:commentRangeEnd w:id="27"/>
      <w:r w:rsidR="00F57251">
        <w:rPr>
          <w:rStyle w:val="ReferensiKomentar"/>
          <w:rFonts w:cs="Times New Roman"/>
          <w:sz w:val="22"/>
          <w:szCs w:val="22"/>
        </w:rPr>
        <w:commentReference w:id="27"/>
      </w:r>
      <w:r>
        <w:rPr>
          <w:rFonts w:cs="Times New Roman"/>
        </w:rPr>
        <w:t>indicating that the organization is in a Ready Managed position but still needs several repairs to reach optimal conditions.</w:t>
      </w:r>
    </w:p>
    <w:p w14:paraId="5891775C" w14:textId="77777777" w:rsidR="000B57D6" w:rsidRPr="008F6FAA" w:rsidRDefault="000B57D6" w:rsidP="000B57D6">
      <w:pPr>
        <w:pStyle w:val="Judul1"/>
        <w:rPr>
          <w:color w:val="000000" w:themeColor="text1"/>
          <w:szCs w:val="24"/>
        </w:rPr>
      </w:pPr>
      <w:r w:rsidRPr="008F6FAA">
        <w:rPr>
          <w:rFonts w:ascii="Times New Roman" w:eastAsia="Times New Roman" w:hAnsi="Times New Roman"/>
          <w:color w:val="000000" w:themeColor="text1"/>
          <w:szCs w:val="24"/>
        </w:rPr>
        <w:t>7. Discussion</w:t>
      </w:r>
    </w:p>
    <w:p w14:paraId="5F9CD831" w14:textId="77777777" w:rsidR="00242ABC" w:rsidRDefault="00242ABC" w:rsidP="00242ABC">
      <w:pPr>
        <w:ind w:firstLine="312"/>
      </w:pPr>
      <w:r>
        <w:t xml:space="preserve"> </w:t>
      </w:r>
      <w:r>
        <w:rPr>
          <w:rFonts w:cs="Times New Roman"/>
        </w:rPr>
        <w:t>Calculation results show that the planning framework integrated the IT strategy's own potential to strengthen the planning IT strategy by linking strategy, architecture, governance, risk, and performance into a single plot. Ward &amp; Peppard provide a base analysis of business and IS/IT. TOGAF translates strategy into an enterprise architecture blueprint, while COBIT 2019 ensures that the design includes governance objectives, capability measurement, risk control, and KPIs.</w:t>
      </w:r>
    </w:p>
    <w:p w14:paraId="1F1EAC7D" w14:textId="77777777" w:rsidR="00242ABC" w:rsidRDefault="00242ABC" w:rsidP="00242ABC">
      <w:pPr>
        <w:ind w:firstLine="312"/>
      </w:pPr>
      <w:r>
        <w:rPr>
          <w:rFonts w:cs="Times New Roman"/>
        </w:rPr>
        <w:t xml:space="preserve">The biggest gaps in the calculation are in risk and control integration and performance measurement. This shows that organizations often have planned applications and infrastructure but do not yet have </w:t>
      </w:r>
      <w:r>
        <w:rPr>
          <w:rFonts w:cs="Times New Roman"/>
        </w:rPr>
        <w:lastRenderedPageBreak/>
        <w:t>control over risks and indicators of strong performance. COBIT 2019 integration is important so that the IT roadmap is not only technical but also measurable, controllable, and sustainably evaluable.</w:t>
      </w:r>
    </w:p>
    <w:p w14:paraId="76CC0555" w14:textId="77777777" w:rsidR="00242ABC" w:rsidRDefault="00242ABC" w:rsidP="00242ABC">
      <w:pPr>
        <w:ind w:firstLine="312"/>
      </w:pPr>
      <w:r>
        <w:rPr>
          <w:rFonts w:cs="Times New Roman"/>
        </w:rPr>
        <w:t>In a theoretical sense, this research expands the draft planning of IT strategy by adding dimensions of enterprise architecture and IT governance. In general, this framework can be used by organizations to develop an IT Master Plan, a digital transformation roadmap, an enterprise architecture blueprint, and an IT governance improvement program.</w:t>
      </w:r>
    </w:p>
    <w:p w14:paraId="0BF58A7D" w14:textId="77777777" w:rsidR="000B57D6" w:rsidRDefault="000B57D6" w:rsidP="00391479">
      <w:pPr>
        <w:ind w:firstLine="312"/>
      </w:pPr>
    </w:p>
    <w:p w14:paraId="032810D0" w14:textId="77777777" w:rsidR="00F57251" w:rsidRPr="00F57251" w:rsidRDefault="00F57251" w:rsidP="00F57251">
      <w:pPr>
        <w:rPr>
          <w:rFonts w:cs="Times New Roman"/>
          <w:color w:val="EE0000"/>
        </w:rPr>
      </w:pPr>
      <w:commentRangeStart w:id="30"/>
      <w:r w:rsidRPr="00F57251">
        <w:rPr>
          <w:rFonts w:cs="Times New Roman"/>
          <w:color w:val="EE0000"/>
        </w:rPr>
        <w:t>7.1 Research Limitations and Future Research Directions</w:t>
      </w:r>
    </w:p>
    <w:p w14:paraId="33199D5B" w14:textId="77777777" w:rsidR="00F57251" w:rsidRPr="00F57251" w:rsidRDefault="00F57251" w:rsidP="00F57251">
      <w:pPr>
        <w:rPr>
          <w:rFonts w:cs="Times New Roman"/>
          <w:color w:val="EE0000"/>
        </w:rPr>
      </w:pPr>
      <w:r w:rsidRPr="00F57251">
        <w:rPr>
          <w:rFonts w:cs="Times New Roman"/>
          <w:color w:val="EE0000"/>
        </w:rPr>
        <w:tab/>
      </w:r>
    </w:p>
    <w:p w14:paraId="78B682D3" w14:textId="77777777" w:rsidR="00F57251" w:rsidRPr="00F57251" w:rsidRDefault="00F57251" w:rsidP="00F57251">
      <w:pPr>
        <w:rPr>
          <w:color w:val="EE0000"/>
        </w:rPr>
      </w:pPr>
      <w:r w:rsidRPr="00F57251">
        <w:rPr>
          <w:color w:val="EE0000"/>
        </w:rPr>
        <w:t xml:space="preserve">     Although PRASASTI has been validated through expert judgment and Delphi evaluation, this study has several limitations. First, the evaluation was conducted at the framework artifact level and does not represent empirical evidence from organizational implementation. Second, the effectiveness of PRASASTI in improving IT strategic planning outcomes, decision-making processes, and organizational performance has not yet been measured through longitudinal studies. Third, the current validation focuses on content validity and expert consensus rather than operational performance evaluation</w:t>
      </w:r>
      <w:commentRangeEnd w:id="30"/>
      <w:r w:rsidRPr="00F57251">
        <w:rPr>
          <w:rStyle w:val="ReferensiKomentar"/>
          <w:color w:val="EE0000"/>
          <w:sz w:val="22"/>
          <w:szCs w:val="22"/>
        </w:rPr>
        <w:commentReference w:id="30"/>
      </w:r>
      <w:r w:rsidRPr="00F57251">
        <w:rPr>
          <w:color w:val="EE0000"/>
        </w:rPr>
        <w:t>.</w:t>
      </w:r>
    </w:p>
    <w:p w14:paraId="66A92CC9" w14:textId="77777777" w:rsidR="00F57251" w:rsidRDefault="00F57251" w:rsidP="00391479">
      <w:pPr>
        <w:ind w:firstLine="312"/>
      </w:pPr>
    </w:p>
    <w:p w14:paraId="65CE9395" w14:textId="77777777" w:rsidR="000B57D6" w:rsidRPr="00DD2E26" w:rsidRDefault="000B57D6" w:rsidP="000B57D6">
      <w:pPr>
        <w:pStyle w:val="Judul1"/>
        <w:rPr>
          <w:color w:val="000000" w:themeColor="text1"/>
        </w:rPr>
      </w:pPr>
      <w:r w:rsidRPr="00DD2E26">
        <w:rPr>
          <w:rFonts w:ascii="Times New Roman" w:eastAsia="Times New Roman" w:hAnsi="Times New Roman"/>
          <w:color w:val="000000" w:themeColor="text1"/>
          <w:sz w:val="22"/>
        </w:rPr>
        <w:t>8. Conclusion</w:t>
      </w:r>
    </w:p>
    <w:p w14:paraId="4100A17B" w14:textId="77777777" w:rsidR="00242ABC" w:rsidRDefault="00242ABC" w:rsidP="00242ABC">
      <w:pPr>
        <w:ind w:firstLine="312"/>
      </w:pPr>
      <w:r>
        <w:rPr>
          <w:rFonts w:cs="Times New Roman"/>
        </w:rPr>
        <w:t>This study proposes a new integrated model for planning an IT strategic framework, based on Ward &amp; Peppard, TOGAF, and COBIT 2019. This framework was developed using the Design Science Research approach and was designed to be validated through expert judgment and the Delphi method .</w:t>
      </w:r>
    </w:p>
    <w:p w14:paraId="503FCA2B" w14:textId="77777777" w:rsidR="00242ABC" w:rsidRDefault="00242ABC" w:rsidP="00242ABC">
      <w:pPr>
        <w:ind w:firstLine="312"/>
      </w:pPr>
      <w:commentRangeStart w:id="31"/>
      <w:commentRangeStart w:id="32"/>
      <w:r>
        <w:rPr>
          <w:rFonts w:cs="Times New Roman"/>
        </w:rPr>
        <w:t xml:space="preserve">Contribution to the main study: This is a development artifact conceptually linking​ analysis of strategic IS/IT portfolio application , enterprise architecture blueprint, governance objectives, capability assessment, risk control, implementation roadmap , readiness index, gap analysis, and performance measurement. </w:t>
      </w:r>
      <w:commentRangeEnd w:id="31"/>
      <w:r w:rsidR="00F57251">
        <w:rPr>
          <w:rStyle w:val="ReferensiKomentar"/>
          <w:rFonts w:cs="Times New Roman"/>
          <w:sz w:val="22"/>
          <w:szCs w:val="22"/>
        </w:rPr>
        <w:commentReference w:id="31"/>
      </w:r>
      <w:commentRangeEnd w:id="32"/>
      <w:r w:rsidR="00F57251">
        <w:rPr>
          <w:rStyle w:val="ReferensiKomentar"/>
          <w:rFonts w:cs="Times New Roman"/>
          <w:sz w:val="22"/>
          <w:szCs w:val="22"/>
        </w:rPr>
        <w:commentReference w:id="32"/>
      </w:r>
      <w:r>
        <w:rPr>
          <w:rFonts w:cs="Times New Roman"/>
        </w:rPr>
        <w:t>This framework can serve as the basis for a more comprehensive IT Master Plan that is measurable and aligned with the organization's needs.</w:t>
      </w:r>
    </w:p>
    <w:p w14:paraId="3A3BAF56" w14:textId="77777777" w:rsidR="00242ABC" w:rsidRDefault="00242ABC" w:rsidP="00242ABC">
      <w:pPr>
        <w:ind w:firstLine="312"/>
      </w:pPr>
      <w:r>
        <w:rPr>
          <w:rFonts w:cs="Times New Roman"/>
        </w:rPr>
        <w:t>The study further recommended applying this framework to real-world organizations, such as colleges, high schools, hospitals, cooperative agencies, government agencies, and private-sector companies. Testing is empirically required to evaluate the framework's effectiveness in improving the quality of planning for IT strategy and IT governance.</w:t>
      </w:r>
    </w:p>
    <w:p w14:paraId="1EC2364F" w14:textId="77777777" w:rsidR="000B57D6" w:rsidRPr="00DD2E26" w:rsidRDefault="000B57D6" w:rsidP="000B57D6">
      <w:pPr>
        <w:pStyle w:val="Judul1"/>
        <w:rPr>
          <w:color w:val="000000" w:themeColor="text1"/>
        </w:rPr>
      </w:pPr>
      <w:r w:rsidRPr="00DD2E26">
        <w:rPr>
          <w:rFonts w:ascii="Times New Roman" w:eastAsia="Times New Roman" w:hAnsi="Times New Roman"/>
          <w:color w:val="000000" w:themeColor="text1"/>
          <w:sz w:val="22"/>
        </w:rPr>
        <w:t>Conflicts of interest</w:t>
      </w:r>
    </w:p>
    <w:p w14:paraId="1BAA33CB" w14:textId="77777777" w:rsidR="000B57D6" w:rsidRDefault="000B57D6" w:rsidP="000B57D6">
      <w:pPr>
        <w:ind w:firstLine="312"/>
      </w:pPr>
      <w:r>
        <w:t>The authors declare no conflict of interest.</w:t>
      </w:r>
    </w:p>
    <w:p w14:paraId="6B91A3F9" w14:textId="77777777" w:rsidR="000B57D6" w:rsidRPr="00DD2E26" w:rsidRDefault="000B57D6" w:rsidP="000B57D6">
      <w:pPr>
        <w:pStyle w:val="Judul1"/>
        <w:rPr>
          <w:color w:val="000000" w:themeColor="text1"/>
        </w:rPr>
      </w:pPr>
      <w:r w:rsidRPr="00DD2E26">
        <w:rPr>
          <w:rFonts w:ascii="Times New Roman" w:eastAsia="Times New Roman" w:hAnsi="Times New Roman"/>
          <w:color w:val="000000" w:themeColor="text1"/>
          <w:sz w:val="22"/>
        </w:rPr>
        <w:t>Author contributions</w:t>
      </w:r>
    </w:p>
    <w:p w14:paraId="4D4C6E42" w14:textId="77777777" w:rsidR="000B57D6" w:rsidRDefault="000B57D6" w:rsidP="000B57D6">
      <w:pPr>
        <w:ind w:firstLine="312"/>
      </w:pPr>
      <w:r>
        <w:t>Conceptualization, BS, TS, and IR; methodology, BS; validation, TS, and IR; formal analysis, BS; investigation, B.S.; resources, BS; data curation, BS; writing-original draft preparation, BS; writing-review and editing, TS and IR; visualization, B.S.; supervision, TS and IR.</w:t>
      </w:r>
    </w:p>
    <w:p w14:paraId="082EBBE9" w14:textId="77777777" w:rsidR="000B57D6" w:rsidRDefault="000B57D6" w:rsidP="000B57D6">
      <w:pPr>
        <w:pStyle w:val="Judul1"/>
      </w:pPr>
      <w:r>
        <w:rPr>
          <w:rFonts w:ascii="Times New Roman" w:eastAsia="Times New Roman" w:hAnsi="Times New Roman"/>
          <w:sz w:val="22"/>
        </w:rPr>
        <w:t>Acknowledgments</w:t>
      </w:r>
    </w:p>
    <w:p w14:paraId="03EB9CA2" w14:textId="77777777" w:rsidR="006179A3" w:rsidRDefault="006179A3" w:rsidP="006179A3">
      <w:pPr>
        <w:ind w:firstLine="312"/>
      </w:pPr>
      <w:r>
        <w:rPr>
          <w:rFonts w:cs="Times New Roman"/>
        </w:rPr>
        <w:t>The writer expresses acceptance of the love and support from Universitas Ahmad Dahlan, Yogyakarta, and Universitas Insan Pembangunan Indonesia for the academic support and facilities provided in the compilation of this study.</w:t>
      </w:r>
    </w:p>
    <w:p w14:paraId="00E4B52B" w14:textId="77777777" w:rsidR="000B57D6" w:rsidRDefault="000B57D6" w:rsidP="000B57D6">
      <w:pPr>
        <w:pStyle w:val="Judul1"/>
      </w:pPr>
      <w:r w:rsidRPr="00DD2E26">
        <w:rPr>
          <w:rFonts w:ascii="Times New Roman" w:eastAsia="Times New Roman" w:hAnsi="Times New Roman"/>
          <w:color w:val="000000" w:themeColor="text1"/>
          <w:sz w:val="22"/>
        </w:rPr>
        <w:t>References</w:t>
      </w:r>
    </w:p>
    <w:p w14:paraId="6106DC94" w14:textId="77777777" w:rsidR="00871863" w:rsidRPr="00871863" w:rsidRDefault="00F053DD" w:rsidP="00871863">
      <w:pPr>
        <w:widowControl w:val="0"/>
        <w:autoSpaceDE w:val="0"/>
        <w:autoSpaceDN w:val="0"/>
        <w:adjustRightInd w:val="0"/>
        <w:spacing w:before="120" w:after="40"/>
        <w:ind w:left="640" w:hanging="640"/>
        <w:rPr>
          <w:rFonts w:cs="Times New Roman"/>
          <w:noProof/>
          <w:sz w:val="20"/>
        </w:rPr>
      </w:pPr>
      <w:r>
        <w:rPr>
          <w:sz w:val="20"/>
        </w:rPr>
        <w:fldChar w:fldCharType="begin" w:fldLock="1"/>
      </w:r>
      <w:r>
        <w:rPr>
          <w:sz w:val="20"/>
        </w:rPr>
        <w:instrText xml:space="preserve">ADDIN Mendeley Bibliography CSL_BIBLIOGRAPHY </w:instrText>
      </w:r>
      <w:r>
        <w:rPr>
          <w:sz w:val="20"/>
        </w:rPr>
        <w:fldChar w:fldCharType="separate"/>
      </w:r>
      <w:r w:rsidR="00871863" w:rsidRPr="00871863">
        <w:rPr>
          <w:rFonts w:cs="Times New Roman"/>
          <w:noProof/>
          <w:sz w:val="20"/>
        </w:rPr>
        <w:t>[1]</w:t>
      </w:r>
      <w:r w:rsidR="00871863" w:rsidRPr="00871863">
        <w:rPr>
          <w:rFonts w:cs="Times New Roman"/>
          <w:noProof/>
          <w:sz w:val="20"/>
        </w:rPr>
        <w:tab/>
        <w:t>R. van de Wetering, “Dynamic enterprise architecture capabilities and organizational benefits: an empirical mediation study,” May 2021, Accessed: Jun. 15, 2026. [Online]. Available: https://arxiv.org/pdf/2105.10036</w:t>
      </w:r>
    </w:p>
    <w:p w14:paraId="5F490F2E"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[2]</w:t>
      </w:r>
      <w:r w:rsidRPr="00871863">
        <w:rPr>
          <w:rFonts w:cs="Times New Roman"/>
          <w:noProof/>
          <w:sz w:val="20"/>
        </w:rPr>
        <w:tab/>
        <w:t xml:space="preserve">P. C. Verhoef </w:t>
      </w:r>
      <w:r w:rsidRPr="00871863">
        <w:rPr>
          <w:rFonts w:cs="Times New Roman"/>
          <w:i/>
          <w:iCs/>
          <w:noProof/>
          <w:sz w:val="20"/>
        </w:rPr>
        <w:t>et al.</w:t>
      </w:r>
      <w:r w:rsidRPr="00871863">
        <w:rPr>
          <w:rFonts w:cs="Times New Roman"/>
          <w:noProof/>
          <w:sz w:val="20"/>
        </w:rPr>
        <w:t xml:space="preserve">, “Digital transformation: A multidisciplinary reflection and research agenda,” </w:t>
      </w:r>
      <w:r w:rsidRPr="00871863">
        <w:rPr>
          <w:rFonts w:cs="Times New Roman"/>
          <w:i/>
          <w:iCs/>
          <w:noProof/>
          <w:sz w:val="20"/>
        </w:rPr>
        <w:t>J. Bus. Res.</w:t>
      </w:r>
      <w:r w:rsidRPr="00871863">
        <w:rPr>
          <w:rFonts w:cs="Times New Roman"/>
          <w:noProof/>
          <w:sz w:val="20"/>
        </w:rPr>
        <w:t>, vol. 122, no. July 2018, pp. 889–901, 2021, doi: 10.1016/j.jbusres.2019.09.022.</w:t>
      </w:r>
    </w:p>
    <w:p w14:paraId="10D82EDB"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[3]</w:t>
      </w:r>
      <w:r w:rsidRPr="00871863">
        <w:rPr>
          <w:rFonts w:cs="Times New Roman"/>
          <w:noProof/>
          <w:sz w:val="20"/>
        </w:rPr>
        <w:tab/>
        <w:t xml:space="preserve">P. Singh, F. Lynch, and M. Helfert, “Enterprise architecture for the transformation of public services based on citizen’s feedback,” </w:t>
      </w:r>
      <w:r w:rsidRPr="00871863">
        <w:rPr>
          <w:rFonts w:cs="Times New Roman"/>
          <w:i/>
          <w:iCs/>
          <w:noProof/>
          <w:sz w:val="20"/>
        </w:rPr>
        <w:t>Digit. Policy, Regul. Gov.</w:t>
      </w:r>
      <w:r w:rsidRPr="00871863">
        <w:rPr>
          <w:rFonts w:cs="Times New Roman"/>
          <w:noProof/>
          <w:sz w:val="20"/>
        </w:rPr>
        <w:t>, vol. 26, no. 1, pp. 38–54, Jan. 2024, doi: 10.1108/DPRG-11-2022-0123.</w:t>
      </w:r>
    </w:p>
    <w:p w14:paraId="508A448D"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[4]</w:t>
      </w:r>
      <w:r w:rsidRPr="00871863">
        <w:rPr>
          <w:rFonts w:cs="Times New Roman"/>
          <w:noProof/>
          <w:sz w:val="20"/>
        </w:rPr>
        <w:tab/>
        <w:t xml:space="preserve">B. Suhartono, T. Sutikno, and ; Imam Riadi, “Decade of IT Strategic Planning : Systematic Review of Frameworks and Critical Success Factors,” </w:t>
      </w:r>
      <w:r w:rsidRPr="00871863">
        <w:rPr>
          <w:rFonts w:cs="Times New Roman"/>
          <w:i/>
          <w:iCs/>
          <w:noProof/>
          <w:sz w:val="20"/>
        </w:rPr>
        <w:t>JITK (Jurnal Ilmu Pengetah. dan Teknol. Komputer)</w:t>
      </w:r>
      <w:r w:rsidRPr="00871863">
        <w:rPr>
          <w:rFonts w:cs="Times New Roman"/>
          <w:noProof/>
          <w:sz w:val="20"/>
        </w:rPr>
        <w:t>, vol. 11, no. 3, pp. 700–714, Feb. 2026, doi: 10.33480/JITK.V11I3.7068.</w:t>
      </w:r>
    </w:p>
    <w:p w14:paraId="6374A984"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[5]</w:t>
      </w:r>
      <w:r w:rsidRPr="00871863">
        <w:rPr>
          <w:rFonts w:cs="Times New Roman"/>
          <w:noProof/>
          <w:sz w:val="20"/>
        </w:rPr>
        <w:tab/>
        <w:t xml:space="preserve">B. Suhartono, T. Sutikno, and I. Riadi, “Review Framework and Best Practise of COBIT 2019 Standard for IT Governance Implementation,” </w:t>
      </w:r>
      <w:r w:rsidRPr="00871863">
        <w:rPr>
          <w:rFonts w:cs="Times New Roman"/>
          <w:i/>
          <w:iCs/>
          <w:noProof/>
          <w:sz w:val="20"/>
        </w:rPr>
        <w:t>J. Inf. Syst.</w:t>
      </w:r>
      <w:r w:rsidRPr="00871863">
        <w:rPr>
          <w:rFonts w:cs="Times New Roman"/>
          <w:noProof/>
          <w:sz w:val="20"/>
        </w:rPr>
        <w:t>, vol. 12, no. 1, 2025, doi: 10.30656/jsii.v12i1.9926.</w:t>
      </w:r>
    </w:p>
    <w:p w14:paraId="0D98140F"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[6]</w:t>
      </w:r>
      <w:r w:rsidRPr="00871863">
        <w:rPr>
          <w:rFonts w:cs="Times New Roman"/>
          <w:noProof/>
          <w:sz w:val="20"/>
        </w:rPr>
        <w:tab/>
        <w:t>P. Merit Biyanti and N. Yalina, “Information System Strategic Planning using Ward and Peppard Method at Universitas Islam Negeri Sunan Ampel Surabaya”, doi: 10.5220/0008905800002481.</w:t>
      </w:r>
    </w:p>
    <w:p w14:paraId="1E463488"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[7]</w:t>
      </w:r>
      <w:r w:rsidRPr="00871863">
        <w:rPr>
          <w:rFonts w:cs="Times New Roman"/>
          <w:noProof/>
          <w:sz w:val="20"/>
        </w:rPr>
        <w:tab/>
        <w:t xml:space="preserve">S. I. Suryana and C. Fibriani, “The IS/IT Strategy Planning Through Ward and Peppard Method in Automotive Spareparts Company,” </w:t>
      </w:r>
      <w:r w:rsidRPr="00871863">
        <w:rPr>
          <w:rFonts w:cs="Times New Roman"/>
          <w:i/>
          <w:iCs/>
          <w:noProof/>
          <w:sz w:val="20"/>
        </w:rPr>
        <w:t>JINAV J. Inf. Vis.</w:t>
      </w:r>
      <w:r w:rsidRPr="00871863">
        <w:rPr>
          <w:rFonts w:cs="Times New Roman"/>
          <w:noProof/>
          <w:sz w:val="20"/>
        </w:rPr>
        <w:t>, vol. 5, no. 1, pp. 1–11, 2024, doi: 10.35877/454ri.jinav2506.</w:t>
      </w:r>
    </w:p>
    <w:p w14:paraId="0659F7E9"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[8]</w:t>
      </w:r>
      <w:r w:rsidRPr="00871863">
        <w:rPr>
          <w:rFonts w:cs="Times New Roman"/>
          <w:noProof/>
          <w:sz w:val="20"/>
        </w:rPr>
        <w:tab/>
        <w:t xml:space="preserve">The-Open-Group, </w:t>
      </w:r>
      <w:r w:rsidRPr="00871863">
        <w:rPr>
          <w:rFonts w:cs="Times New Roman"/>
          <w:i/>
          <w:iCs/>
          <w:noProof/>
          <w:sz w:val="20"/>
        </w:rPr>
        <w:t xml:space="preserve">TOGAF® Version 9.1 </w:t>
      </w:r>
      <w:r w:rsidRPr="00871863">
        <w:rPr>
          <w:rFonts w:cs="Times New Roman"/>
          <w:noProof/>
          <w:sz w:val="20"/>
        </w:rPr>
        <w:t xml:space="preserve">, vol. </w:t>
      </w:r>
      <w:r w:rsidRPr="00871863">
        <w:rPr>
          <w:rFonts w:cs="Times New Roman"/>
          <w:noProof/>
          <w:sz w:val="20"/>
        </w:rPr>
        <w:lastRenderedPageBreak/>
        <w:t>Document N. 2011.</w:t>
      </w:r>
    </w:p>
    <w:p w14:paraId="44886974"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[9]</w:t>
      </w:r>
      <w:r w:rsidRPr="00871863">
        <w:rPr>
          <w:rFonts w:cs="Times New Roman"/>
          <w:noProof/>
          <w:sz w:val="20"/>
        </w:rPr>
        <w:tab/>
        <w:t xml:space="preserve">V. Bastidas, M. Bezbradica, M. Bilauca, M. Healy, and M. Helfert, “Enterprise Architecture in Smart Cities: Developing an Empirical Grounded Research Agenda,” </w:t>
      </w:r>
      <w:r w:rsidRPr="00871863">
        <w:rPr>
          <w:rFonts w:cs="Times New Roman"/>
          <w:i/>
          <w:iCs/>
          <w:noProof/>
          <w:sz w:val="20"/>
        </w:rPr>
        <w:t>J. Urban Technol.</w:t>
      </w:r>
      <w:r w:rsidRPr="00871863">
        <w:rPr>
          <w:rFonts w:cs="Times New Roman"/>
          <w:noProof/>
          <w:sz w:val="20"/>
        </w:rPr>
        <w:t>, vol. 30, no. 1, pp. 47–70, Jan. 2023, doi: 10.1080/10630732.2022.2122681.</w:t>
      </w:r>
    </w:p>
    <w:p w14:paraId="40426FBE"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[10]</w:t>
      </w:r>
      <w:r w:rsidRPr="00871863">
        <w:rPr>
          <w:rFonts w:cs="Times New Roman"/>
          <w:noProof/>
          <w:sz w:val="20"/>
        </w:rPr>
        <w:tab/>
        <w:t>“COBIT®| Control Objectives for Information Technologies®.” Accessed: Jun. 17, 2026. [Online]. Available: https://www.isaca.org/resources/cobit</w:t>
      </w:r>
    </w:p>
    <w:p w14:paraId="4FC59561"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[11]</w:t>
      </w:r>
      <w:r w:rsidRPr="00871863">
        <w:rPr>
          <w:rFonts w:cs="Times New Roman"/>
          <w:noProof/>
          <w:sz w:val="20"/>
        </w:rPr>
        <w:tab/>
        <w:t xml:space="preserve">G. M. W. Tangka and E. Lompoliu, “Information {Technology} {Governance} {Using} the {COBIT} 2019 {Framework} at {PT}. {Pelindo} {TPK} {Bitung},” </w:t>
      </w:r>
      <w:r w:rsidRPr="00871863">
        <w:rPr>
          <w:rFonts w:cs="Times New Roman"/>
          <w:i/>
          <w:iCs/>
          <w:noProof/>
          <w:sz w:val="20"/>
        </w:rPr>
        <w:t>CogITo Smart J.</w:t>
      </w:r>
      <w:r w:rsidRPr="00871863">
        <w:rPr>
          <w:rFonts w:cs="Times New Roman"/>
          <w:noProof/>
          <w:sz w:val="20"/>
        </w:rPr>
        <w:t>, vol. 9, no. 2, pp. 355–367, Dec. 2023, doi: 10.31154/cogito.v9i2.577.355-367.</w:t>
      </w:r>
    </w:p>
    <w:p w14:paraId="6A007D68"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[12]</w:t>
      </w:r>
      <w:r w:rsidRPr="00871863">
        <w:rPr>
          <w:rFonts w:cs="Times New Roman"/>
          <w:noProof/>
          <w:sz w:val="20"/>
        </w:rPr>
        <w:tab/>
        <w:t>S. De Haes, W. Van Grembergen, A. Joshi, and T. Huygh, “Enterprise Governance of Information Technology,” 2020, doi: 10.1007/978-3-030-25918-1.</w:t>
      </w:r>
    </w:p>
    <w:p w14:paraId="2FD7F073"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[13]</w:t>
      </w:r>
      <w:r w:rsidRPr="00871863">
        <w:rPr>
          <w:rFonts w:cs="Times New Roman"/>
          <w:noProof/>
          <w:sz w:val="20"/>
        </w:rPr>
        <w:tab/>
        <w:t>Https://www.tandfonline.com/author/Bastidas%2C+Viviana, “Enterprise Architecture in Smart Cities: Developing an Empirical Grounded Research Agenda”, [Online]. Available: https://www.tandfonline.com/doi/full/10.1080/10630732.2022.2122681</w:t>
      </w:r>
    </w:p>
    <w:p w14:paraId="0A303450"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[14]</w:t>
      </w:r>
      <w:r w:rsidRPr="00871863">
        <w:rPr>
          <w:rFonts w:cs="Times New Roman"/>
          <w:noProof/>
          <w:sz w:val="20"/>
        </w:rPr>
        <w:tab/>
        <w:t xml:space="preserve">K. Peffers, T. Tuunanen, M. A. Rothenberger, and S. Chatterjee, “A design science research methodology for information systems research,” </w:t>
      </w:r>
      <w:r w:rsidRPr="00871863">
        <w:rPr>
          <w:rFonts w:cs="Times New Roman"/>
          <w:i/>
          <w:iCs/>
          <w:noProof/>
          <w:sz w:val="20"/>
        </w:rPr>
        <w:t>J. Manag. Inf. Syst.</w:t>
      </w:r>
      <w:r w:rsidRPr="00871863">
        <w:rPr>
          <w:rFonts w:cs="Times New Roman"/>
          <w:noProof/>
          <w:sz w:val="20"/>
        </w:rPr>
        <w:t>, vol. 24, no. 3, pp. 45–77, 2007, doi: 10.2753/MIS0742-1222240302.</w:t>
      </w:r>
    </w:p>
    <w:p w14:paraId="76538DF1"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[15]</w:t>
      </w:r>
      <w:r w:rsidRPr="00871863">
        <w:rPr>
          <w:rFonts w:cs="Times New Roman"/>
          <w:noProof/>
          <w:sz w:val="20"/>
        </w:rPr>
        <w:tab/>
        <w:t xml:space="preserve">T. S. B Suhartono   Imam Riadi, “Review Framework dan Best Practise Standar COBIT 2019 untuk Implementasi Tata Kelola TI,” </w:t>
      </w:r>
      <w:r w:rsidRPr="00871863">
        <w:rPr>
          <w:rFonts w:cs="Times New Roman"/>
          <w:i/>
          <w:iCs/>
          <w:noProof/>
          <w:sz w:val="20"/>
        </w:rPr>
        <w:t>JSiI (Jurnal Sist. Informasi)</w:t>
      </w:r>
      <w:r w:rsidRPr="00871863">
        <w:rPr>
          <w:rFonts w:cs="Times New Roman"/>
          <w:noProof/>
          <w:sz w:val="20"/>
        </w:rPr>
        <w:t>, vol. 12, pp. 128–133, 2025, [Online]. Available: https://e-jurnal.lppmunsera.org/index.php/jsii/article/view/9926</w:t>
      </w:r>
    </w:p>
    <w:p w14:paraId="7E794F2F"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[16]</w:t>
      </w:r>
      <w:r w:rsidRPr="00871863">
        <w:rPr>
          <w:rFonts w:cs="Times New Roman"/>
          <w:noProof/>
          <w:sz w:val="20"/>
        </w:rPr>
        <w:tab/>
        <w:t xml:space="preserve">I. Riadi, R. Umar, I. Busthomi, and A. W. Muhammad, “Block-hash of blockchain framework against man-in-the-middle attacks,” </w:t>
      </w:r>
      <w:r w:rsidRPr="00871863">
        <w:rPr>
          <w:rFonts w:cs="Times New Roman"/>
          <w:i/>
          <w:iCs/>
          <w:noProof/>
          <w:sz w:val="20"/>
        </w:rPr>
        <w:t>Regist. J. Ilm. Teknol. Sist. Inf.</w:t>
      </w:r>
      <w:r w:rsidRPr="00871863">
        <w:rPr>
          <w:rFonts w:cs="Times New Roman"/>
          <w:noProof/>
          <w:sz w:val="20"/>
        </w:rPr>
        <w:t>, vol. 8, no. 1, pp. 1–9, 2022, doi: 10.26594/register.v8i1.2190.</w:t>
      </w:r>
    </w:p>
    <w:p w14:paraId="0EDFA900"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[17]</w:t>
      </w:r>
      <w:r w:rsidRPr="00871863">
        <w:rPr>
          <w:rFonts w:cs="Times New Roman"/>
          <w:noProof/>
          <w:sz w:val="20"/>
        </w:rPr>
        <w:tab/>
        <w:t xml:space="preserve">G. Fuentes-Quijada, F. Ruiz-González, and A. Caro, “Enterprise Architecture and IT Governance to Support the BizDevOps Approach: a Systematic Mapping Study,” </w:t>
      </w:r>
      <w:r w:rsidRPr="00871863">
        <w:rPr>
          <w:rFonts w:cs="Times New Roman"/>
          <w:i/>
          <w:iCs/>
          <w:noProof/>
          <w:sz w:val="20"/>
        </w:rPr>
        <w:t>Inf. Syst. Front.</w:t>
      </w:r>
      <w:r w:rsidRPr="00871863">
        <w:rPr>
          <w:rFonts w:cs="Times New Roman"/>
          <w:noProof/>
          <w:sz w:val="20"/>
        </w:rPr>
        <w:t>, vol. 27, no. 3, pp. 865–888, 2025, doi: 10.1007/s10796-024-10473-2.</w:t>
      </w:r>
    </w:p>
    <w:p w14:paraId="35632045"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[18]</w:t>
      </w:r>
      <w:r w:rsidRPr="00871863">
        <w:rPr>
          <w:rFonts w:cs="Times New Roman"/>
          <w:noProof/>
          <w:sz w:val="20"/>
        </w:rPr>
        <w:tab/>
        <w:t xml:space="preserve">A. Wahyudin and Z. A. Hasibuan, “Research classification in strategic information system planning development: A critical review,” </w:t>
      </w:r>
      <w:r w:rsidRPr="00871863">
        <w:rPr>
          <w:rFonts w:cs="Times New Roman"/>
          <w:i/>
          <w:iCs/>
          <w:noProof/>
          <w:sz w:val="20"/>
        </w:rPr>
        <w:t xml:space="preserve">Proc. - 2015 Int. Conf. Sci. Inf. Technol. Big Data Spectr. </w:t>
      </w:r>
      <w:r w:rsidRPr="00871863">
        <w:rPr>
          <w:rFonts w:cs="Times New Roman"/>
          <w:i/>
          <w:iCs/>
          <w:noProof/>
          <w:sz w:val="20"/>
        </w:rPr>
        <w:t>Futur. Inf. Econ. ICSITech 2015</w:t>
      </w:r>
      <w:r w:rsidRPr="00871863">
        <w:rPr>
          <w:rFonts w:cs="Times New Roman"/>
          <w:noProof/>
          <w:sz w:val="20"/>
        </w:rPr>
        <w:t>, pp. 287–292, 2016, doi: 10.1109/ICSITech.2015.7407819.</w:t>
      </w:r>
    </w:p>
    <w:p w14:paraId="36D9C48B"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[19]</w:t>
      </w:r>
      <w:r w:rsidRPr="00871863">
        <w:rPr>
          <w:rFonts w:cs="Times New Roman"/>
          <w:noProof/>
          <w:sz w:val="20"/>
        </w:rPr>
        <w:tab/>
        <w:t xml:space="preserve">M. Thirasakthana and S. Kiattisin, “Framework De Arquitectura Empresarial Gubernamental Sostenible,” </w:t>
      </w:r>
      <w:r w:rsidRPr="00871863">
        <w:rPr>
          <w:rFonts w:cs="Times New Roman"/>
          <w:i/>
          <w:iCs/>
          <w:noProof/>
          <w:sz w:val="20"/>
        </w:rPr>
        <w:t>Sustain.</w:t>
      </w:r>
      <w:r w:rsidRPr="00871863">
        <w:rPr>
          <w:rFonts w:cs="Times New Roman"/>
          <w:noProof/>
          <w:sz w:val="20"/>
        </w:rPr>
        <w:t>, vol. 13, no. 2, pp. 1–27, 2021.</w:t>
      </w:r>
    </w:p>
    <w:p w14:paraId="5B55DB4A"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[20]</w:t>
      </w:r>
      <w:r w:rsidRPr="00871863">
        <w:rPr>
          <w:rFonts w:cs="Times New Roman"/>
          <w:noProof/>
          <w:sz w:val="20"/>
        </w:rPr>
        <w:tab/>
        <w:t xml:space="preserve">Sunardi, I. Riadi, and P. A. Raharja, “Vulnerability analysis of E-voting application using open web application security project (OWASP) framework,” </w:t>
      </w:r>
      <w:r w:rsidRPr="00871863">
        <w:rPr>
          <w:rFonts w:cs="Times New Roman"/>
          <w:i/>
          <w:iCs/>
          <w:noProof/>
          <w:sz w:val="20"/>
        </w:rPr>
        <w:t>Int. J. Adv. Comput. Sci. Appl.</w:t>
      </w:r>
      <w:r w:rsidRPr="00871863">
        <w:rPr>
          <w:rFonts w:cs="Times New Roman"/>
          <w:noProof/>
          <w:sz w:val="20"/>
        </w:rPr>
        <w:t>, vol. 10, no. 11, pp. 135–143, 2019, doi: 10.14569/IJACSA.2019.0101118.</w:t>
      </w:r>
    </w:p>
    <w:p w14:paraId="07CA9B13"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[21]</w:t>
      </w:r>
      <w:r w:rsidRPr="00871863">
        <w:rPr>
          <w:rFonts w:cs="Times New Roman"/>
          <w:noProof/>
          <w:sz w:val="20"/>
        </w:rPr>
        <w:tab/>
        <w:t xml:space="preserve">B. Anthony Jnr, “Managing digital transformation of smart cities through enterprise architecture–a review and research agenda,” </w:t>
      </w:r>
      <w:r w:rsidRPr="00871863">
        <w:rPr>
          <w:rFonts w:cs="Times New Roman"/>
          <w:i/>
          <w:iCs/>
          <w:noProof/>
          <w:sz w:val="20"/>
        </w:rPr>
        <w:t>Enterp. Inf. Syst.</w:t>
      </w:r>
      <w:r w:rsidRPr="00871863">
        <w:rPr>
          <w:rFonts w:cs="Times New Roman"/>
          <w:noProof/>
          <w:sz w:val="20"/>
        </w:rPr>
        <w:t>, vol. 15, no. 3, pp. 299–331, 2021, doi: 10.1080/17517575.2020.1812006.</w:t>
      </w:r>
    </w:p>
    <w:p w14:paraId="02ABDEAE"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[22]</w:t>
      </w:r>
      <w:r w:rsidRPr="00871863">
        <w:rPr>
          <w:rFonts w:cs="Times New Roman"/>
          <w:noProof/>
          <w:sz w:val="20"/>
        </w:rPr>
        <w:tab/>
        <w:t xml:space="preserve">A. Hanelt, R. Bohnsack, D. Marz, and C. Antunes Marante, “A Systematic Review of the Literature on Digital Transformation: Insights and Implications for Strategy and Organizational Change,” </w:t>
      </w:r>
      <w:r w:rsidRPr="00871863">
        <w:rPr>
          <w:rFonts w:cs="Times New Roman"/>
          <w:i/>
          <w:iCs/>
          <w:noProof/>
          <w:sz w:val="20"/>
        </w:rPr>
        <w:t>J. Manag. Stud.</w:t>
      </w:r>
      <w:r w:rsidRPr="00871863">
        <w:rPr>
          <w:rFonts w:cs="Times New Roman"/>
          <w:noProof/>
          <w:sz w:val="20"/>
        </w:rPr>
        <w:t>, vol. 58, no. 5, pp. 1159–1197, 2021, doi: 10.1111/joms.12639.</w:t>
      </w:r>
    </w:p>
    <w:p w14:paraId="168A6439"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[23]</w:t>
      </w:r>
      <w:r w:rsidRPr="00871863">
        <w:rPr>
          <w:rFonts w:cs="Times New Roman"/>
          <w:noProof/>
          <w:sz w:val="20"/>
        </w:rPr>
        <w:tab/>
        <w:t xml:space="preserve">N. R. Busch and A. Zalewski, “A Systematic Literature Review of Enterprise Architecture Evaluation Methods,” </w:t>
      </w:r>
      <w:r w:rsidRPr="00871863">
        <w:rPr>
          <w:rFonts w:cs="Times New Roman"/>
          <w:i/>
          <w:iCs/>
          <w:noProof/>
          <w:sz w:val="20"/>
        </w:rPr>
        <w:t>ACM Comput. Surv.</w:t>
      </w:r>
      <w:r w:rsidRPr="00871863">
        <w:rPr>
          <w:rFonts w:cs="Times New Roman"/>
          <w:noProof/>
          <w:sz w:val="20"/>
        </w:rPr>
        <w:t>, vol. 57, no. 5, 2025, doi: 10.1145/3706582.</w:t>
      </w:r>
    </w:p>
    <w:p w14:paraId="56339C39"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[24]</w:t>
      </w:r>
      <w:r w:rsidRPr="00871863">
        <w:rPr>
          <w:rFonts w:cs="Times New Roman"/>
          <w:noProof/>
          <w:sz w:val="20"/>
        </w:rPr>
        <w:tab/>
        <w:t xml:space="preserve">K. Peffers, T. Tuunanen, M. A. Rothenberger, and S. Chatterjee, “A design science research methodology for information systems research,” </w:t>
      </w:r>
      <w:r w:rsidRPr="00871863">
        <w:rPr>
          <w:rFonts w:cs="Times New Roman"/>
          <w:i/>
          <w:iCs/>
          <w:noProof/>
          <w:sz w:val="20"/>
        </w:rPr>
        <w:t>J. Manag. Inf. Syst.</w:t>
      </w:r>
      <w:r w:rsidRPr="00871863">
        <w:rPr>
          <w:rFonts w:cs="Times New Roman"/>
          <w:noProof/>
          <w:sz w:val="20"/>
        </w:rPr>
        <w:t>, vol. 24, no. 3, pp. 45–77, Dec. 2007, doi: 10.2753/MIS0742-1222240302.</w:t>
      </w:r>
    </w:p>
    <w:p w14:paraId="14FD2C6C"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[25]</w:t>
      </w:r>
      <w:r w:rsidRPr="00871863">
        <w:rPr>
          <w:rFonts w:cs="Times New Roman"/>
          <w:noProof/>
          <w:sz w:val="20"/>
        </w:rPr>
        <w:tab/>
        <w:t xml:space="preserve">T. Widayanti and I. Zulkarnaen, “Information Systems Strategic Planning Using the Ward and Peppard Method,” </w:t>
      </w:r>
      <w:r w:rsidRPr="00871863">
        <w:rPr>
          <w:rFonts w:cs="Times New Roman"/>
          <w:i/>
          <w:iCs/>
          <w:noProof/>
          <w:sz w:val="20"/>
        </w:rPr>
        <w:t>ADI Internaltional Conf. Ser.</w:t>
      </w:r>
      <w:r w:rsidRPr="00871863">
        <w:rPr>
          <w:rFonts w:cs="Times New Roman"/>
          <w:noProof/>
          <w:sz w:val="20"/>
        </w:rPr>
        <w:t>, vol. 4, pp. 52–57, 2022, doi: 10.34306/conferenceseries.v4i1.691.</w:t>
      </w:r>
    </w:p>
    <w:p w14:paraId="4F9DEC6C"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[26]</w:t>
      </w:r>
      <w:r w:rsidRPr="00871863">
        <w:rPr>
          <w:rFonts w:cs="Times New Roman"/>
          <w:noProof/>
          <w:sz w:val="20"/>
        </w:rPr>
        <w:tab/>
        <w:t xml:space="preserve">J. F. Andry, D. Y. Bernanda, H. Honni, K. Christianto, and A. Andriani, “Analysis of information systems strategic planning using ward and peppard framework case e-commerce company,” </w:t>
      </w:r>
      <w:r w:rsidRPr="00871863">
        <w:rPr>
          <w:rFonts w:cs="Times New Roman"/>
          <w:i/>
          <w:iCs/>
          <w:noProof/>
          <w:sz w:val="20"/>
        </w:rPr>
        <w:t>Int. J. Adv. Appl. Sci.</w:t>
      </w:r>
      <w:r w:rsidRPr="00871863">
        <w:rPr>
          <w:rFonts w:cs="Times New Roman"/>
          <w:noProof/>
          <w:sz w:val="20"/>
        </w:rPr>
        <w:t>, vol. 12, no. 2, pp. 179–187, Jun. 2023, doi: 10.11591/ijaas.v12.i2.pp179-187.</w:t>
      </w:r>
    </w:p>
    <w:p w14:paraId="7883C61F"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[27]</w:t>
      </w:r>
      <w:r w:rsidRPr="00871863">
        <w:rPr>
          <w:rFonts w:cs="Times New Roman"/>
          <w:noProof/>
          <w:sz w:val="20"/>
        </w:rPr>
        <w:tab/>
        <w:t xml:space="preserve">N. P. Desyana and M. N. N. Sitokdana, “Implementation of Ward and Peppard in Information Systems Strategic Planning (Case Study: Hotel Kartika Bandungan),” </w:t>
      </w:r>
      <w:r w:rsidRPr="00871863">
        <w:rPr>
          <w:rFonts w:cs="Times New Roman"/>
          <w:i/>
          <w:iCs/>
          <w:noProof/>
          <w:sz w:val="20"/>
        </w:rPr>
        <w:t>J. Inf. Syst. Informatics</w:t>
      </w:r>
      <w:r w:rsidRPr="00871863">
        <w:rPr>
          <w:rFonts w:cs="Times New Roman"/>
          <w:noProof/>
          <w:sz w:val="20"/>
        </w:rPr>
        <w:t>, vol. 4, no. 3, pp. 784–794, Sep. 2022, doi: 10.51519/Journalisi.V4I3.284.</w:t>
      </w:r>
    </w:p>
    <w:p w14:paraId="725479C3"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[28]</w:t>
      </w:r>
      <w:r w:rsidRPr="00871863">
        <w:rPr>
          <w:rFonts w:cs="Times New Roman"/>
          <w:noProof/>
          <w:sz w:val="20"/>
        </w:rPr>
        <w:tab/>
        <w:t xml:space="preserve">“View of Information Technology Risk-based Enterprise Architecture Design for Training Systems: Integration of COBIT 2019 and TOGAF ADM.” Accessed: Jun. 17, 2026. [Online]. Available: </w:t>
      </w:r>
      <w:r w:rsidRPr="00871863">
        <w:rPr>
          <w:rFonts w:cs="Times New Roman"/>
          <w:noProof/>
          <w:sz w:val="20"/>
        </w:rPr>
        <w:lastRenderedPageBreak/>
        <w:t>https://ejournal.undiksha.ac.id/index.php/JST/article/view/93498/32662</w:t>
      </w:r>
    </w:p>
    <w:p w14:paraId="2DD01A43"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[29]</w:t>
      </w:r>
      <w:r w:rsidRPr="00871863">
        <w:rPr>
          <w:rFonts w:cs="Times New Roman"/>
          <w:noProof/>
          <w:sz w:val="20"/>
        </w:rPr>
        <w:tab/>
        <w:t>A. A. N. F. Shintya Rahma Safitri1, Rahmat Mulyana2, “View of Developing Enterprise Architecture for BPRACO SMEs Digital Transforamtion by Using TOGAF 10,” JIKO (Jurnal Informatika dan Komputer). Accessed: Jun. 01, 2026. [Online]. Available: https://ejournal.unkhair.ac.id/index.php/jiko/article/view/8629/5287</w:t>
      </w:r>
    </w:p>
    <w:p w14:paraId="238C4FE3"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[30]</w:t>
      </w:r>
      <w:r w:rsidRPr="00871863">
        <w:rPr>
          <w:rFonts w:cs="Times New Roman"/>
          <w:noProof/>
          <w:sz w:val="20"/>
        </w:rPr>
        <w:tab/>
        <w:t xml:space="preserve">Y. M. Maulana, “Information {Technology} {Governance} {Using} {Control} {Objectives} for {Information} and {Related} {Technology}: Review,” </w:t>
      </w:r>
      <w:r w:rsidRPr="00871863">
        <w:rPr>
          <w:rFonts w:cs="Times New Roman"/>
          <w:i/>
          <w:iCs/>
          <w:noProof/>
          <w:sz w:val="20"/>
        </w:rPr>
        <w:t>J. Tek. Inform. dan Sist. Inf.</w:t>
      </w:r>
      <w:r w:rsidRPr="00871863">
        <w:rPr>
          <w:rFonts w:cs="Times New Roman"/>
          <w:noProof/>
          <w:sz w:val="20"/>
        </w:rPr>
        <w:t>, vol. 9, no. 3, Jan. 2024, doi: 10.28932/jutisi.v9i3.6494.</w:t>
      </w:r>
    </w:p>
    <w:p w14:paraId="58E17F3F"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[31]</w:t>
      </w:r>
      <w:r w:rsidRPr="00871863">
        <w:rPr>
          <w:rFonts w:cs="Times New Roman"/>
          <w:noProof/>
          <w:sz w:val="20"/>
        </w:rPr>
        <w:tab/>
        <w:t xml:space="preserve">R. F. Mubarak and M. I. Fianty, “Leveraging COBIT 2019 to Implement IT Governance in Mineral Mining Company,” </w:t>
      </w:r>
      <w:r w:rsidRPr="00871863">
        <w:rPr>
          <w:rFonts w:cs="Times New Roman"/>
          <w:i/>
          <w:iCs/>
          <w:noProof/>
          <w:sz w:val="20"/>
        </w:rPr>
        <w:t>J. Inf. Syst. Informatics</w:t>
      </w:r>
      <w:r w:rsidRPr="00871863">
        <w:rPr>
          <w:rFonts w:cs="Times New Roman"/>
          <w:noProof/>
          <w:sz w:val="20"/>
        </w:rPr>
        <w:t>, vol. 5, no. 3, pp. 1058–1071, Sep. 2023, doi: 10.51519/journalisi.v5i3.545.</w:t>
      </w:r>
    </w:p>
    <w:p w14:paraId="5DDB6E2C"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[32]</w:t>
      </w:r>
      <w:r w:rsidRPr="00871863">
        <w:rPr>
          <w:rFonts w:cs="Times New Roman"/>
          <w:noProof/>
          <w:sz w:val="20"/>
        </w:rPr>
        <w:tab/>
        <w:t xml:space="preserve">A. Harits, R. Gernowo, and D. E. Suseno, “Adaptation of Information Systems Strategic Planning of Universities Using COBIT 2019 in Post Covid-19,” </w:t>
      </w:r>
      <w:r w:rsidRPr="00871863">
        <w:rPr>
          <w:rFonts w:cs="Times New Roman"/>
          <w:i/>
          <w:iCs/>
          <w:noProof/>
          <w:sz w:val="20"/>
        </w:rPr>
        <w:t>J. Sci. Technol.</w:t>
      </w:r>
      <w:r w:rsidRPr="00871863">
        <w:rPr>
          <w:rFonts w:cs="Times New Roman"/>
          <w:noProof/>
          <w:sz w:val="20"/>
        </w:rPr>
        <w:t>, vol. 11, no. 2, pp. 339–350, 2022, doi: 10.23887/jstundiksha.v11i2.48365.</w:t>
      </w:r>
    </w:p>
    <w:p w14:paraId="461E8977"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[33]</w:t>
      </w:r>
      <w:r w:rsidRPr="00871863">
        <w:rPr>
          <w:rFonts w:cs="Times New Roman"/>
          <w:noProof/>
          <w:sz w:val="20"/>
        </w:rPr>
        <w:tab/>
        <w:t xml:space="preserve">Desyaf Putra, Dinar Mutiara Kusumo Nugraheni, and Jatmiko Endro Suseno, “Desain Arsitektur Enterprise Berbasis Risiko Teknologi Informasi untuk Sistem Pelatihan: Integrasi COBIT 2019 dan TOGAF ADM,” </w:t>
      </w:r>
      <w:r w:rsidRPr="00871863">
        <w:rPr>
          <w:rFonts w:cs="Times New Roman"/>
          <w:i/>
          <w:iCs/>
          <w:noProof/>
          <w:sz w:val="20"/>
        </w:rPr>
        <w:t>JST (Jurnal Sains dan Teknol.</w:t>
      </w:r>
      <w:r w:rsidRPr="00871863">
        <w:rPr>
          <w:rFonts w:cs="Times New Roman"/>
          <w:noProof/>
          <w:sz w:val="20"/>
        </w:rPr>
        <w:t>, vol. 14, no. 1, pp. 35–46, 2025, doi: 10.23887/jstundiksha.v14i1.93498.</w:t>
      </w:r>
    </w:p>
    <w:p w14:paraId="1C8C8142"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[34]</w:t>
      </w:r>
      <w:r w:rsidRPr="00871863">
        <w:rPr>
          <w:rFonts w:cs="Times New Roman"/>
          <w:noProof/>
          <w:sz w:val="20"/>
        </w:rPr>
        <w:tab/>
        <w:t>C. Hsu and T. Ohio, “The Delphi Technique :,” vol. 12, no. 10, 2007.</w:t>
      </w:r>
    </w:p>
    <w:p w14:paraId="55479173"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[35]</w:t>
      </w:r>
      <w:r w:rsidRPr="00871863">
        <w:rPr>
          <w:rFonts w:cs="Times New Roman"/>
          <w:noProof/>
          <w:sz w:val="20"/>
        </w:rPr>
        <w:tab/>
        <w:t xml:space="preserve">S. S. Hussein, M. N. ri Mahrin, N. Maarop, and N. A. A. Bakar, “Development and validation of enterprise architecture (EA) readiness assessment model,” </w:t>
      </w:r>
      <w:r w:rsidRPr="00871863">
        <w:rPr>
          <w:rFonts w:cs="Times New Roman"/>
          <w:i/>
          <w:iCs/>
          <w:noProof/>
          <w:sz w:val="20"/>
        </w:rPr>
        <w:t>Int. J. Adv. Sci. Eng. Inf. Technol.</w:t>
      </w:r>
      <w:r w:rsidRPr="00871863">
        <w:rPr>
          <w:rFonts w:cs="Times New Roman"/>
          <w:noProof/>
          <w:sz w:val="20"/>
        </w:rPr>
        <w:t>, vol. 10, no. 1, pp. 157–163, 2020, doi: 10.18517/ijaseit.10.1.9007.</w:t>
      </w:r>
    </w:p>
    <w:p w14:paraId="35A3C5C4"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[36]</w:t>
      </w:r>
      <w:r w:rsidRPr="00871863">
        <w:rPr>
          <w:rFonts w:cs="Times New Roman"/>
          <w:noProof/>
          <w:sz w:val="20"/>
        </w:rPr>
        <w:tab/>
        <w:t xml:space="preserve">A. T. Jebb, V. Ng, and L. Tay, “A Review of Key Likert Scale Development Advances: 1995–2019,” </w:t>
      </w:r>
      <w:r w:rsidRPr="00871863">
        <w:rPr>
          <w:rFonts w:cs="Times New Roman"/>
          <w:i/>
          <w:iCs/>
          <w:noProof/>
          <w:sz w:val="20"/>
        </w:rPr>
        <w:t>Front. Psychol.</w:t>
      </w:r>
      <w:r w:rsidRPr="00871863">
        <w:rPr>
          <w:rFonts w:cs="Times New Roman"/>
          <w:noProof/>
          <w:sz w:val="20"/>
        </w:rPr>
        <w:t>, vol. 12, no. May, pp. 1–14, 2021, doi: 10.3389/fpsyg.2021.637547.</w:t>
      </w:r>
    </w:p>
    <w:p w14:paraId="66E6B3A3"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[37]</w:t>
      </w:r>
      <w:r w:rsidRPr="00871863">
        <w:rPr>
          <w:rFonts w:cs="Times New Roman"/>
          <w:noProof/>
          <w:sz w:val="20"/>
        </w:rPr>
        <w:tab/>
        <w:t xml:space="preserve">N. Ilyana </w:t>
      </w:r>
      <w:r w:rsidRPr="00871863">
        <w:rPr>
          <w:rFonts w:cs="Times New Roman"/>
          <w:i/>
          <w:iCs/>
          <w:noProof/>
          <w:sz w:val="20"/>
        </w:rPr>
        <w:t>et al.</w:t>
      </w:r>
      <w:r w:rsidRPr="00871863">
        <w:rPr>
          <w:rFonts w:cs="Times New Roman"/>
          <w:noProof/>
          <w:sz w:val="20"/>
        </w:rPr>
        <w:t>, “Content Valid ity Assessment Using Aiken ’ s V : Knowledge Integration Model for Blockchain in Higher Learning Institutions,” vol. 16, no. 6, pp. 601–608, 2025.</w:t>
      </w:r>
    </w:p>
    <w:p w14:paraId="3B866056"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sz w:val="20"/>
        </w:rPr>
        <w:t>[38]</w:t>
      </w:r>
      <w:r w:rsidRPr="00871863">
        <w:rPr>
          <w:rFonts w:cs="Times New Roman"/>
          <w:noProof/>
          <w:sz w:val="20"/>
        </w:rPr>
        <w:tab/>
        <w:t xml:space="preserve">L. R. Aiken, “Three Coefficients for Analayzing The Reliability and Validity of Rating,” </w:t>
      </w:r>
      <w:r w:rsidRPr="00871863">
        <w:rPr>
          <w:rFonts w:cs="Times New Roman"/>
          <w:i/>
          <w:iCs/>
          <w:noProof/>
          <w:sz w:val="20"/>
        </w:rPr>
        <w:t>Sage J.</w:t>
      </w:r>
      <w:r w:rsidRPr="00871863">
        <w:rPr>
          <w:rFonts w:cs="Times New Roman"/>
          <w:noProof/>
          <w:sz w:val="20"/>
        </w:rPr>
        <w:t>, vol. 4, no. 1, 1985, [Online]. Available: https://journals.sagepub.com/doi/10.1177/0013164485451012</w:t>
      </w:r>
    </w:p>
    <w:p w14:paraId="2D2AA134" w14:textId="77777777" w:rsidR="004A0595" w:rsidRDefault="00F053DD" w:rsidP="00F053DD">
      <w:pPr>
        <w:spacing w:before="120" w:after="40"/>
        <w:jc w:val="left"/>
        <w:rPr>
          <w:sz w:val="20"/>
        </w:rPr>
      </w:pPr>
      <w:r>
        <w:rPr>
          <w:sz w:val="20"/>
        </w:rPr>
        <w:fldChar w:fldCharType="end"/>
      </w:r>
    </w:p>
    <w:p w14:paraId="57771930" w14:textId="77777777" w:rsidR="004A0595" w:rsidRDefault="004A0595" w:rsidP="004A0595">
      <w:pPr>
        <w:spacing w:before="120" w:after="40"/>
        <w:jc w:val="center"/>
        <w:rPr>
          <w:sz w:val="20"/>
        </w:rPr>
      </w:pPr>
    </w:p>
    <w:p w14:paraId="0F0E235A" w14:textId="77777777" w:rsidR="004A0595" w:rsidRDefault="004A0595" w:rsidP="004A0595">
      <w:pPr>
        <w:spacing w:before="120" w:after="40"/>
        <w:jc w:val="center"/>
        <w:rPr>
          <w:sz w:val="20"/>
        </w:rPr>
      </w:pPr>
    </w:p>
    <w:p w14:paraId="2C6EF02A" w14:textId="77777777" w:rsidR="004A0595" w:rsidRDefault="004A0595" w:rsidP="004A0595">
      <w:pPr>
        <w:spacing w:before="120" w:after="40"/>
        <w:jc w:val="center"/>
        <w:rPr>
          <w:sz w:val="20"/>
        </w:rPr>
      </w:pPr>
    </w:p>
    <w:p w14:paraId="37004523" w14:textId="77777777" w:rsidR="004A0595" w:rsidRDefault="004A0595" w:rsidP="004A0595">
      <w:pPr>
        <w:spacing w:before="120" w:after="40"/>
        <w:jc w:val="center"/>
        <w:rPr>
          <w:sz w:val="20"/>
        </w:rPr>
      </w:pPr>
    </w:p>
    <w:p w14:paraId="20692D4D" w14:textId="77777777" w:rsidR="004A0595" w:rsidRDefault="004A0595" w:rsidP="004A0595">
      <w:pPr>
        <w:spacing w:before="120" w:after="40"/>
        <w:jc w:val="center"/>
        <w:rPr>
          <w:sz w:val="20"/>
        </w:rPr>
      </w:pPr>
    </w:p>
    <w:p w14:paraId="7DFBB7CA" w14:textId="77777777" w:rsidR="004A0595" w:rsidRDefault="004A0595" w:rsidP="004A0595">
      <w:pPr>
        <w:spacing w:before="120" w:after="40"/>
        <w:jc w:val="center"/>
        <w:rPr>
          <w:sz w:val="20"/>
        </w:rPr>
      </w:pPr>
    </w:p>
    <w:p w14:paraId="3CC6B1E6" w14:textId="77777777" w:rsidR="004A0595" w:rsidRDefault="004A0595" w:rsidP="004A0595">
      <w:pPr>
        <w:spacing w:before="120" w:after="40"/>
        <w:jc w:val="center"/>
        <w:rPr>
          <w:sz w:val="20"/>
        </w:rPr>
      </w:pPr>
    </w:p>
    <w:p w14:paraId="2DA3A597" w14:textId="77777777" w:rsidR="004A0595" w:rsidRDefault="004A0595" w:rsidP="004A0595">
      <w:pPr>
        <w:spacing w:before="120" w:after="40"/>
        <w:jc w:val="center"/>
        <w:rPr>
          <w:sz w:val="20"/>
        </w:rPr>
      </w:pPr>
    </w:p>
    <w:p w14:paraId="7A144DF2" w14:textId="77777777" w:rsidR="004A0595" w:rsidRDefault="004A0595" w:rsidP="004A0595">
      <w:pPr>
        <w:spacing w:before="120" w:after="40"/>
        <w:jc w:val="center"/>
        <w:rPr>
          <w:sz w:val="20"/>
        </w:rPr>
      </w:pPr>
    </w:p>
    <w:p w14:paraId="77FF30AD" w14:textId="77777777" w:rsidR="004A0595" w:rsidRDefault="004A0595" w:rsidP="004A0595">
      <w:pPr>
        <w:spacing w:before="120" w:after="40"/>
        <w:jc w:val="center"/>
        <w:rPr>
          <w:sz w:val="20"/>
        </w:rPr>
      </w:pPr>
    </w:p>
    <w:p w14:paraId="13FB4F1E" w14:textId="77777777" w:rsidR="004A0595" w:rsidRDefault="004A0595" w:rsidP="004A0595">
      <w:pPr>
        <w:spacing w:before="120" w:after="40"/>
        <w:jc w:val="center"/>
        <w:rPr>
          <w:sz w:val="20"/>
        </w:rPr>
      </w:pPr>
    </w:p>
    <w:p w14:paraId="2B16E587" w14:textId="77777777" w:rsidR="004A0595" w:rsidRDefault="004A0595" w:rsidP="004A0595">
      <w:pPr>
        <w:spacing w:before="120" w:after="40"/>
        <w:jc w:val="center"/>
        <w:rPr>
          <w:sz w:val="20"/>
        </w:rPr>
      </w:pPr>
    </w:p>
    <w:p w14:paraId="2870254A" w14:textId="77777777" w:rsidR="004A0595" w:rsidRDefault="004A0595" w:rsidP="004A0595">
      <w:pPr>
        <w:spacing w:before="120" w:after="40"/>
        <w:jc w:val="center"/>
        <w:rPr>
          <w:sz w:val="20"/>
        </w:rPr>
      </w:pPr>
    </w:p>
    <w:p w14:paraId="71535907" w14:textId="77777777" w:rsidR="005974CE" w:rsidRDefault="005974CE" w:rsidP="00F859D2">
      <w:pPr>
        <w:spacing w:after="40"/>
      </w:pPr>
    </w:p>
    <w:p w14:paraId="6D90E0F5" w14:textId="287E4A6F" w:rsidR="00C9489F" w:rsidRDefault="00F57251">
      <w:r>
        <w:rPr>
          <w:b/>
          <w:color w:val="FF0000"/>
        </w:rPr>
        <w:t xml:space="preserve"> </w:t>
      </w:r>
    </w:p>
    <w:sectPr w:rsidR="00C9489F" w:rsidSect="00034616">
      <w:type w:val="continuous"/>
      <w:pgSz w:w="11906" w:h="16838"/>
      <w:pgMar w:top="1440" w:right="1077" w:bottom="1440" w:left="1077" w:header="850" w:footer="992" w:gutter="0"/>
      <w:cols w:num="2" w:space="50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mbang Suhartono" w:date="2026-09-16T22:30:00Z" w:initials="Bambang">
    <w:p w14:paraId="46FB3A37" w14:textId="77777777" w:rsidR="00534841" w:rsidRDefault="00534841" w:rsidP="00534841">
      <w:pPr>
        <w:pStyle w:val="TeksKomentar"/>
        <w:jc w:val="left"/>
      </w:pPr>
      <w:r>
        <w:rPr>
          <w:rStyle w:val="ReferensiKomentar"/>
        </w:rPr>
        <w:annotationRef/>
      </w:r>
      <w:r>
        <w:t>Comment 5 : (Reviewer 1)</w:t>
      </w:r>
    </w:p>
    <w:p w14:paraId="2EF534D6" w14:textId="77777777" w:rsidR="00534841" w:rsidRDefault="00534841" w:rsidP="00534841">
      <w:pPr>
        <w:pStyle w:val="TeksKomentar"/>
        <w:jc w:val="left"/>
      </w:pPr>
    </w:p>
    <w:p w14:paraId="2124BA4C" w14:textId="77777777" w:rsidR="00534841" w:rsidRDefault="00534841" w:rsidP="00534841">
      <w:pPr>
        <w:pStyle w:val="TeksKomentar"/>
        <w:jc w:val="left"/>
      </w:pPr>
      <w:r>
        <w:rPr>
          <w:color w:val="EE0000"/>
        </w:rPr>
        <w:t>The statement that the overall readiness index is “79.4% of the target of 85%” is mathematically incorrect. Dividing the reported mean of 71.4% by the target of 85% gives approximately 84.0%, not 79.4%. If the authors intend to express target attainment, the correct value should be approximately 84.0%. If 79.4% was derived using another formula, that formula and its rationale must be stated explicitly</w:t>
      </w:r>
      <w:r>
        <w:t>.</w:t>
      </w:r>
    </w:p>
  </w:comment>
  <w:comment w:id="1" w:author="Bambang Suhartono" w:date="2026-09-16T22:30:00Z" w:initials="Bambang">
    <w:p w14:paraId="45FB38FF" w14:textId="77777777" w:rsidR="00534841" w:rsidRDefault="00534841" w:rsidP="00534841">
      <w:pPr>
        <w:pStyle w:val="TeksKomentar"/>
        <w:jc w:val="left"/>
      </w:pPr>
      <w:r>
        <w:rPr>
          <w:rStyle w:val="ReferensiKomentar"/>
        </w:rPr>
        <w:annotationRef/>
      </w:r>
      <w:r>
        <w:rPr>
          <w:lang w:val="id-ID"/>
        </w:rPr>
        <w:t>Thank you for this observation. We acknowledge that the previous calculation was incorrectly interpreted . The revised manuscript recalculates the achievement level using the formula:</w:t>
      </w:r>
    </w:p>
    <w:p w14:paraId="51C66208" w14:textId="77777777" w:rsidR="00534841" w:rsidRDefault="00534841" w:rsidP="00534841">
      <w:pPr>
        <w:pStyle w:val="TeksKomentar"/>
        <w:jc w:val="left"/>
      </w:pPr>
      <w:r>
        <w:rPr>
          <w:lang w:val="id-ID"/>
        </w:rPr>
        <w:t>Target Achievement (%) = (Current Score / Target Score) × 100</w:t>
      </w:r>
    </w:p>
    <w:p w14:paraId="42ABAD1D" w14:textId="77777777" w:rsidR="00534841" w:rsidRDefault="00534841" w:rsidP="00534841">
      <w:pPr>
        <w:pStyle w:val="TeksKomentar"/>
        <w:jc w:val="left"/>
      </w:pPr>
      <w:r>
        <w:rPr>
          <w:lang w:val="id-ID"/>
        </w:rPr>
        <w:t>Based on this calculation, the achievement level is (71.4/85) × 100 = 84.0%. The incorrect statement has been removed and replaced with the correct interpretation.</w:t>
      </w:r>
    </w:p>
    <w:p w14:paraId="4F1D1411" w14:textId="77777777" w:rsidR="00534841" w:rsidRDefault="00534841" w:rsidP="00534841">
      <w:pPr>
        <w:pStyle w:val="TeksKomentar"/>
        <w:jc w:val="left"/>
      </w:pPr>
    </w:p>
    <w:p w14:paraId="5F873785" w14:textId="77777777" w:rsidR="00534841" w:rsidRDefault="00534841" w:rsidP="00534841">
      <w:pPr>
        <w:pStyle w:val="TeksKomentar"/>
        <w:jc w:val="left"/>
      </w:pPr>
      <w:r>
        <w:rPr>
          <w:lang w:val="id-ID"/>
        </w:rPr>
        <w:t>Overall, the average readiness index across all dimensions reached 71%of the target of 85%. as related to comment 4</w:t>
      </w:r>
    </w:p>
  </w:comment>
  <w:comment w:id="2" w:author="Bambang Suhartono" w:date="2026-08-06T22:23:00Z" w:initials="Bambang">
    <w:p w14:paraId="2EF0B3C5" w14:textId="77777777" w:rsidR="0089285D" w:rsidRDefault="00E62FDB" w:rsidP="0089285D">
      <w:pPr>
        <w:pStyle w:val="TeksKomentar"/>
        <w:jc w:val="left"/>
      </w:pPr>
      <w:r>
        <w:rPr>
          <w:rStyle w:val="ReferensiKomentar"/>
        </w:rPr>
        <w:annotationRef/>
      </w:r>
      <w:r w:rsidR="0089285D">
        <w:t xml:space="preserve"> Comment 8 : (Reviewer 1)</w:t>
      </w:r>
    </w:p>
    <w:p w14:paraId="632D6B6C" w14:textId="77777777" w:rsidR="0089285D" w:rsidRDefault="0089285D" w:rsidP="0089285D">
      <w:pPr>
        <w:pStyle w:val="TeksKomentar"/>
        <w:jc w:val="left"/>
      </w:pPr>
    </w:p>
    <w:p w14:paraId="7E93F37A" w14:textId="77777777" w:rsidR="0089285D" w:rsidRDefault="0089285D" w:rsidP="0089285D">
      <w:pPr>
        <w:pStyle w:val="TeksKomentar"/>
        <w:jc w:val="left"/>
      </w:pPr>
      <w:r>
        <w:t>The abstract states that the enterprise architecture blueprint, governance objective mapping, and capability assessment dimensions have gaps of “around 15%.” Their reported gaps are 13%, 16%, and 15%, respectively. Although “around 15%” is approximately defensible, the abstract should preferably report the exact values because these dimensions are later used to support comparative interpretations. Exact reporting would also prevent confusion with the incorrectly reported average gap of 15.6%.</w:t>
      </w:r>
    </w:p>
  </w:comment>
  <w:comment w:id="3" w:author="Bambang Suhartono" w:date="2026-09-16T22:19:00Z" w:initials="Bambang">
    <w:p w14:paraId="1D8D7BFF" w14:textId="77777777" w:rsidR="00534841" w:rsidRDefault="00924FFC" w:rsidP="00534841">
      <w:pPr>
        <w:pStyle w:val="TeksKomentar"/>
        <w:jc w:val="left"/>
      </w:pPr>
      <w:r>
        <w:rPr>
          <w:rStyle w:val="ReferensiKomentar"/>
        </w:rPr>
        <w:annotationRef/>
      </w:r>
      <w:r w:rsidR="00534841">
        <w:t>Thank you for the suggestion. We have revised the Abstract section by replacing approximate expressions with exact quantitative values obtained from the evaluation results.</w:t>
      </w:r>
    </w:p>
    <w:p w14:paraId="57DA94C4" w14:textId="77777777" w:rsidR="00534841" w:rsidRDefault="00534841" w:rsidP="00534841">
      <w:pPr>
        <w:pStyle w:val="TeksKomentar"/>
        <w:jc w:val="left"/>
      </w:pPr>
    </w:p>
    <w:p w14:paraId="5C7D5F90" w14:textId="77777777" w:rsidR="00534841" w:rsidRDefault="00534841" w:rsidP="00534841">
      <w:pPr>
        <w:pStyle w:val="TeksKomentar"/>
        <w:jc w:val="left"/>
      </w:pPr>
      <w:r>
        <w:rPr>
          <w:b/>
          <w:bCs/>
        </w:rPr>
        <w:t xml:space="preserve">Abstract: </w:t>
      </w:r>
      <w:r>
        <w:rPr>
          <w:lang w:val="id-ID"/>
        </w:rPr>
        <w:t xml:space="preserve">Information technology strategic planning is required to align digital investment , enterprise architecture , and governance technology information with the organization's objectives. However, the existing approach is still generally separated into strategic analysis, formulation architecture, and governance control. This research proposes an integrated framework based on Ward &amp; Peppard, TOGAF, and COBIT 2019 using the Design Science Research approach. This research has never been conducted before. The framework is designed to connect analysis, business and systems information / technology information , portfolio applications , enterprise architecture blueprint , governance objectives, capability assessment, risk control, readiness index, and performance measurement. Validation was conducted using expert judgment and the Delphi method with 19 respondents. The calculation resultsshow that the framework is capable strengthen traceability between strategy, architecture , governance , risk , and implementation roadmap , where The strategic alignment dimension has a gap of 7% from </w:t>
      </w:r>
      <w:r>
        <w:rPr>
          <w:color w:val="0070C0"/>
        </w:rPr>
        <w:t>from current score of 78 %</w:t>
      </w:r>
      <w:r>
        <w:t xml:space="preserve"> </w:t>
      </w:r>
      <w:r>
        <w:rPr>
          <w:color w:val="0070C0"/>
        </w:rPr>
        <w:t>and a</w:t>
      </w:r>
      <w:r>
        <w:rPr>
          <w:lang w:val="id-ID"/>
        </w:rPr>
        <w:t xml:space="preserve"> </w:t>
      </w:r>
      <w:r>
        <w:rPr>
          <w:strike/>
          <w:lang w:val="id-ID"/>
        </w:rPr>
        <w:t xml:space="preserve">the </w:t>
      </w:r>
      <w:r>
        <w:rPr>
          <w:lang w:val="id-ID"/>
        </w:rPr>
        <w:t xml:space="preserve">target of 85%, while risk and control integration has the largest gap . by 19% </w:t>
      </w:r>
      <w:r>
        <w:rPr>
          <w:color w:val="0070C0"/>
        </w:rPr>
        <w:t>from current score of 66 %</w:t>
      </w:r>
      <w:r>
        <w:t xml:space="preserve"> </w:t>
      </w:r>
      <w:r>
        <w:rPr>
          <w:color w:val="0070C0"/>
        </w:rPr>
        <w:t>and a</w:t>
      </w:r>
      <w:r>
        <w:rPr>
          <w:lang w:val="id-ID"/>
        </w:rPr>
        <w:t xml:space="preserve"> of </w:t>
      </w:r>
      <w:r>
        <w:rPr>
          <w:strike/>
          <w:lang w:val="id-ID"/>
        </w:rPr>
        <w:t xml:space="preserve">the </w:t>
      </w:r>
      <w:r>
        <w:rPr>
          <w:lang w:val="id-ID"/>
        </w:rPr>
        <w:t xml:space="preserve">target of 85%, dimensions Other aspects , such as Enterprise architecture blueprint, Governance objective mapping , and Capability assessment  have a gap of  around 13%, 16% and 15%, while Performance measurement has a gap of 17%. </w:t>
      </w:r>
      <w:r>
        <w:rPr>
          <w:strike/>
          <w:lang w:val="id-ID"/>
        </w:rPr>
        <w:t>Overall, the average readiness index across all dimensions reached 71.4%, 79.4% of the target of 85%.</w:t>
      </w:r>
      <w:r>
        <w:rPr>
          <w:lang w:val="id-ID"/>
        </w:rPr>
        <w:t xml:space="preserve"> </w:t>
      </w:r>
      <w:r>
        <w:rPr>
          <w:color w:val="002060"/>
        </w:rPr>
        <w:t>Overall, the average readiness index across all dimensions reached 71%of the target of 85%</w:t>
      </w:r>
      <w:r>
        <w:t>.</w:t>
      </w:r>
      <w:r>
        <w:rPr>
          <w:lang w:val="id-ID"/>
        </w:rPr>
        <w:t xml:space="preserve"> Contribution to the main study: These are conceptual artifacts that can serve as a basis for preparing the IT Master Plan and the organization's digital transformation.</w:t>
      </w:r>
    </w:p>
  </w:comment>
  <w:comment w:id="4" w:author="Bambang Suhartono" w:date="2026-09-16T22:33:00Z" w:initials="Bambang">
    <w:p w14:paraId="6F7B7F07" w14:textId="77777777" w:rsidR="00940BEA" w:rsidRDefault="00940BEA" w:rsidP="00940BEA">
      <w:pPr>
        <w:pStyle w:val="TeksKomentar"/>
        <w:jc w:val="left"/>
      </w:pPr>
      <w:r>
        <w:rPr>
          <w:rStyle w:val="ReferensiKomentar"/>
        </w:rPr>
        <w:annotationRef/>
      </w:r>
      <w:r>
        <w:t>Respon to comment 1 from reviewer 1</w:t>
      </w:r>
    </w:p>
  </w:comment>
  <w:comment w:id="5" w:author="Bambang Suhartono" w:date="2026-09-16T22:43:00Z" w:initials="Bambang">
    <w:p w14:paraId="6BB162BB" w14:textId="77777777" w:rsidR="0057105A" w:rsidRDefault="0057105A" w:rsidP="0057105A">
      <w:pPr>
        <w:pStyle w:val="TeksKomentar"/>
        <w:jc w:val="left"/>
      </w:pPr>
      <w:r>
        <w:rPr>
          <w:rStyle w:val="ReferensiKomentar"/>
        </w:rPr>
        <w:annotationRef/>
      </w:r>
      <w:r>
        <w:t>Comment 2 (From Reviewer 1)</w:t>
      </w:r>
    </w:p>
    <w:p w14:paraId="0F259832" w14:textId="77777777" w:rsidR="0057105A" w:rsidRDefault="0057105A" w:rsidP="0057105A">
      <w:pPr>
        <w:pStyle w:val="TeksKomentar"/>
        <w:jc w:val="left"/>
      </w:pPr>
    </w:p>
    <w:p w14:paraId="688C44B6" w14:textId="77777777" w:rsidR="0057105A" w:rsidRDefault="0057105A" w:rsidP="0057105A">
      <w:pPr>
        <w:pStyle w:val="TeksKomentar"/>
        <w:jc w:val="left"/>
      </w:pPr>
      <w:r>
        <w:t xml:space="preserve">2. </w:t>
      </w:r>
      <w:r>
        <w:rPr>
          <w:color w:val="EE0000"/>
        </w:rPr>
        <w:t>The authors' proposed method does not adequately describe their data. The drawback and limitation described in section 2 are not supported by any demonstrations. Readers will fail to understand the scientific contribution of this research. The authors should justify it by demonstrating specific data in the comparison part.</w:t>
      </w:r>
    </w:p>
  </w:comment>
  <w:comment w:id="6" w:author="Bambang Suhartono" w:date="2026-09-16T22:44:00Z" w:initials="Bambang">
    <w:p w14:paraId="535D8A3E" w14:textId="77777777" w:rsidR="0057105A" w:rsidRDefault="0057105A" w:rsidP="0057105A">
      <w:pPr>
        <w:pStyle w:val="TeksKomentar"/>
        <w:jc w:val="left"/>
      </w:pPr>
      <w:r>
        <w:rPr>
          <w:rStyle w:val="ReferensiKomentar"/>
        </w:rPr>
        <w:annotationRef/>
      </w:r>
      <w:r>
        <w:t>Comment 1 (From Reviewer 2) :</w:t>
      </w:r>
    </w:p>
    <w:p w14:paraId="468D3BCC" w14:textId="77777777" w:rsidR="0057105A" w:rsidRDefault="0057105A" w:rsidP="0057105A">
      <w:pPr>
        <w:pStyle w:val="TeksKomentar"/>
        <w:jc w:val="left"/>
      </w:pPr>
    </w:p>
    <w:p w14:paraId="4DE19226" w14:textId="77777777" w:rsidR="0057105A" w:rsidRDefault="0057105A" w:rsidP="0057105A">
      <w:pPr>
        <w:pStyle w:val="TeksKomentar"/>
        <w:jc w:val="left"/>
      </w:pPr>
      <w:r>
        <w:rPr>
          <w:color w:val="000000"/>
        </w:rPr>
        <w:t>The manuscript does not contain a head-to-head quantitative comparison against any baseline. Ward and Peppard, TOGAF, COBIT 2019, and prior two-framework integrations are discussed descriptively, but they are not applied to the same organization, requirements, evaluators, or outcome criteria. Consequently, the study cannot determine whether PRASASTI improves strategic alignment, artifact completeness, governance coverage, planning time, decision quality, or implementation success. The authors should evaluate PRASASTI and at least three credible baselines under an identical case protocol. Relevant baselines should include TOGAF alone, Ward and Peppard combined with TOGAF, and TOGAF combined with COBIT 2019. The comparison should report predefined quantitative measures, uncertainty estimates, and qualitative implementation costs.</w:t>
      </w:r>
    </w:p>
  </w:comment>
  <w:comment w:id="7" w:author="Bambang Suhartono" w:date="2026-09-17T00:23:00Z" w:initials="Bambang">
    <w:p w14:paraId="074D3641" w14:textId="77777777" w:rsidR="00BD50C2" w:rsidRDefault="00BD50C2" w:rsidP="00BD50C2">
      <w:pPr>
        <w:pStyle w:val="TeksKomentar"/>
        <w:jc w:val="left"/>
      </w:pPr>
      <w:r>
        <w:rPr>
          <w:rStyle w:val="ReferensiKomentar"/>
        </w:rPr>
        <w:annotationRef/>
      </w:r>
      <w:r>
        <w:t>Comment 7 : Reviewer 2 :</w:t>
      </w:r>
    </w:p>
    <w:p w14:paraId="3827001B" w14:textId="77777777" w:rsidR="00BD50C2" w:rsidRDefault="00BD50C2" w:rsidP="00BD50C2">
      <w:pPr>
        <w:pStyle w:val="TeksKomentar"/>
        <w:jc w:val="left"/>
      </w:pPr>
    </w:p>
    <w:p w14:paraId="76B09215" w14:textId="77777777" w:rsidR="00BD50C2" w:rsidRDefault="00BD50C2" w:rsidP="00BD50C2">
      <w:pPr>
        <w:pStyle w:val="TeksKomentar"/>
        <w:jc w:val="left"/>
      </w:pPr>
      <w:r>
        <w:t>The expert-validation design may contain dependence and confirmation biases that are not adequately controlled. The manuscript does not report whether experts were anonymous to one another, whether the framework developers participated in validation, how conflicts of interest were managed, or whether experts independently evaluated competing frameworks. Because the evaluation instrument appears to have been designed around the proposed framework’s own dimensions, high agreement may partly reflect criterion alignment rather than comparative merit. The study should include independent assessors, blinded artifact evaluation where feasible, balanced baseline descriptions, preregistered criteria, and analysis of agreement by expert category.</w:t>
      </w:r>
    </w:p>
  </w:comment>
  <w:comment w:id="8" w:author="Bambang Suhartono" w:date="2026-09-17T00:23:00Z" w:initials="Bambang">
    <w:p w14:paraId="0FB8645D" w14:textId="77777777" w:rsidR="00BD50C2" w:rsidRDefault="00BD50C2" w:rsidP="00BD50C2">
      <w:pPr>
        <w:pStyle w:val="TeksKomentar"/>
        <w:jc w:val="left"/>
      </w:pPr>
      <w:r>
        <w:rPr>
          <w:rStyle w:val="ReferensiKomentar"/>
        </w:rPr>
        <w:annotationRef/>
      </w:r>
      <w:r>
        <w:t xml:space="preserve">Thank you for raising this important concern. </w:t>
      </w:r>
    </w:p>
    <w:p w14:paraId="1E8C3E05" w14:textId="77777777" w:rsidR="00BD50C2" w:rsidRDefault="00BD50C2" w:rsidP="00BD50C2">
      <w:pPr>
        <w:pStyle w:val="TeksKomentar"/>
        <w:jc w:val="left"/>
      </w:pPr>
      <w:r>
        <w:t xml:space="preserve">The Delphi validation process was conducted through independent expert assessments to minimize individual influence and confirmation bias. Experts were selected based on their experience in IT strategic planning, enterprise architecture, IT governance, and information systems research. The iterative Delphi process allowed refinement of assessment items based on collective expert feedback." </w:t>
      </w:r>
    </w:p>
  </w:comment>
  <w:comment w:id="9" w:author="Bambang Suhartono" w:date="2026-09-13T18:05:00Z" w:initials="Bambang">
    <w:p w14:paraId="1546F66B" w14:textId="77777777" w:rsidR="00585202" w:rsidRDefault="00585202" w:rsidP="00E83A21">
      <w:pPr>
        <w:pStyle w:val="TeksKomentar"/>
        <w:jc w:val="left"/>
      </w:pPr>
      <w:r>
        <w:rPr>
          <w:rStyle w:val="ReferensiKomentar"/>
        </w:rPr>
        <w:annotationRef/>
      </w:r>
      <w:r>
        <w:t>This is for the update sentences for comment 2 , from reviewer 2</w:t>
      </w:r>
    </w:p>
  </w:comment>
  <w:comment w:id="10" w:author="Bambang Suhartono" w:date="2026-08-06T23:44:00Z" w:initials="Bambang">
    <w:p w14:paraId="15ECB9EC" w14:textId="77777777" w:rsidR="00585202" w:rsidRDefault="00585202" w:rsidP="00FB3F81">
      <w:pPr>
        <w:pStyle w:val="TeksKomentar"/>
        <w:jc w:val="left"/>
      </w:pPr>
      <w:r>
        <w:rPr>
          <w:rStyle w:val="ReferensiKomentar"/>
        </w:rPr>
        <w:annotationRef/>
      </w:r>
      <w:r>
        <w:t xml:space="preserve">This is updated , related comment 11 from reviewer 1 </w:t>
      </w:r>
    </w:p>
  </w:comment>
  <w:comment w:id="11" w:author="Bambang Suhartono" w:date="2026-09-17T00:36:00Z" w:initials="Bambang">
    <w:p w14:paraId="38B032DD" w14:textId="77777777" w:rsidR="00A82AF3" w:rsidRDefault="00A82AF3" w:rsidP="00A82AF3">
      <w:pPr>
        <w:pStyle w:val="TeksKomentar"/>
        <w:jc w:val="left"/>
      </w:pPr>
      <w:r>
        <w:rPr>
          <w:rStyle w:val="ReferensiKomentar"/>
        </w:rPr>
        <w:annotationRef/>
      </w:r>
      <w:r>
        <w:t>Comment 5 , Reviewer 2 :</w:t>
      </w:r>
    </w:p>
    <w:p w14:paraId="5A9C0846" w14:textId="77777777" w:rsidR="00A82AF3" w:rsidRDefault="00A82AF3" w:rsidP="00A82AF3">
      <w:pPr>
        <w:pStyle w:val="TeksKomentar"/>
        <w:jc w:val="left"/>
      </w:pPr>
    </w:p>
    <w:p w14:paraId="3C83121F" w14:textId="77777777" w:rsidR="00A82AF3" w:rsidRDefault="00A82AF3" w:rsidP="00A82AF3">
      <w:pPr>
        <w:pStyle w:val="TeksKomentar"/>
        <w:jc w:val="left"/>
      </w:pPr>
      <w:r>
        <w:rPr>
          <w:color w:val="EE0000"/>
        </w:rPr>
        <w:t>1.</w:t>
      </w:r>
      <w:r>
        <w:rPr>
          <w:color w:val="EE0000"/>
        </w:rPr>
        <w:tab/>
        <w:t>The novelty claim is based primarily on combining three established frameworks rather than demonstrating a new integration mechanism. The manuscript provides extensive correspondence tables, but most mappings appear to place existing activities in sequence. It does not define conflict-resolution rules, feedback loops, formal traceability relations, optimization procedures, or theoretically derived constructs that could not be obtained by applying the source frameworks consecutively. The authors should identify the precise design knowledge contributed by PRASASTI, including how outputs are transformed between stages, how overlapping controls are reconciled, how priorities propagate through the architecture and governance layers, and which decisions differ from ordinary multi-framework tailoring.</w:t>
      </w:r>
    </w:p>
  </w:comment>
  <w:comment w:id="12" w:author="Bambang Suhartono" w:date="2026-09-17T00:36:00Z" w:initials="Bambang">
    <w:p w14:paraId="5E9B42DA" w14:textId="77777777" w:rsidR="00A82AF3" w:rsidRDefault="00A82AF3" w:rsidP="00A82AF3">
      <w:pPr>
        <w:pStyle w:val="TeksKomentar"/>
        <w:jc w:val="left"/>
      </w:pPr>
      <w:r>
        <w:rPr>
          <w:rStyle w:val="ReferensiKomentar"/>
        </w:rPr>
        <w:annotationRef/>
      </w:r>
      <w:r>
        <w:rPr>
          <w:lang w:val="id-ID"/>
        </w:rPr>
        <w:t>Thank you for this valuable and constructive comment. We agree that the previous manuscript did not sufficiently emphasize the specific design knowledge contributed by PRASASTI, which could make the proposed framework appear as a sequential combination of Ward and Peppard, TOGAF ADM, and COBIT 2019.</w:t>
      </w:r>
    </w:p>
    <w:p w14:paraId="05608E8C" w14:textId="77777777" w:rsidR="00A82AF3" w:rsidRDefault="00A82AF3" w:rsidP="00A82AF3">
      <w:pPr>
        <w:pStyle w:val="TeksKomentar"/>
        <w:jc w:val="left"/>
      </w:pPr>
      <w:r>
        <w:rPr>
          <w:lang w:val="id-ID"/>
        </w:rPr>
        <w:t>To address this concern, we have revised the manuscript by clarifying that the novelty of PRASASTI is not based on merely integrating three established frameworks, but on introducing an integration mechanism that regulates the transformation, alignment, and traceability of outputs across strategic planning, enterprise architecture, and IT governance layers. (Table 6. Table 6. Integration Mapping of Ward and Peppard, TOGAF, and COBIT 2019 into the Proposed PRASASTI Framework)</w:t>
      </w:r>
    </w:p>
    <w:p w14:paraId="6449532B" w14:textId="77777777" w:rsidR="00A82AF3" w:rsidRDefault="00A82AF3" w:rsidP="00A82AF3">
      <w:pPr>
        <w:pStyle w:val="TeksKomentar"/>
        <w:jc w:val="left"/>
      </w:pPr>
    </w:p>
    <w:p w14:paraId="6C088F4E" w14:textId="77777777" w:rsidR="00A82AF3" w:rsidRDefault="00A82AF3" w:rsidP="00A82AF3">
      <w:pPr>
        <w:pStyle w:val="TeksKomentar"/>
        <w:jc w:val="left"/>
      </w:pPr>
      <w:r>
        <w:rPr>
          <w:lang w:val="id-ID"/>
        </w:rPr>
        <w:t>The revised manuscript introduces an Integration Matrix Model of IT Strategic Planning Using Ward and Peppard, TOGAF ADM, and COBIT 2019. This model explicitly defines the contribution of each framework, the transformation mechanism between stages, the resulting artifacts, and the corresponding PRASASTI dimensions.</w:t>
      </w:r>
    </w:p>
    <w:p w14:paraId="1F6E98C0" w14:textId="77777777" w:rsidR="00A82AF3" w:rsidRDefault="00A82AF3" w:rsidP="00A82AF3">
      <w:pPr>
        <w:pStyle w:val="TeksKomentar"/>
        <w:jc w:val="left"/>
      </w:pPr>
      <w:r>
        <w:rPr>
          <w:lang w:val="id-ID"/>
        </w:rPr>
        <w:t>In the proposed mechanism, Ward and Peppard is positioned as the strategic analysis foundation to transform business objectives into strategic IT requirements. These requirements are subsequently transformed through TOGAF ADM into enterprise architecture artifacts covering business, data, application, and technology domains. Furthermore, COBIT 2019 is integrated to translate architecture and strategic requirements into governance objectives, management objectives, control mechanisms, capability targets, and performance indicators.</w:t>
      </w:r>
    </w:p>
    <w:p w14:paraId="70E6C980" w14:textId="77777777" w:rsidR="00A82AF3" w:rsidRDefault="00A82AF3" w:rsidP="00A82AF3">
      <w:pPr>
        <w:pStyle w:val="TeksKomentar"/>
        <w:jc w:val="left"/>
      </w:pPr>
      <w:r>
        <w:rPr>
          <w:lang w:val="id-ID"/>
        </w:rPr>
        <w:t>Unlike conventional multi-framework tailoring approaches that sequentially apply independent frameworks, PRASASTI introduces explicit transformation relationships:</w:t>
      </w:r>
      <w:r>
        <w:rPr>
          <w:lang w:val="id-ID"/>
        </w:rPr>
        <w:br/>
        <w:t>(1) requirement transformation from business objectives into IT strategic requirements;</w:t>
      </w:r>
      <w:r>
        <w:rPr>
          <w:lang w:val="id-ID"/>
        </w:rPr>
        <w:br/>
        <w:t>(2) priority propagation from business priorities into architecture and governance decisions;</w:t>
      </w:r>
      <w:r>
        <w:rPr>
          <w:lang w:val="id-ID"/>
        </w:rPr>
        <w:br/>
        <w:t>(3) artifact traceability from strategic requirements to architecture components, governance controls, and performance indicators; and</w:t>
      </w:r>
      <w:r>
        <w:rPr>
          <w:lang w:val="id-ID"/>
        </w:rPr>
        <w:br/>
        <w:t>(4) feedback mechanisms using capability assessment, gap analysis, and KPI evaluation for continuous improvement.</w:t>
      </w:r>
    </w:p>
    <w:p w14:paraId="60CD25D7" w14:textId="77777777" w:rsidR="00A82AF3" w:rsidRDefault="00A82AF3" w:rsidP="00A82AF3">
      <w:pPr>
        <w:pStyle w:val="TeksKomentar"/>
        <w:jc w:val="left"/>
      </w:pPr>
      <w:r>
        <w:rPr>
          <w:lang w:val="id-ID"/>
        </w:rPr>
        <w:t>These revisions clarify that the contribution of PRASASTI is not the combination of existing frameworks, but the proposed integration mechanism that enables structured decision flow and traceability across IT strategic planning, enterprise architecture, and governance domains.</w:t>
      </w:r>
    </w:p>
    <w:p w14:paraId="08C14D81" w14:textId="77777777" w:rsidR="00A82AF3" w:rsidRDefault="00A82AF3" w:rsidP="00A82AF3">
      <w:pPr>
        <w:pStyle w:val="TeksKomentar"/>
        <w:jc w:val="left"/>
      </w:pPr>
    </w:p>
  </w:comment>
  <w:comment w:id="13" w:author="Bambang Suhartono" w:date="2026-08-06T23:19:00Z" w:initials="Bambang">
    <w:p w14:paraId="6971463E" w14:textId="77777777" w:rsidR="00C94701" w:rsidRDefault="00C94701" w:rsidP="003445E1">
      <w:pPr>
        <w:pStyle w:val="TeksKomentar"/>
        <w:jc w:val="left"/>
      </w:pPr>
      <w:r>
        <w:rPr>
          <w:rStyle w:val="ReferensiKomentar"/>
        </w:rPr>
        <w:annotationRef/>
      </w:r>
      <w:r>
        <w:t>This is for the added for comment 9 : (Reviewer 1)</w:t>
      </w:r>
    </w:p>
  </w:comment>
  <w:comment w:id="14" w:author="Bambang Suhartono" w:date="2026-09-17T00:43:00Z" w:initials="Bambang">
    <w:p w14:paraId="2AA5B247" w14:textId="77777777" w:rsidR="00922C9B" w:rsidRDefault="00922C9B" w:rsidP="00922C9B">
      <w:pPr>
        <w:pStyle w:val="TeksKomentar"/>
        <w:jc w:val="left"/>
      </w:pPr>
      <w:r>
        <w:rPr>
          <w:rStyle w:val="ReferensiKomentar"/>
        </w:rPr>
        <w:annotationRef/>
      </w:r>
      <w:r>
        <w:t>Comment 9 : (Reviewer 1)</w:t>
      </w:r>
    </w:p>
    <w:p w14:paraId="31B505B1" w14:textId="77777777" w:rsidR="00922C9B" w:rsidRDefault="00922C9B" w:rsidP="00922C9B">
      <w:pPr>
        <w:pStyle w:val="TeksKomentar"/>
        <w:jc w:val="left"/>
      </w:pPr>
    </w:p>
    <w:p w14:paraId="76E0EDE4" w14:textId="77777777" w:rsidR="00922C9B" w:rsidRDefault="00922C9B" w:rsidP="00922C9B">
      <w:pPr>
        <w:pStyle w:val="TeksKomentar"/>
        <w:jc w:val="left"/>
      </w:pPr>
      <w:r>
        <w:t>The respondent percentages are rounded in a way that should be explicitly documented. The exact proportions are 26.3% for 5 of 19 respondents, 15.8% for 3 of 19, 21.1% for 4 of 19, and 10.5% for 2 of 19. Table 6 reports these as 26%, 16%, 21%, and 11%. The rounded values sum to 100%, so the table is not mathematically incorrect, but the manuscript should state that percentages were rounded to the nearest whole number and use the same precision consistently.</w:t>
      </w:r>
    </w:p>
  </w:comment>
  <w:comment w:id="15" w:author="Bambang Suhartono" w:date="2026-09-17T00:44:00Z" w:initials="Bambang">
    <w:p w14:paraId="5ABC5940" w14:textId="77777777" w:rsidR="00922C9B" w:rsidRDefault="00922C9B" w:rsidP="00922C9B">
      <w:pPr>
        <w:pStyle w:val="TeksKomentar"/>
        <w:jc w:val="left"/>
      </w:pPr>
      <w:r>
        <w:rPr>
          <w:rStyle w:val="ReferensiKomentar"/>
        </w:rPr>
        <w:annotationRef/>
      </w:r>
      <w:r>
        <w:t xml:space="preserve">Thank you for the comment. We have added an explanation that respondent percentages are rounded for presentation purposes, while all statistical calculations were conducted using the original numerical values . Has been added for the sentenced . below Respondent Profile Table , with : </w:t>
      </w:r>
    </w:p>
    <w:p w14:paraId="06B8E09E" w14:textId="77777777" w:rsidR="00922C9B" w:rsidRDefault="00922C9B" w:rsidP="00922C9B">
      <w:pPr>
        <w:pStyle w:val="TeksKomentar"/>
        <w:jc w:val="left"/>
      </w:pPr>
    </w:p>
    <w:p w14:paraId="00CA1B6F" w14:textId="77777777" w:rsidR="00922C9B" w:rsidRDefault="00922C9B" w:rsidP="00922C9B">
      <w:pPr>
        <w:pStyle w:val="TeksKomentar"/>
        <w:jc w:val="left"/>
      </w:pPr>
      <w:r>
        <w:rPr>
          <w:color w:val="0070C0"/>
        </w:rPr>
        <w:t>The respondent percentages presented in Table 6 are rounded to the nearest whole number for presentation purposes, while all statistical calculations were performed using the original numerical values</w:t>
      </w:r>
    </w:p>
  </w:comment>
  <w:comment w:id="16" w:author="Bambang Suhartono" w:date="2026-09-17T00:45:00Z" w:initials="Bambang">
    <w:p w14:paraId="18FFB5AC" w14:textId="77777777" w:rsidR="00922C9B" w:rsidRDefault="00922C9B" w:rsidP="00922C9B">
      <w:pPr>
        <w:pStyle w:val="TeksKomentar"/>
        <w:jc w:val="left"/>
      </w:pPr>
      <w:r>
        <w:rPr>
          <w:rStyle w:val="ReferensiKomentar"/>
        </w:rPr>
        <w:annotationRef/>
      </w:r>
      <w:r>
        <w:t>Comment 10 : (Reviewer 1)</w:t>
      </w:r>
    </w:p>
    <w:p w14:paraId="24E9527D" w14:textId="77777777" w:rsidR="00922C9B" w:rsidRDefault="00922C9B" w:rsidP="00922C9B">
      <w:pPr>
        <w:pStyle w:val="TeksKomentar"/>
        <w:jc w:val="left"/>
      </w:pPr>
    </w:p>
    <w:p w14:paraId="3741FCA7" w14:textId="77777777" w:rsidR="00922C9B" w:rsidRDefault="00922C9B" w:rsidP="00922C9B">
      <w:pPr>
        <w:pStyle w:val="TeksKomentar"/>
        <w:jc w:val="left"/>
      </w:pPr>
      <w:r>
        <w:t>The CVR range of 0.68–1.00 is compatible with 19 experts only after rounding. Under the stated CVR formula, a value based on 16 of 19 experts rating an item as essential is approximately 0.684, while unanimous agreement produces 1.000. The authors should report CVR values to at least three decimal places or clearly state the rounding rule. The same precision policy should be applied to Aiken’s V, Cronbach’s alpha, Kendall’s W, and readiness calculations.</w:t>
      </w:r>
    </w:p>
  </w:comment>
  <w:comment w:id="17" w:author="Bambang Suhartono" w:date="2026-09-17T00:46:00Z" w:initials="Bambang">
    <w:p w14:paraId="4A3C703A" w14:textId="77777777" w:rsidR="00922C9B" w:rsidRDefault="00922C9B" w:rsidP="00922C9B">
      <w:pPr>
        <w:pStyle w:val="TeksKomentar"/>
        <w:jc w:val="left"/>
      </w:pPr>
      <w:r>
        <w:rPr>
          <w:rStyle w:val="ReferensiKomentar"/>
        </w:rPr>
        <w:annotationRef/>
      </w:r>
      <w:r>
        <w:t xml:space="preserve">Thank you for this valuable comment. We have revised the presentation of all statistical indicators by applying a consistent rounding rule. The calculations were performed using the original values, while all reported results in tables and discussions are rounded to two decimal places for readability and consistency. This clarification has been added to the validation section. </w:t>
      </w:r>
    </w:p>
  </w:comment>
  <w:comment w:id="18" w:author="Bambang Suhartono" w:date="2026-09-17T00:46:00Z" w:initials="Bambang">
    <w:p w14:paraId="29EFF131" w14:textId="77777777" w:rsidR="00922C9B" w:rsidRDefault="00922C9B" w:rsidP="00922C9B">
      <w:pPr>
        <w:pStyle w:val="TeksKomentar"/>
        <w:jc w:val="left"/>
      </w:pPr>
      <w:r>
        <w:rPr>
          <w:rStyle w:val="ReferensiKomentar"/>
        </w:rPr>
        <w:annotationRef/>
      </w:r>
      <w:r>
        <w:t>I have updated for the reason related this , at chapter 5. Research Methodology with , with sentences like this :</w:t>
      </w:r>
    </w:p>
    <w:p w14:paraId="7504AF0D" w14:textId="77777777" w:rsidR="00922C9B" w:rsidRDefault="00922C9B" w:rsidP="00922C9B">
      <w:pPr>
        <w:pStyle w:val="TeksKomentar"/>
        <w:jc w:val="left"/>
      </w:pPr>
    </w:p>
    <w:p w14:paraId="7AC72B9C" w14:textId="77777777" w:rsidR="00922C9B" w:rsidRDefault="00922C9B" w:rsidP="00922C9B">
      <w:pPr>
        <w:pStyle w:val="TeksKomentar"/>
        <w:jc w:val="left"/>
      </w:pPr>
      <w:r>
        <w:rPr>
          <w:color w:val="0070C0"/>
        </w:rPr>
        <w:t xml:space="preserve">All statistical indicators, including Content Validity Ratio (CVR), Content Validity Index (CVI), Aiken's V, Cronbach's Alpha, Kendall's W, and IQR, were calculated using the original numerical values. For presentation purposes, the results were rounded consistently to two decimal places to improve readability while maintaining calculation accuracy. </w:t>
      </w:r>
    </w:p>
  </w:comment>
  <w:comment w:id="19" w:author="Bambang Suhartono" w:date="2026-09-17T00:38:00Z" w:initials="Bambang">
    <w:p w14:paraId="4D29FD7A" w14:textId="77777777" w:rsidR="00C63339" w:rsidRDefault="00C63339" w:rsidP="00C63339">
      <w:pPr>
        <w:pStyle w:val="TeksKomentar"/>
        <w:jc w:val="left"/>
      </w:pPr>
      <w:r>
        <w:rPr>
          <w:rStyle w:val="ReferensiKomentar"/>
        </w:rPr>
        <w:annotationRef/>
      </w:r>
      <w:r>
        <w:t>Comment 2 (From Reviewer 2) :</w:t>
      </w:r>
    </w:p>
    <w:p w14:paraId="5EEE05C3" w14:textId="77777777" w:rsidR="00C63339" w:rsidRDefault="00C63339" w:rsidP="00C63339">
      <w:pPr>
        <w:pStyle w:val="TeksKomentar"/>
        <w:jc w:val="left"/>
      </w:pPr>
    </w:p>
    <w:p w14:paraId="22E032A8" w14:textId="77777777" w:rsidR="00C63339" w:rsidRDefault="00C63339" w:rsidP="00C63339">
      <w:pPr>
        <w:pStyle w:val="TeksKomentar"/>
        <w:jc w:val="left"/>
      </w:pPr>
      <w:r>
        <w:rPr>
          <w:color w:val="000000"/>
        </w:rPr>
        <w:t>The reported readiness index is not demonstrably an evaluation of the proposed framework’s effectiveness. The manuscript does not clearly identify whether experts assessed an actual organization, a hypothetical scenario, or the conceptual plausibility of the framework. Nevertheless, the results are interpreted as organizational readiness and assigned a “Managed” status. This creates a potentially fatal construct-validity problem because expert approval of framework dimensions is not equivalent to the readiness of an organization to implement them. The authors must define the unit of analysis, the assessed organization, the evidence used for every rating, the scoring rubric, and the meaning of each readiness category. Without an actual organizational evidence base, these results should be relabeled as perceived applicability or expert-assessed implementation feasibility.</w:t>
      </w:r>
    </w:p>
  </w:comment>
  <w:comment w:id="20" w:author="Bambang Suhartono" w:date="2026-09-17T00:40:00Z" w:initials="Bambang">
    <w:p w14:paraId="3479CFAA" w14:textId="77777777" w:rsidR="00C63339" w:rsidRDefault="00C63339" w:rsidP="00C63339">
      <w:pPr>
        <w:pStyle w:val="TeksKomentar"/>
        <w:jc w:val="left"/>
      </w:pPr>
      <w:r>
        <w:rPr>
          <w:rStyle w:val="ReferensiKomentar"/>
        </w:rPr>
        <w:annotationRef/>
      </w:r>
      <w:r>
        <w:t>For  Our respond :</w:t>
      </w:r>
    </w:p>
    <w:p w14:paraId="40206DF2" w14:textId="77777777" w:rsidR="00C63339" w:rsidRDefault="00C63339" w:rsidP="00C63339">
      <w:pPr>
        <w:pStyle w:val="TeksKomentar"/>
        <w:jc w:val="left"/>
      </w:pPr>
    </w:p>
    <w:p w14:paraId="3726B7CE" w14:textId="77777777" w:rsidR="00C63339" w:rsidRDefault="00C63339" w:rsidP="00C63339">
      <w:pPr>
        <w:pStyle w:val="TeksKomentar"/>
        <w:jc w:val="left"/>
      </w:pPr>
      <w:r>
        <w:rPr>
          <w:color w:val="000000"/>
          <w:lang w:val="id-ID"/>
        </w:rPr>
        <w:t>Thank you for this valuable clarification. We agree that the previous use of the term “readiness index” could be interpreted as measuring the actual readiness or maturity level of an organization, while the evaluation conducted in this study did not assess a specific organizational case. The previous terminology may therefore lead to a construct validity issue.</w:t>
      </w:r>
    </w:p>
    <w:p w14:paraId="636619F9" w14:textId="77777777" w:rsidR="00C63339" w:rsidRDefault="00C63339" w:rsidP="00C63339">
      <w:pPr>
        <w:pStyle w:val="TeksKomentar"/>
        <w:jc w:val="left"/>
      </w:pPr>
    </w:p>
    <w:p w14:paraId="5EFF51E0" w14:textId="77777777" w:rsidR="00C63339" w:rsidRDefault="00C63339" w:rsidP="00C63339">
      <w:pPr>
        <w:pStyle w:val="TeksKomentar"/>
        <w:jc w:val="left"/>
      </w:pPr>
      <w:r>
        <w:rPr>
          <w:color w:val="000000"/>
          <w:lang w:val="id-ID"/>
        </w:rPr>
        <w:t>To address this concern, we have revised the terminology throughout the manuscript by replacing “readiness index” with “expert-assessed applicability index”. The revised interpretation clarifies that the evaluation focuses on the PRASASTI framework artifact rather than organizational readiness. The unit of analysis in this study is the proposed framework, which was assessed by experts based on the completeness, relevance, consistency, feasibility, and applicability of its components.</w:t>
      </w:r>
    </w:p>
    <w:p w14:paraId="03F4F836" w14:textId="77777777" w:rsidR="00C63339" w:rsidRDefault="00C63339" w:rsidP="00C63339">
      <w:pPr>
        <w:pStyle w:val="TeksKomentar"/>
        <w:jc w:val="left"/>
      </w:pPr>
    </w:p>
    <w:p w14:paraId="67E2F06E" w14:textId="77777777" w:rsidR="00C63339" w:rsidRDefault="00C63339" w:rsidP="00C63339">
      <w:pPr>
        <w:pStyle w:val="TeksKomentar"/>
        <w:jc w:val="left"/>
      </w:pPr>
      <w:r>
        <w:rPr>
          <w:color w:val="000000"/>
          <w:lang w:val="id-ID"/>
        </w:rPr>
        <w:t>Furthermore, we have revised the explanation of the scoring results and category interpretation. The obtained index value represents the experts’ perception regarding the applicability and feasibility of implementing the proposed framework, and it should not be interpreted as evidence of organizational maturity, implementation readiness, or actual organizational capability.</w:t>
      </w:r>
    </w:p>
    <w:p w14:paraId="082E8A60" w14:textId="77777777" w:rsidR="00C63339" w:rsidRDefault="00C63339" w:rsidP="00C63339">
      <w:pPr>
        <w:pStyle w:val="TeksKomentar"/>
        <w:jc w:val="left"/>
      </w:pPr>
    </w:p>
    <w:p w14:paraId="7C7F3341" w14:textId="77777777" w:rsidR="00C63339" w:rsidRDefault="00C63339" w:rsidP="00C63339">
      <w:pPr>
        <w:pStyle w:val="TeksKomentar"/>
        <w:jc w:val="left"/>
      </w:pPr>
      <w:r>
        <w:rPr>
          <w:color w:val="000000"/>
          <w:lang w:val="id-ID"/>
        </w:rPr>
        <w:t>The manuscript has also been revised in the Abstract, Methodology, Results, Discussion, and Conclusion sections to explicitly state this limitation and ensure that the conclusions remain aligned with the Design Science Research objective, which is the development and evaluation of a conceptual artifact.</w:t>
      </w:r>
    </w:p>
    <w:p w14:paraId="36DE2F2A" w14:textId="77777777" w:rsidR="00C63339" w:rsidRDefault="00C63339" w:rsidP="00C63339">
      <w:pPr>
        <w:pStyle w:val="TeksKomentar"/>
        <w:jc w:val="left"/>
      </w:pPr>
    </w:p>
    <w:p w14:paraId="04C41D20" w14:textId="77777777" w:rsidR="00C63339" w:rsidRDefault="00C63339" w:rsidP="00C63339">
      <w:pPr>
        <w:pStyle w:val="TeksKomentar"/>
        <w:jc w:val="left"/>
      </w:pPr>
      <w:r>
        <w:rPr>
          <w:color w:val="000000"/>
        </w:rPr>
        <w:t>We have Revised terminology throughout the manuscript.</w:t>
      </w:r>
    </w:p>
    <w:p w14:paraId="729E174F" w14:textId="77777777" w:rsidR="00C63339" w:rsidRDefault="00C63339" w:rsidP="00C63339">
      <w:pPr>
        <w:pStyle w:val="TeksKomentar"/>
        <w:jc w:val="left"/>
      </w:pPr>
    </w:p>
    <w:p w14:paraId="35F124DD" w14:textId="77777777" w:rsidR="00C63339" w:rsidRDefault="00C63339" w:rsidP="00C63339">
      <w:pPr>
        <w:pStyle w:val="TeksKomentar"/>
        <w:jc w:val="left"/>
      </w:pPr>
      <w:r>
        <w:rPr>
          <w:color w:val="000000"/>
        </w:rPr>
        <w:t>Before : Table 8. Readiness index and gap analysis</w:t>
      </w:r>
    </w:p>
    <w:p w14:paraId="7F20132A" w14:textId="77777777" w:rsidR="00C63339" w:rsidRDefault="00C63339" w:rsidP="00C63339">
      <w:pPr>
        <w:pStyle w:val="TeksKomentar"/>
        <w:jc w:val="left"/>
      </w:pPr>
    </w:p>
    <w:p w14:paraId="26054DED" w14:textId="77777777" w:rsidR="00C63339" w:rsidRDefault="00C63339" w:rsidP="00C63339">
      <w:pPr>
        <w:pStyle w:val="TeksKomentar"/>
        <w:jc w:val="left"/>
      </w:pPr>
      <w:r>
        <w:rPr>
          <w:color w:val="000000"/>
        </w:rPr>
        <w:t xml:space="preserve">After revised : </w:t>
      </w:r>
      <w:r>
        <w:rPr>
          <w:color w:val="000000"/>
          <w:lang w:val="id-ID"/>
        </w:rPr>
        <w:t xml:space="preserve">Table 8. Expert-Assessed Applicability Index </w:t>
      </w:r>
    </w:p>
  </w:comment>
  <w:comment w:id="21" w:author="Bambang Suhartono" w:date="2026-09-17T00:40:00Z" w:initials="Bambang">
    <w:p w14:paraId="7036B9DB" w14:textId="77777777" w:rsidR="00C63339" w:rsidRDefault="00C63339" w:rsidP="00C63339">
      <w:pPr>
        <w:pStyle w:val="TeksKomentar"/>
        <w:jc w:val="left"/>
      </w:pPr>
      <w:r>
        <w:rPr>
          <w:rStyle w:val="ReferensiKomentar"/>
        </w:rPr>
        <w:annotationRef/>
      </w:r>
      <w:r>
        <w:t>Comment 2 : (Reviewer 2)</w:t>
      </w:r>
    </w:p>
    <w:p w14:paraId="7E84FFB7" w14:textId="77777777" w:rsidR="00C63339" w:rsidRDefault="00C63339" w:rsidP="00C63339">
      <w:pPr>
        <w:pStyle w:val="TeksKomentar"/>
        <w:jc w:val="left"/>
      </w:pPr>
    </w:p>
    <w:p w14:paraId="374EFC0D" w14:textId="77777777" w:rsidR="00C63339" w:rsidRDefault="00C63339" w:rsidP="00C63339">
      <w:pPr>
        <w:pStyle w:val="TeksKomentar"/>
        <w:jc w:val="left"/>
      </w:pPr>
      <w:r>
        <w:t>Will be revised with “Table 8. Expert-Assessed Applicability Index and Gap Analysis “</w:t>
      </w:r>
    </w:p>
  </w:comment>
  <w:comment w:id="22" w:author="Bambang Suhartono" w:date="2026-09-17T00:48:00Z" w:initials="Bambang">
    <w:p w14:paraId="1239C46C" w14:textId="77777777" w:rsidR="00922C9B" w:rsidRDefault="00922C9B" w:rsidP="00922C9B">
      <w:pPr>
        <w:pStyle w:val="TeksKomentar"/>
        <w:jc w:val="left"/>
      </w:pPr>
      <w:r>
        <w:rPr>
          <w:rStyle w:val="ReferensiKomentar"/>
        </w:rPr>
        <w:annotationRef/>
      </w:r>
      <w:r>
        <w:t>Comment 3 : (Reviewer 1)</w:t>
      </w:r>
    </w:p>
    <w:p w14:paraId="4D312A74" w14:textId="77777777" w:rsidR="00922C9B" w:rsidRDefault="00922C9B" w:rsidP="00922C9B">
      <w:pPr>
        <w:pStyle w:val="TeksKomentar"/>
        <w:jc w:val="left"/>
      </w:pPr>
    </w:p>
    <w:p w14:paraId="7765AA5E" w14:textId="77777777" w:rsidR="00922C9B" w:rsidRDefault="00922C9B" w:rsidP="00922C9B">
      <w:pPr>
        <w:pStyle w:val="TeksKomentar"/>
        <w:jc w:val="left"/>
      </w:pPr>
      <w:r>
        <w:t>3. The presentation of figures is not professional. In figures, letters are small and blurry. The authors should enlarge or redraw figures. See Fig. 5. A part of X-axis label is hidden. The proposed presentation does not respect the elementary rules of a scientific writing</w:t>
      </w:r>
    </w:p>
  </w:comment>
  <w:comment w:id="23" w:author="Bambang Suhartono" w:date="2026-09-17T00:48:00Z" w:initials="Bambang">
    <w:p w14:paraId="677C8841" w14:textId="77777777" w:rsidR="00922C9B" w:rsidRDefault="00922C9B" w:rsidP="00922C9B">
      <w:pPr>
        <w:pStyle w:val="TeksKomentar"/>
        <w:jc w:val="left"/>
      </w:pPr>
      <w:r>
        <w:rPr>
          <w:rStyle w:val="ReferensiKomentar"/>
        </w:rPr>
        <w:annotationRef/>
      </w:r>
      <w:r>
        <w:t xml:space="preserve">Thank you for the constructive suggestion. We have revised all figures have been redesigned to improve readability and visual quality. The revised figures use higher resolution formats, </w:t>
      </w:r>
    </w:p>
  </w:comment>
  <w:comment w:id="24" w:author="Bambang Suhartono" w:date="2026-08-12T00:50:00Z" w:initials="Bambang">
    <w:p w14:paraId="37B7101C" w14:textId="77777777" w:rsidR="00B44793" w:rsidRDefault="00B44793" w:rsidP="00B44793">
      <w:pPr>
        <w:pStyle w:val="TeksKomentar"/>
        <w:jc w:val="left"/>
      </w:pPr>
      <w:r>
        <w:rPr>
          <w:rStyle w:val="ReferensiKomentar"/>
        </w:rPr>
        <w:annotationRef/>
      </w:r>
      <w:r>
        <w:t xml:space="preserve">Comment 6 : (Reviewer 2) </w:t>
      </w:r>
    </w:p>
    <w:p w14:paraId="04F1DE30" w14:textId="77777777" w:rsidR="00B44793" w:rsidRDefault="00B44793" w:rsidP="00B44793">
      <w:pPr>
        <w:pStyle w:val="TeksKomentar"/>
        <w:jc w:val="left"/>
      </w:pPr>
    </w:p>
    <w:p w14:paraId="4DE58D03" w14:textId="77777777" w:rsidR="00B44793" w:rsidRDefault="00B44793" w:rsidP="00B44793">
      <w:pPr>
        <w:pStyle w:val="TeksKomentar"/>
        <w:jc w:val="left"/>
      </w:pPr>
      <w:r>
        <w:rPr>
          <w:color w:val="EE0000"/>
        </w:rPr>
        <w:t>The chosen 85% target and the “Managed” classifications are insufficiently justified and materially affect the interpretation of all gap results. The paper applies the same target to heterogeneous dimensions such as strategic alignment, risk control, architecture, and performance measurement, without theoretical or empirical justification. It also assigns all observed scores to the same category despite substantial variation. The authors should define validated thresholds before data collection, justify whether dimension-specific targets are necessary, and conduct sensitivity analysis showing how conclusions change under alternative targets and weighting schemes. Percentage-point gaps should be distinguished consistently from relative percentage deficits.</w:t>
      </w:r>
    </w:p>
  </w:comment>
  <w:comment w:id="25" w:author="Bambang Suhartono" w:date="2026-08-12T00:57:00Z" w:initials="Bambang">
    <w:p w14:paraId="7A5F810E" w14:textId="77777777" w:rsidR="00B44793" w:rsidRDefault="00B44793" w:rsidP="00B34B2F">
      <w:pPr>
        <w:pStyle w:val="TeksKomentar"/>
        <w:jc w:val="left"/>
      </w:pPr>
      <w:r>
        <w:rPr>
          <w:rStyle w:val="ReferensiKomentar"/>
        </w:rPr>
        <w:annotationRef/>
      </w:r>
      <w:r>
        <w:t xml:space="preserve">Thank you for the valuable comment. We agree that the previous manuscript did not sufficiently explain the rationale behind the target value and maturity classification. In the revised manuscript, we have clarified that the 85% target value is not intended as a universal organizational maturity standard, but rather as an evaluation benchmark to assess the applicability and completeness of the proposed PRASASTI framework based on expert judgment. </w:t>
      </w:r>
    </w:p>
  </w:comment>
  <w:comment w:id="28" w:author="Bambang Suhartono" w:date="2026-09-17T00:58:00Z" w:initials="Bambang">
    <w:p w14:paraId="0CE87509" w14:textId="77777777" w:rsidR="00F57251" w:rsidRDefault="00F57251" w:rsidP="00F57251">
      <w:pPr>
        <w:pStyle w:val="TeksKomentar"/>
        <w:jc w:val="left"/>
      </w:pPr>
      <w:r>
        <w:rPr>
          <w:rStyle w:val="ReferensiKomentar"/>
        </w:rPr>
        <w:annotationRef/>
      </w:r>
      <w:r>
        <w:t>Comment 4 :  (Reviewer 1)</w:t>
      </w:r>
    </w:p>
    <w:p w14:paraId="4CDE96BC" w14:textId="77777777" w:rsidR="00F57251" w:rsidRDefault="00F57251" w:rsidP="00F57251">
      <w:pPr>
        <w:pStyle w:val="TeksKomentar"/>
        <w:jc w:val="left"/>
      </w:pPr>
    </w:p>
    <w:p w14:paraId="51C3F724" w14:textId="77777777" w:rsidR="00F57251" w:rsidRDefault="00F57251" w:rsidP="00F57251">
      <w:pPr>
        <w:pStyle w:val="TeksKomentar"/>
        <w:jc w:val="left"/>
      </w:pPr>
      <w:r>
        <w:t>The overall readiness index is reported inconsistently. The abstract gives an average readiness index of 71.4%, Table 8 reports 71%, and the discussion again reports 71.4%. Based on the eight dimension scores in Table 8, the arithmetic mean is 71.375%, which may reasonably be reported as 71.4% or 71% depending on the rounding rule. The authors should adopt one rounding convention and apply it consistently throughout the abstract, results, discussion, and conclusion.</w:t>
      </w:r>
    </w:p>
  </w:comment>
  <w:comment w:id="29" w:author="Bambang Suhartono" w:date="2026-09-17T00:58:00Z" w:initials="Bambang">
    <w:p w14:paraId="7D2E0F5A" w14:textId="77777777" w:rsidR="00F57251" w:rsidRDefault="00F57251" w:rsidP="00F57251">
      <w:pPr>
        <w:pStyle w:val="TeksKomentar"/>
        <w:jc w:val="left"/>
      </w:pPr>
      <w:r>
        <w:rPr>
          <w:rStyle w:val="ReferensiKomentar"/>
        </w:rPr>
        <w:annotationRef/>
      </w:r>
      <w:r>
        <w:t xml:space="preserve">Thank you for identifying this inconsistency. We have carefully reviewed all reported values and standardized the presentation of the applicability index. The value is consistently reported as 71.4% using one decimal precision throughout the abstract, results, discussion, and conclusion sections. </w:t>
      </w:r>
    </w:p>
    <w:p w14:paraId="6B0FEA47" w14:textId="77777777" w:rsidR="00F57251" w:rsidRDefault="00F57251" w:rsidP="00F57251">
      <w:pPr>
        <w:pStyle w:val="TeksKomentar"/>
        <w:jc w:val="left"/>
      </w:pPr>
    </w:p>
    <w:p w14:paraId="0EF70D6B" w14:textId="77777777" w:rsidR="00F57251" w:rsidRDefault="00F57251" w:rsidP="00F57251">
      <w:pPr>
        <w:pStyle w:val="TeksKomentar"/>
        <w:jc w:val="left"/>
      </w:pPr>
      <w:r>
        <w:t>For decimal  in percentage, will be erased</w:t>
      </w:r>
      <w:r>
        <w:rPr>
          <w:color w:val="0070C0"/>
        </w:rPr>
        <w:t>. For index 71.4% will be 71%, 15.6% will be changed 14 %</w:t>
      </w:r>
    </w:p>
  </w:comment>
  <w:comment w:id="26" w:author="Bambang Suhartono" w:date="2026-09-17T00:55:00Z" w:initials="Bambang">
    <w:p w14:paraId="5D36CE49" w14:textId="77777777" w:rsidR="00F57251" w:rsidRDefault="00F57251" w:rsidP="00F57251">
      <w:pPr>
        <w:pStyle w:val="TeksKomentar"/>
        <w:jc w:val="left"/>
      </w:pPr>
      <w:r>
        <w:rPr>
          <w:rStyle w:val="ReferensiKomentar"/>
        </w:rPr>
        <w:annotationRef/>
      </w:r>
      <w:r>
        <w:t>Comment 7 : (Reviewer 1)</w:t>
      </w:r>
    </w:p>
    <w:p w14:paraId="1A94A442" w14:textId="77777777" w:rsidR="00F57251" w:rsidRDefault="00F57251" w:rsidP="00F57251">
      <w:pPr>
        <w:pStyle w:val="TeksKomentar"/>
        <w:jc w:val="left"/>
      </w:pPr>
    </w:p>
    <w:p w14:paraId="6C115922" w14:textId="77777777" w:rsidR="00F57251" w:rsidRDefault="00F57251" w:rsidP="00F57251">
      <w:pPr>
        <w:pStyle w:val="TeksKomentar"/>
        <w:jc w:val="left"/>
      </w:pPr>
      <w:r>
        <w:t xml:space="preserve">The manuscript should distinguish percentage-point differences from relative percentage gaps. For example, the difference between a current score of 66% and a target of 85% is 19 percentage points. Expressed as a relative shortfall from the target, it is approximately 22.4%, calculated as (85 </w:t>
      </w:r>
      <w:r>
        <w:rPr>
          <w:lang/>
        </w:rPr>
        <w:t>−</w:t>
      </w:r>
      <w:r>
        <w:t xml:space="preserve"> 66) / 85. The manuscript repeatedly describes these values simply as percentages, which makes the quantitative interpretation ambiguous. One definition should be selected and used consistently</w:t>
      </w:r>
    </w:p>
  </w:comment>
  <w:comment w:id="27" w:author="Bambang Suhartono" w:date="2026-09-17T00:56:00Z" w:initials="Bambang">
    <w:p w14:paraId="6423B56B" w14:textId="77777777" w:rsidR="00F57251" w:rsidRDefault="00F57251" w:rsidP="00F57251">
      <w:pPr>
        <w:pStyle w:val="TeksKomentar"/>
        <w:jc w:val="left"/>
      </w:pPr>
      <w:r>
        <w:rPr>
          <w:rStyle w:val="ReferensiKomentar"/>
        </w:rPr>
        <w:annotationRef/>
      </w:r>
      <w:r>
        <w:t>Thank you for this important clarification. Has been revised with red font color</w:t>
      </w:r>
    </w:p>
  </w:comment>
  <w:comment w:id="30" w:author="Bambang Suhartono" w:date="2026-08-12T01:48:00Z" w:initials="Bambang">
    <w:p w14:paraId="0CC5D689" w14:textId="77777777" w:rsidR="00F57251" w:rsidRDefault="00F57251" w:rsidP="00156F73">
      <w:pPr>
        <w:pStyle w:val="TeksKomentar"/>
        <w:jc w:val="left"/>
      </w:pPr>
      <w:r>
        <w:rPr>
          <w:rStyle w:val="ReferensiKomentar"/>
        </w:rPr>
        <w:annotationRef/>
      </w:r>
      <w:r>
        <w:t>This is , updated for answer , comment 8  , from Reviewer 2 .</w:t>
      </w:r>
    </w:p>
  </w:comment>
  <w:comment w:id="31" w:author="Bambang Suhartono" w:date="2026-09-17T00:59:00Z" w:initials="Bambang">
    <w:p w14:paraId="4F70ABAE" w14:textId="77777777" w:rsidR="00F57251" w:rsidRDefault="00F57251" w:rsidP="00F57251">
      <w:pPr>
        <w:pStyle w:val="TeksKomentar"/>
        <w:jc w:val="left"/>
      </w:pPr>
      <w:r>
        <w:rPr>
          <w:rStyle w:val="ReferensiKomentar"/>
        </w:rPr>
        <w:annotationRef/>
      </w:r>
      <w:r>
        <w:t>Comment 8 : (Reviewer 2)</w:t>
      </w:r>
    </w:p>
    <w:p w14:paraId="30770515" w14:textId="77777777" w:rsidR="00F57251" w:rsidRDefault="00F57251" w:rsidP="00F57251">
      <w:pPr>
        <w:pStyle w:val="TeksKomentar"/>
        <w:jc w:val="left"/>
      </w:pPr>
    </w:p>
    <w:p w14:paraId="2DCF3231" w14:textId="77777777" w:rsidR="00F57251" w:rsidRDefault="00F57251" w:rsidP="00F57251">
      <w:pPr>
        <w:pStyle w:val="TeksKomentar"/>
        <w:jc w:val="left"/>
      </w:pPr>
      <w:r>
        <w:rPr>
          <w:color w:val="EE0000"/>
        </w:rPr>
        <w:t>The conclusions overstate what the reported evidence establishes. The manuscript claims strengthened traceability, integrated risk control, continuous monitoring, and practical support for IT master planning, yet these properties are inferred from framework structure rather than measured through implementation. No traceability-completeness test, task-performance study, longitudinal monitoring result, or organizational outcome is presented. The conclusions should be restricted to preliminary conceptual development and expert-based content validation. Stronger claims require a real case implementation demonstrating end-to-end artifacts, decision changes attributable to PRASASTI, stakeholder outcomes, resource requirements, and post-implementation performance</w:t>
      </w:r>
    </w:p>
  </w:comment>
  <w:comment w:id="32" w:author="Bambang Suhartono" w:date="2026-09-17T00:59:00Z" w:initials="Bambang">
    <w:p w14:paraId="3B7A246E" w14:textId="77777777" w:rsidR="00F57251" w:rsidRDefault="00F57251" w:rsidP="00F57251">
      <w:pPr>
        <w:pStyle w:val="TeksKomentar"/>
        <w:jc w:val="left"/>
      </w:pPr>
      <w:r>
        <w:rPr>
          <w:rStyle w:val="ReferensiKomentar"/>
        </w:rPr>
        <w:annotationRef/>
      </w:r>
      <w:r>
        <w:t>Thank you for this valuable and constructive comment. We agree that the previous version contained several statements that could be interpreted as empirical evidence of organizational improvement, while the current study primarily focuses on artifact development and expert-based evaluation.</w:t>
      </w:r>
    </w:p>
    <w:p w14:paraId="57D46321" w14:textId="77777777" w:rsidR="00F57251" w:rsidRDefault="00F57251" w:rsidP="00F57251">
      <w:pPr>
        <w:pStyle w:val="TeksKomentar"/>
        <w:jc w:val="left"/>
      </w:pPr>
      <w:r>
        <w:t>Therefore, we have revised the conclusions and discussion sections by limiting the claims to conceptual development and expert validation outcomes. The revised manuscript clarifies that PRASASTI represents a validated design artifact that provides a structured mechanism for integrating IT strategic planning, enterprise architecture, and IT governance.</w:t>
      </w:r>
    </w:p>
    <w:p w14:paraId="78E7D94F" w14:textId="77777777" w:rsidR="00F57251" w:rsidRDefault="00F57251" w:rsidP="00F57251">
      <w:pPr>
        <w:pStyle w:val="TeksKomentar"/>
        <w:jc w:val="left"/>
      </w:pPr>
      <w:r>
        <w:t>Furthermore, we have added a research limitation section and future research roadmap emphasizing the need for real organizational implementation, longitudinal evaluation, and measurement of practical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24BA4C" w15:done="0"/>
  <w15:commentEx w15:paraId="5F873785" w15:paraIdParent="2124BA4C" w15:done="0"/>
  <w15:commentEx w15:paraId="7E93F37A" w15:done="0"/>
  <w15:commentEx w15:paraId="5C7D5F90" w15:paraIdParent="7E93F37A" w15:done="0"/>
  <w15:commentEx w15:paraId="6F7B7F07" w15:done="0"/>
  <w15:commentEx w15:paraId="688C44B6" w15:done="0"/>
  <w15:commentEx w15:paraId="4DE19226" w15:paraIdParent="688C44B6" w15:done="0"/>
  <w15:commentEx w15:paraId="76B09215" w15:done="0"/>
  <w15:commentEx w15:paraId="1E8C3E05" w15:paraIdParent="76B09215" w15:done="0"/>
  <w15:commentEx w15:paraId="1546F66B" w15:done="0"/>
  <w15:commentEx w15:paraId="15ECB9EC" w15:done="0"/>
  <w15:commentEx w15:paraId="3C83121F" w15:done="0"/>
  <w15:commentEx w15:paraId="08C14D81" w15:paraIdParent="3C83121F" w15:done="0"/>
  <w15:commentEx w15:paraId="6971463E" w15:done="0"/>
  <w15:commentEx w15:paraId="76E0EDE4" w15:done="0"/>
  <w15:commentEx w15:paraId="00CA1B6F" w15:paraIdParent="76E0EDE4" w15:done="0"/>
  <w15:commentEx w15:paraId="3741FCA7" w15:done="0"/>
  <w15:commentEx w15:paraId="4A3C703A" w15:paraIdParent="3741FCA7" w15:done="0"/>
  <w15:commentEx w15:paraId="7AC72B9C" w15:paraIdParent="3741FCA7" w15:done="0"/>
  <w15:commentEx w15:paraId="22E032A8" w15:done="0"/>
  <w15:commentEx w15:paraId="26054DED" w15:paraIdParent="22E032A8" w15:done="0"/>
  <w15:commentEx w15:paraId="374EFC0D" w15:done="0"/>
  <w15:commentEx w15:paraId="7765AA5E" w15:done="0"/>
  <w15:commentEx w15:paraId="677C8841" w15:paraIdParent="7765AA5E" w15:done="0"/>
  <w15:commentEx w15:paraId="4DE58D03" w15:done="0"/>
  <w15:commentEx w15:paraId="7A5F810E" w15:paraIdParent="4DE58D03" w15:done="0"/>
  <w15:commentEx w15:paraId="51C3F724" w15:done="0"/>
  <w15:commentEx w15:paraId="0EF70D6B" w15:paraIdParent="51C3F724" w15:done="0"/>
  <w15:commentEx w15:paraId="6C115922" w15:done="0"/>
  <w15:commentEx w15:paraId="6423B56B" w15:paraIdParent="6C115922" w15:done="0"/>
  <w15:commentEx w15:paraId="0CC5D689" w15:done="0"/>
  <w15:commentEx w15:paraId="2DCF3231" w15:done="0"/>
  <w15:commentEx w15:paraId="78E7D94F" w15:paraIdParent="2DCF32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492A1F" w16cex:dateUtc="2026-09-16T15:30:00Z"/>
  <w16cex:commentExtensible w16cex:durableId="451EFDB2" w16cex:dateUtc="2026-09-16T15:30:00Z"/>
  <w16cex:commentExtensible w16cex:durableId="590F5583" w16cex:dateUtc="2026-08-06T15:23:00Z"/>
  <w16cex:commentExtensible w16cex:durableId="743B0E57" w16cex:dateUtc="2026-09-16T15:19:00Z"/>
  <w16cex:commentExtensible w16cex:durableId="2A905DFF" w16cex:dateUtc="2026-09-16T15:33:00Z"/>
  <w16cex:commentExtensible w16cex:durableId="553301A8" w16cex:dateUtc="2026-09-16T15:43:00Z"/>
  <w16cex:commentExtensible w16cex:durableId="30AC6FF8" w16cex:dateUtc="2026-09-16T15:44:00Z"/>
  <w16cex:commentExtensible w16cex:durableId="009C978B" w16cex:dateUtc="2026-09-16T17:23:00Z"/>
  <w16cex:commentExtensible w16cex:durableId="510E4A16" w16cex:dateUtc="2026-09-16T17:23:00Z"/>
  <w16cex:commentExtensible w16cex:durableId="2FDEDCB1" w16cex:dateUtc="2026-09-13T11:05:00Z"/>
  <w16cex:commentExtensible w16cex:durableId="4DEC6B7C" w16cex:dateUtc="2026-08-06T16:44:00Z"/>
  <w16cex:commentExtensible w16cex:durableId="702B42FD" w16cex:dateUtc="2026-09-16T17:36:00Z"/>
  <w16cex:commentExtensible w16cex:durableId="44E19C0A" w16cex:dateUtc="2026-09-16T17:36:00Z"/>
  <w16cex:commentExtensible w16cex:durableId="15A99E26" w16cex:dateUtc="2026-08-06T16:19:00Z"/>
  <w16cex:commentExtensible w16cex:durableId="6F4427BE" w16cex:dateUtc="2026-09-16T17:43:00Z"/>
  <w16cex:commentExtensible w16cex:durableId="5169522F" w16cex:dateUtc="2026-09-16T17:44:00Z"/>
  <w16cex:commentExtensible w16cex:durableId="6186514E" w16cex:dateUtc="2026-09-16T17:45:00Z"/>
  <w16cex:commentExtensible w16cex:durableId="6E4FF02E" w16cex:dateUtc="2026-09-16T17:46:00Z"/>
  <w16cex:commentExtensible w16cex:durableId="3AF79D1D" w16cex:dateUtc="2026-09-16T17:46:00Z"/>
  <w16cex:commentExtensible w16cex:durableId="3E174CF1" w16cex:dateUtc="2026-09-16T17:38:00Z"/>
  <w16cex:commentExtensible w16cex:durableId="08D33B8F" w16cex:dateUtc="2026-09-16T17:40:00Z"/>
  <w16cex:commentExtensible w16cex:durableId="5EDAC122" w16cex:dateUtc="2026-09-16T17:40:00Z"/>
  <w16cex:commentExtensible w16cex:durableId="5F1EC823" w16cex:dateUtc="2026-09-16T17:48:00Z"/>
  <w16cex:commentExtensible w16cex:durableId="55621D86" w16cex:dateUtc="2026-09-16T17:48:00Z"/>
  <w16cex:commentExtensible w16cex:durableId="79E1FCBF" w16cex:dateUtc="2026-08-11T17:50:00Z"/>
  <w16cex:commentExtensible w16cex:durableId="3A69931B" w16cex:dateUtc="2026-08-11T17:57:00Z"/>
  <w16cex:commentExtensible w16cex:durableId="36CDB024" w16cex:dateUtc="2026-09-16T17:58:00Z"/>
  <w16cex:commentExtensible w16cex:durableId="1D883A17" w16cex:dateUtc="2026-09-16T17:58:00Z"/>
  <w16cex:commentExtensible w16cex:durableId="609AA925" w16cex:dateUtc="2026-09-16T17:55:00Z"/>
  <w16cex:commentExtensible w16cex:durableId="40E418C1" w16cex:dateUtc="2026-09-16T17:56:00Z"/>
  <w16cex:commentExtensible w16cex:durableId="1912CEAA" w16cex:dateUtc="2026-08-11T18:48:00Z"/>
  <w16cex:commentExtensible w16cex:durableId="0F8BE116" w16cex:dateUtc="2026-09-16T17:59:00Z"/>
  <w16cex:commentExtensible w16cex:durableId="5697CBE4" w16cex:dateUtc="2026-09-16T1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24BA4C" w16cid:durableId="30492A1F"/>
  <w16cid:commentId w16cid:paraId="5F873785" w16cid:durableId="451EFDB2"/>
  <w16cid:commentId w16cid:paraId="7E93F37A" w16cid:durableId="590F5583"/>
  <w16cid:commentId w16cid:paraId="5C7D5F90" w16cid:durableId="743B0E57"/>
  <w16cid:commentId w16cid:paraId="6F7B7F07" w16cid:durableId="2A905DFF"/>
  <w16cid:commentId w16cid:paraId="688C44B6" w16cid:durableId="553301A8"/>
  <w16cid:commentId w16cid:paraId="4DE19226" w16cid:durableId="30AC6FF8"/>
  <w16cid:commentId w16cid:paraId="76B09215" w16cid:durableId="009C978B"/>
  <w16cid:commentId w16cid:paraId="1E8C3E05" w16cid:durableId="510E4A16"/>
  <w16cid:commentId w16cid:paraId="1546F66B" w16cid:durableId="2FDEDCB1"/>
  <w16cid:commentId w16cid:paraId="15ECB9EC" w16cid:durableId="4DEC6B7C"/>
  <w16cid:commentId w16cid:paraId="3C83121F" w16cid:durableId="702B42FD"/>
  <w16cid:commentId w16cid:paraId="08C14D81" w16cid:durableId="44E19C0A"/>
  <w16cid:commentId w16cid:paraId="6971463E" w16cid:durableId="15A99E26"/>
  <w16cid:commentId w16cid:paraId="76E0EDE4" w16cid:durableId="6F4427BE"/>
  <w16cid:commentId w16cid:paraId="00CA1B6F" w16cid:durableId="5169522F"/>
  <w16cid:commentId w16cid:paraId="3741FCA7" w16cid:durableId="6186514E"/>
  <w16cid:commentId w16cid:paraId="4A3C703A" w16cid:durableId="6E4FF02E"/>
  <w16cid:commentId w16cid:paraId="7AC72B9C" w16cid:durableId="3AF79D1D"/>
  <w16cid:commentId w16cid:paraId="22E032A8" w16cid:durableId="3E174CF1"/>
  <w16cid:commentId w16cid:paraId="26054DED" w16cid:durableId="08D33B8F"/>
  <w16cid:commentId w16cid:paraId="374EFC0D" w16cid:durableId="5EDAC122"/>
  <w16cid:commentId w16cid:paraId="7765AA5E" w16cid:durableId="5F1EC823"/>
  <w16cid:commentId w16cid:paraId="677C8841" w16cid:durableId="55621D86"/>
  <w16cid:commentId w16cid:paraId="4DE58D03" w16cid:durableId="79E1FCBF"/>
  <w16cid:commentId w16cid:paraId="7A5F810E" w16cid:durableId="3A69931B"/>
  <w16cid:commentId w16cid:paraId="51C3F724" w16cid:durableId="36CDB024"/>
  <w16cid:commentId w16cid:paraId="0EF70D6B" w16cid:durableId="1D883A17"/>
  <w16cid:commentId w16cid:paraId="6C115922" w16cid:durableId="609AA925"/>
  <w16cid:commentId w16cid:paraId="6423B56B" w16cid:durableId="40E418C1"/>
  <w16cid:commentId w16cid:paraId="0CC5D689" w16cid:durableId="1912CEAA"/>
  <w16cid:commentId w16cid:paraId="2DCF3231" w16cid:durableId="0F8BE116"/>
  <w16cid:commentId w16cid:paraId="78E7D94F" w16cid:durableId="5697CB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EF44F" w14:textId="77777777" w:rsidR="006045E0" w:rsidRDefault="006045E0">
      <w:r>
        <w:separator/>
      </w:r>
    </w:p>
  </w:endnote>
  <w:endnote w:type="continuationSeparator" w:id="0">
    <w:p w14:paraId="05DDEFFB" w14:textId="77777777" w:rsidR="006045E0" w:rsidRDefault="00604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1BFD2" w14:textId="77777777" w:rsidR="00184176" w:rsidRDefault="00000000">
    <w:pPr>
      <w:pStyle w:val="Footer"/>
      <w:jc w:val="center"/>
    </w:pPr>
    <w:r>
      <w:rPr>
        <w:sz w:val="16"/>
      </w:rPr>
      <w:t>This article is licensed under a Creative Commons Attribution- ShareAlike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D7FDB" w14:textId="77777777" w:rsidR="006045E0" w:rsidRDefault="006045E0">
      <w:r>
        <w:separator/>
      </w:r>
    </w:p>
  </w:footnote>
  <w:footnote w:type="continuationSeparator" w:id="0">
    <w:p w14:paraId="6DD56504" w14:textId="77777777" w:rsidR="006045E0" w:rsidRDefault="006045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3012" w14:textId="77777777" w:rsidR="00DD2E26" w:rsidRPr="00683763" w:rsidRDefault="00DD2E26" w:rsidP="00DD2E26">
    <w:pPr>
      <w:pStyle w:val="Header"/>
      <w:wordWrap w:val="0"/>
      <w:jc w:val="right"/>
      <w:rPr>
        <w:rFonts w:cs="Times New Roman"/>
        <w:sz w:val="20"/>
        <w:szCs w:val="20"/>
      </w:rPr>
    </w:pPr>
    <w:r w:rsidRPr="007218D9">
      <w:rPr>
        <w:rFonts w:cs="Times New Roman"/>
        <w:sz w:val="20"/>
        <w:szCs w:val="20"/>
      </w:rPr>
      <w:t>Received: October 18, 2021. Revised: December 20, 2021.</w:t>
    </w:r>
    <w:sdt>
      <w:sdtPr>
        <w:rPr>
          <w:rFonts w:cs="Times New Roman"/>
          <w:sz w:val="20"/>
          <w:szCs w:val="20"/>
        </w:rPr>
        <w:id w:val="1583253042"/>
        <w:docPartObj>
          <w:docPartGallery w:val="Page Numbers (Top of Page)"/>
          <w:docPartUnique/>
        </w:docPartObj>
      </w:sdtPr>
      <w:sdtContent>
        <w:r w:rsidRPr="00683763">
          <w:rPr>
            <w:rFonts w:cs="Times New Roman"/>
            <w:sz w:val="20"/>
            <w:szCs w:val="20"/>
          </w:rPr>
          <w:fldChar w:fldCharType="begin"/>
        </w:r>
        <w:r w:rsidRPr="00683763">
          <w:rPr>
            <w:rFonts w:cs="Times New Roman"/>
            <w:sz w:val="20"/>
            <w:szCs w:val="20"/>
          </w:rPr>
          <w:instrText>PAGE   \* MERGEFORMAT</w:instrText>
        </w:r>
        <w:r w:rsidRPr="00683763">
          <w:rPr>
            <w:rFonts w:cs="Times New Roman"/>
            <w:sz w:val="20"/>
            <w:szCs w:val="20"/>
          </w:rPr>
          <w:fldChar w:fldCharType="separate"/>
        </w:r>
        <w:r>
          <w:rPr>
            <w:rFonts w:cs="Times New Roman"/>
            <w:sz w:val="20"/>
            <w:szCs w:val="20"/>
          </w:rPr>
          <w:t>1</w:t>
        </w:r>
        <w:r w:rsidRPr="00683763">
          <w:rPr>
            <w:rFonts w:cs="Times New Roman"/>
            <w:sz w:val="20"/>
            <w:szCs w:val="20"/>
          </w:rPr>
          <w:fldChar w:fldCharType="end"/>
        </w:r>
      </w:sdtContent>
    </w:sdt>
  </w:p>
  <w:p w14:paraId="62030B83" w14:textId="77777777" w:rsidR="00184176" w:rsidRPr="00DD2E26" w:rsidRDefault="00184176" w:rsidP="00DD2E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12741FFC"/>
    <w:multiLevelType w:val="hybridMultilevel"/>
    <w:tmpl w:val="3858F9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88689521">
    <w:abstractNumId w:val="8"/>
  </w:num>
  <w:num w:numId="2" w16cid:durableId="894587565">
    <w:abstractNumId w:val="6"/>
  </w:num>
  <w:num w:numId="3" w16cid:durableId="44184248">
    <w:abstractNumId w:val="5"/>
  </w:num>
  <w:num w:numId="4" w16cid:durableId="1062602731">
    <w:abstractNumId w:val="4"/>
  </w:num>
  <w:num w:numId="5" w16cid:durableId="585119133">
    <w:abstractNumId w:val="7"/>
  </w:num>
  <w:num w:numId="6" w16cid:durableId="1550918549">
    <w:abstractNumId w:val="3"/>
  </w:num>
  <w:num w:numId="7" w16cid:durableId="1570993384">
    <w:abstractNumId w:val="2"/>
  </w:num>
  <w:num w:numId="8" w16cid:durableId="1061054024">
    <w:abstractNumId w:val="1"/>
  </w:num>
  <w:num w:numId="9" w16cid:durableId="625698649">
    <w:abstractNumId w:val="0"/>
  </w:num>
  <w:num w:numId="10" w16cid:durableId="75563508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mbang Suhartono">
    <w15:presenceInfo w15:providerId="None" w15:userId="Bambang Suharton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5BF"/>
    <w:rsid w:val="00034616"/>
    <w:rsid w:val="00040E06"/>
    <w:rsid w:val="00044D7F"/>
    <w:rsid w:val="000506CC"/>
    <w:rsid w:val="00053FC5"/>
    <w:rsid w:val="0006063C"/>
    <w:rsid w:val="00080116"/>
    <w:rsid w:val="000818D0"/>
    <w:rsid w:val="0008325F"/>
    <w:rsid w:val="000959A1"/>
    <w:rsid w:val="000B1A68"/>
    <w:rsid w:val="000B57D6"/>
    <w:rsid w:val="000C05AF"/>
    <w:rsid w:val="000D206F"/>
    <w:rsid w:val="000D3357"/>
    <w:rsid w:val="000D65E4"/>
    <w:rsid w:val="000F2BDD"/>
    <w:rsid w:val="0015074B"/>
    <w:rsid w:val="0016160E"/>
    <w:rsid w:val="00161BEF"/>
    <w:rsid w:val="001817DC"/>
    <w:rsid w:val="00184176"/>
    <w:rsid w:val="00187973"/>
    <w:rsid w:val="00197073"/>
    <w:rsid w:val="001C41A0"/>
    <w:rsid w:val="001E4CAC"/>
    <w:rsid w:val="001F5339"/>
    <w:rsid w:val="001F6314"/>
    <w:rsid w:val="00226BDE"/>
    <w:rsid w:val="00234D47"/>
    <w:rsid w:val="00242ABC"/>
    <w:rsid w:val="002610C7"/>
    <w:rsid w:val="00276FEE"/>
    <w:rsid w:val="0029639D"/>
    <w:rsid w:val="002A79C9"/>
    <w:rsid w:val="002B5DC3"/>
    <w:rsid w:val="002B7059"/>
    <w:rsid w:val="002D421E"/>
    <w:rsid w:val="002E2D7F"/>
    <w:rsid w:val="002F241A"/>
    <w:rsid w:val="0030153F"/>
    <w:rsid w:val="00301BBE"/>
    <w:rsid w:val="003118D1"/>
    <w:rsid w:val="00311B8D"/>
    <w:rsid w:val="003216A1"/>
    <w:rsid w:val="00326F90"/>
    <w:rsid w:val="00327113"/>
    <w:rsid w:val="00391479"/>
    <w:rsid w:val="003C00FF"/>
    <w:rsid w:val="003F2C1C"/>
    <w:rsid w:val="00402B0F"/>
    <w:rsid w:val="00405333"/>
    <w:rsid w:val="0043575F"/>
    <w:rsid w:val="0045109D"/>
    <w:rsid w:val="00451644"/>
    <w:rsid w:val="00455AE2"/>
    <w:rsid w:val="004761D5"/>
    <w:rsid w:val="004A0595"/>
    <w:rsid w:val="004B770F"/>
    <w:rsid w:val="004C042D"/>
    <w:rsid w:val="004D1D09"/>
    <w:rsid w:val="004E44B1"/>
    <w:rsid w:val="004F501F"/>
    <w:rsid w:val="0050275D"/>
    <w:rsid w:val="00503AAE"/>
    <w:rsid w:val="00516435"/>
    <w:rsid w:val="00534841"/>
    <w:rsid w:val="0054063A"/>
    <w:rsid w:val="005621AE"/>
    <w:rsid w:val="00565B24"/>
    <w:rsid w:val="0057105A"/>
    <w:rsid w:val="00585202"/>
    <w:rsid w:val="00594D53"/>
    <w:rsid w:val="005974CE"/>
    <w:rsid w:val="005A7B60"/>
    <w:rsid w:val="005B755E"/>
    <w:rsid w:val="005C54B2"/>
    <w:rsid w:val="005C7880"/>
    <w:rsid w:val="005D3347"/>
    <w:rsid w:val="005E08E3"/>
    <w:rsid w:val="005E1355"/>
    <w:rsid w:val="00600EAD"/>
    <w:rsid w:val="006045E0"/>
    <w:rsid w:val="006179A3"/>
    <w:rsid w:val="006339CC"/>
    <w:rsid w:val="006434A8"/>
    <w:rsid w:val="00645AD3"/>
    <w:rsid w:val="00647E49"/>
    <w:rsid w:val="00656330"/>
    <w:rsid w:val="00672FD2"/>
    <w:rsid w:val="0067580E"/>
    <w:rsid w:val="00677A1F"/>
    <w:rsid w:val="006801AE"/>
    <w:rsid w:val="006A77F2"/>
    <w:rsid w:val="006B2D6B"/>
    <w:rsid w:val="006B32F9"/>
    <w:rsid w:val="006D5C6B"/>
    <w:rsid w:val="006D7888"/>
    <w:rsid w:val="006E2216"/>
    <w:rsid w:val="006E4D26"/>
    <w:rsid w:val="006F17ED"/>
    <w:rsid w:val="006F1854"/>
    <w:rsid w:val="006F3264"/>
    <w:rsid w:val="00701465"/>
    <w:rsid w:val="0072139D"/>
    <w:rsid w:val="00735BE3"/>
    <w:rsid w:val="00742FE9"/>
    <w:rsid w:val="00766EAC"/>
    <w:rsid w:val="00784E59"/>
    <w:rsid w:val="007A37CA"/>
    <w:rsid w:val="007F205E"/>
    <w:rsid w:val="007F438A"/>
    <w:rsid w:val="00806EA9"/>
    <w:rsid w:val="00816F17"/>
    <w:rsid w:val="00824AE0"/>
    <w:rsid w:val="0082622F"/>
    <w:rsid w:val="0083090E"/>
    <w:rsid w:val="00852FC2"/>
    <w:rsid w:val="0085561D"/>
    <w:rsid w:val="00871863"/>
    <w:rsid w:val="008765BA"/>
    <w:rsid w:val="00881C8D"/>
    <w:rsid w:val="00882CDD"/>
    <w:rsid w:val="00882DD0"/>
    <w:rsid w:val="00884913"/>
    <w:rsid w:val="00887EB1"/>
    <w:rsid w:val="00891739"/>
    <w:rsid w:val="0089285D"/>
    <w:rsid w:val="00895F10"/>
    <w:rsid w:val="008961E9"/>
    <w:rsid w:val="008A602A"/>
    <w:rsid w:val="008F6F79"/>
    <w:rsid w:val="008F6FAA"/>
    <w:rsid w:val="00901058"/>
    <w:rsid w:val="00910674"/>
    <w:rsid w:val="009204AA"/>
    <w:rsid w:val="0092123C"/>
    <w:rsid w:val="00922C9B"/>
    <w:rsid w:val="00924FFC"/>
    <w:rsid w:val="009315B0"/>
    <w:rsid w:val="00940BEA"/>
    <w:rsid w:val="00950A9E"/>
    <w:rsid w:val="00954037"/>
    <w:rsid w:val="00960A8A"/>
    <w:rsid w:val="0098573C"/>
    <w:rsid w:val="00A04DD0"/>
    <w:rsid w:val="00A12595"/>
    <w:rsid w:val="00A371DF"/>
    <w:rsid w:val="00A43B8F"/>
    <w:rsid w:val="00A5306B"/>
    <w:rsid w:val="00A6098F"/>
    <w:rsid w:val="00A70FA4"/>
    <w:rsid w:val="00A7499C"/>
    <w:rsid w:val="00A82AF3"/>
    <w:rsid w:val="00AA1D8D"/>
    <w:rsid w:val="00AA5FDB"/>
    <w:rsid w:val="00AB5A3B"/>
    <w:rsid w:val="00AF7271"/>
    <w:rsid w:val="00B37AC5"/>
    <w:rsid w:val="00B44793"/>
    <w:rsid w:val="00B47730"/>
    <w:rsid w:val="00B52CF8"/>
    <w:rsid w:val="00B546D6"/>
    <w:rsid w:val="00B54B5D"/>
    <w:rsid w:val="00B73493"/>
    <w:rsid w:val="00B73625"/>
    <w:rsid w:val="00B771F9"/>
    <w:rsid w:val="00BD50C2"/>
    <w:rsid w:val="00C311E3"/>
    <w:rsid w:val="00C36EB9"/>
    <w:rsid w:val="00C63339"/>
    <w:rsid w:val="00C70DE4"/>
    <w:rsid w:val="00C72DE3"/>
    <w:rsid w:val="00C81FB5"/>
    <w:rsid w:val="00C86BEB"/>
    <w:rsid w:val="00C94701"/>
    <w:rsid w:val="00C9489F"/>
    <w:rsid w:val="00CA744F"/>
    <w:rsid w:val="00CB0664"/>
    <w:rsid w:val="00CB58B4"/>
    <w:rsid w:val="00CB67B4"/>
    <w:rsid w:val="00CC5102"/>
    <w:rsid w:val="00CD01FF"/>
    <w:rsid w:val="00CE00EA"/>
    <w:rsid w:val="00CE10E9"/>
    <w:rsid w:val="00CF1CD2"/>
    <w:rsid w:val="00CF2C99"/>
    <w:rsid w:val="00D13B3A"/>
    <w:rsid w:val="00D40E59"/>
    <w:rsid w:val="00D414C6"/>
    <w:rsid w:val="00D64F6D"/>
    <w:rsid w:val="00D70DFB"/>
    <w:rsid w:val="00D876CD"/>
    <w:rsid w:val="00D90B35"/>
    <w:rsid w:val="00D93BA0"/>
    <w:rsid w:val="00DD2E26"/>
    <w:rsid w:val="00DF64EA"/>
    <w:rsid w:val="00E24C70"/>
    <w:rsid w:val="00E25293"/>
    <w:rsid w:val="00E512EE"/>
    <w:rsid w:val="00E611CC"/>
    <w:rsid w:val="00E62FDB"/>
    <w:rsid w:val="00E64BF6"/>
    <w:rsid w:val="00E90DDF"/>
    <w:rsid w:val="00EB094C"/>
    <w:rsid w:val="00ED7A80"/>
    <w:rsid w:val="00EF6F0A"/>
    <w:rsid w:val="00F053DD"/>
    <w:rsid w:val="00F27AFB"/>
    <w:rsid w:val="00F30A68"/>
    <w:rsid w:val="00F5527D"/>
    <w:rsid w:val="00F57251"/>
    <w:rsid w:val="00F635FC"/>
    <w:rsid w:val="00F7693D"/>
    <w:rsid w:val="00F859D2"/>
    <w:rsid w:val="00FC693F"/>
    <w:rsid w:val="00FD2306"/>
    <w:rsid w:val="00FD6C5B"/>
    <w:rsid w:val="00FE1A0B"/>
    <w:rsid w:val="00FE39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08781A"/>
  <w14:defaultImageDpi w14:val="300"/>
  <w15:docId w15:val="{AAB46034-0DC2-4A23-89D6-DB631091C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jc w:val="both"/>
    </w:pPr>
    <w:rPr>
      <w:rFonts w:ascii="Times New Roman" w:eastAsia="Times New Roman" w:hAnsi="Times New Roman"/>
    </w:rPr>
  </w:style>
  <w:style w:type="paragraph" w:styleId="Judul1">
    <w:name w:val="heading 1"/>
    <w:basedOn w:val="Normal"/>
    <w:next w:val="Normal"/>
    <w:link w:val="Judul1KAR"/>
    <w:uiPriority w:val="9"/>
    <w:qFormat/>
    <w:rsid w:val="00FC693F"/>
    <w:pPr>
      <w:keepNext/>
      <w:keepLines/>
      <w:spacing w:before="120" w:after="60"/>
      <w:jc w:val="left"/>
      <w:outlineLvl w:val="0"/>
    </w:pPr>
    <w:rPr>
      <w:rFonts w:asciiTheme="majorHAnsi" w:eastAsiaTheme="majorEastAsia" w:hAnsiTheme="majorHAnsi" w:cstheme="majorBidi"/>
      <w:b/>
      <w:bCs/>
      <w:color w:val="365F91" w:themeColor="accent1" w:themeShade="BF"/>
      <w:sz w:val="24"/>
      <w:szCs w:val="28"/>
    </w:rPr>
  </w:style>
  <w:style w:type="paragraph" w:styleId="Judul2">
    <w:name w:val="heading 2"/>
    <w:basedOn w:val="Normal"/>
    <w:next w:val="Normal"/>
    <w:link w:val="Judul2KAR"/>
    <w:uiPriority w:val="9"/>
    <w:unhideWhenUsed/>
    <w:qFormat/>
    <w:rsid w:val="00FC693F"/>
    <w:pPr>
      <w:keepNext/>
      <w:keepLines/>
      <w:spacing w:before="120" w:after="60"/>
      <w:jc w:val="left"/>
      <w:outlineLvl w:val="1"/>
    </w:pPr>
    <w:rPr>
      <w:rFonts w:asciiTheme="majorHAnsi" w:eastAsiaTheme="majorEastAsia" w:hAnsiTheme="majorHAnsi" w:cstheme="majorBidi"/>
      <w:b/>
      <w:bCs/>
      <w:color w:val="4F81BD" w:themeColor="accent1"/>
      <w:szCs w:val="26"/>
    </w:rPr>
  </w:style>
  <w:style w:type="paragraph" w:styleId="Judul3">
    <w:name w:val="heading 3"/>
    <w:basedOn w:val="Normal"/>
    <w:next w:val="Normal"/>
    <w:link w:val="Judul3KAR"/>
    <w:uiPriority w:val="9"/>
    <w:unhideWhenUsed/>
    <w:qFormat/>
    <w:rsid w:val="00FC693F"/>
    <w:pPr>
      <w:keepNext/>
      <w:keepLines/>
      <w:spacing w:before="120" w:after="60"/>
      <w:jc w:val="left"/>
      <w:outlineLvl w:val="2"/>
    </w:pPr>
    <w:rPr>
      <w:rFonts w:asciiTheme="majorHAnsi" w:eastAsiaTheme="majorEastAsia" w:hAnsiTheme="majorHAnsi" w:cstheme="majorBidi"/>
      <w:b/>
      <w:bCs/>
      <w:color w:val="4F81BD" w:themeColor="accent1"/>
      <w:sz w:val="20"/>
    </w:rPr>
  </w:style>
  <w:style w:type="paragraph" w:styleId="Judul4">
    <w:name w:val="heading 4"/>
    <w:basedOn w:val="Normal"/>
    <w:next w:val="Normal"/>
    <w:link w:val="Judul4K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ParagrafDefault"/>
    <w:uiPriority w:val="99"/>
    <w:unhideWhenUsed/>
    <w:rsid w:val="00DD2E26"/>
    <w:rPr>
      <w:color w:val="0000FF"/>
      <w:u w:val="single"/>
    </w:rPr>
  </w:style>
  <w:style w:type="character" w:styleId="SebutanYangBelumTerselesaikan">
    <w:name w:val="Unresolved Mention"/>
    <w:basedOn w:val="FontParagrafDefault"/>
    <w:uiPriority w:val="99"/>
    <w:semiHidden/>
    <w:unhideWhenUsed/>
    <w:rsid w:val="003118D1"/>
    <w:rPr>
      <w:color w:val="605E5C"/>
      <w:shd w:val="clear" w:color="auto" w:fill="E1DFDD"/>
    </w:rPr>
  </w:style>
  <w:style w:type="character" w:styleId="HiperlinkyangDiikuti">
    <w:name w:val="FollowedHyperlink"/>
    <w:basedOn w:val="FontParagrafDefault"/>
    <w:uiPriority w:val="99"/>
    <w:semiHidden/>
    <w:unhideWhenUsed/>
    <w:rsid w:val="003118D1"/>
    <w:rPr>
      <w:color w:val="800080" w:themeColor="followedHyperlink"/>
      <w:u w:val="single"/>
    </w:rPr>
  </w:style>
  <w:style w:type="paragraph" w:styleId="NormalWeb">
    <w:name w:val="Normal (Web)"/>
    <w:basedOn w:val="Normal"/>
    <w:uiPriority w:val="99"/>
    <w:semiHidden/>
    <w:unhideWhenUsed/>
    <w:rsid w:val="00735BE3"/>
    <w:rPr>
      <w:rFonts w:cs="Times New Roman"/>
      <w:sz w:val="24"/>
      <w:szCs w:val="24"/>
    </w:rPr>
  </w:style>
  <w:style w:type="character" w:styleId="ReferensiKomentar">
    <w:name w:val="annotation reference"/>
    <w:basedOn w:val="FontParagrafDefault"/>
    <w:uiPriority w:val="99"/>
    <w:semiHidden/>
    <w:unhideWhenUsed/>
    <w:rsid w:val="00E62FDB"/>
    <w:rPr>
      <w:sz w:val="16"/>
      <w:szCs w:val="16"/>
    </w:rPr>
  </w:style>
  <w:style w:type="paragraph" w:styleId="TeksKomentar">
    <w:name w:val="annotation text"/>
    <w:basedOn w:val="Normal"/>
    <w:link w:val="TeksKomentarKAR"/>
    <w:uiPriority w:val="99"/>
    <w:unhideWhenUsed/>
    <w:rsid w:val="00E62FDB"/>
    <w:rPr>
      <w:rFonts w:asciiTheme="minorHAnsi" w:eastAsiaTheme="minorEastAsia" w:hAnsiTheme="minorHAnsi"/>
      <w:sz w:val="20"/>
      <w:szCs w:val="20"/>
    </w:rPr>
  </w:style>
  <w:style w:type="character" w:customStyle="1" w:styleId="TeksKomentarKAR">
    <w:name w:val="Teks Komentar KAR"/>
    <w:basedOn w:val="FontParagrafDefault"/>
    <w:link w:val="TeksKomentar"/>
    <w:uiPriority w:val="99"/>
    <w:rsid w:val="00E62FDB"/>
    <w:rPr>
      <w:sz w:val="20"/>
      <w:szCs w:val="20"/>
    </w:rPr>
  </w:style>
  <w:style w:type="paragraph" w:styleId="SubjekKomentar">
    <w:name w:val="annotation subject"/>
    <w:basedOn w:val="TeksKomentar"/>
    <w:next w:val="TeksKomentar"/>
    <w:link w:val="SubjekKomentarKAR"/>
    <w:uiPriority w:val="99"/>
    <w:semiHidden/>
    <w:unhideWhenUsed/>
    <w:rsid w:val="00924FFC"/>
    <w:rPr>
      <w:rFonts w:ascii="Times New Roman" w:eastAsia="Times New Roman" w:hAnsi="Times New Roman"/>
      <w:b/>
      <w:bCs/>
    </w:rPr>
  </w:style>
  <w:style w:type="character" w:customStyle="1" w:styleId="SubjekKomentarKAR">
    <w:name w:val="Subjek Komentar KAR"/>
    <w:basedOn w:val="TeksKomentarKAR"/>
    <w:link w:val="SubjekKomentar"/>
    <w:uiPriority w:val="99"/>
    <w:semiHidden/>
    <w:rsid w:val="00924FFC"/>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6/09/relationships/commentsIds" Target="commentsIds.xml"/><Relationship Id="rId18" Type="http://schemas.openxmlformats.org/officeDocument/2006/relationships/image" Target="media/image3.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2437083015@webmail.uad.ac.id"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bambangsuhartono46@gmail.com" TargetMode="Externa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17</Pages>
  <Words>22958</Words>
  <Characters>130867</Characters>
  <Application>Microsoft Office Word</Application>
  <DocSecurity>0</DocSecurity>
  <Lines>1090</Lines>
  <Paragraphs>307</Paragraphs>
  <ScaleCrop>false</ScaleCrop>
  <HeadingPairs>
    <vt:vector size="2" baseType="variant">
      <vt:variant>
        <vt:lpstr>Title</vt:lpstr>
      </vt:variant>
      <vt:variant>
        <vt:i4>1</vt:i4>
      </vt:variant>
    </vt:vector>
  </HeadingPairs>
  <TitlesOfParts>
    <vt:vector size="1" baseType="lpstr">
      <vt:lpstr>ISAG-ITP Framework Bahasa Indonesia</vt:lpstr>
    </vt:vector>
  </TitlesOfParts>
  <Manager/>
  <Company/>
  <LinksUpToDate>false</LinksUpToDate>
  <CharactersWithSpaces>153518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ISAG-ITP Framework Bahasa Indonesia</dc:title>
  <dc:subject/>
  <dc:creator>OpenAI</dc:creator>
  <cp:keywords/>
  <dc:description>generated by python-docx</dc:description>
  <cp:lastModifiedBy>Bambang Suhartono</cp:lastModifiedBy>
  <cp:revision>14</cp:revision>
  <cp:lastPrinted>2026-07-13T16:07:00Z</cp:lastPrinted>
  <dcterms:created xsi:type="dcterms:W3CDTF">2026-09-16T17:11:00Z</dcterms:created>
  <dcterms:modified xsi:type="dcterms:W3CDTF">2026-09-16T18:00:00Z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4731dd42-7a05-389e-bffe-25590ade257b</vt:lpwstr>
  </property>
  <property fmtid="{D5CDD505-2E9C-101B-9397-08002B2CF9AE}" pid="24" name="Mendeley Citation Style_1">
    <vt:lpwstr>http://www.zotero.org/styles/ieee</vt:lpwstr>
  </property>
</Properties>
</file>