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ouvrir un terminal, taper la commande hostname (nom cout) ou hostname -f (nom long). Lire l’étiquette en salle de TP donne une indication.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c129-01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c129-01.enst.fr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commande /sbin/ifconfig   -&gt;   chercher inet adr:137.194.35.41 dans la section eth0 (ethernet 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dig &lt;nom_long&gt;    -&gt;    chercher dans la réponse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;; ANSWER SECTION:</w:t>
        <w:br w:type="textWrapping"/>
        <w:t xml:space="preserve">c129-01.enst.fr.</w:t>
        <w:tab/>
        <w:t xml:space="preserve">172800</w:t>
        <w:tab/>
        <w:t xml:space="preserve">IN</w:t>
        <w:tab/>
        <w:t xml:space="preserve">A</w:t>
        <w:tab/>
        <w:t xml:space="preserve">137.194.35.42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dig c129-01.esnt.fr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dig -x  @IP   -&gt;  chercher dans la réponse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;; ANSWER SECTION:</w:t>
        <w:br w:type="textWrapping"/>
        <w:t xml:space="preserve">42.35.194.137.in-addr.arpa. 86400 IN</w:t>
        <w:tab/>
        <w:t xml:space="preserve">PTR</w:t>
        <w:tab/>
        <w:t xml:space="preserve">c129-01.enst.fr.</w:t>
        <w:br w:type="textWrapping"/>
        <w:t xml:space="preserve">Exemple: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dig -x 137.194.35.42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c129-00 ~ $ ping c129-02</w:t>
        <w:br w:type="textWrapping"/>
        <w:t xml:space="preserve">PING c129-02.enst.fr (137.194.35.43) 56(84) bytes of data.</w:t>
        <w:br w:type="textWrapping"/>
        <w:t xml:space="preserve">64 bytes from c129-02.enst.fr (137.194.35.43): icmp_seq=1 ttl=64 time=0.479 ms</w:t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Arrêter le ping avec CTRL + 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Voir avec la DSI de l’école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Commande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calc 2 + 3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pour lancer le calcul sur c129-02: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ssh c129-02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taper le mot de passe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calc 2 + 3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générer les clés en tapant la commande:</w:t>
        <w:br w:type="textWrapping"/>
        <w:t xml:space="preserve">ssh-keygen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 pas mettre de passphrase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copier le contenu du fichier  .ssh/id_dsa.pub dans le fichier .ssh/authorized_keys   (à la suite de ce qui existe déjà dans ce fichier)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ssh c129-02 calc 2 + 3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le résultat s’affiche sans taper de mot de passe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