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spacing w:before="240" w:after="120"/>
        <w:jc w:val="right"/>
      </w:pPr>
      <w:r/>
      <w:r>
        <w:rPr>
          <w:rFonts w:ascii="Arial" w:hAnsi="Arial" w:cs="Arial"/>
          <w:rtl/>
        </w:rPr>
        <w:t>סיכום מקצועי בנושא FIGG</w:t>
      </w:r>
    </w:p>
    <w:p>
      <w:pPr>
        <w:bidi/>
        <w:pStyle w:val="Heading2"/>
        <w:spacing w:before="240" w:after="120"/>
        <w:jc w:val="right"/>
      </w:pPr>
      <w:r/>
      <w:r>
        <w:rPr>
          <w:rFonts w:ascii="Arial" w:hAnsi="Arial" w:cs="Arial"/>
          <w:rtl/>
        </w:rPr>
        <w:t>## תוכן עניינים</w:t>
      </w:r>
    </w:p>
    <w:p>
      <w:pPr>
        <w:bidi/>
        <w:spacing w:before="60" w:after="60"/>
        <w:jc w:val="right"/>
      </w:pPr>
      <w:hyperlink w:anchor="sec_1" w:history="1">
        <w:r>
          <w:rPr>
            <w:color w:val="0000FF"/>
            <w:u w:val="single"/>
            <w:rFonts w:cs="Arial"/>
            <w:rtl/>
          </w:rPr>
          <w:t>1. מבוא לגנאלוגיה גנטית ו־FIGG</w:t>
        </w:r>
      </w:hyperlink>
    </w:p>
    <w:p>
      <w:pPr>
        <w:bidi/>
        <w:spacing w:before="60" w:after="60"/>
        <w:jc w:val="right"/>
      </w:pPr>
      <w:hyperlink w:anchor="sec_2" w:history="1">
        <w:r>
          <w:rPr>
            <w:color w:val="0000FF"/>
            <w:u w:val="single"/>
            <w:rFonts w:cs="Arial"/>
            <w:rtl/>
          </w:rPr>
          <w:t>2. שונות גנטית אנושית ומבנה אוכלוסיות</w:t>
        </w:r>
      </w:hyperlink>
    </w:p>
    <w:p>
      <w:pPr>
        <w:bidi/>
        <w:spacing w:before="60" w:after="60"/>
        <w:jc w:val="right"/>
      </w:pPr>
      <w:hyperlink w:anchor="sec_3" w:history="1">
        <w:r>
          <w:rPr>
            <w:color w:val="0000FF"/>
            <w:u w:val="single"/>
            <w:rFonts w:cs="Arial"/>
            <w:rtl/>
          </w:rPr>
          <w:t>3. תשתית טכנולוגית לנתוני גנאלוגיה</w:t>
        </w:r>
      </w:hyperlink>
    </w:p>
    <w:p>
      <w:pPr>
        <w:bidi/>
        <w:spacing w:before="60" w:after="60"/>
        <w:jc w:val="right"/>
      </w:pPr>
      <w:hyperlink w:anchor="sec_4" w:history="1">
        <w:r>
          <w:rPr>
            <w:color w:val="0000FF"/>
            <w:u w:val="single"/>
            <w:rFonts w:cs="Arial"/>
            <w:rtl/>
          </w:rPr>
          <w:t>4. IBD והסקת קרבה</w:t>
        </w:r>
      </w:hyperlink>
    </w:p>
    <w:p>
      <w:pPr>
        <w:bidi/>
        <w:spacing w:before="60" w:after="60"/>
        <w:jc w:val="right"/>
      </w:pPr>
      <w:hyperlink w:anchor="sec_5" w:history="1">
        <w:r>
          <w:rPr>
            <w:color w:val="0000FF"/>
            <w:u w:val="single"/>
            <w:rFonts w:cs="Arial"/>
            <w:rtl/>
          </w:rPr>
          <w:t>5. מגבלות חישוביות ואוכלוסייתיות</w:t>
        </w:r>
      </w:hyperlink>
    </w:p>
    <w:p>
      <w:pPr>
        <w:bidi/>
        <w:spacing w:before="60" w:after="60"/>
        <w:jc w:val="right"/>
      </w:pPr>
      <w:hyperlink w:anchor="sec_6" w:history="1">
        <w:r>
          <w:rPr>
            <w:color w:val="0000FF"/>
            <w:u w:val="single"/>
            <w:rFonts w:cs="Arial"/>
            <w:rtl/>
          </w:rPr>
          <w:t>6. מסדי נתונים גנאלוגיים וחיפוש קרובים</w:t>
        </w:r>
      </w:hyperlink>
    </w:p>
    <w:p>
      <w:pPr>
        <w:bidi/>
        <w:spacing w:before="60" w:after="60"/>
        <w:jc w:val="right"/>
      </w:pPr>
      <w:hyperlink w:anchor="sec_7" w:history="1">
        <w:r>
          <w:rPr>
            <w:color w:val="0000FF"/>
            <w:u w:val="single"/>
            <w:rFonts w:cs="Arial"/>
            <w:rtl/>
          </w:rPr>
          <w:t>7. יישומים אזרחיים של גנאלוגיה גנטית</w:t>
        </w:r>
      </w:hyperlink>
    </w:p>
    <w:p>
      <w:pPr>
        <w:bidi/>
        <w:spacing w:before="60" w:after="60"/>
        <w:jc w:val="right"/>
      </w:pPr>
      <w:hyperlink w:anchor="sec_8" w:history="1">
        <w:r>
          <w:rPr>
            <w:color w:val="0000FF"/>
            <w:u w:val="single"/>
            <w:rFonts w:cs="Arial"/>
            <w:rtl/>
          </w:rPr>
          <w:t>8. זיהוי נעדרים, שרידים ו־DVI</w:t>
        </w:r>
      </w:hyperlink>
    </w:p>
    <w:p>
      <w:pPr>
        <w:bidi/>
        <w:spacing w:before="60" w:after="60"/>
        <w:jc w:val="right"/>
      </w:pPr>
      <w:hyperlink w:anchor="sec_9" w:history="1">
        <w:r>
          <w:rPr>
            <w:color w:val="0000FF"/>
            <w:u w:val="single"/>
            <w:rFonts w:cs="Arial"/>
            <w:rtl/>
          </w:rPr>
          <w:t>9. FIGG במעבדה הפורנזית</w:t>
        </w:r>
      </w:hyperlink>
    </w:p>
    <w:p>
      <w:pPr>
        <w:bidi/>
        <w:spacing w:before="60" w:after="60"/>
        <w:jc w:val="right"/>
      </w:pPr>
      <w:hyperlink w:anchor="sec_10" w:history="1">
        <w:r>
          <w:rPr>
            <w:color w:val="0000FF"/>
            <w:u w:val="single"/>
            <w:rFonts w:cs="Arial"/>
            <w:rtl/>
          </w:rPr>
          <w:t>10. FIGG כתהליך חקירתי</w:t>
        </w:r>
      </w:hyperlink>
    </w:p>
    <w:p>
      <w:pPr>
        <w:bidi/>
        <w:spacing w:before="60" w:after="60"/>
        <w:jc w:val="right"/>
      </w:pPr>
      <w:hyperlink w:anchor="sec_11" w:history="1">
        <w:r>
          <w:rPr>
            <w:color w:val="0000FF"/>
            <w:u w:val="single"/>
            <w:rFonts w:cs="Arial"/>
            <w:rtl/>
          </w:rPr>
          <w:t>11. תיאורי מקרה מרכזיים</w:t>
        </w:r>
      </w:hyperlink>
    </w:p>
    <w:p>
      <w:pPr>
        <w:bidi/>
        <w:spacing w:before="60" w:after="60"/>
        <w:jc w:val="right"/>
      </w:pPr>
      <w:hyperlink w:anchor="sec_12" w:history="1">
        <w:r>
          <w:rPr>
            <w:color w:val="0000FF"/>
            <w:u w:val="single"/>
            <w:rFonts w:cs="Arial"/>
            <w:rtl/>
          </w:rPr>
          <w:t>12. מגבלות, כשלים ומבט מסכם</w:t>
        </w:r>
      </w:hyperlink>
    </w:p>
    <w:p>
      <w:pPr>
        <w:bidi/>
        <w:spacing w:before="60" w:after="60"/>
        <w:jc w:val="right"/>
      </w:pPr>
      <w:hyperlink w:anchor="sec_13" w:history="1">
        <w:r>
          <w:rPr>
            <w:color w:val="0000FF"/>
            <w:u w:val="single"/>
            <w:rFonts w:cs="Arial"/>
            <w:rtl/>
          </w:rPr>
          <w:t>13. היבטים משפטיים ואתיים של FIGG</w:t>
        </w:r>
      </w:hyperlink>
    </w:p>
    <w:p>
      <w:pPr>
        <w:bidi/>
        <w:spacing w:before="60" w:after="60"/>
        <w:jc w:val="right"/>
      </w:pPr>
      <w:hyperlink w:anchor="sec_14" w:history="1">
        <w:r>
          <w:rPr>
            <w:color w:val="0000FF"/>
            <w:u w:val="single"/>
            <w:rFonts w:cs="Arial"/>
            <w:rtl/>
          </w:rPr>
          <w:t>14. FIGG במשטרות בעולם</w:t>
        </w:r>
      </w:hyperlink>
    </w:p>
    <w:p>
      <w:pPr>
        <w:bidi/>
        <w:spacing w:before="60" w:after="60"/>
        <w:jc w:val="right"/>
      </w:pPr>
      <w:hyperlink w:anchor="sec_15" w:history="1">
        <w:r>
          <w:rPr>
            <w:color w:val="0000FF"/>
            <w:u w:val="single"/>
            <w:rFonts w:cs="Arial"/>
            <w:rtl/>
          </w:rPr>
          <w:t>15. תקנים, בקרה ואבטחת איכות ב־FIGG</w:t>
        </w:r>
      </w:hyperlink>
    </w:p>
    <w:p>
      <w:pPr>
        <w:bidi/>
        <w:spacing w:before="60" w:after="60"/>
        <w:jc w:val="right"/>
      </w:pPr>
      <w:hyperlink w:anchor="sec_16" w:history="1">
        <w:r>
          <w:rPr>
            <w:color w:val="0000FF"/>
            <w:u w:val="single"/>
            <w:rFonts w:cs="Arial"/>
            <w:rtl/>
          </w:rPr>
          <w:t>סיכום כולל</w:t>
        </w:r>
      </w:hyperlink>
    </w:p>
    <w:p>
      <w:pPr>
        <w:bidi/>
        <w:spacing w:before="60" w:after="60"/>
        <w:jc w:val="right"/>
      </w:pPr>
      <w:hyperlink w:anchor="sec_17" w:history="1">
        <w:r>
          <w:rPr>
            <w:color w:val="0000FF"/>
            <w:u w:val="single"/>
            <w:rFonts w:cs="Arial"/>
            <w:rtl/>
          </w:rPr>
          <w:t>רשימת מקורות</w:t>
        </w:r>
      </w:hyperlink>
    </w:p>
    <w:p>
      <w:pPr>
        <w:bidi/>
        <w:spacing w:before="60" w:after="60"/>
        <w:jc w:val="right"/>
      </w:pPr>
      <w:hyperlink w:anchor="sec_18" w:history="1">
        <w:r>
          <w:rPr>
            <w:color w:val="0000FF"/>
            <w:u w:val="single"/>
            <w:rFonts w:cs="Arial"/>
            <w:rtl/>
          </w:rPr>
          <w:t>References</w:t>
        </w:r>
      </w:hyperlink>
    </w:p>
    <w:p>
      <w:r>
        <w:br w:type="page"/>
      </w:r>
    </w:p>
    <w:p>
      <w:pPr>
        <w:bidi/>
        <w:pStyle w:val="Heading1"/>
        <w:spacing w:before="240" w:after="120"/>
        <w:jc w:val="right"/>
      </w:pPr>
      <w:r/>
      <w:r>
        <w:rPr>
          <w:rFonts w:ascii="Arial" w:hAnsi="Arial" w:cs="Arial"/>
          <w:rtl/>
        </w:rPr>
        <w:t>סיכום מקצועי בנושא FIGG</w:t>
      </w:r>
    </w:p>
    <w:p>
      <w:pPr>
        <w:bidi/>
        <w:spacing w:before="120" w:after="120" w:line="276" w:lineRule="auto"/>
        <w:jc w:val="right"/>
      </w:pPr>
      <w:r>
        <w:rPr>
          <w:rFonts w:ascii="Arial" w:hAnsi="Arial" w:cs="Arial"/>
          <w:rtl/>
        </w:rPr>
        <w:t>גנאלוגיה גנטית ו־FIGG הם תחום בינתחומי המחבר בין גנטיקה של אוכלוסיות, ביואינפורמטיקה, גנאלוגיה תיעודית, עבודה מעבדתית פורנזית ומדיניות ציבורית. הרעיון המרכזי הוא שזיהוי אדם דרך קרוביו אינו נשען רק על התאמה ישירה, אלא על ניתוח דפוסי שיתוף לאורך הגנום, על פירוש זהיר של מבנה אוכלוסיות, ועל בניית אילנות יוחסין מתוך רשימות התאמה גנטיות [1], [2], [3]. לכן FIGG אינו רק כלי חקירתי, אלא שיטה הממקמת את האדם בתוך רשת משפחתית רחבה יותר [4], [5].</w:t>
      </w:r>
    </w:p>
    <w:p>
      <w:pPr>
        <w:bidi/>
        <w:spacing w:before="120" w:after="120" w:line="276" w:lineRule="auto"/>
        <w:jc w:val="right"/>
      </w:pPr>
      <w:r>
        <w:rPr>
          <w:rFonts w:ascii="Arial" w:hAnsi="Arial" w:cs="Arial"/>
          <w:rtl/>
        </w:rPr>
        <w:t>הדיון מתקדם מן היסודות המדעיים אל היישומים הפורנזיים, ומשם אל מגבלות, אתיקה, מודלים מוסדיים ודרישות איכות. סדר זה חשוב, משום שללא הבנה של שונות גנטית, הפלוטיפים, IBD והסקת קרבה, קל להציג את FIGG כהצלחה חקירתית, אך קשה להבין מה בדיוק השיטה יודעת לעשות, היכן היא מועדת לטעות, ובאילו תנאים יש לה תוקף מדעי ומעשי [1], [6], [7].</w:t>
      </w:r>
    </w:p>
    <w:p>
      <w:pPr>
        <w:bidi/>
        <w:pStyle w:val="Heading2"/>
        <w:spacing w:before="240" w:after="120"/>
        <w:jc w:val="right"/>
      </w:pPr>
      <w:r/>
      <w:bookmarkStart w:id="sec_1" w:name="sec_1"/>
      <w:r>
        <w:rPr>
          <w:rFonts w:ascii="Arial" w:hAnsi="Arial" w:cs="Arial"/>
          <w:rtl/>
        </w:rPr>
        <w:t>1. מבוא לגנאלוגיה גנטית ו־FIGG</w:t>
      </w:r>
      <w:bookmarkEnd w:id="sec_1"/>
    </w:p>
    <w:p>
      <w:pPr>
        <w:bidi/>
        <w:spacing w:before="120" w:after="120" w:line="276" w:lineRule="auto"/>
        <w:jc w:val="right"/>
      </w:pPr>
      <w:r>
        <w:rPr>
          <w:rFonts w:ascii="Arial" w:hAnsi="Arial" w:cs="Arial"/>
          <w:rtl/>
        </w:rPr>
        <w:t>הגנאלוגיה המסורתית נשענה במשך דורות על מסמכים, ארכיונים, רישומי לידה, נישואין, פטירה ומפקדי אוכלוסין. הגנאלוגיה הגנטית הרחיבה מסורת זו בכך שהוסיפה לה מקור ראיות חדש: נתונים גנומיים רחבי היקף, ובעיקר פרופילי SNP, המאפשרים לאתר קרובי משפחה רחוקים ולשחזר ענפים משפחתיים גם כאשר התיעוד חסר או חלקי [1], [4]. המעבר הזה שינה את תפקידו של ה־DNA. במקום לשמש רק ככלי מאשר בזיהוי ישיר, הוא נעשה גם כלי מחפש, המסוגל לייצר כיוון חקירתי דרך קרובים שלא היו יעד החיפוש המקורי [5], [8].</w:t>
      </w:r>
    </w:p>
    <w:p>
      <w:pPr>
        <w:bidi/>
        <w:spacing w:before="120" w:after="120" w:line="276" w:lineRule="auto"/>
        <w:jc w:val="right"/>
      </w:pPr>
      <w:r>
        <w:rPr>
          <w:rFonts w:ascii="Arial" w:hAnsi="Arial" w:cs="Arial"/>
          <w:rtl/>
        </w:rPr>
        <w:t>FIGG הוא היישום הפורנזי של עקרונות אלה. דגימת DNA מזירת פשע או משרידים אנושיים מומרת לפרופיל SNP מתאים לחיפוש במסדי נתונים גנאלוגיים, ההתאמות המתקבלות משמשות לבניית עץ משפחה, ומתוך העץ נגזר כיוון חקירתי שיש לאמת בהמשך באמצעים פורנזיים רגילים, בדרך כלל באמצעות STR [1], [4]. כבר בשלב המבוא עולה לכן הבחנה מהותית בין כיוון גנאלוגי לבין זיהוי פורנזי מאומת. FIGG אינו מחליף את האימות הישיר, אלא מקדים אותו ומכוון אותו [5], [9].</w:t>
      </w:r>
    </w:p>
    <w:p>
      <w:pPr>
        <w:bidi/>
        <w:pStyle w:val="Heading2"/>
        <w:spacing w:before="240" w:after="120"/>
        <w:jc w:val="right"/>
      </w:pPr>
      <w:r/>
      <w:bookmarkStart w:id="sec_2" w:name="sec_2"/>
      <w:r>
        <w:rPr>
          <w:rFonts w:ascii="Arial" w:hAnsi="Arial" w:cs="Arial"/>
          <w:rtl/>
        </w:rPr>
        <w:t>2. שונות גנטית אנושית ומבנה אוכלוסיות</w:t>
      </w:r>
      <w:bookmarkEnd w:id="sec_2"/>
    </w:p>
    <w:p>
      <w:pPr>
        <w:bidi/>
        <w:spacing w:before="120" w:after="120" w:line="276" w:lineRule="auto"/>
        <w:jc w:val="right"/>
      </w:pPr>
      <w:r>
        <w:rPr>
          <w:rFonts w:ascii="Arial" w:hAnsi="Arial" w:cs="Arial"/>
          <w:rtl/>
        </w:rPr>
        <w:t>הבסיס המדעי של גנאלוגיה גנטית נשען על הבנת השונות הגנטית האנושית, ובעיקר על כך ש־SNPs, הפלוטיפים ו־linkage disequilibrium יוצרים יחד מפת שיתוף גנומי שניתן לנתח בקנה מידה רחב [10], [11]. אף שהגנום האנושי כולל סוגים רבים של וריאציה, בפועל SNPs הם הסמנים המרכזיים של התחום, משום שהם נפוצים מאוד, מפוזרים לאורך כל הגנום, ומתאימים למדידה שיטתית בפלטפורמות צרכניות ופורנזיות כאחת [1], [10].</w:t>
      </w:r>
    </w:p>
    <w:p>
      <w:pPr>
        <w:bidi/>
        <w:spacing w:before="120" w:after="120" w:line="276" w:lineRule="auto"/>
        <w:jc w:val="right"/>
      </w:pPr>
      <w:r>
        <w:rPr>
          <w:rFonts w:ascii="Arial" w:hAnsi="Arial" w:cs="Arial"/>
          <w:rtl/>
        </w:rPr>
        <w:t>הפלוטיפים ו־LD מסבירים מדוע אין מסתכלים על SNPs בודדים בלבד, אלא על דפוסים כרומוזומליים שלמים. מאגרי ייחוס גלובליים, כמו אלה שנבנו בפרויקט 1000 Genomes, מאפשרים לאמוד תדירויות אללים, לבצע phasing ולהבין כיצד שונות גנטית מפוזרת בין אוכלוסיות שונות [10]. כלים כמו PCA, ADMIXTURE ו־local ancestry אינם משמשים בקורס לצורך מיפוי “זהויות”, אלא כדי להמחיש שמבנה אוכלוסייה הוא חלק מהותי מן הנתון, ושאותה קרבה גנטית יכולה לקבל פירוש שונה על רקע דמוגרפי שונה [12], [13], [14]. לכן כבר מן הפרקים הראשונים מתברר כי קריאת DNA אינה אפשרית בלי מסגרת אוכלוסייתית מתאימה.</w:t>
      </w:r>
    </w:p>
    <w:p>
      <w:pPr>
        <w:bidi/>
        <w:pStyle w:val="Heading2"/>
        <w:spacing w:before="240" w:after="120"/>
        <w:jc w:val="right"/>
      </w:pPr>
      <w:r/>
      <w:bookmarkStart w:id="sec_3" w:name="sec_3"/>
      <w:r>
        <w:rPr>
          <w:rFonts w:ascii="Arial" w:hAnsi="Arial" w:cs="Arial"/>
          <w:rtl/>
        </w:rPr>
        <w:t>3. תשתית טכנולוגית לנתוני גנאלוגיה</w:t>
      </w:r>
      <w:bookmarkEnd w:id="sec_3"/>
    </w:p>
    <w:p>
      <w:pPr>
        <w:bidi/>
        <w:spacing w:before="120" w:after="120" w:line="276" w:lineRule="auto"/>
        <w:jc w:val="right"/>
      </w:pPr>
      <w:r>
        <w:rPr>
          <w:rFonts w:ascii="Arial" w:hAnsi="Arial" w:cs="Arial"/>
          <w:rtl/>
        </w:rPr>
        <w:t>היכולת לבצע גנאלוגיה גנטית תלויה לא רק בשונות הגנטית עצמה, אלא גם בטכנולוגיות שמודדות אותה ברזולוציה מתאימה. ההבדל הבסיסי כאן הוא בין STR לבין SNP. STR מתאים היטב לזיהוי ישיר ולהשוואות פורנזיות קלאסיות, אך הוא כולל מעט מדי סמנים כדי לאתר קרובים רחוקים. לעומת זאת, עבודה עם מאות אלפי SNPs מאפשרת לזהות דפוסים רחבים של שיתוף כרומוזומלי, ולכן היא חיונית לגנאלוגיה גנטית ול־FIGG [1], [15].</w:t>
      </w:r>
    </w:p>
    <w:p>
      <w:pPr>
        <w:bidi/>
        <w:spacing w:before="120" w:after="120" w:line="276" w:lineRule="auto"/>
        <w:jc w:val="right"/>
      </w:pPr>
      <w:r>
        <w:rPr>
          <w:rFonts w:ascii="Arial" w:hAnsi="Arial" w:cs="Arial"/>
          <w:rtl/>
        </w:rPr>
        <w:t>המעבר לנתוני SNP כרוך גם במעבר לחשיבה הפלוטיפית. במקום לראות את הגנום כאוסף של אתרים בודדים, מנתחים רצפים של אללים העוברים יחד לאורך כרומוזומים. כאן נכנס phasing, כלומר שחזור הסידור של האללים על שני העותקים הכרומוזומליים של הפרט. שיטות של long-range phasing הראו שאפשר להיעזר גם בקרובים רחוקים ובמסדי נתונים גדולים כדי לשחזר את הפאזה, ולא רק בנתוני משפחה ישירים [11], [15]. מאחר שזיהוי IBD נשען על מבנה הפלוטיפים, שגיאות phasing עלולות לקצר מקטעים אמיתיים או ליצור דפוסים מטעים [6], [11].</w:t>
      </w:r>
    </w:p>
    <w:p>
      <w:pPr>
        <w:bidi/>
        <w:spacing w:before="120" w:after="120" w:line="276" w:lineRule="auto"/>
        <w:jc w:val="right"/>
      </w:pPr>
      <w:r>
        <w:rPr>
          <w:rFonts w:ascii="Arial" w:hAnsi="Arial" w:cs="Arial"/>
          <w:rtl/>
        </w:rPr>
        <w:t>לצד זאת, התשתית הטכנולוגית כוללת גם התאמה בין פלטפורמות ופורמטים. נתוני microarray, ריצוף גנום מלא ופאנלים ממוקדים אינם חופפים תמיד באותם אתרי SNP, ולכן לעיתים נדרש סינון, המרה, ולעיתים גם imputation כדי ליצור קובץ שמיש לחיפוש במסדים גנאלוגיים [1], [11]. מכאן עולה שהצלחת FIGG תלויה לא רק באיכות הדגימה, אלא גם באיכות ה־pipeline הביואינפורמטי שמתרגם נתוני גנוטיפ או ריצוף לפרופיל בר־השוואה [1].</w:t>
      </w:r>
    </w:p>
    <w:p>
      <w:pPr>
        <w:bidi/>
        <w:pStyle w:val="Heading2"/>
        <w:spacing w:before="240" w:after="120"/>
        <w:jc w:val="right"/>
      </w:pPr>
      <w:r/>
      <w:bookmarkStart w:id="sec_4" w:name="sec_4"/>
      <w:r>
        <w:rPr>
          <w:rFonts w:ascii="Arial" w:hAnsi="Arial" w:cs="Arial"/>
          <w:rtl/>
        </w:rPr>
        <w:t>4. IBD והסקת קרבה</w:t>
      </w:r>
      <w:bookmarkEnd w:id="sec_4"/>
    </w:p>
    <w:p>
      <w:pPr>
        <w:bidi/>
        <w:spacing w:before="120" w:after="120" w:line="276" w:lineRule="auto"/>
        <w:jc w:val="right"/>
      </w:pPr>
      <w:r>
        <w:rPr>
          <w:rFonts w:ascii="Arial" w:hAnsi="Arial" w:cs="Arial"/>
          <w:rtl/>
        </w:rPr>
        <w:t>ליבת הגנאלוגיה הגנטית היא זיהוי מקטעים של DNA שהועברו בירושה מאב קדמון משותף, כלומר IBD. ההבחנה בין IBD לבין IBS חשובה מאוד: לא כל דמיון גנטי משקף קרבה גנאלוגית עדכנית, ורק שיתוף כרומוזומלי שמקורו בירושה משותפת מספק ראיה טובה להסקת קרבה [2]. מאחר שרקומבינציה מפרקת כרומוזומים בכל דור, קרובים קרובים נוטים לחלוק מקטעים ארוכים יותר, בעוד שקרובים רחוקים חולקים מקטעים קצרים יותר, ולעיתים כלל אינם חולקים שיתוף בר־זיהוי [3].</w:t>
      </w:r>
    </w:p>
    <w:p>
      <w:pPr>
        <w:bidi/>
        <w:spacing w:before="120" w:after="120" w:line="276" w:lineRule="auto"/>
        <w:jc w:val="right"/>
      </w:pPr>
      <w:r>
        <w:rPr>
          <w:rFonts w:ascii="Arial" w:hAnsi="Arial" w:cs="Arial"/>
          <w:rtl/>
        </w:rPr>
        <w:t>הסקת קרבה נשענת אפוא הן על מספר המקטעים המשותפים והן על אורכם. ERSA הראה שמספר המקטעים ואורכיהם מאפשרים להעריך דרגות קרבה בטווח רחב יחסית, אך גם הדגיש שהדיוק יורד ככל שהקרבה מתרחקת, משום שהשונות הביולוגית גדלה וחלק מן הקרובים הגנאלוגיים כלל אינם נושאים שיתוף גנומי נצפה [3]. שיטות מבוססות kinship coefficient, IBD0 ומדדים אלליים יעילות מאוד לקרובים קרובים [7], [16], אך לצורך long-range familial search יש צורך מפורש בזיהוי מקטעי IBD ובפירוש זהיר של מבנה השיתוף [2], [6].</w:t>
      </w:r>
    </w:p>
    <w:p>
      <w:pPr>
        <w:bidi/>
        <w:pStyle w:val="Heading2"/>
        <w:spacing w:before="240" w:after="120"/>
        <w:jc w:val="right"/>
      </w:pPr>
      <w:r/>
      <w:bookmarkStart w:id="sec_5" w:name="sec_5"/>
      <w:r>
        <w:rPr>
          <w:rFonts w:ascii="Arial" w:hAnsi="Arial" w:cs="Arial"/>
          <w:rtl/>
        </w:rPr>
        <w:t>5. מגבלות חישוביות ואוכלוסייתיות</w:t>
      </w:r>
      <w:bookmarkEnd w:id="sec_5"/>
    </w:p>
    <w:p>
      <w:pPr>
        <w:bidi/>
        <w:spacing w:before="120" w:after="120" w:line="276" w:lineRule="auto"/>
        <w:jc w:val="right"/>
      </w:pPr>
      <w:r>
        <w:rPr>
          <w:rFonts w:ascii="Arial" w:hAnsi="Arial" w:cs="Arial"/>
          <w:rtl/>
        </w:rPr>
        <w:t>אחד הלקחים המרכזיים של הקורס הוא שקרבה גנטית אינה נמדדת בריק. background sharing, cryptic relatedness, endogamy, admixture ו־inbreeding משנים את משמעותו של השיתוף הגנטי, ולעיתים מקשים להבחין בין קרבה משפחתית עדכנית לבין רקע אוכלוסייתי משותף [7], [17], [18]. באוכלוסיות אנדוגמיות, לדוגמה, זוגות רבים חולקים יותר DNA מן המצופה באוכלוסייה פנמיקטית, ולכן התאמה שנראית קרובה על פניו עשויה להיות פחות אינפורמטיבית מבחינה גנאלוגית [17].</w:t>
      </w:r>
    </w:p>
    <w:p>
      <w:pPr>
        <w:bidi/>
        <w:spacing w:before="120" w:after="120" w:line="276" w:lineRule="auto"/>
        <w:jc w:val="right"/>
      </w:pPr>
      <w:r>
        <w:rPr>
          <w:rFonts w:ascii="Arial" w:hAnsi="Arial" w:cs="Arial"/>
          <w:rtl/>
        </w:rPr>
        <w:t>מכאן נובע הצורך בשיטות robust למבנה אוכלוסייה, כמו REAP ו־PC-Relate, המנסות להפריד בין דמיון הנובע ממוצא משותף רחב לבין דמיון הנובע מקרבה משפחתית ממשית [7], [18]. המשמעות המעשית ל־FIGG ברורה מאוד: אין די בקריאת ערך shared cM או בדרגת הקרבה שמערכת מסוימת מציעה. יש לפרש כל התאמה בתוך הקשרה האוכלוסייתי, אחרת קיימת סכנה של הטיית יתר או הטיית חסר בהסקת הקרבה [1], [7].</w:t>
      </w:r>
    </w:p>
    <w:p>
      <w:pPr>
        <w:bidi/>
        <w:pStyle w:val="Heading2"/>
        <w:spacing w:before="240" w:after="120"/>
        <w:jc w:val="right"/>
      </w:pPr>
      <w:r/>
      <w:bookmarkStart w:id="sec_6" w:name="sec_6"/>
      <w:r>
        <w:rPr>
          <w:rFonts w:ascii="Arial" w:hAnsi="Arial" w:cs="Arial"/>
          <w:rtl/>
        </w:rPr>
        <w:t>6. מסדי נתונים גנאלוגיים וחיפוש קרובים</w:t>
      </w:r>
      <w:bookmarkEnd w:id="sec_6"/>
    </w:p>
    <w:p>
      <w:pPr>
        <w:bidi/>
        <w:spacing w:before="120" w:after="120" w:line="276" w:lineRule="auto"/>
        <w:jc w:val="right"/>
      </w:pPr>
      <w:r>
        <w:rPr>
          <w:rFonts w:ascii="Arial" w:hAnsi="Arial" w:cs="Arial"/>
          <w:rtl/>
        </w:rPr>
        <w:t>מסדי נתונים גנאלוגיים שונים ממאגרי DNA פורנזיים קלאסיים בכך שהם אינם בנויים לזיהוי ישיר בלבד, אלא לאיתור קרובי משפחה דרך דפוסי שיתוף של SNPs ומקטעי IBD [1], [4]. תוצאת החיפוש הראשונית בהם היא one-to-many match list, הכוללת התאמות אפשריות לפי shared cM, מספר מקטעים ולעיתים גם פרטי קשר בסיסיים. רשימה זו איננה תשובה, אלא נקודת פתיחה לחקירה גנאלוגית [4].</w:t>
      </w:r>
    </w:p>
    <w:p>
      <w:pPr>
        <w:bidi/>
        <w:spacing w:before="120" w:after="120" w:line="276" w:lineRule="auto"/>
        <w:jc w:val="right"/>
      </w:pPr>
      <w:r>
        <w:rPr>
          <w:rFonts w:ascii="Arial" w:hAnsi="Arial" w:cs="Arial"/>
          <w:rtl/>
        </w:rPr>
        <w:t>המאמר של Erlich ועמיתיו נתן מסגרת כמותית חזקה להבנת עוצמתם של מאגרים כאלה. בניתוח שלהם, בסיס נתונים של 1.28 מיליון פרטים הניב קרוב של 100 cM או יותר בכמעט 60% מן החיפושים, והם הראו תיאורטית שכיסוי של כ־2% מאוכלוסיית יעד עשוי להספיק כדי לאפשר כמעט לכל אדם להימצא דרך בן דוד מדרגה שלישית או קרוב יותר [8]. עוד הראו כי מרחב של כ־850 מועמדים פוטנציאליים ניתן לצמצום חד בעזרת מידע על מין, גיל ומיקום, עד לקבוצה של כ־16–17 אנשים [8]. כוחו של החיפוש הגנאלוגי נובע אפוא לא מהתאמה ישירה, אלא מן האפשרות להפוך התאמה רחוקה לענף משפחתי מצומצם יותר ויותר [1], [4].</w:t>
      </w:r>
    </w:p>
    <w:p>
      <w:pPr>
        <w:bidi/>
        <w:pStyle w:val="Heading2"/>
        <w:spacing w:before="240" w:after="120"/>
        <w:jc w:val="right"/>
      </w:pPr>
      <w:r/>
      <w:bookmarkStart w:id="sec_7" w:name="sec_7"/>
      <w:r>
        <w:rPr>
          <w:rFonts w:ascii="Arial" w:hAnsi="Arial" w:cs="Arial"/>
          <w:rtl/>
        </w:rPr>
        <w:t>7. יישומים אזרחיים של גנאלוגיה גנטית</w:t>
      </w:r>
      <w:bookmarkEnd w:id="sec_7"/>
    </w:p>
    <w:p>
      <w:pPr>
        <w:bidi/>
        <w:spacing w:before="120" w:after="120" w:line="276" w:lineRule="auto"/>
        <w:jc w:val="right"/>
      </w:pPr>
      <w:r>
        <w:rPr>
          <w:rFonts w:ascii="Arial" w:hAnsi="Arial" w:cs="Arial"/>
          <w:rtl/>
        </w:rPr>
        <w:t>לפני המעבר להקשר הפורנזי, חשוב להדגיש כי גנאלוגיה גנטית התפתחה תחילה בזירה האזרחית. היישומים האזרחיים אינם תחום אחד אחיד, אלא כמה סוגי שימוש. סוג אחד עוסק ב־ancestry ובשחזור מוצא משפחתי. סוג שני עוסק בהרחבת אילנות יוחסין, באימות השערות תיעודיות ובאיתור קרובי משפחה דרך שירותי direct-to-consumer testing. סוג שלישי עוסק בחיפוש משפחה ביולוגית במקרי אימוץ, donor conception ו־non-paternity events, שבהם המשמעות האישית של ההתאמה הגנטית גדולה במיוחד [19], [20], [21], [22].</w:t>
      </w:r>
    </w:p>
    <w:p>
      <w:pPr>
        <w:bidi/>
        <w:spacing w:before="120" w:after="120" w:line="276" w:lineRule="auto"/>
        <w:jc w:val="right"/>
      </w:pPr>
      <w:r>
        <w:rPr>
          <w:rFonts w:ascii="Arial" w:hAnsi="Arial" w:cs="Arial"/>
          <w:rtl/>
        </w:rPr>
        <w:t>ההבחנה בין היישומים הללו חשובה משום שאותה תשתית גנטית יכולה לשרת שאלות שונות מאוד: בירור מוצא, חיפוש קרובים, שחזור היסטוריה משפחתית או גילוי קשרים שלא היו ידועים קודם. מכאן גם ברור ש־FIGG לא נולד יש מאין. הוא נשען על תשתית טכנית, מסדית ותרבותית שכבר התפתחה בעולם האזרחי. עם זאת, היישומים האזרחיים גם חשפו את המחירים החברתיים של התחום, ובהם גילוי סודות משפחתיים, ערעור אנונימיות של תורמי גמטות ושינוי היחסים בין מידע גנטי לבין זהות משפחתית [20], [21], [22].</w:t>
      </w:r>
    </w:p>
    <w:p>
      <w:pPr>
        <w:bidi/>
        <w:pStyle w:val="Heading2"/>
        <w:spacing w:before="240" w:after="120"/>
        <w:jc w:val="right"/>
      </w:pPr>
      <w:r/>
      <w:bookmarkStart w:id="sec_8" w:name="sec_8"/>
      <w:r>
        <w:rPr>
          <w:rFonts w:ascii="Arial" w:hAnsi="Arial" w:cs="Arial"/>
          <w:rtl/>
        </w:rPr>
        <w:t>8. זיהוי נעדרים, שרידים ו־DVI</w:t>
      </w:r>
      <w:bookmarkEnd w:id="sec_8"/>
    </w:p>
    <w:p>
      <w:pPr>
        <w:bidi/>
        <w:spacing w:before="120" w:after="120" w:line="276" w:lineRule="auto"/>
        <w:jc w:val="right"/>
      </w:pPr>
      <w:r>
        <w:rPr>
          <w:rFonts w:ascii="Arial" w:hAnsi="Arial" w:cs="Arial"/>
          <w:rtl/>
        </w:rPr>
        <w:t>בעולם זיהוי הנעדרים והשרידים, גנאלוגיה גנטית משתלבת במרחב קיים של pedigree matching, family-reference databases וניתוחי likelihood ratio. כאשר אין דגימת ייחוס אישית ישירה, הזיהוי נשען על קרובי משפחה ועל בחינה של השאלה איזו השערה משפחתית נתמכת יותר בידי הנתונים [23], [24]. לכן, בניגוד להתאמה ישירה, הדגש כאן הוא על זיהוי עקיף והסתברותי.</w:t>
      </w:r>
    </w:p>
    <w:p>
      <w:pPr>
        <w:bidi/>
        <w:spacing w:before="120" w:after="120" w:line="276" w:lineRule="auto"/>
        <w:jc w:val="right"/>
      </w:pPr>
      <w:r>
        <w:rPr>
          <w:rFonts w:ascii="Arial" w:hAnsi="Arial" w:cs="Arial"/>
          <w:rtl/>
        </w:rPr>
        <w:t>הניסיון של ICMP ממחיש היטב את ההבדל בין זיהוי נעדרים מוסדי לבין FIGG. במודל של family-reference databases העבודה מתחילה ממאגר ייעודי של קרובי משפחה ידועים של נעדרים, וההשוואה נעשית מול מסגרת משפחתית מוגדרת יחסית [23]. ב־FIGG, לעומת זאת, נקודת המוצא היא לעיתים קרובות מסד אזרחי או פתוח של קרובים רחוקים, והעבודה דורשת בניית עץ משפחה רחב יותר כדי להגיע לזהות אפשרית [1], [25].</w:t>
      </w:r>
    </w:p>
    <w:p>
      <w:pPr>
        <w:bidi/>
        <w:spacing w:before="120" w:after="120" w:line="276" w:lineRule="auto"/>
        <w:jc w:val="right"/>
      </w:pPr>
      <w:r>
        <w:rPr>
          <w:rFonts w:ascii="Arial" w:hAnsi="Arial" w:cs="Arial"/>
          <w:rtl/>
        </w:rPr>
        <w:t>בתחום DVI מתחדדת עוד יותר ההבחנה בין זיהוי ישיר לבין זיהוי עקיף. המלצות ISFG הדגישו כי זיהוי קורבנות אסון מחייב שילוב בין DNA, אנתרופולוגיה, רשומות שיניים, נתונים רפואיים ומידע נסיבתי [26]. התפתחותם של פאנלי SNP ושל forensic genomics הרחיבה את היכולת להתמודד עם דגימות מאתגרות יותר, ולהגיע גם לטווחי קרבה שמעבר ל־STR הקלאסי [27], [28]. בכך פרק זה יוצר את הגשר ל־FIGG: בשני המקרים הזיהוי נבנה דרך משפחה, מאגרים ופרשנות זהירה, אך לא דרך אותה מסגרת מוסדית או אותו סוג של מאגר.</w:t>
      </w:r>
    </w:p>
    <w:p>
      <w:pPr>
        <w:bidi/>
        <w:pStyle w:val="Heading2"/>
        <w:spacing w:before="240" w:after="120"/>
        <w:jc w:val="right"/>
      </w:pPr>
      <w:r/>
      <w:bookmarkStart w:id="sec_9" w:name="sec_9"/>
      <w:r>
        <w:rPr>
          <w:rFonts w:ascii="Arial" w:hAnsi="Arial" w:cs="Arial"/>
          <w:rtl/>
        </w:rPr>
        <w:t>9. FIGG במעבדה הפורנזית</w:t>
      </w:r>
      <w:bookmarkEnd w:id="sec_9"/>
    </w:p>
    <w:p>
      <w:pPr>
        <w:bidi/>
        <w:spacing w:before="120" w:after="120" w:line="276" w:lineRule="auto"/>
        <w:jc w:val="right"/>
      </w:pPr>
      <w:r>
        <w:rPr>
          <w:rFonts w:ascii="Arial" w:hAnsi="Arial" w:cs="Arial"/>
          <w:rtl/>
        </w:rPr>
        <w:t>השלב המעבדתי של FIGG מתחיל בהבנה שפרופיל STR רגיל, איכותי ככל שיהיה, אינו מספיק לחיפוש קרובים רחוקים. כדי לבצע FIGG יש להפיק מן הדגימה פרופיל SNP צפוף, שיהיה ניתן להעלאה למסד גנאלוגי ולזיהוי מקטעי IBD [1]. כאן נפתחת הבחירה בין שלושה מסלולים עיקריים: microarray, whole-genome sequencing ופאנלי SNP ממוקדים. לכל אחד מן המסלולים יתרונות וחסרונות, התלויים באיכות הדגימה, בכמות ה־DNA, במטרת החקירה וביכולות המעבדה [29], [30], [31].</w:t>
      </w:r>
    </w:p>
    <w:p>
      <w:pPr>
        <w:bidi/>
        <w:spacing w:before="120" w:after="120" w:line="276" w:lineRule="auto"/>
        <w:jc w:val="right"/>
      </w:pPr>
      <w:r>
        <w:rPr>
          <w:rFonts w:ascii="Arial" w:hAnsi="Arial" w:cs="Arial"/>
          <w:rtl/>
        </w:rPr>
        <w:t>הספרות מראה כי microarray מתאים היטב לדגימות טובות יחסית, אך רגיש מאוד לפירוק ולכמות נמוכה [32], [33]. WGS גמיש יותר לדגימות קשות, כפי שהודגם במקרה Ekeby, אך דורש עיבוד ביואינפורמטי מורכב יותר ועלות גבוהה יותר [29]. פאנלים ייעודיים כמו Kintelligence מנסים לייצר פשרה מבוקרת בין עמידות מעבדתית לבין תועלת גנאלוגית [30], [31]. בכל המסלולים הללו מדדי איכות כגון call rate, heterozygosity ו־concordance נעשים קריטיים, משום שהשאלה איננה רק אם התקבל פרופיל, אלא אם התקבל פרופיל שמיש לחיפוש קרובים [1], [30].</w:t>
      </w:r>
    </w:p>
    <w:p>
      <w:pPr>
        <w:bidi/>
        <w:pStyle w:val="Heading2"/>
        <w:spacing w:before="240" w:after="120"/>
        <w:jc w:val="right"/>
      </w:pPr>
      <w:r/>
      <w:bookmarkStart w:id="sec_10" w:name="sec_10"/>
      <w:r>
        <w:rPr>
          <w:rFonts w:ascii="Arial" w:hAnsi="Arial" w:cs="Arial"/>
          <w:rtl/>
        </w:rPr>
        <w:t>10. FIGG כתהליך חקירתי</w:t>
      </w:r>
      <w:bookmarkEnd w:id="sec_10"/>
    </w:p>
    <w:p>
      <w:pPr>
        <w:bidi/>
        <w:spacing w:before="120" w:after="120" w:line="276" w:lineRule="auto"/>
        <w:jc w:val="right"/>
      </w:pPr>
      <w:r>
        <w:rPr>
          <w:rFonts w:ascii="Arial" w:hAnsi="Arial" w:cs="Arial"/>
          <w:rtl/>
        </w:rPr>
        <w:t>לאחר שהופק פרופיל SNP שמיש, מתחיל החלק החקירתי־גנאלוגי של FIGG. רשימת ההתאמות המתקבלת מן המסד מספקת shared cM, מספר מקטעים ולעיתים cluster ראשוני של קרובים אפשריים, אך עיקר העבודה מתחיל רק בנקודה זו [1], [4]. ההתאמות נבחנות לא רק אחת־אחת, אלא כמבנה כולל: אילו התאמות חולקות DNA גם בינן לבין עצמן, אילו מהן עשויות להוביל לאבות קדמונים משותפים, ואילו ענפים משפחתיים מצטלבים זה עם זה [4].</w:t>
      </w:r>
    </w:p>
    <w:p>
      <w:pPr>
        <w:bidi/>
        <w:spacing w:before="120" w:after="120" w:line="276" w:lineRule="auto"/>
        <w:jc w:val="right"/>
      </w:pPr>
      <w:r>
        <w:rPr>
          <w:rFonts w:ascii="Arial" w:hAnsi="Arial" w:cs="Arial"/>
          <w:rtl/>
        </w:rPr>
        <w:t>המסגרת של ascending ו־descending ממחישה היטב את מהלך העבודה. תחילה עולים מן ההתאמות אל אבות קדמונים משותפים אפשריים, ואז יורדים מענפים אלה לעבר צאצאים בני זמננו, עד לצמצום מספר המועמדים [34]. הספרות מדגישה שוב ושוב שהגנאלוגיה עצמה היא לעיתים קרובות צוואר הבקבוק של FIGG, מפני שהיא מחייבת עבודה ארכיונית, בניית עצים, הצלבת רשומות וקבלת החלטות תחת אי־ודאות [4], [34]. לכן תוצרו של FIGG הוא investigative lead, לא זיהוי סופי. רק דגימת ייחוס והשוואת STR או בדיקה פורנזית מקובלת אחרת משלימות את שרשרת ההוכחה [1], [4].</w:t>
      </w:r>
    </w:p>
    <w:p>
      <w:pPr>
        <w:bidi/>
        <w:pStyle w:val="Heading2"/>
        <w:spacing w:before="240" w:after="120"/>
        <w:jc w:val="right"/>
      </w:pPr>
      <w:r/>
      <w:bookmarkStart w:id="sec_11" w:name="sec_11"/>
      <w:r>
        <w:rPr>
          <w:rFonts w:ascii="Arial" w:hAnsi="Arial" w:cs="Arial"/>
          <w:rtl/>
        </w:rPr>
        <w:t>11. תיאורי מקרה מרכזיים</w:t>
      </w:r>
      <w:bookmarkEnd w:id="sec_11"/>
    </w:p>
    <w:p>
      <w:pPr>
        <w:bidi/>
        <w:spacing w:before="120" w:after="120" w:line="276" w:lineRule="auto"/>
        <w:jc w:val="right"/>
      </w:pPr>
      <w:r>
        <w:rPr>
          <w:rFonts w:ascii="Arial" w:hAnsi="Arial" w:cs="Arial"/>
          <w:rtl/>
        </w:rPr>
        <w:t>תיאורי המקרה ממחישים כיצד העקרונות התיאורטיים מופיעים בתיקים ממשיים. מקרה Linköping בשוודיה הראה כי גם בתיק רצח קר בן שנים רבות, עם DNA מאתגר יחסית, אפשר להגיע ל־conclusive lead דרך WGS, חיפוש במסדים גנאלוגיים ובניית עצי משפחה, ולאחר מכן לאמת את המועמד ב־STR [35]. מקרה Ekeby הדגים את חשיבותו של WGS בזיהוי שרידים אנושיים, כאשר השאלה המרכזית הייתה קודם כול האם ניתן להפיק מן העצם פרופיל גנומי שמיש [29].</w:t>
      </w:r>
    </w:p>
    <w:p>
      <w:pPr>
        <w:bidi/>
        <w:spacing w:before="120" w:after="120" w:line="276" w:lineRule="auto"/>
        <w:jc w:val="right"/>
      </w:pPr>
      <w:r>
        <w:rPr>
          <w:rFonts w:ascii="Arial" w:hAnsi="Arial" w:cs="Arial"/>
          <w:rtl/>
        </w:rPr>
        <w:t>מקרים אחרים הדגישו דווקא את מגבלות השיטה. הדו”ח הנורווגי הציג שלושה תיקים שבהם שניים נפתרו ואחד לא, ובכך הראה כי הצלחה חלקית היא תוצאה מדעית חשובה לא פחות מהצלחה מלאה [36]. המקרה ההיסטורי של זיהוי קורבן רצח בן יותר ממאה שנים הראה ש־FIGG פועל לעיתים רק כחלק ממערך רחב יותר הכולל אנתרופולוגיה, היסטוריה וארכיונים [37]. מן המקרים עולה דפוס חוזר: ההתאמות הן clues, לא פתרון; המעבדה היא תנאי הכרחי אך לא מספיק; והאימות הסופי נותר חיצוני ל־FIGG עצמו [5], [25].</w:t>
      </w:r>
    </w:p>
    <w:p>
      <w:pPr>
        <w:bidi/>
        <w:pStyle w:val="Heading2"/>
        <w:spacing w:before="240" w:after="120"/>
        <w:jc w:val="right"/>
      </w:pPr>
      <w:r/>
      <w:bookmarkStart w:id="sec_12" w:name="sec_12"/>
      <w:r>
        <w:rPr>
          <w:rFonts w:ascii="Arial" w:hAnsi="Arial" w:cs="Arial"/>
          <w:rtl/>
        </w:rPr>
        <w:t>12. מגבלות, כשלים ומבט מסכם</w:t>
      </w:r>
      <w:bookmarkEnd w:id="sec_12"/>
    </w:p>
    <w:p>
      <w:pPr>
        <w:bidi/>
        <w:spacing w:before="120" w:after="120" w:line="276" w:lineRule="auto"/>
        <w:jc w:val="right"/>
      </w:pPr>
      <w:r>
        <w:rPr>
          <w:rFonts w:ascii="Arial" w:hAnsi="Arial" w:cs="Arial"/>
          <w:rtl/>
        </w:rPr>
        <w:t>פרק המגבלות מרכז את כל נקודות הכשל האפשריות לאורך השרשרת. דגימות degraded, low-template או contaminated עלולות שלא להניב פרופיל שמיש כלל, או לייצר פרופיל מטעה [33], [38]. גם כאשר מתקבל פרופיל, שגיאות גנוטיפ אינן תמיד אקראיות. עבודות עדכניות הראו כי בדגימות microarray פגומות עלולות להופיע false heterozygous calls, העלולות לנפח kinship coefficients ולהטות את הסקת הקרבה [39], [40]. לכן בקרת איכות איננה שלב טכני שולי, אלא תנאי יסוד לשימוש אחראי ב־FIGG [30], [32].</w:t>
      </w:r>
    </w:p>
    <w:p>
      <w:pPr>
        <w:bidi/>
        <w:spacing w:before="120" w:after="120" w:line="276" w:lineRule="auto"/>
        <w:jc w:val="right"/>
      </w:pPr>
      <w:r>
        <w:rPr>
          <w:rFonts w:ascii="Arial" w:hAnsi="Arial" w:cs="Arial"/>
          <w:rtl/>
        </w:rPr>
        <w:t>מגבלות נוספות קשורות בטווח הקרבה, במבנה אוכלוסייה, באיכות הרשומות ובקיום תערובות DNA. קרבה רחוקה מאוד עלולה להיות עמומה מדי לפרשנות יעילה [1], [3], אוכלוסיות אנדוגמיות עלולות לייצר עודף התאמות שקשה למיין [17], ומסדי נתונים גנאלוגיים עדיין בנויים בעיקר עבור single-source profiles, כך שתערובות הן גבול מחקרי משמעותי [41]. המבט המסכם על התחום הוא לכן כפול: FIGG הוא כלי חזק מאוד בתנאים המתאימים, אך הוא אינו פתרון קסם. הצלחתו תמיד מותנית באיכות הנתונים, באוכלוסייה, במבנה המסד וביכולת להפוך התאמה גנטית לתהליך גנאלוגי אמין [1], [5].</w:t>
      </w:r>
    </w:p>
    <w:p>
      <w:pPr>
        <w:bidi/>
        <w:pStyle w:val="Heading2"/>
        <w:spacing w:before="240" w:after="120"/>
        <w:jc w:val="right"/>
      </w:pPr>
      <w:r/>
      <w:bookmarkStart w:id="sec_13" w:name="sec_13"/>
      <w:r>
        <w:rPr>
          <w:rFonts w:ascii="Arial" w:hAnsi="Arial" w:cs="Arial"/>
          <w:rtl/>
        </w:rPr>
        <w:t>13. היבטים משפטיים ואתיים של FIGG</w:t>
      </w:r>
      <w:bookmarkEnd w:id="sec_13"/>
    </w:p>
    <w:p>
      <w:pPr>
        <w:bidi/>
        <w:spacing w:before="120" w:after="120" w:line="276" w:lineRule="auto"/>
        <w:jc w:val="right"/>
      </w:pPr>
      <w:r>
        <w:rPr>
          <w:rFonts w:ascii="Arial" w:hAnsi="Arial" w:cs="Arial"/>
          <w:rtl/>
        </w:rPr>
        <w:t>הוויכוח האתי והמשפטי סביב FIGG נובע מכך שהשיטה מרחיבה את טווח החקירה אל אנשים שלא מסרו מעולם דגימת DNA לרשויות. כאשר המשטרה משתמשת במאגרי genealogy אזרחיים או פתוחים, היא אינה מחפשת רק את האדם החשוד, אלא פועלת דרך קרוביו הביולוגיים, שחלקם אינם יודעים כלל כי נתוניהם עשויים להוביל לחקירה פלילית [42], [43]. משום כך פרטיות גנטית ב־FIGG היא תמיד גם פרטיות משפחתית, ולא רק פרטיות של המשתמש היחיד [42].</w:t>
      </w:r>
    </w:p>
    <w:p>
      <w:pPr>
        <w:bidi/>
        <w:spacing w:before="120" w:after="120" w:line="276" w:lineRule="auto"/>
        <w:jc w:val="right"/>
      </w:pPr>
      <w:r>
        <w:rPr>
          <w:rFonts w:ascii="Arial" w:hAnsi="Arial" w:cs="Arial"/>
          <w:rtl/>
        </w:rPr>
        <w:t>הספרות מחדדת כמה עקרונות מרכזיים. ראשית, הסכמה המבוססת על תנאי שירות איננה שקולה בהכרח ל־informed consent מהותי [42], [44]. שנית, קיימת סכנת mission creep, כלומר הרחבת השימוש בכלי שנועד למקרים חמורים אל מצבים רחבים יותר [43], [45]. שלישית, קיימת חשיבות מכרעת להבחנה בין investigative lead לבין ראיה משפטית מסכמת [9], [45]. גם כאשר הספרות מכירה בתועלת הציבורית של FIGG בפתרון עבירות חמורות ובזיהוי נעדרים, היא דוחפת באופן עקבי למסגרות של proportionality, last resort, oversight ו־transparency [9], [46].</w:t>
      </w:r>
    </w:p>
    <w:p>
      <w:pPr>
        <w:bidi/>
        <w:pStyle w:val="Heading2"/>
        <w:spacing w:before="240" w:after="120"/>
        <w:jc w:val="right"/>
      </w:pPr>
      <w:r/>
      <w:bookmarkStart w:id="sec_14" w:name="sec_14"/>
      <w:r>
        <w:rPr>
          <w:rFonts w:ascii="Arial" w:hAnsi="Arial" w:cs="Arial"/>
          <w:rtl/>
        </w:rPr>
        <w:t>14. FIGG במשטרות בעולם</w:t>
      </w:r>
      <w:bookmarkEnd w:id="sec_14"/>
    </w:p>
    <w:p>
      <w:pPr>
        <w:bidi/>
        <w:spacing w:before="120" w:after="120" w:line="276" w:lineRule="auto"/>
        <w:jc w:val="right"/>
      </w:pPr>
      <w:r>
        <w:rPr>
          <w:rFonts w:ascii="Arial" w:hAnsi="Arial" w:cs="Arial"/>
          <w:rtl/>
        </w:rPr>
        <w:t>FIGG אינו מיושם בעולם דרך מודל אחיד אחד. בארצות הברית התפתח מודל חלוצי, מבוזר יחסית, שנשען על שיתוף פעולה בין מעבדות, גנאלוגים פרטיים, מסדי GEDmatch ו־FTDNA, ואימות STR סופי [1], [5]. יתרונו של מודל זה היה במהירות החדשנות ובגודל המאגרים, אך חולשתו הייתה בתלות במדיניות משתנה של פלטפורמות פרטיות ובהסדרה חלקית בלבד [43].</w:t>
      </w:r>
    </w:p>
    <w:p>
      <w:pPr>
        <w:bidi/>
        <w:spacing w:before="120" w:after="120" w:line="276" w:lineRule="auto"/>
        <w:jc w:val="right"/>
      </w:pPr>
      <w:r>
        <w:rPr>
          <w:rFonts w:ascii="Arial" w:hAnsi="Arial" w:cs="Arial"/>
          <w:rtl/>
        </w:rPr>
        <w:t>שוודיה ונורווגיה מציגות מודלים שונים יותר. בשוודיה, מקרה Linköping הפך מפיילוט מבוקר להצלחה מבצעית, ולאחר מכן עורר תהליך רגולטורי שהוביל לחקיקה ייעודית ומצמצמת שנכנסה לתוקף ב־1 ביולי 2025 [35], [47]. בנורווגיה נבנה פיילוט רב־תחומי המבוסס על שיתוף פעולה בין משטרה, מעבדה, אקדמיה, ארכיונים וספריות לאומיות, והודגש בו התפקיד של תשתיות רשומות איכותיות לא פחות מזה של מאגרי DNA [36]. ההשוואה הבינלאומית מלמדת כי FIGG דורש תמיד שילוב בין genomics, genealogy ו־governance, וכי מדינות שונות מאזנות אחרת בין שלושת הרכיבים הללו [1], [9].</w:t>
      </w:r>
    </w:p>
    <w:p>
      <w:pPr>
        <w:bidi/>
        <w:pStyle w:val="Heading2"/>
        <w:spacing w:before="240" w:after="120"/>
        <w:jc w:val="right"/>
      </w:pPr>
      <w:r/>
      <w:bookmarkStart w:id="sec_15" w:name="sec_15"/>
      <w:r>
        <w:rPr>
          <w:rFonts w:ascii="Arial" w:hAnsi="Arial" w:cs="Arial"/>
          <w:rtl/>
        </w:rPr>
        <w:t>15. תקנים, בקרה ואבטחת איכות ב־FIGG</w:t>
      </w:r>
      <w:bookmarkEnd w:id="sec_15"/>
    </w:p>
    <w:p>
      <w:pPr>
        <w:bidi/>
        <w:spacing w:before="120" w:after="120" w:line="276" w:lineRule="auto"/>
        <w:jc w:val="right"/>
      </w:pPr>
      <w:r>
        <w:rPr>
          <w:rFonts w:ascii="Arial" w:hAnsi="Arial" w:cs="Arial"/>
          <w:rtl/>
        </w:rPr>
        <w:t>בסיום הדיון FIGG מוצג לא רק כחדשנות חקירתית, אלא כתחום הזקוק למשטר איכות שלם. אבטחת איכות ב־FIGG מתחילה בדגימה ובבחירת הפלטפורמה, ממשיכה בהפקת פרופיל SNP ובבקרת איכות שלו, נוגעת ליכולת ההתאמה למסדי הנתונים, ומסתיימת רק כאשר ה־lead אומת בכלים פורנזיים תקניים [1], [48], [49]. מכאן החשיבות של developmental validation, internal validation, ספי QC ברורים, SOPs, תיעוד ושרשרת החלטות הניתנת לשחזור [30], [31], [50].</w:t>
      </w:r>
    </w:p>
    <w:p>
      <w:pPr>
        <w:bidi/>
        <w:spacing w:before="120" w:after="120" w:line="276" w:lineRule="auto"/>
        <w:jc w:val="right"/>
      </w:pPr>
      <w:r>
        <w:rPr>
          <w:rFonts w:ascii="Arial" w:hAnsi="Arial" w:cs="Arial"/>
          <w:rtl/>
        </w:rPr>
        <w:t>הספרות העדכנית מצביעה על כך שהכנסת NGS, microarrays ופאנלי SNP לעבודה שגרתית מעלה גם אתגרים של הסמכה, בקרה ביואינפורמטית, הכשרת כוח אדם ותקינה מוסדית [48], [49]. ההבחנה בין lead לבין evidence נעשית כאן עקרון איכות לא פחות מעיקרון משפטי: genealogy יכול להנחות את החקירה, אך אינו יכול לעמוד לבדו כזיהוי קביל [1], [5]. לכן מיסודו של FIGG תלוי לא רק בפיתוח טכנולוגיות חדשות, אלא ביכולת להפוך workflow מורכב למהלך מקצועי אמין, עקבי ומבוקר.</w:t>
      </w:r>
    </w:p>
    <w:p>
      <w:pPr>
        <w:bidi/>
        <w:pStyle w:val="Heading2"/>
        <w:spacing w:before="240" w:after="120"/>
        <w:jc w:val="right"/>
      </w:pPr>
      <w:r/>
      <w:bookmarkStart w:id="sec_16" w:name="sec_16"/>
      <w:r>
        <w:rPr>
          <w:rFonts w:ascii="Arial" w:hAnsi="Arial" w:cs="Arial"/>
          <w:rtl/>
        </w:rPr>
        <w:t>סיכום כולל</w:t>
      </w:r>
      <w:bookmarkEnd w:id="sec_16"/>
    </w:p>
    <w:p>
      <w:pPr>
        <w:bidi/>
        <w:spacing w:before="120" w:after="120" w:line="276" w:lineRule="auto"/>
        <w:jc w:val="right"/>
      </w:pPr>
      <w:r>
        <w:rPr>
          <w:rFonts w:ascii="Arial" w:hAnsi="Arial" w:cs="Arial"/>
          <w:rtl/>
        </w:rPr>
        <w:t>מן הסיכום כולו עולה כי FIGG הוא תחום בינתחומי מובהק, שבו שום שלב אינו מספיק לבדו. גנטיקה של אוכלוסיות מספקת את הרקע להבנת השונות והמבנה; זיהוי IBD והסקת קרבה מספקים את מנגנון החיפוש; המעבדה הפורנזית מייצרת את פרופיל ה־SNP; המסדים הגנאלוגיים מספקים התאמות; הגנאלוגיה התיעודית הופכת התאמות לענפי משפחה; והפורנזיקה הקלאסית משלימה את האימות [1], [2], [3], [4]. אם אחד מן השלבים הללו נכשל, כל השרשרת נחלשת.</w:t>
      </w:r>
    </w:p>
    <w:p>
      <w:pPr>
        <w:bidi/>
        <w:spacing w:before="120" w:after="120" w:line="276" w:lineRule="auto"/>
        <w:jc w:val="right"/>
      </w:pPr>
      <w:r>
        <w:rPr>
          <w:rFonts w:ascii="Arial" w:hAnsi="Arial" w:cs="Arial"/>
          <w:rtl/>
        </w:rPr>
        <w:t>לכן נכון להבין את FIGG לא כתחליף לזיהוי פורנזי קלאסי, אלא כהרחבה שלו. זהו כלי חזק במיוחד במקרים שבהם יש DNA אך אין התאמה ישירה, במקרים של נעדרים ושרידים, ובמקרים שבהם קרובים רחוקים מיוצגים במסדים מתאימים [8], [25], [35]. עם זאת, כוחו של התחום כרוך תמיד במגבלות מדעיות, אוכלוסייתיות, אתיות ומוסדיות, ולכן השימוש בו מחייב זהירות פרשנית, ממשל ברור ותרבות איכות מפותחת [43], [45], [49].</w:t>
      </w:r>
    </w:p>
    <w:p>
      <w:pPr>
        <w:bidi/>
        <w:pStyle w:val="Heading2"/>
        <w:spacing w:before="240" w:after="120"/>
        <w:jc w:val="right"/>
      </w:pPr>
      <w:r/>
      <w:bookmarkStart w:id="sec_17" w:name="sec_17"/>
      <w:r>
        <w:rPr>
          <w:rFonts w:ascii="Arial" w:hAnsi="Arial" w:cs="Arial"/>
          <w:rtl/>
        </w:rPr>
        <w:t>רשימת מקורות</w:t>
      </w:r>
      <w:bookmarkEnd w:id="sec_17"/>
    </w:p>
    <w:p>
      <w:pPr>
        <w:bidi/>
        <w:pStyle w:val="ListBullet"/>
        <w:spacing w:before="40" w:after="40"/>
        <w:jc w:val="right"/>
      </w:pPr>
      <w:r>
        <w:rPr>
          <w:rFonts w:ascii="Arial" w:hAnsi="Arial" w:cs="Arial"/>
          <w:rtl/>
        </w:rPr>
        <w:t>[36] Heating up three cold cases in Norway using investigative genetic genealogy.</w:t>
      </w:r>
    </w:p>
    <w:p>
      <w:pPr>
        <w:bidi/>
        <w:pStyle w:val="ListBullet"/>
        <w:spacing w:before="40" w:after="40"/>
        <w:jc w:val="right"/>
      </w:pPr>
      <w:r>
        <w:rPr>
          <w:rFonts w:ascii="Arial" w:hAnsi="Arial" w:cs="Arial"/>
          <w:rtl/>
        </w:rPr>
        <w:t>[13] Fast model-based estimation of ancestry in unrelated individuals.</w:t>
      </w:r>
    </w:p>
    <w:p>
      <w:pPr>
        <w:bidi/>
        <w:pStyle w:val="ListBullet"/>
        <w:spacing w:before="40" w:after="40"/>
        <w:jc w:val="right"/>
      </w:pPr>
      <w:r>
        <w:rPr>
          <w:rFonts w:ascii="Arial" w:hAnsi="Arial" w:cs="Arial"/>
          <w:rtl/>
        </w:rPr>
        <w:t>[47] Legislation for forensic investigative genetic genealogy in Sweden.</w:t>
      </w:r>
    </w:p>
    <w:p>
      <w:pPr>
        <w:bidi/>
        <w:pStyle w:val="ListBullet"/>
        <w:spacing w:before="40" w:after="40"/>
        <w:jc w:val="right"/>
      </w:pPr>
      <w:r>
        <w:rPr>
          <w:rFonts w:ascii="Arial" w:hAnsi="Arial" w:cs="Arial"/>
          <w:rtl/>
        </w:rPr>
        <w:t>[31] Developmental validation of the ForenSeq® Kintelligence kit, MiSeq FGx® sequencing system and ForenSeq Universal Analysis Software.</w:t>
      </w:r>
    </w:p>
    <w:p>
      <w:pPr>
        <w:bidi/>
        <w:pStyle w:val="ListBullet"/>
        <w:spacing w:before="40" w:after="40"/>
        <w:jc w:val="right"/>
      </w:pPr>
      <w:r>
        <w:rPr>
          <w:rFonts w:ascii="Arial" w:hAnsi="Arial" w:cs="Arial"/>
          <w:rtl/>
        </w:rPr>
        <w:t>[11] Haplotype phasing: Existing methods and new developments.</w:t>
      </w:r>
    </w:p>
    <w:p>
      <w:pPr>
        <w:bidi/>
        <w:pStyle w:val="ListBullet"/>
        <w:spacing w:before="40" w:after="40"/>
        <w:jc w:val="right"/>
      </w:pPr>
      <w:r>
        <w:rPr>
          <w:rFonts w:ascii="Arial" w:hAnsi="Arial" w:cs="Arial"/>
          <w:rtl/>
        </w:rPr>
        <w:t>[2] Identity by descent between distant relatives: detection and applications.</w:t>
      </w:r>
    </w:p>
    <w:p>
      <w:pPr>
        <w:bidi/>
        <w:pStyle w:val="ListBullet"/>
        <w:spacing w:before="40" w:after="40"/>
        <w:jc w:val="right"/>
      </w:pPr>
      <w:r>
        <w:rPr>
          <w:rFonts w:ascii="Arial" w:hAnsi="Arial" w:cs="Arial"/>
          <w:rtl/>
        </w:rPr>
        <w:t>[6] Improving the Accuracy and Efficiency of Identity-by-Descent Detection in Population Data.</w:t>
      </w:r>
    </w:p>
    <w:p>
      <w:pPr>
        <w:bidi/>
        <w:pStyle w:val="ListBullet"/>
        <w:spacing w:before="40" w:after="40"/>
        <w:jc w:val="right"/>
      </w:pPr>
      <w:r>
        <w:rPr>
          <w:rFonts w:ascii="Arial" w:hAnsi="Arial" w:cs="Arial"/>
          <w:rtl/>
        </w:rPr>
        <w:t>[44] Revisiting informed consent in forensic genomics in light of current technologies and the times.</w:t>
      </w:r>
    </w:p>
    <w:p>
      <w:pPr>
        <w:bidi/>
        <w:pStyle w:val="ListBullet"/>
        <w:spacing w:before="40" w:after="40"/>
        <w:jc w:val="right"/>
      </w:pPr>
      <w:r>
        <w:rPr>
          <w:rFonts w:ascii="Arial" w:hAnsi="Arial" w:cs="Arial"/>
          <w:rtl/>
        </w:rPr>
        <w:t>[48] Recent advances in forensic biology and forensic DNA typing: INTERPOL review 2019–2022.</w:t>
      </w:r>
    </w:p>
    <w:p>
      <w:pPr>
        <w:bidi/>
        <w:pStyle w:val="ListBullet"/>
        <w:spacing w:before="40" w:after="40"/>
        <w:jc w:val="right"/>
      </w:pPr>
      <w:r>
        <w:rPr>
          <w:rFonts w:ascii="Arial" w:hAnsi="Arial" w:cs="Arial"/>
          <w:rtl/>
        </w:rPr>
        <w:t>[14] PCAdmix: Principal Components-Based Assignment of Ancestry along Each Chromosome in Individuals with Admixed Ancestry from Two or More Populations.</w:t>
      </w:r>
    </w:p>
    <w:p>
      <w:pPr>
        <w:bidi/>
        <w:pStyle w:val="ListBullet"/>
        <w:spacing w:before="40" w:after="40"/>
        <w:jc w:val="right"/>
      </w:pPr>
      <w:r>
        <w:rPr>
          <w:rFonts w:ascii="Arial" w:hAnsi="Arial" w:cs="Arial"/>
          <w:rtl/>
        </w:rPr>
        <w:t>[7] Model-free Estimation of Recent Genetic Relatedness.</w:t>
      </w:r>
    </w:p>
    <w:p>
      <w:pPr>
        <w:bidi/>
        <w:pStyle w:val="ListBullet"/>
        <w:spacing w:before="40" w:after="40"/>
        <w:jc w:val="right"/>
      </w:pPr>
      <w:r>
        <w:rPr>
          <w:rFonts w:ascii="Arial" w:hAnsi="Arial" w:cs="Arial"/>
          <w:rtl/>
        </w:rPr>
        <w:t>[38] Forensic genetic genealogy using microarrays for the identification of human remains: The need for good quality samples - A pilot study.</w:t>
      </w:r>
    </w:p>
    <w:p>
      <w:pPr>
        <w:bidi/>
        <w:pStyle w:val="ListBullet"/>
        <w:spacing w:before="40" w:after="40"/>
        <w:jc w:val="right"/>
      </w:pPr>
      <w:r>
        <w:rPr>
          <w:rFonts w:ascii="Arial" w:hAnsi="Arial" w:cs="Arial"/>
          <w:rtl/>
        </w:rPr>
        <w:t>[8] Identity inference of genomic data using long-range familial searches.</w:t>
      </w:r>
    </w:p>
    <w:p>
      <w:pPr>
        <w:bidi/>
        <w:pStyle w:val="ListBullet"/>
        <w:spacing w:before="40" w:after="40"/>
        <w:jc w:val="right"/>
      </w:pPr>
      <w:r>
        <w:rPr>
          <w:rFonts w:ascii="Arial" w:hAnsi="Arial" w:cs="Arial"/>
          <w:rtl/>
        </w:rPr>
        <w:t>[34] Analysis of the genealogy process in forensic genetic genealogy.</w:t>
      </w:r>
    </w:p>
    <w:p>
      <w:pPr>
        <w:bidi/>
        <w:pStyle w:val="ListBullet"/>
        <w:spacing w:before="40" w:after="40"/>
        <w:jc w:val="right"/>
      </w:pPr>
      <w:r>
        <w:rPr>
          <w:rFonts w:ascii="Arial" w:hAnsi="Arial" w:cs="Arial"/>
          <w:rtl/>
        </w:rPr>
        <w:t>[27] Review of SNP assays for disaster victim identification: Cost, time, and performance information for decision-makers.</w:t>
      </w:r>
    </w:p>
    <w:p>
      <w:pPr>
        <w:bidi/>
        <w:pStyle w:val="ListBullet"/>
        <w:spacing w:before="40" w:after="40"/>
        <w:jc w:val="right"/>
      </w:pPr>
      <w:r>
        <w:rPr>
          <w:rFonts w:ascii="Arial" w:hAnsi="Arial" w:cs="Arial"/>
          <w:rtl/>
        </w:rPr>
        <w:t>[22] Direct-to-consumer genetic testing and the changing landscape of gamete donor conception: key issues for practitioners and stakeholders.</w:t>
      </w:r>
    </w:p>
    <w:p>
      <w:pPr>
        <w:bidi/>
        <w:pStyle w:val="ListBullet"/>
        <w:spacing w:before="40" w:after="40"/>
        <w:jc w:val="right"/>
      </w:pPr>
      <w:r>
        <w:rPr>
          <w:rFonts w:ascii="Arial" w:hAnsi="Arial" w:cs="Arial"/>
          <w:rtl/>
        </w:rPr>
        <w:t>[5] Genetic genealogy for cold case and active investigations.</w:t>
      </w:r>
    </w:p>
    <w:p>
      <w:pPr>
        <w:bidi/>
        <w:pStyle w:val="ListBullet"/>
        <w:spacing w:before="40" w:after="40"/>
        <w:jc w:val="right"/>
      </w:pPr>
      <w:r>
        <w:rPr>
          <w:rFonts w:ascii="Arial" w:hAnsi="Arial" w:cs="Arial"/>
          <w:rtl/>
        </w:rPr>
        <w:t>[25] Investigative genetic genealogy for human remains identification.</w:t>
      </w:r>
    </w:p>
    <w:p>
      <w:pPr>
        <w:bidi/>
        <w:pStyle w:val="ListBullet"/>
        <w:spacing w:before="40" w:after="40"/>
        <w:jc w:val="right"/>
      </w:pPr>
      <w:r>
        <w:rPr>
          <w:rFonts w:ascii="Arial" w:hAnsi="Arial" w:cs="Arial"/>
          <w:rtl/>
        </w:rPr>
        <w:t>[42] Should police have access to genetic genealogy databases? Capturing the Golden State Killer and other criminals using a controversial new forensic technique.</w:t>
      </w:r>
    </w:p>
    <w:p>
      <w:pPr>
        <w:bidi/>
        <w:pStyle w:val="ListBullet"/>
        <w:spacing w:before="40" w:after="40"/>
        <w:jc w:val="right"/>
      </w:pPr>
      <w:r>
        <w:rPr>
          <w:rFonts w:ascii="Arial" w:hAnsi="Arial" w:cs="Arial"/>
          <w:rtl/>
        </w:rPr>
        <w:t>[45] Four misconceptions about investigative genetic genealogy.</w:t>
      </w:r>
    </w:p>
    <w:p>
      <w:pPr>
        <w:bidi/>
        <w:pStyle w:val="ListBullet"/>
        <w:spacing w:before="40" w:after="40"/>
        <w:jc w:val="right"/>
      </w:pPr>
      <w:r>
        <w:rPr>
          <w:rFonts w:ascii="Arial" w:hAnsi="Arial" w:cs="Arial"/>
          <w:rtl/>
        </w:rPr>
        <w:t>[21] Family secrets: Experiences and outcomes of participating in direct-to-consumer genetic relative-finder services.</w:t>
      </w:r>
    </w:p>
    <w:p>
      <w:pPr>
        <w:bidi/>
        <w:pStyle w:val="ListBullet"/>
        <w:spacing w:before="40" w:after="40"/>
        <w:jc w:val="right"/>
      </w:pPr>
      <w:r>
        <w:rPr>
          <w:rFonts w:ascii="Arial" w:hAnsi="Arial" w:cs="Arial"/>
          <w:rtl/>
        </w:rPr>
        <w:t>[20] The end of donor anonymity: how genetic testing is likely to drive anonymous gamete donation out of business.</w:t>
      </w:r>
    </w:p>
    <w:p>
      <w:pPr>
        <w:bidi/>
        <w:pStyle w:val="ListBullet"/>
        <w:spacing w:before="40" w:after="40"/>
        <w:jc w:val="right"/>
      </w:pPr>
      <w:r>
        <w:rPr>
          <w:rFonts w:ascii="Arial" w:hAnsi="Arial" w:cs="Arial"/>
          <w:rtl/>
        </w:rPr>
        <w:t>[17] Cryptic Distant Relatives Are Common in Both Isolated and Cosmopolitan Genetic Samples.</w:t>
      </w:r>
    </w:p>
    <w:p>
      <w:pPr>
        <w:bidi/>
        <w:pStyle w:val="ListBullet"/>
        <w:spacing w:before="40" w:after="40"/>
        <w:jc w:val="right"/>
      </w:pPr>
      <w:r>
        <w:rPr>
          <w:rFonts w:ascii="Arial" w:hAnsi="Arial" w:cs="Arial"/>
          <w:rtl/>
        </w:rPr>
        <w:t>[3] Maximum-likelihood estimation of recent shared ancestry (ERSA).</w:t>
      </w:r>
    </w:p>
    <w:p>
      <w:pPr>
        <w:bidi/>
        <w:pStyle w:val="ListBullet"/>
        <w:spacing w:before="40" w:after="40"/>
        <w:jc w:val="right"/>
      </w:pPr>
      <w:r>
        <w:rPr>
          <w:rFonts w:ascii="Arial" w:hAnsi="Arial" w:cs="Arial"/>
          <w:rtl/>
        </w:rPr>
        <w:t>[50] Developmental validation of the MiSeq FGx Forensic Genomics System for Targeted Next Generation Sequencing in Forensic DNA Casework and Database Laboratories.</w:t>
      </w:r>
    </w:p>
    <w:p>
      <w:pPr>
        <w:bidi/>
        <w:pStyle w:val="ListBullet"/>
        <w:spacing w:before="40" w:after="40"/>
        <w:jc w:val="right"/>
      </w:pPr>
      <w:r>
        <w:rPr>
          <w:rFonts w:ascii="Arial" w:hAnsi="Arial" w:cs="Arial"/>
          <w:rtl/>
        </w:rPr>
        <w:t>[43] Pedigrees and Perpetrators: Uses of DNA and Genealogy in Forensic Investigations.</w:t>
      </w:r>
    </w:p>
    <w:p>
      <w:pPr>
        <w:bidi/>
        <w:pStyle w:val="ListBullet"/>
        <w:spacing w:before="40" w:after="40"/>
        <w:jc w:val="right"/>
      </w:pPr>
      <w:r>
        <w:rPr>
          <w:rFonts w:ascii="Arial" w:hAnsi="Arial" w:cs="Arial"/>
          <w:rtl/>
        </w:rPr>
        <w:t>[4] Using genetic genealogy databases in missing persons cases and to develop suspect leads in violent crimes.</w:t>
      </w:r>
    </w:p>
    <w:p>
      <w:pPr>
        <w:bidi/>
        <w:pStyle w:val="ListBullet"/>
        <w:spacing w:before="40" w:after="40"/>
        <w:jc w:val="right"/>
      </w:pPr>
      <w:r>
        <w:rPr>
          <w:rFonts w:ascii="Arial" w:hAnsi="Arial" w:cs="Arial"/>
          <w:rtl/>
        </w:rPr>
        <w:t>[1] Investigative genetic genealogy: Current methods, knowledge and practice.</w:t>
      </w:r>
    </w:p>
    <w:p>
      <w:pPr>
        <w:bidi/>
        <w:pStyle w:val="ListBullet"/>
        <w:spacing w:before="40" w:after="40"/>
        <w:jc w:val="right"/>
      </w:pPr>
      <w:r>
        <w:rPr>
          <w:rFonts w:ascii="Arial" w:hAnsi="Arial" w:cs="Arial"/>
          <w:rtl/>
        </w:rPr>
        <w:t>[15] Detection of sharing by descent, long-range phasing and haplotype imputation.</w:t>
      </w:r>
    </w:p>
    <w:p>
      <w:pPr>
        <w:bidi/>
        <w:pStyle w:val="ListBullet"/>
        <w:spacing w:before="40" w:after="40"/>
        <w:jc w:val="right"/>
      </w:pPr>
      <w:r>
        <w:rPr>
          <w:rFonts w:ascii="Arial" w:hAnsi="Arial" w:cs="Arial"/>
          <w:rtl/>
        </w:rPr>
        <w:t>[24] Streamlining the decision-making process for international DNA kinship matching using Worldwide allele frequencies and tailored cutoff log10LR thresholds.</w:t>
      </w:r>
    </w:p>
    <w:p>
      <w:pPr>
        <w:bidi/>
        <w:pStyle w:val="ListBullet"/>
        <w:spacing w:before="40" w:after="40"/>
        <w:jc w:val="right"/>
      </w:pPr>
      <w:r>
        <w:rPr>
          <w:rFonts w:ascii="Arial" w:hAnsi="Arial" w:cs="Arial"/>
          <w:rtl/>
        </w:rPr>
        <w:t>[19] Adult adoptees and their use of direct-to-consumer genetic testing: Searching for family, searching for health.</w:t>
      </w:r>
    </w:p>
    <w:p>
      <w:pPr>
        <w:bidi/>
        <w:pStyle w:val="ListBullet"/>
        <w:spacing w:before="40" w:after="40"/>
        <w:jc w:val="right"/>
      </w:pPr>
      <w:r>
        <w:rPr>
          <w:rFonts w:ascii="Arial" w:hAnsi="Arial" w:cs="Arial"/>
          <w:rtl/>
        </w:rPr>
        <w:t>[16] Robust relationship inference in genome-wide association studies.</w:t>
      </w:r>
    </w:p>
    <w:p>
      <w:pPr>
        <w:bidi/>
        <w:pStyle w:val="ListBullet"/>
        <w:spacing w:before="40" w:after="40"/>
        <w:jc w:val="right"/>
      </w:pPr>
      <w:r>
        <w:rPr>
          <w:rFonts w:ascii="Arial" w:hAnsi="Arial" w:cs="Arial"/>
          <w:rtl/>
        </w:rPr>
        <w:t>[49] Implementation of NGS and SNP microarrays in routine forensic practice: opportunities and barriers.</w:t>
      </w:r>
    </w:p>
    <w:p>
      <w:pPr>
        <w:bidi/>
        <w:pStyle w:val="ListBullet"/>
        <w:spacing w:before="40" w:after="40"/>
        <w:jc w:val="right"/>
      </w:pPr>
      <w:r>
        <w:rPr>
          <w:rFonts w:ascii="Arial" w:hAnsi="Arial" w:cs="Arial"/>
          <w:rtl/>
        </w:rPr>
        <w:t>[12] A Genealogical Interpretation of Principal Components Analysis.</w:t>
      </w:r>
    </w:p>
    <w:p>
      <w:pPr>
        <w:bidi/>
        <w:pStyle w:val="ListBullet"/>
        <w:spacing w:before="40" w:after="40"/>
        <w:jc w:val="right"/>
      </w:pPr>
      <w:r>
        <w:rPr>
          <w:rFonts w:ascii="Arial" w:hAnsi="Arial" w:cs="Arial"/>
          <w:rtl/>
        </w:rPr>
        <w:t>[37] Identification of a decedent in a 103-year-old homicide case using forensic anthropology and genetic genealogy.</w:t>
      </w:r>
    </w:p>
    <w:p>
      <w:pPr>
        <w:bidi/>
        <w:pStyle w:val="ListBullet"/>
        <w:spacing w:before="40" w:after="40"/>
        <w:jc w:val="right"/>
      </w:pPr>
      <w:r>
        <w:rPr>
          <w:rFonts w:ascii="Arial" w:hAnsi="Arial" w:cs="Arial"/>
          <w:rtl/>
        </w:rPr>
        <w:t>[41] MixDeR: A SNP mixture deconvolution workflow for forensic genetic genealogy.</w:t>
      </w:r>
    </w:p>
    <w:p>
      <w:pPr>
        <w:bidi/>
        <w:pStyle w:val="ListBullet"/>
        <w:spacing w:before="40" w:after="40"/>
        <w:jc w:val="right"/>
      </w:pPr>
      <w:r>
        <w:rPr>
          <w:rFonts w:ascii="Arial" w:hAnsi="Arial" w:cs="Arial"/>
          <w:rtl/>
        </w:rPr>
        <w:t>[10] A global reference for human genetic variation.</w:t>
      </w:r>
    </w:p>
    <w:p>
      <w:pPr>
        <w:bidi/>
        <w:pStyle w:val="ListBullet"/>
        <w:spacing w:before="40" w:after="40"/>
        <w:jc w:val="right"/>
      </w:pPr>
      <w:r>
        <w:rPr>
          <w:rFonts w:ascii="Arial" w:hAnsi="Arial" w:cs="Arial"/>
          <w:rtl/>
        </w:rPr>
        <w:t>[23] Large scale DNA identification: The ICMP experience.</w:t>
      </w:r>
    </w:p>
    <w:p>
      <w:pPr>
        <w:bidi/>
        <w:pStyle w:val="ListBullet"/>
        <w:spacing w:before="40" w:after="40"/>
        <w:jc w:val="right"/>
      </w:pPr>
      <w:r>
        <w:rPr>
          <w:rFonts w:ascii="Arial" w:hAnsi="Arial" w:cs="Arial"/>
          <w:rtl/>
        </w:rPr>
        <w:t>[30] Internal Validation of the ForenSeq Kintelligence Kit for Application to Forensic Genetic Genealogy.</w:t>
      </w:r>
    </w:p>
    <w:p>
      <w:pPr>
        <w:bidi/>
        <w:pStyle w:val="ListBullet"/>
        <w:spacing w:before="40" w:after="40"/>
        <w:jc w:val="right"/>
      </w:pPr>
      <w:r>
        <w:rPr>
          <w:rFonts w:ascii="Arial" w:hAnsi="Arial" w:cs="Arial"/>
          <w:rtl/>
        </w:rPr>
        <w:t>[26] DNA Commission of the International Society for Forensic Genetics recommendations regarding the role of forensic genetics for disaster victim identification.</w:t>
      </w:r>
    </w:p>
    <w:p>
      <w:pPr>
        <w:bidi/>
        <w:pStyle w:val="ListBullet"/>
        <w:spacing w:before="40" w:after="40"/>
        <w:jc w:val="right"/>
      </w:pPr>
      <w:r>
        <w:rPr>
          <w:rFonts w:ascii="Arial" w:hAnsi="Arial" w:cs="Arial"/>
          <w:rtl/>
        </w:rPr>
        <w:t>[32] Developmental Validation of the Illumina Infinium Assay Using the Global Screening Array on the iScan System for Use in Forensic Laboratories.</w:t>
      </w:r>
    </w:p>
    <w:p>
      <w:pPr>
        <w:bidi/>
        <w:pStyle w:val="ListBullet"/>
        <w:spacing w:before="40" w:after="40"/>
        <w:jc w:val="right"/>
      </w:pPr>
      <w:r>
        <w:rPr>
          <w:rFonts w:ascii="Arial" w:hAnsi="Arial" w:cs="Arial"/>
          <w:rtl/>
        </w:rPr>
        <w:t>[18] Estimating kinship in admixed populations.</w:t>
      </w:r>
    </w:p>
    <w:p>
      <w:pPr>
        <w:bidi/>
        <w:pStyle w:val="ListBullet"/>
        <w:spacing w:before="40" w:after="40"/>
        <w:jc w:val="right"/>
      </w:pPr>
      <w:r>
        <w:rPr>
          <w:rFonts w:ascii="Arial" w:hAnsi="Arial" w:cs="Arial"/>
          <w:rtl/>
        </w:rPr>
        <w:t>[29] Whole-genome sequencing of human remains to enable genealogy DNA database searches - A case report.</w:t>
      </w:r>
    </w:p>
    <w:p>
      <w:pPr>
        <w:bidi/>
        <w:pStyle w:val="ListBullet"/>
        <w:spacing w:before="40" w:after="40"/>
        <w:jc w:val="right"/>
      </w:pPr>
      <w:r>
        <w:rPr>
          <w:rFonts w:ascii="Arial" w:hAnsi="Arial" w:cs="Arial"/>
          <w:rtl/>
        </w:rPr>
        <w:t>[35] Getting the conclusive lead with investigative genetic genealogy - A successful case study of a 16 year old double murder in Sweden.</w:t>
      </w:r>
    </w:p>
    <w:p>
      <w:pPr>
        <w:bidi/>
        <w:pStyle w:val="ListBullet"/>
        <w:spacing w:before="40" w:after="40"/>
        <w:jc w:val="right"/>
      </w:pPr>
      <w:r>
        <w:rPr>
          <w:rFonts w:ascii="Arial" w:hAnsi="Arial" w:cs="Arial"/>
          <w:rtl/>
        </w:rPr>
        <w:t>[9] Law enforcement use of genetic genealogy databases in criminal investigations: Nomenclature, definition and scope.</w:t>
      </w:r>
    </w:p>
    <w:p>
      <w:pPr>
        <w:bidi/>
        <w:pStyle w:val="ListBullet"/>
        <w:spacing w:before="40" w:after="40"/>
        <w:jc w:val="right"/>
      </w:pPr>
      <w:r>
        <w:rPr>
          <w:rFonts w:ascii="Arial" w:hAnsi="Arial" w:cs="Arial"/>
          <w:rtl/>
        </w:rPr>
        <w:t>[33] Impact of SNP microarray analysis of compromised DNA on kinship classification success in the context of investigative genetic genealogy.</w:t>
      </w:r>
    </w:p>
    <w:p>
      <w:pPr>
        <w:bidi/>
        <w:pStyle w:val="ListBullet"/>
        <w:spacing w:before="40" w:after="40"/>
        <w:jc w:val="right"/>
      </w:pPr>
      <w:r>
        <w:rPr>
          <w:rFonts w:ascii="Arial" w:hAnsi="Arial" w:cs="Arial"/>
          <w:rtl/>
        </w:rPr>
        <w:t>[28] Operationalisation of the ForenSeq® Kintelligence Kit for Australian unidentified and missing persons casework.</w:t>
      </w:r>
    </w:p>
    <w:p>
      <w:pPr>
        <w:bidi/>
        <w:pStyle w:val="ListBullet"/>
        <w:spacing w:before="40" w:after="40"/>
        <w:jc w:val="right"/>
      </w:pPr>
      <w:r>
        <w:rPr>
          <w:rFonts w:ascii="Arial" w:hAnsi="Arial" w:cs="Arial"/>
          <w:rtl/>
        </w:rPr>
        <w:t>[46] Forensic genealogy, bioethics and the Golden State Killer case.</w:t>
      </w:r>
    </w:p>
    <w:p>
      <w:pPr>
        <w:bidi/>
        <w:pStyle w:val="ListBullet"/>
        <w:spacing w:before="40" w:after="40"/>
        <w:jc w:val="right"/>
      </w:pPr>
      <w:r>
        <w:rPr>
          <w:rFonts w:ascii="Arial" w:hAnsi="Arial" w:cs="Arial"/>
          <w:rtl/>
        </w:rPr>
        <w:t>[39] Practical forensic use of kinship determination using high-density SNP profiling based on a microarray platform, focusing on low-quantity DNA.</w:t>
      </w:r>
    </w:p>
    <w:p>
      <w:pPr>
        <w:bidi/>
        <w:pStyle w:val="ListBullet"/>
        <w:spacing w:before="40" w:after="40"/>
        <w:jc w:val="right"/>
      </w:pPr>
      <w:r>
        <w:rPr>
          <w:rFonts w:ascii="Arial" w:hAnsi="Arial" w:cs="Arial"/>
          <w:rtl/>
        </w:rPr>
        <w:t>[40] Development of a novel microarray data analysis tool without normalization for genotyping degraded forensic DNA.</w:t>
      </w:r>
    </w:p>
    <w:p>
      <w:pPr>
        <w:bidi/>
        <w:spacing w:before="120" w:after="120"/>
        <w:jc w:val="right"/>
      </w:pPr>
      <w:r>
        <w:t>__________________________________________________</w:t>
      </w:r>
    </w:p>
    <w:p>
      <w:pPr>
        <w:pStyle w:val="Heading2"/>
        <w:spacing w:before="240" w:after="120"/>
        <w:jc w:val="left"/>
      </w:pPr>
      <w:r/>
      <w:r>
        <w:t>References</w:t>
      </w:r>
    </w:p>
    <w:p>
      <w:pPr>
        <w:spacing w:before="120" w:after="120" w:line="276" w:lineRule="auto"/>
        <w:jc w:val="left"/>
      </w:pPr>
      <w:r>
        <w:rPr>
          <w:color w:val="0000FF"/>
          <w:u w:val="single"/>
        </w:rPr>
        <w:t>1] D. Kling, C. Phillips, D. Kennett, and A. Tillmar, "Investigative genetic genealogy: Current methods, knowledge and practice," *Forensic Sci. Int. Genet.*, vol. 52, pp. 102474, Jan. 2021, doi: [10.1016/j.fsigen.2021.102474</w:t>
      </w:r>
    </w:p>
    <w:p>
      <w:pPr>
        <w:spacing w:before="120" w:after="120" w:line="276" w:lineRule="auto"/>
        <w:jc w:val="left"/>
      </w:pPr>
      <w:r>
        <w:rPr>
          <w:color w:val="0000FF"/>
          <w:u w:val="single"/>
        </w:rPr>
        <w:t>2] S. Browning and B. Browning, "Identity by descent between distant relatives: detection and applications," *Annu. Rev. Genet.*, vol. 46, pp. 617–633, Nov. 2012, doi: [10.1146/annurev-genet-110711-155534</w:t>
      </w:r>
    </w:p>
    <w:p>
      <w:pPr>
        <w:spacing w:before="120" w:after="120" w:line="276" w:lineRule="auto"/>
        <w:jc w:val="left"/>
      </w:pPr>
      <w:r>
        <w:rPr>
          <w:color w:val="0000FF"/>
          <w:u w:val="single"/>
        </w:rPr>
        <w:t>3] C. Huff *et al.*, "Maximum-likelihood estimation of recent shared ancestry (ERSA)," *Genome Res.*, vol. 21, no. 5, pp. 768–774, Feb. 2011, doi: [10.1101/gr.115972.110</w:t>
      </w:r>
    </w:p>
    <w:p>
      <w:pPr>
        <w:spacing w:before="120" w:after="120" w:line="276" w:lineRule="auto"/>
        <w:jc w:val="left"/>
      </w:pPr>
      <w:r>
        <w:rPr>
          <w:color w:val="0000FF"/>
          <w:u w:val="single"/>
        </w:rPr>
        <w:t>4] D. Kennett, "Using genetic genealogy databases in missing persons cases and to develop suspect leads in violent crimes," *Forensic Sci. Int.*, vol. 301, pp. 107–117, Aug. 2019, doi: [10.1016/j.forsciint.2019.05.016</w:t>
      </w:r>
    </w:p>
    <w:p>
      <w:pPr>
        <w:spacing w:before="120" w:after="120" w:line="276" w:lineRule="auto"/>
        <w:jc w:val="left"/>
      </w:pPr>
      <w:r>
        <w:rPr>
          <w:color w:val="0000FF"/>
          <w:u w:val="single"/>
        </w:rPr>
        <w:t>5] E. Greytak, C. Moore, and S. Armentrout, "Genetic genealogy for cold case and active investigations," *Forensic Sci. Int.*, vol. 299, pp. 103–113, Jun. 2019, doi: [10.1016/J.FORSCIINT.2019.03.039</w:t>
      </w:r>
    </w:p>
    <w:p>
      <w:pPr>
        <w:spacing w:before="120" w:after="120" w:line="276" w:lineRule="auto"/>
        <w:jc w:val="left"/>
      </w:pPr>
      <w:r>
        <w:rPr>
          <w:color w:val="0000FF"/>
          <w:u w:val="single"/>
        </w:rPr>
        <w:t>6] B. Browning and S. Browning, "Improving the Accuracy and Efficiency of Identity-by-Descent Detection in Population Data," *Genetics*, vol. 194, pp. 459–471, Jun. 2013, doi: [10.1534/Genetics.113.150029</w:t>
      </w:r>
    </w:p>
    <w:p>
      <w:pPr>
        <w:spacing w:before="120" w:after="120" w:line="276" w:lineRule="auto"/>
        <w:jc w:val="left"/>
      </w:pPr>
      <w:r>
        <w:rPr>
          <w:color w:val="0000FF"/>
          <w:u w:val="single"/>
        </w:rPr>
        <w:t>7] M. Conomos, A. Reiner, B. Weir, and T. Thornton, "Model-free Estimation of Recent Genetic Relatedness," *Am. J. Hum. Genet.*, vol. 98, no. 1, pp. 127–148, Jan. 2016, doi: [10.1016/j.ajhg.2015.11.022</w:t>
      </w:r>
    </w:p>
    <w:p>
      <w:pPr>
        <w:spacing w:before="120" w:after="120" w:line="276" w:lineRule="auto"/>
        <w:jc w:val="left"/>
      </w:pPr>
      <w:r>
        <w:rPr>
          <w:color w:val="0000FF"/>
          <w:u w:val="single"/>
        </w:rPr>
        <w:t>8] Y. Erlich, T. Shor, I. Pe’er, and S. Carmi, "Identity inference of genomic data using long-range familial searches," *Science*, vol. 362, pp. 690–694, Oct. 2018, doi: [10.1126/science.aau4832</w:t>
      </w:r>
    </w:p>
    <w:p>
      <w:pPr>
        <w:spacing w:before="120" w:after="120" w:line="276" w:lineRule="auto"/>
        <w:jc w:val="left"/>
      </w:pPr>
      <w:r>
        <w:rPr>
          <w:color w:val="0000FF"/>
          <w:u w:val="single"/>
        </w:rPr>
        <w:t>9] O. M. Tuazon, R. Wickenheiser, R. Ansell, C. J. Guerrini, G. Zwenne, and B. Custers, "Law enforcement use of genetic genealogy databases in criminal investigations: Nomenclature, definition and scope," *Forensic Sci. Int.: Synergy*, vol. 8, Feb. 2024, doi: [10.1016/j.fsisyn.2024.100460</w:t>
      </w:r>
    </w:p>
    <w:p>
      <w:pPr>
        <w:spacing w:before="120" w:after="120" w:line="276" w:lineRule="auto"/>
        <w:jc w:val="left"/>
      </w:pPr>
      <w:r>
        <w:rPr>
          <w:color w:val="0000FF"/>
          <w:u w:val="single"/>
        </w:rPr>
        <w:t>10] T. K. Oleksyk *et al.*, "A global reference for human genetic variation," *Nature*, vol. 526, pp. 68–74, Sep. 2015, doi: [10.1038/nature15393</w:t>
      </w:r>
    </w:p>
    <w:p>
      <w:pPr>
        <w:spacing w:before="120" w:after="120" w:line="276" w:lineRule="auto"/>
        <w:jc w:val="left"/>
      </w:pPr>
      <w:r>
        <w:rPr>
          <w:color w:val="0000FF"/>
          <w:u w:val="single"/>
        </w:rPr>
        <w:t>11] S. Browning and B. Browning, "Haplotype phasing: Existing methods and new developments," *Nat. Rev. Genet.*, vol. 12, pp. 703–714, Sep. 2011, doi: [10.1038/nrg3054</w:t>
      </w:r>
    </w:p>
    <w:p>
      <w:pPr>
        <w:spacing w:before="120" w:after="120" w:line="276" w:lineRule="auto"/>
        <w:jc w:val="left"/>
      </w:pPr>
      <w:r>
        <w:rPr>
          <w:color w:val="0000FF"/>
          <w:u w:val="single"/>
        </w:rPr>
        <w:t>12] G. McVean, "A Genealogical Interpretation of Principal Components Analysis," *PLoS Genet.*, vol. 5, Oct. 2009, doi: [10.1371/journal.pgen.1000686</w:t>
      </w:r>
    </w:p>
    <w:p>
      <w:pPr>
        <w:spacing w:before="120" w:after="120" w:line="276" w:lineRule="auto"/>
        <w:jc w:val="left"/>
      </w:pPr>
      <w:r>
        <w:rPr>
          <w:color w:val="0000FF"/>
          <w:u w:val="single"/>
        </w:rPr>
        <w:t>13] D. H. Alexander, J. Novembre, and K. Lange, "Fast model-based estimation of ancestry in unrelated individuals," *Genome Res.*, vol. 19, no. 9, pp. 1655–1664, Sep. 2009, doi: [10.1101/gr.094052.109</w:t>
      </w:r>
    </w:p>
    <w:p>
      <w:pPr>
        <w:spacing w:before="120" w:after="120" w:line="276" w:lineRule="auto"/>
        <w:jc w:val="left"/>
      </w:pPr>
      <w:r>
        <w:rPr>
          <w:color w:val="0000FF"/>
          <w:u w:val="single"/>
        </w:rPr>
        <w:t>14] A. Brisbin *et al.*, "PCAdmix: Principal Components-Based Assignment of Ancestry along Each Chromosome in Individuals with Admixed Ancestry from Two or More Populations," *Hum. Biol.*, vol. 84, pp. 343–364, Aug. 2012, doi: [10.3378/027.084.0401</w:t>
      </w:r>
    </w:p>
    <w:p>
      <w:pPr>
        <w:spacing w:before="120" w:after="120" w:line="276" w:lineRule="auto"/>
        <w:jc w:val="left"/>
      </w:pPr>
      <w:r>
        <w:rPr>
          <w:color w:val="0000FF"/>
          <w:u w:val="single"/>
        </w:rPr>
        <w:t>15] A. Kong *et al.*, "Detection of sharing by descent, long-range phasing and haplotype imputation," *Nat. Genet.*, vol. 40, pp. 1068–1075, Sep. 2008, doi: [10.1038/ng.216</w:t>
      </w:r>
    </w:p>
    <w:p>
      <w:pPr>
        <w:spacing w:before="120" w:after="120" w:line="276" w:lineRule="auto"/>
        <w:jc w:val="left"/>
      </w:pPr>
      <w:r>
        <w:rPr>
          <w:color w:val="0000FF"/>
          <w:u w:val="single"/>
        </w:rPr>
        <w:t>16] A. Manichaikul, J. Mychaleckyj, S. Rich, K. Daly, M. Sale, and W.-M. Chen, "Robust relationship inference in genome-wide association studies," *Bioinformatics*, vol. 26, no. 22, pp. 2867–2873, Nov. 2010, doi: [10.1093/Bioinformatics/btq559</w:t>
      </w:r>
    </w:p>
    <w:p>
      <w:pPr>
        <w:spacing w:before="120" w:after="120" w:line="276" w:lineRule="auto"/>
        <w:jc w:val="left"/>
      </w:pPr>
      <w:r>
        <w:rPr>
          <w:color w:val="0000FF"/>
          <w:u w:val="single"/>
        </w:rPr>
        <w:t>17] &lt;span class="nocase,"&gt;B. Henn *et al.*&lt;/span&gt;, "Cryptic Distant Relatives Are Common in Both Isolated and Cosmopolitan Genetic Samples," *PLoS ONE*, vol. 7, Apr. 2012, doi: [10.1371/journal.pone.0034267</w:t>
      </w:r>
    </w:p>
    <w:p>
      <w:pPr>
        <w:spacing w:before="120" w:after="120" w:line="276" w:lineRule="auto"/>
        <w:jc w:val="left"/>
      </w:pPr>
      <w:r>
        <w:rPr>
          <w:color w:val="0000FF"/>
          <w:u w:val="single"/>
        </w:rPr>
        <w:t>18] T. Thornton, H. Tang, T. Hoffmann, H. Ochs-Balcom, B. Caan, and N. Risch, "Estimating kinship in admixed populations," *Am. J. Hum. Genet.*, vol. 91, no. 1, pp. 122–138, Jul. 2012, doi: [10.1016/j.ajhg.2012.05.024</w:t>
      </w:r>
    </w:p>
    <w:p>
      <w:pPr>
        <w:spacing w:before="120" w:after="120" w:line="276" w:lineRule="auto"/>
        <w:jc w:val="left"/>
      </w:pPr>
      <w:r>
        <w:rPr>
          <w:color w:val="0000FF"/>
          <w:u w:val="single"/>
        </w:rPr>
        <w:t>19] H. Lee, R. Vogel, B. LeRoy, and H. Zierhut, "Adult adoptees and their use of direct‐to‐consumer genetic testing: Searching for family, searching for health," *J. Genet. Couns.*, vol. 30, pp. 144–157, Jun. 2020, doi: [10.1002/jgc4.1304</w:t>
      </w:r>
    </w:p>
    <w:p>
      <w:pPr>
        <w:spacing w:before="120" w:after="120" w:line="276" w:lineRule="auto"/>
        <w:jc w:val="left"/>
      </w:pPr>
      <w:r>
        <w:rPr>
          <w:color w:val="0000FF"/>
          <w:u w:val="single"/>
        </w:rPr>
        <w:t>20] J. Harper, D. Kennett, and D. Reisel, "The end of donor anonymity: how genetic testing is likely to drive anonymous gamete donation out of business," *Hum. Reprod.*, vol. 31, no. 6, pp. 1135–1140, Jun. 2016, doi: [10.1093/humrep/dew065</w:t>
      </w:r>
    </w:p>
    <w:p>
      <w:pPr>
        <w:spacing w:before="120" w:after="120" w:line="276" w:lineRule="auto"/>
        <w:jc w:val="left"/>
      </w:pPr>
      <w:r>
        <w:rPr>
          <w:color w:val="0000FF"/>
          <w:u w:val="single"/>
        </w:rPr>
        <w:t>21] C. J. Guerrini *et al.*, "Family secrets: Experiences and outcomes of participating in direct-to-consumer genetic relative-finder services," *Am. J. Hum. Genet.*, Feb. 2022, doi: [10.1016/j.ajhg.2022.01.013</w:t>
      </w:r>
    </w:p>
    <w:p>
      <w:pPr>
        <w:spacing w:before="120" w:after="120" w:line="276" w:lineRule="auto"/>
        <w:jc w:val="left"/>
      </w:pPr>
      <w:r>
        <w:rPr>
          <w:color w:val="0000FF"/>
          <w:u w:val="single"/>
        </w:rPr>
        <w:t>22] L. Gilman *et al.*, "Direct-to-consumer genetic testing and the changing landscape of gamete donor conception: key issues for practitioners and stakeholders," *Reprod. Biomed. Online*, vol. 48, no. 1, pp. 103421, Sep. 2023, doi: [10.1016/j.rbmo.2023.103421</w:t>
      </w:r>
    </w:p>
    <w:p>
      <w:pPr>
        <w:spacing w:before="120" w:after="120" w:line="276" w:lineRule="auto"/>
        <w:jc w:val="left"/>
      </w:pPr>
      <w:r>
        <w:rPr>
          <w:color w:val="0000FF"/>
          <w:u w:val="single"/>
        </w:rPr>
        <w:t>23] T. Parsons, R. Huel, Z. Bajunović, and A. Rizvić, "Large scale DNA identification: The ICMP experience," *Forensic Sci. Int. Genet.*, vol. 38, pp. 236–244, 2019, doi: [10.1016/j.fsigen.2018.11.008</w:t>
      </w:r>
    </w:p>
    <w:p>
      <w:pPr>
        <w:spacing w:before="120" w:after="120" w:line="276" w:lineRule="auto"/>
        <w:jc w:val="left"/>
      </w:pPr>
      <w:r>
        <w:rPr>
          <w:color w:val="0000FF"/>
          <w:u w:val="single"/>
        </w:rPr>
        <w:t>24] F.-X. Laurent, A. Fischer, R. F. Oldt, S. Kanthaswamy, J. Buckleton, and S. Hitchin, "Streamlining the decision-making process for international DNA kinship matching using Worldwide allele frequencies and tailored cutoff log10LR thresholds," *Forensic Sci. Int. Genet.*, vol. 57, pp. 102634, Nov. 2021, doi: [10.1016/j.fsigen.2021.102634</w:t>
      </w:r>
    </w:p>
    <w:p>
      <w:pPr>
        <w:spacing w:before="120" w:after="120" w:line="276" w:lineRule="auto"/>
        <w:jc w:val="left"/>
      </w:pPr>
      <w:r>
        <w:rPr>
          <w:color w:val="0000FF"/>
          <w:u w:val="single"/>
        </w:rPr>
        <w:t>25] E. Greytak, S. Wyatt, J. Cady, C. Moore, and S. Armentrout, "Investigative genetic genealogy for human remains identification," *J. Forensic Sci.*, vol. 69, pp. 1531–1545, Feb. 2024, doi: [10.1111/1556-4029.15469</w:t>
      </w:r>
    </w:p>
    <w:p>
      <w:pPr>
        <w:spacing w:before="120" w:after="120" w:line="276" w:lineRule="auto"/>
        <w:jc w:val="left"/>
      </w:pPr>
      <w:r>
        <w:rPr>
          <w:color w:val="0000FF"/>
          <w:u w:val="single"/>
        </w:rPr>
        <w:t>26] M. Prinz *et al.*, "DNA Commission of the International Society for Forensic Genetics (ISFG): recommendations regarding the role of forensic Genetics for disaster victim identification (DVI)," *Forensic Sci. Int. Genet.*, vol. 1, no. 1, pp. 3–12, Mar. 2007, doi: [10.1016/j.fsigen.2006.10.003</w:t>
      </w:r>
    </w:p>
    <w:p>
      <w:pPr>
        <w:spacing w:before="120" w:after="120" w:line="276" w:lineRule="auto"/>
        <w:jc w:val="left"/>
      </w:pPr>
      <w:r>
        <w:rPr>
          <w:color w:val="0000FF"/>
          <w:u w:val="single"/>
        </w:rPr>
        <w:t>27] K. Gettings, A. Tillmar, K. Sturk-Andreaggi, and C. Marshall, "Review of SNP assays for disaster victim identification: Cost, time, and performance information for decision‐makers," *J. Forensic Sci.*, vol. 69, pp. 1546–1557, Jul. 2024, doi: [10.1111/1556-4029.15585</w:t>
      </w:r>
    </w:p>
    <w:p>
      <w:pPr>
        <w:spacing w:before="120" w:after="120" w:line="276" w:lineRule="auto"/>
        <w:jc w:val="left"/>
      </w:pPr>
      <w:r>
        <w:rPr>
          <w:color w:val="0000FF"/>
          <w:u w:val="single"/>
        </w:rPr>
        <w:t>28] J. L. Watson, D. McNevin, K. Grisedale, M. Spiden, S. Seddon, and J. Ward, "Operationalisation of the ForenSeq® Kintelligence Kit for Australian unidentified and missing persons casework," *Forensic Sci. Int. Genet.*, vol. 68, pp. 102972, Oct. 2023, doi: [10.1016/j.fsigen.2023.102972</w:t>
      </w:r>
    </w:p>
    <w:p>
      <w:pPr>
        <w:spacing w:before="120" w:after="120" w:line="276" w:lineRule="auto"/>
        <w:jc w:val="left"/>
      </w:pPr>
      <w:r>
        <w:rPr>
          <w:color w:val="0000FF"/>
          <w:u w:val="single"/>
        </w:rPr>
        <w:t>29] A. Tillmar, P. Sjölund, B. Lundqvist, T. Klippmark, C. Älgenäs, and H. Gréen, "Whole-genome sequencing of human remains to enable genealogy DNA database searches - A case report," *Forensic Sci. Int. Genet.*, vol. 46, pp. 102233, Jan. 2020, doi: [10.1016/j.fsigen.2020.102233</w:t>
      </w:r>
    </w:p>
    <w:p>
      <w:pPr>
        <w:spacing w:before="120" w:after="120" w:line="276" w:lineRule="auto"/>
        <w:jc w:val="left"/>
      </w:pPr>
      <w:r>
        <w:rPr>
          <w:color w:val="0000FF"/>
          <w:u w:val="single"/>
        </w:rPr>
        <w:t>30] M. Peck *et al.*, "Internal Validation of the ForenSeq Kintelligence Kit for Application to Forensic Genetic Genealogy," *Forensic Genomics*, vol. 2, pp. 103–114, Oct. 2022, doi: [10.1089/forensic.2022.0014</w:t>
      </w:r>
    </w:p>
    <w:p>
      <w:pPr>
        <w:spacing w:before="120" w:after="120" w:line="276" w:lineRule="auto"/>
        <w:jc w:val="left"/>
      </w:pPr>
      <w:r>
        <w:rPr>
          <w:color w:val="0000FF"/>
          <w:u w:val="single"/>
        </w:rPr>
        <w:t>31] J. Antunes *et al.*, "Developmental validation of the ForenSeq® Kintelligence kit, MiSeq FGx® sequencing system and ForenSeq Universal Analysis Software," *Forensic Sci. Int. Genet.*, vol. 71, pp. 103055, Apr. 2024, doi: [10.1016/j.fsigen.2024.103055</w:t>
      </w:r>
    </w:p>
    <w:p>
      <w:pPr>
        <w:spacing w:before="120" w:after="120" w:line="276" w:lineRule="auto"/>
        <w:jc w:val="left"/>
      </w:pPr>
      <w:r>
        <w:rPr>
          <w:color w:val="0000FF"/>
          <w:u w:val="single"/>
        </w:rPr>
        <w:t>32] D. A. Russell *et al.*, "Developmental Validation of the Illumina Infinium Assay Using the Global Screening Array on the iScan System for Use in Forensic Laboratories," *Forensic Genomics*, vol. 3, pp. 15–24, Oct. 2022, doi: [10.1089/forensic.2022.0013</w:t>
      </w:r>
    </w:p>
    <w:p>
      <w:pPr>
        <w:spacing w:before="120" w:after="120" w:line="276" w:lineRule="auto"/>
        <w:jc w:val="left"/>
      </w:pPr>
      <w:r>
        <w:rPr>
          <w:color w:val="0000FF"/>
          <w:u w:val="single"/>
        </w:rPr>
        <w:t>33] J. H. de Vries *et al.*, "Impact of SNP microarray analysis of compromised DNA on kinship classification success in the context of investigative genetic genealogy," *bioRxiv*, Jun. 2021, doi: [10.1101/2021.06.25.449870</w:t>
      </w:r>
    </w:p>
    <w:p>
      <w:pPr>
        <w:spacing w:before="120" w:after="120" w:line="276" w:lineRule="auto"/>
        <w:jc w:val="left"/>
      </w:pPr>
      <w:r>
        <w:rPr>
          <w:color w:val="0000FF"/>
          <w:u w:val="single"/>
        </w:rPr>
        <w:t>34] M. S. Ertürk, C. Fitzpatrick, M. Press, and L. Wein, "Analysis of the genealogy process in forensic genetic genealogy," *J. Forensic Sci.*, vol. 67, pp. 2218–2229, Sep. 2022, doi: [10.1111/1556-4029.15127</w:t>
      </w:r>
    </w:p>
    <w:p>
      <w:pPr>
        <w:spacing w:before="120" w:after="120" w:line="276" w:lineRule="auto"/>
        <w:jc w:val="left"/>
      </w:pPr>
      <w:r>
        <w:rPr>
          <w:color w:val="0000FF"/>
          <w:u w:val="single"/>
        </w:rPr>
        <w:t>35] A. Tillmar, S. Fagerholm, J. Staaf, P. Sjölund, and R. Ansell, "Getting the conclusive lead with investigative genetic genealogy - A successful case study of a 16 year old double murder in Sweden," *Forensic Sci. Int. Genet.*, vol. 53, pp. 102525, May 2021, doi: [10.1016/j.fsigen.2021.102525</w:t>
      </w:r>
    </w:p>
    <w:p>
      <w:pPr>
        <w:spacing w:before="120" w:after="120" w:line="276" w:lineRule="auto"/>
        <w:jc w:val="left"/>
      </w:pPr>
      <w:r>
        <w:rPr>
          <w:color w:val="0000FF"/>
          <w:u w:val="single"/>
        </w:rPr>
        <w:t>36] H. Aanes *et al.*, "Heating up three cold cases in Norway using investigative genetic genealogy," *Forensic Sci. Int. Genet.*, vol. 76, pp. 103217, Dec. 2024, doi: [10.1016/j.fsigen.2024.103217</w:t>
      </w:r>
    </w:p>
    <w:p>
      <w:pPr>
        <w:spacing w:before="120" w:after="120" w:line="276" w:lineRule="auto"/>
        <w:jc w:val="left"/>
      </w:pPr>
      <w:r>
        <w:rPr>
          <w:color w:val="0000FF"/>
          <w:u w:val="single"/>
        </w:rPr>
        <w:t>37] A. R. Michael, S. Blatt, M. I. Isa, A. Redgrave, and D. Ubelaker, "Identification of a decedent in a 103-year-old homicide case using forensic anthropology and genetic genealogy," *Forensic Sci. Res.*, vol. 7, pp. 412–426, Mar. 2022, doi: [10.1080/20961790.2022.2034717</w:t>
      </w:r>
    </w:p>
    <w:p>
      <w:pPr>
        <w:spacing w:before="120" w:after="120" w:line="276" w:lineRule="auto"/>
        <w:jc w:val="left"/>
      </w:pPr>
      <w:r>
        <w:rPr>
          <w:color w:val="0000FF"/>
          <w:u w:val="single"/>
        </w:rPr>
        <w:t>38] A. Davawala, A. Stock, M. Spiden, R. Daniel, J. McBain, and D. Hartman, "Forensic genetic genealogy using microarrays for the identification of human remains: The need for good quality samples - A pilot study," *Forensic Sci. Int.*, vol. 334, pp. 111242, Feb. 2022, doi: [10.1016/j.forsciint.2022.111242</w:t>
      </w:r>
    </w:p>
    <w:p>
      <w:pPr>
        <w:spacing w:before="120" w:after="120" w:line="276" w:lineRule="auto"/>
        <w:jc w:val="left"/>
      </w:pPr>
      <w:r>
        <w:rPr>
          <w:color w:val="0000FF"/>
          <w:u w:val="single"/>
        </w:rPr>
        <w:t>39] K. Yagasaki *et al.*, "Practical forensic use of kinship determination using high-density SNP profiling based on a microarray platform, focusing on low-quantity DNA," *Forensic Sci. Int. Genet.*, vol. 61, pp. 102752, Jul. 2022, doi: [10.1016/j.fsigen.2022.102752</w:t>
      </w:r>
    </w:p>
    <w:p>
      <w:pPr>
        <w:spacing w:before="120" w:after="120" w:line="276" w:lineRule="auto"/>
        <w:jc w:val="left"/>
      </w:pPr>
      <w:r>
        <w:rPr>
          <w:color w:val="0000FF"/>
          <w:u w:val="single"/>
        </w:rPr>
        <w:t>40] K. Yagasaki, N. Nishida, A. Mabuchi, K. Tokunaga, and A. Fujimoto, "Development of a novel microarray data analysis tool without normalization for genotyping degraded forensic DNA," *Forensic Sci. Int. Genet.*, vol. 65, pp. 102885, Apr. 2023, doi: [10.1016/j.fsigen.2023.102885</w:t>
      </w:r>
    </w:p>
    <w:p>
      <w:pPr>
        <w:spacing w:before="120" w:after="120" w:line="276" w:lineRule="auto"/>
        <w:jc w:val="left"/>
      </w:pPr>
      <w:r>
        <w:rPr>
          <w:color w:val="0000FF"/>
          <w:u w:val="single"/>
        </w:rPr>
        <w:t>41] R. Mitchell, M. Peck, E. M. Gorden, and R. Just, "MixDeR: A SNP mixture deconvolution workflow for forensic genetic genealogy," *Forensic Sci. Int. Genet.*, vol. 76, pp. 103224, Jan. 2025, doi: [10.1016/j.fsigen.2025.103224</w:t>
      </w:r>
    </w:p>
    <w:p>
      <w:pPr>
        <w:spacing w:before="120" w:after="120" w:line="276" w:lineRule="auto"/>
        <w:jc w:val="left"/>
      </w:pPr>
      <w:r>
        <w:rPr>
          <w:color w:val="0000FF"/>
          <w:u w:val="single"/>
        </w:rPr>
        <w:t>42] C. J. Guerrini, J. Robinson, D. Petersen, and A. McGuire, "Should police have access to genetic genealogy databases? Capturing the Golden State Killer and other criminals using a controversial new forensic technique," *PLoS Biol.*, vol. 16, Oct. 2018, doi: [10.1371/journal.pbio.2006906</w:t>
      </w:r>
    </w:p>
    <w:p>
      <w:pPr>
        <w:spacing w:before="120" w:after="120" w:line="276" w:lineRule="auto"/>
        <w:jc w:val="left"/>
      </w:pPr>
      <w:r>
        <w:rPr>
          <w:color w:val="0000FF"/>
          <w:u w:val="single"/>
        </w:rPr>
        <w:t>43] S. Katsanis, "Pedigrees and Perpetrators: Uses of DNA and Genealogy in Forensic Investigations," *Annu. Rev. Genomics Hum. Genet.*, Apr. 2020, doi: [10.1146/annurev-genom-111819-084213</w:t>
      </w:r>
    </w:p>
    <w:p>
      <w:pPr>
        <w:spacing w:before="120" w:after="120" w:line="276" w:lineRule="auto"/>
        <w:jc w:val="left"/>
      </w:pPr>
      <w:r>
        <w:rPr>
          <w:color w:val="0000FF"/>
          <w:u w:val="single"/>
        </w:rPr>
        <w:t>44] B. Budowle and A. Sajantila, "Revisiting informed consent in Forensic Genomics in light of current technologies and the times," *Int. J. Legal Med.*, vol. 137, pp. 551–565, Jan. 2023, doi: [10.1007/s00414-023-02947-w</w:t>
      </w:r>
    </w:p>
    <w:p>
      <w:pPr>
        <w:spacing w:before="120" w:after="120" w:line="276" w:lineRule="auto"/>
        <w:jc w:val="left"/>
      </w:pPr>
      <w:r>
        <w:rPr>
          <w:color w:val="0000FF"/>
          <w:u w:val="single"/>
        </w:rPr>
        <w:t>45] C. J. Guerrini, R. Wickenheiser, B. Bettinger, A. McGuire, and S. M. Fullerton, "Four misconceptions about investigative genetic genealogy," *J. Law Biosci.*, vol. 8, Apr. 2021, doi: [10.1093/jlb/lsab001</w:t>
      </w:r>
    </w:p>
    <w:p>
      <w:pPr>
        <w:spacing w:before="120" w:after="120" w:line="276" w:lineRule="auto"/>
        <w:jc w:val="left"/>
      </w:pPr>
      <w:r>
        <w:rPr>
          <w:color w:val="0000FF"/>
          <w:u w:val="single"/>
        </w:rPr>
        <w:t>46] R. Wickenheiser, "Forensic genealogy, bioethics and the Golden State Killer case," *Forensic Sci. Int.: Synergy*, vol. 1, pp. 114–125, Jul. 2019, doi: [10.1016/j.fsisyn.2019.07.003</w:t>
      </w:r>
    </w:p>
    <w:p>
      <w:pPr>
        <w:spacing w:before="120" w:after="120" w:line="276" w:lineRule="auto"/>
        <w:jc w:val="left"/>
      </w:pPr>
      <w:r>
        <w:rPr>
          <w:color w:val="0000FF"/>
          <w:u w:val="single"/>
        </w:rPr>
        <w:t>47] R. Ansell and S. A. Fagerholm, "Legislation for forensic investigative genetic genealogy in Sweden," *Forensic Sci. Int.: Synergy*, vol. 11, Sep. 2025, doi: [10.1016/j.fsisyn.2025.100637</w:t>
      </w:r>
    </w:p>
    <w:p>
      <w:pPr>
        <w:spacing w:before="120" w:after="120" w:line="276" w:lineRule="auto"/>
        <w:jc w:val="left"/>
      </w:pPr>
      <w:r>
        <w:rPr>
          <w:color w:val="0000FF"/>
          <w:u w:val="single"/>
        </w:rPr>
        <w:t>48] J. Butler, "Recent advances in forensic biology and forensic DNA typing: INTERPOL review 2019–2022," *Forensic Sci. Int.: Synergy*, vol. 6, Dec. 2022, doi: [10.1016/j.fsisyn.2022.100311</w:t>
      </w:r>
    </w:p>
    <w:p>
      <w:pPr>
        <w:spacing w:before="120" w:after="120" w:line="276" w:lineRule="auto"/>
        <w:jc w:val="left"/>
      </w:pPr>
      <w:r>
        <w:rPr>
          <w:color w:val="0000FF"/>
          <w:u w:val="single"/>
        </w:rPr>
        <w:t>49] S. P. Matute and S. Iyavoo, "Implementation of NGS and SNP microarrays in routine forensic practice: opportunities and barriers," *BMC Genomics*, vol. 26, May 2025, doi: [10.1186/s12864-025-11723-6</w:t>
      </w:r>
    </w:p>
    <w:p>
      <w:pPr>
        <w:spacing w:before="120" w:after="120" w:line="276" w:lineRule="auto"/>
        <w:jc w:val="left"/>
      </w:pPr>
      <w:r>
        <w:rPr>
          <w:color w:val="0000FF"/>
          <w:u w:val="single"/>
        </w:rPr>
        <w:t>50] A. C. Jäger *et al.*, "Developmental validation of the MiSeq FGx Forensic Genomics System for Targeted Next Generation Sequencing in Forensic DNA Casework and Database Laboratories," *Forensic Sci. Int. Genet.*, vol. 28, pp. 52–70, May 2017, doi: [10.1016/j.fsigen.2017.01.011</w:t>
      </w:r>
    </w:p>
    <w:sectPr w:rsidR="00FC693F" w:rsidRPr="0006063C" w:rsidSect="00034616">
      <w:pgSz w:w="12240" w:h="15840"/>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