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drawings/drawing3.xml" ContentType="application/vnd.openxmlformats-officedocument.drawingml.chartshapes+xml"/>
  <Override PartName="/word/drawings/drawing4.xml" ContentType="application/vnd.openxmlformats-officedocument.drawingml.chartshap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rawings/drawing1.xml" ContentType="application/vnd.openxmlformats-officedocument.drawingml.chartshapes+xml"/>
  <Override PartName="/word/drawings/drawing2.xml" ContentType="application/vnd.openxmlformats-officedocument.drawingml.chartshapes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jc w:val="center"/>
        <w:tblInd w:w="-5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236"/>
        <w:gridCol w:w="2105"/>
        <w:gridCol w:w="1201"/>
        <w:gridCol w:w="1653"/>
        <w:gridCol w:w="2053"/>
      </w:tblGrid>
      <w:tr w:rsidR="00E80609" w:rsidRPr="00AA685B" w:rsidTr="00034FAA">
        <w:trPr>
          <w:jc w:val="center"/>
        </w:trPr>
        <w:tc>
          <w:tcPr>
            <w:tcW w:w="2236" w:type="dxa"/>
          </w:tcPr>
          <w:p w:rsidR="00E80609" w:rsidRPr="00AA685B" w:rsidRDefault="00E80609" w:rsidP="00034FAA">
            <w:pPr>
              <w:pStyle w:val="Tekstpodstawowy2"/>
              <w:jc w:val="center"/>
              <w:rPr>
                <w:b w:val="0"/>
                <w:szCs w:val="24"/>
              </w:rPr>
            </w:pPr>
          </w:p>
          <w:p w:rsidR="00E80609" w:rsidRPr="00AA685B" w:rsidRDefault="00E80609" w:rsidP="00034FAA">
            <w:pPr>
              <w:pStyle w:val="Tekstpodstawowy2"/>
              <w:jc w:val="center"/>
              <w:rPr>
                <w:b w:val="0"/>
                <w:szCs w:val="24"/>
              </w:rPr>
            </w:pPr>
            <w:r w:rsidRPr="00AA685B">
              <w:rPr>
                <w:b w:val="0"/>
                <w:szCs w:val="24"/>
              </w:rPr>
              <w:t>Wydział</w:t>
            </w:r>
          </w:p>
          <w:p w:rsidR="00E80609" w:rsidRPr="00AA685B" w:rsidRDefault="00E80609" w:rsidP="00034FAA">
            <w:pPr>
              <w:pStyle w:val="Tekstpodstawowy2"/>
              <w:jc w:val="center"/>
              <w:rPr>
                <w:szCs w:val="24"/>
              </w:rPr>
            </w:pPr>
            <w:proofErr w:type="spellStart"/>
            <w:r w:rsidRPr="00AA685B">
              <w:rPr>
                <w:szCs w:val="24"/>
              </w:rPr>
              <w:t>EAIiE</w:t>
            </w:r>
            <w:proofErr w:type="spellEnd"/>
          </w:p>
        </w:tc>
        <w:tc>
          <w:tcPr>
            <w:tcW w:w="2105" w:type="dxa"/>
          </w:tcPr>
          <w:p w:rsidR="00E80609" w:rsidRPr="000C3398" w:rsidRDefault="00E80609" w:rsidP="00034FAA">
            <w:pPr>
              <w:pStyle w:val="Tekstpodstawowy2"/>
              <w:rPr>
                <w:b w:val="0"/>
                <w:szCs w:val="24"/>
                <w:u w:val="single"/>
              </w:rPr>
            </w:pPr>
            <w:r w:rsidRPr="000C3398">
              <w:rPr>
                <w:b w:val="0"/>
                <w:szCs w:val="24"/>
                <w:u w:val="single"/>
              </w:rPr>
              <w:t>Radzik Piotr</w:t>
            </w:r>
          </w:p>
          <w:p w:rsidR="00E80609" w:rsidRPr="00AA685B" w:rsidRDefault="00E80609" w:rsidP="00034FAA">
            <w:pPr>
              <w:pStyle w:val="Tekstpodstawowy2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Matusik Mateusz</w:t>
            </w:r>
          </w:p>
        </w:tc>
        <w:tc>
          <w:tcPr>
            <w:tcW w:w="1201" w:type="dxa"/>
          </w:tcPr>
          <w:p w:rsidR="00E80609" w:rsidRPr="00AA685B" w:rsidRDefault="00E80609" w:rsidP="00034FAA">
            <w:pPr>
              <w:pStyle w:val="Tekstpodstawowy2"/>
              <w:jc w:val="center"/>
              <w:rPr>
                <w:b w:val="0"/>
                <w:szCs w:val="24"/>
              </w:rPr>
            </w:pPr>
          </w:p>
          <w:p w:rsidR="00E80609" w:rsidRPr="00AA685B" w:rsidRDefault="00E80609" w:rsidP="00034FAA">
            <w:pPr>
              <w:pStyle w:val="Tekstpodstawowy2"/>
              <w:jc w:val="center"/>
              <w:rPr>
                <w:b w:val="0"/>
                <w:szCs w:val="24"/>
              </w:rPr>
            </w:pPr>
            <w:r w:rsidRPr="00AA685B">
              <w:rPr>
                <w:b w:val="0"/>
                <w:szCs w:val="24"/>
              </w:rPr>
              <w:t>Rok I</w:t>
            </w:r>
          </w:p>
          <w:p w:rsidR="00E80609" w:rsidRPr="00AA685B" w:rsidRDefault="00E80609" w:rsidP="00034FAA">
            <w:pPr>
              <w:pStyle w:val="Tekstpodstawowy2"/>
              <w:jc w:val="center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Grupa VII</w:t>
            </w:r>
          </w:p>
        </w:tc>
        <w:tc>
          <w:tcPr>
            <w:tcW w:w="1653" w:type="dxa"/>
          </w:tcPr>
          <w:p w:rsidR="00E80609" w:rsidRPr="00AA685B" w:rsidRDefault="00E80609" w:rsidP="00034FAA">
            <w:pPr>
              <w:pStyle w:val="Tekstpodstawowy2"/>
              <w:jc w:val="center"/>
              <w:rPr>
                <w:b w:val="0"/>
                <w:szCs w:val="24"/>
              </w:rPr>
            </w:pPr>
            <w:r w:rsidRPr="00AA685B">
              <w:rPr>
                <w:b w:val="0"/>
                <w:szCs w:val="24"/>
              </w:rPr>
              <w:t>Grupa laboratoryjna</w:t>
            </w:r>
          </w:p>
          <w:p w:rsidR="00E80609" w:rsidRPr="00AA685B" w:rsidRDefault="00E80609" w:rsidP="00034FAA">
            <w:pPr>
              <w:pStyle w:val="Tekstpodstawowy2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2053" w:type="dxa"/>
          </w:tcPr>
          <w:p w:rsidR="00E80609" w:rsidRPr="00AA685B" w:rsidRDefault="00E80609" w:rsidP="00034FAA">
            <w:pPr>
              <w:pStyle w:val="Tekstpodstawowy2"/>
              <w:jc w:val="center"/>
              <w:rPr>
                <w:b w:val="0"/>
                <w:szCs w:val="24"/>
              </w:rPr>
            </w:pPr>
          </w:p>
          <w:p w:rsidR="00E80609" w:rsidRPr="00AA685B" w:rsidRDefault="00E80609" w:rsidP="00034FAA">
            <w:pPr>
              <w:pStyle w:val="Tekstpodstawowy2"/>
              <w:jc w:val="center"/>
              <w:rPr>
                <w:b w:val="0"/>
                <w:szCs w:val="24"/>
              </w:rPr>
            </w:pPr>
            <w:r w:rsidRPr="00AA685B">
              <w:rPr>
                <w:b w:val="0"/>
                <w:szCs w:val="24"/>
              </w:rPr>
              <w:t>Ćwiczenie nr</w:t>
            </w:r>
          </w:p>
          <w:p w:rsidR="00E80609" w:rsidRPr="00AA685B" w:rsidRDefault="00E80609" w:rsidP="00034FAA">
            <w:pPr>
              <w:pStyle w:val="Tekstpodstawowy2"/>
              <w:jc w:val="center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</w:tr>
      <w:tr w:rsidR="00E80609" w:rsidRPr="00AA685B" w:rsidTr="00034FAA">
        <w:trPr>
          <w:cantSplit/>
          <w:trHeight w:val="809"/>
          <w:jc w:val="center"/>
        </w:trPr>
        <w:tc>
          <w:tcPr>
            <w:tcW w:w="2236" w:type="dxa"/>
          </w:tcPr>
          <w:p w:rsidR="00E80609" w:rsidRPr="00AA685B" w:rsidRDefault="00E80609" w:rsidP="00034FAA">
            <w:pPr>
              <w:pStyle w:val="Tekstpodstawowy2"/>
              <w:jc w:val="center"/>
              <w:rPr>
                <w:b w:val="0"/>
                <w:szCs w:val="24"/>
              </w:rPr>
            </w:pPr>
            <w:r w:rsidRPr="00AA685B">
              <w:rPr>
                <w:b w:val="0"/>
                <w:szCs w:val="24"/>
              </w:rPr>
              <w:t>Data wykonania:</w:t>
            </w:r>
          </w:p>
          <w:p w:rsidR="00E80609" w:rsidRPr="00AA685B" w:rsidRDefault="00E80609" w:rsidP="00034FAA">
            <w:pPr>
              <w:pStyle w:val="Tekstpodstawowy2"/>
              <w:jc w:val="center"/>
              <w:rPr>
                <w:szCs w:val="24"/>
              </w:rPr>
            </w:pPr>
          </w:p>
        </w:tc>
        <w:tc>
          <w:tcPr>
            <w:tcW w:w="4959" w:type="dxa"/>
            <w:gridSpan w:val="3"/>
          </w:tcPr>
          <w:p w:rsidR="00E80609" w:rsidRPr="00AA685B" w:rsidRDefault="00E80609" w:rsidP="00034FAA">
            <w:pPr>
              <w:ind w:left="709" w:hanging="709"/>
              <w:jc w:val="both"/>
              <w:rPr>
                <w:sz w:val="24"/>
                <w:szCs w:val="24"/>
              </w:rPr>
            </w:pPr>
            <w:r w:rsidRPr="00AA685B">
              <w:rPr>
                <w:sz w:val="24"/>
                <w:szCs w:val="24"/>
              </w:rPr>
              <w:t>Temat</w:t>
            </w:r>
            <w:r w:rsidRPr="00AA685B">
              <w:rPr>
                <w:b/>
                <w:sz w:val="24"/>
                <w:szCs w:val="24"/>
              </w:rPr>
              <w:t xml:space="preserve">: </w:t>
            </w:r>
            <w:r w:rsidRPr="00E80609">
              <w:rPr>
                <w:b/>
                <w:sz w:val="24"/>
                <w:szCs w:val="24"/>
              </w:rPr>
              <w:t>Złączowe tranzystory polowe (JFET)</w:t>
            </w:r>
          </w:p>
        </w:tc>
        <w:tc>
          <w:tcPr>
            <w:tcW w:w="2053" w:type="dxa"/>
          </w:tcPr>
          <w:p w:rsidR="00E80609" w:rsidRPr="00AA685B" w:rsidRDefault="00E80609" w:rsidP="00034FAA">
            <w:pPr>
              <w:pStyle w:val="Tekstpodstawowy2"/>
              <w:jc w:val="center"/>
              <w:rPr>
                <w:b w:val="0"/>
                <w:szCs w:val="24"/>
              </w:rPr>
            </w:pPr>
            <w:r w:rsidRPr="00AA685B">
              <w:rPr>
                <w:b w:val="0"/>
                <w:szCs w:val="24"/>
              </w:rPr>
              <w:t>Ocena:</w:t>
            </w:r>
          </w:p>
        </w:tc>
      </w:tr>
    </w:tbl>
    <w:p w:rsidR="00E80609" w:rsidRDefault="00E80609"/>
    <w:p w:rsidR="004440B0" w:rsidRDefault="00515980">
      <w:r>
        <w:t>Charakterystyki wyjściowe:</w:t>
      </w:r>
    </w:p>
    <w:p w:rsidR="00515980" w:rsidRDefault="004345A3">
      <w:r w:rsidRPr="004345A3">
        <w:rPr>
          <w:noProof/>
          <w:lang w:eastAsia="pl-PL"/>
        </w:rPr>
        <w:drawing>
          <wp:inline distT="0" distB="0" distL="0" distR="0">
            <wp:extent cx="5760720" cy="3859670"/>
            <wp:effectExtent l="0" t="0" r="0" b="0"/>
            <wp:docPr id="1" name="Wykres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515980" w:rsidRDefault="00515980">
      <w:r>
        <w:t>Charakterystyki przejściowe:</w:t>
      </w:r>
    </w:p>
    <w:p w:rsidR="00515980" w:rsidRDefault="00515980">
      <w:r w:rsidRPr="00515980">
        <w:rPr>
          <w:noProof/>
          <w:lang w:eastAsia="pl-PL"/>
        </w:rPr>
        <w:drawing>
          <wp:inline distT="0" distB="0" distL="0" distR="0">
            <wp:extent cx="6010275" cy="2952750"/>
            <wp:effectExtent l="0" t="0" r="0" b="0"/>
            <wp:docPr id="4" name="Wykres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515980" w:rsidRDefault="000E150A">
      <w:r>
        <w:lastRenderedPageBreak/>
        <w:t xml:space="preserve">Możemy określić wartość prądu nasycenia np. dla </w:t>
      </w:r>
      <w:r w:rsidR="00612DE6">
        <w:t>U</w:t>
      </w:r>
      <w:r w:rsidR="00612DE6" w:rsidRPr="00612DE6">
        <w:rPr>
          <w:vertAlign w:val="subscript"/>
        </w:rPr>
        <w:t>D</w:t>
      </w:r>
      <w:r w:rsidR="00612DE6">
        <w:t>-</w:t>
      </w:r>
      <w:r>
        <w:t xml:space="preserve"> = 5V</w:t>
      </w:r>
      <w:r w:rsidR="00612DE6">
        <w:t xml:space="preserve">, </w:t>
      </w:r>
      <w:r w:rsidR="00612DE6" w:rsidRPr="00852E80">
        <w:t xml:space="preserve"> I</w:t>
      </w:r>
      <w:r w:rsidR="00612DE6" w:rsidRPr="00612DE6">
        <w:rPr>
          <w:vertAlign w:val="subscript"/>
        </w:rPr>
        <w:t>DSS</w:t>
      </w:r>
      <w:r w:rsidR="00612DE6" w:rsidRPr="00852E80">
        <w:t xml:space="preserve"> </w:t>
      </w:r>
      <w:r w:rsidR="00C05388">
        <w:t>= 9,8</w:t>
      </w:r>
      <w:r w:rsidR="00C155C2">
        <w:t xml:space="preserve"> </w:t>
      </w:r>
      <w:proofErr w:type="spellStart"/>
      <w:r w:rsidR="00C155C2">
        <w:t>mA</w:t>
      </w:r>
      <w:proofErr w:type="spellEnd"/>
      <w:r w:rsidR="00C155C2">
        <w:t xml:space="preserve">, a </w:t>
      </w:r>
      <w:r w:rsidR="00612DE6" w:rsidRPr="00852E80">
        <w:t>U</w:t>
      </w:r>
      <w:r w:rsidR="00612DE6" w:rsidRPr="00612DE6">
        <w:rPr>
          <w:vertAlign w:val="subscript"/>
        </w:rPr>
        <w:t>P</w:t>
      </w:r>
      <w:r w:rsidR="00C155C2">
        <w:t xml:space="preserve"> = 4,6 V</w:t>
      </w:r>
    </w:p>
    <w:p w:rsidR="00852E80" w:rsidRDefault="00852E80" w:rsidP="00852E80">
      <w:r>
        <w:t xml:space="preserve">Dla </w:t>
      </w:r>
      <w:r w:rsidR="00612DE6">
        <w:t>U</w:t>
      </w:r>
      <w:r w:rsidR="00612DE6" w:rsidRPr="00612DE6">
        <w:rPr>
          <w:vertAlign w:val="subscript"/>
        </w:rPr>
        <w:t>D</w:t>
      </w:r>
      <w:r w:rsidR="00612DE6">
        <w:rPr>
          <w:vertAlign w:val="subscript"/>
        </w:rPr>
        <w:t>S</w:t>
      </w:r>
      <w:r>
        <w:t xml:space="preserve"> </w:t>
      </w:r>
      <w:r w:rsidR="00612DE6">
        <w:t>=</w:t>
      </w:r>
      <w:r>
        <w:t xml:space="preserve">5 V wykreślam charakterystykę przejściową jako funkcję </w:t>
      </w:r>
      <w:proofErr w:type="spellStart"/>
      <w:r>
        <w:t>√iD</w:t>
      </w:r>
      <w:proofErr w:type="spellEnd"/>
      <w:r>
        <w:t xml:space="preserve"> = f(</w:t>
      </w:r>
      <w:r w:rsidR="00612DE6">
        <w:t>U</w:t>
      </w:r>
      <w:r w:rsidR="00612DE6" w:rsidRPr="00612DE6">
        <w:rPr>
          <w:vertAlign w:val="subscript"/>
        </w:rPr>
        <w:t>GS</w:t>
      </w:r>
      <w:r>
        <w:t xml:space="preserve">), która jest określona zależnością kwadratową: </w:t>
      </w:r>
    </w:p>
    <w:p w:rsidR="00852E80" w:rsidRDefault="00852E80" w:rsidP="00852E80">
      <w:r>
        <w:rPr>
          <w:noProof/>
          <w:lang w:eastAsia="pl-PL"/>
        </w:rPr>
        <w:drawing>
          <wp:inline distT="0" distB="0" distL="0" distR="0">
            <wp:extent cx="1181100" cy="438150"/>
            <wp:effectExtent l="19050" t="0" r="0" b="0"/>
            <wp:docPr id="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2E80" w:rsidRDefault="00852E80" w:rsidP="00852E80">
      <w:r>
        <w:t xml:space="preserve"> Pierwiastkując obie strony równania otrzymamy wzór teoretyczny uzyskanego pomiaru: </w:t>
      </w:r>
    </w:p>
    <w:p w:rsidR="00852E80" w:rsidRDefault="00852E80" w:rsidP="00852E80">
      <w:r>
        <w:rPr>
          <w:noProof/>
          <w:lang w:eastAsia="pl-PL"/>
        </w:rPr>
        <w:drawing>
          <wp:inline distT="0" distB="0" distL="0" distR="0">
            <wp:extent cx="1657350" cy="428625"/>
            <wp:effectExtent l="19050" t="0" r="0" b="0"/>
            <wp:docPr id="6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2E80" w:rsidRDefault="00852E80" w:rsidP="00852E80">
      <w:r w:rsidRPr="00852E80">
        <w:rPr>
          <w:noProof/>
          <w:lang w:eastAsia="pl-PL"/>
        </w:rPr>
        <w:drawing>
          <wp:inline distT="0" distB="0" distL="0" distR="0">
            <wp:extent cx="5124450" cy="2371725"/>
            <wp:effectExtent l="0" t="0" r="0" b="0"/>
            <wp:docPr id="7" name="Wykres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852E80" w:rsidRDefault="00852E80" w:rsidP="00852E80">
      <w:r w:rsidRPr="00852E80">
        <w:t>Na podstawie wyprowadzonego wzoru i użytej metody regresji liniowej wyznaczam wartości parametrów I</w:t>
      </w:r>
      <w:r w:rsidRPr="00612DE6">
        <w:rPr>
          <w:vertAlign w:val="subscript"/>
        </w:rPr>
        <w:t>DSS</w:t>
      </w:r>
      <w:r w:rsidRPr="00852E80">
        <w:t xml:space="preserve"> i U</w:t>
      </w:r>
      <w:r w:rsidRPr="00612DE6">
        <w:rPr>
          <w:vertAlign w:val="subscript"/>
        </w:rPr>
        <w:t>P</w:t>
      </w:r>
      <w:r w:rsidRPr="00852E80">
        <w:t xml:space="preserve">. Wyznaczoną wartość </w:t>
      </w:r>
      <w:r w:rsidR="00612DE6" w:rsidRPr="00852E80">
        <w:t>U</w:t>
      </w:r>
      <w:r w:rsidR="00612DE6" w:rsidRPr="00612DE6">
        <w:rPr>
          <w:vertAlign w:val="subscript"/>
        </w:rPr>
        <w:t>P</w:t>
      </w:r>
      <w:r w:rsidRPr="00852E80">
        <w:t xml:space="preserve"> wykorzystuję również do rozdzielenia zakresu liniowego i nasycenia na charakterys</w:t>
      </w:r>
      <w:r w:rsidR="00612DE6">
        <w:t>tykach wyjściowych w układzie (</w:t>
      </w:r>
      <w:proofErr w:type="spellStart"/>
      <w:r w:rsidR="00612DE6">
        <w:t>I</w:t>
      </w:r>
      <w:r w:rsidRPr="00612DE6">
        <w:rPr>
          <w:vertAlign w:val="subscript"/>
        </w:rPr>
        <w:t>D</w:t>
      </w:r>
      <w:r w:rsidR="00612DE6">
        <w:t>,U</w:t>
      </w:r>
      <w:r w:rsidRPr="00612DE6">
        <w:rPr>
          <w:vertAlign w:val="subscript"/>
        </w:rPr>
        <w:t>DS</w:t>
      </w:r>
      <w:proofErr w:type="spellEnd"/>
      <w:r w:rsidRPr="00852E80">
        <w:t>).</w:t>
      </w:r>
    </w:p>
    <w:p w:rsidR="00852E80" w:rsidRDefault="00852E80" w:rsidP="00852E80">
      <w:r>
        <w:t xml:space="preserve">Otrzymane wyniki: </w:t>
      </w:r>
    </w:p>
    <w:p w:rsidR="00852E80" w:rsidRDefault="00852E80" w:rsidP="00852E80">
      <w:r>
        <w:t>I</w:t>
      </w:r>
      <w:r w:rsidRPr="00C155C2">
        <w:rPr>
          <w:vertAlign w:val="subscript"/>
        </w:rPr>
        <w:t>DSS</w:t>
      </w:r>
      <w:r>
        <w:t xml:space="preserve"> = 10,34 </w:t>
      </w:r>
      <w:proofErr w:type="spellStart"/>
      <w:r>
        <w:t>mA</w:t>
      </w:r>
      <w:proofErr w:type="spellEnd"/>
      <w:r>
        <w:t xml:space="preserve"> </w:t>
      </w:r>
    </w:p>
    <w:p w:rsidR="00852E80" w:rsidRDefault="00852E80" w:rsidP="00852E80">
      <w:r>
        <w:t>U</w:t>
      </w:r>
      <w:r w:rsidRPr="00C155C2">
        <w:rPr>
          <w:vertAlign w:val="subscript"/>
        </w:rPr>
        <w:t>P</w:t>
      </w:r>
      <w:r>
        <w:t xml:space="preserve"> = -3,2 V</w:t>
      </w:r>
    </w:p>
    <w:p w:rsidR="004345A3" w:rsidRDefault="004345A3" w:rsidP="00852E80">
      <w:r>
        <w:t xml:space="preserve">Korzystając z wyznaczonego </w:t>
      </w:r>
      <w:r w:rsidR="00612DE6">
        <w:t>U</w:t>
      </w:r>
      <w:r w:rsidR="00612DE6" w:rsidRPr="00612DE6">
        <w:rPr>
          <w:vertAlign w:val="subscript"/>
        </w:rPr>
        <w:t>P</w:t>
      </w:r>
      <w:r>
        <w:t xml:space="preserve"> i wiedząc, że U</w:t>
      </w:r>
      <w:r w:rsidRPr="00612DE6">
        <w:rPr>
          <w:vertAlign w:val="subscript"/>
        </w:rPr>
        <w:t>P</w:t>
      </w:r>
      <w:r>
        <w:t xml:space="preserve">= </w:t>
      </w:r>
      <w:proofErr w:type="spellStart"/>
      <w:r>
        <w:t>U</w:t>
      </w:r>
      <w:r w:rsidRPr="00612DE6">
        <w:rPr>
          <w:vertAlign w:val="subscript"/>
        </w:rPr>
        <w:t>D</w:t>
      </w:r>
      <w:r>
        <w:t>-U</w:t>
      </w:r>
      <w:r w:rsidRPr="00612DE6">
        <w:rPr>
          <w:vertAlign w:val="subscript"/>
        </w:rPr>
        <w:t>GS</w:t>
      </w:r>
      <w:proofErr w:type="spellEnd"/>
      <w:r>
        <w:t>, możemy na wykresie charakterystyki wyjściowej dorysować krzywą oddzielającą zakres liniowy i nasycenia.</w:t>
      </w:r>
    </w:p>
    <w:p w:rsidR="009034F0" w:rsidRDefault="009034F0" w:rsidP="009034F0">
      <w:r>
        <w:t xml:space="preserve">Na podstawie wykresu uzyskanego w powyższym punkcie wyznaczam metodą graficzną przebieg funkcji </w:t>
      </w:r>
      <w:proofErr w:type="spellStart"/>
      <w:r>
        <w:t>gm</w:t>
      </w:r>
      <w:proofErr w:type="spellEnd"/>
      <w:r>
        <w:t>= f(</w:t>
      </w:r>
      <w:r w:rsidR="00612DE6">
        <w:t>U</w:t>
      </w:r>
      <w:r w:rsidRPr="00612DE6">
        <w:rPr>
          <w:vertAlign w:val="subscript"/>
        </w:rPr>
        <w:t>GS</w:t>
      </w:r>
      <w:r>
        <w:t xml:space="preserve">). Żeby to zrobić należy skorzystać z definicji </w:t>
      </w:r>
      <w:proofErr w:type="spellStart"/>
      <w:r>
        <w:t>transkonduktancji</w:t>
      </w:r>
      <w:proofErr w:type="spellEnd"/>
      <w:r>
        <w:t xml:space="preserve"> starając się upodobnić otrzymaną zależność do </w:t>
      </w:r>
      <w:proofErr w:type="spellStart"/>
      <w:r>
        <w:t>√iD</w:t>
      </w:r>
      <w:proofErr w:type="spellEnd"/>
      <w:r>
        <w:t xml:space="preserve"> = f(</w:t>
      </w:r>
      <w:r w:rsidR="00612DE6">
        <w:t>U</w:t>
      </w:r>
      <w:r w:rsidRPr="00612DE6">
        <w:rPr>
          <w:vertAlign w:val="subscript"/>
        </w:rPr>
        <w:t>GS</w:t>
      </w:r>
      <w:r>
        <w:t xml:space="preserve">). Wyprowadzenie wzoru: </w:t>
      </w:r>
    </w:p>
    <w:p w:rsidR="009034F0" w:rsidRDefault="009034F0" w:rsidP="009034F0">
      <w:r>
        <w:rPr>
          <w:noProof/>
          <w:lang w:eastAsia="pl-PL"/>
        </w:rPr>
        <w:drawing>
          <wp:inline distT="0" distB="0" distL="0" distR="0">
            <wp:extent cx="4591050" cy="428625"/>
            <wp:effectExtent l="19050" t="0" r="0" b="0"/>
            <wp:docPr id="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034F0" w:rsidRDefault="009034F0" w:rsidP="009034F0"/>
    <w:p w:rsidR="009034F0" w:rsidRDefault="009034F0" w:rsidP="009034F0">
      <w:r>
        <w:t xml:space="preserve">Jak łatwo zauważyć zachodzi zależność: </w:t>
      </w:r>
    </w:p>
    <w:p w:rsidR="009034F0" w:rsidRDefault="009034F0" w:rsidP="009034F0">
      <w:r>
        <w:rPr>
          <w:noProof/>
          <w:lang w:eastAsia="pl-PL"/>
        </w:rPr>
        <w:lastRenderedPageBreak/>
        <w:drawing>
          <wp:inline distT="0" distB="0" distL="0" distR="0">
            <wp:extent cx="952500" cy="638175"/>
            <wp:effectExtent l="19050" t="0" r="0" b="0"/>
            <wp:docPr id="8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4345A3" w:rsidRDefault="009034F0" w:rsidP="009034F0">
      <w:r>
        <w:t xml:space="preserve">Korzystając z tego wzoru i wyliczonej wcześniej wartości </w:t>
      </w:r>
      <w:proofErr w:type="spellStart"/>
      <w:r>
        <w:t>√iD</w:t>
      </w:r>
      <w:proofErr w:type="spellEnd"/>
      <w:r>
        <w:t xml:space="preserve"> w łatwy sposób wyznaczam szukany przebieg funkcji.</w:t>
      </w:r>
    </w:p>
    <w:p w:rsidR="009034F0" w:rsidRDefault="009034F0" w:rsidP="009034F0">
      <w:r w:rsidRPr="009034F0">
        <w:rPr>
          <w:noProof/>
          <w:lang w:eastAsia="pl-PL"/>
        </w:rPr>
        <w:drawing>
          <wp:inline distT="0" distB="0" distL="0" distR="0">
            <wp:extent cx="5276850" cy="2409825"/>
            <wp:effectExtent l="0" t="0" r="0" b="0"/>
            <wp:docPr id="9" name="Wykres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tbl>
      <w:tblPr>
        <w:tblpPr w:leftFromText="141" w:rightFromText="141" w:vertAnchor="text" w:horzAnchor="page" w:tblpX="2700" w:tblpY="1202"/>
        <w:tblW w:w="5223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31" w:type="dxa"/>
          <w:right w:w="31" w:type="dxa"/>
        </w:tblCellMar>
        <w:tblLook w:val="0000"/>
      </w:tblPr>
      <w:tblGrid>
        <w:gridCol w:w="1191"/>
        <w:gridCol w:w="1008"/>
        <w:gridCol w:w="1008"/>
        <w:gridCol w:w="1008"/>
        <w:gridCol w:w="1008"/>
      </w:tblGrid>
      <w:tr w:rsidR="00143FAD" w:rsidTr="00143FAD">
        <w:trPr>
          <w:trHeight w:val="300"/>
        </w:trPr>
        <w:tc>
          <w:tcPr>
            <w:tcW w:w="1191" w:type="dxa"/>
            <w:tcBorders>
              <w:top w:val="single" w:sz="18" w:space="0" w:color="auto"/>
              <w:bottom w:val="single" w:sz="12" w:space="0" w:color="auto"/>
              <w:right w:val="single" w:sz="12" w:space="0" w:color="auto"/>
            </w:tcBorders>
          </w:tcPr>
          <w:p w:rsidR="00143FAD" w:rsidRDefault="00143FAD" w:rsidP="00143FAD">
            <w:pPr>
              <w:jc w:val="center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U</w:t>
            </w:r>
            <w:r>
              <w:rPr>
                <w:b/>
                <w:i/>
                <w:color w:val="000000"/>
                <w:vertAlign w:val="subscript"/>
              </w:rPr>
              <w:t>GS</w:t>
            </w:r>
            <w:r>
              <w:rPr>
                <w:b/>
                <w:color w:val="000000"/>
              </w:rPr>
              <w:t xml:space="preserve">   </w:t>
            </w:r>
            <w:r>
              <w:rPr>
                <w:color w:val="000000"/>
              </w:rPr>
              <w:t>[V]</w:t>
            </w:r>
          </w:p>
        </w:tc>
        <w:tc>
          <w:tcPr>
            <w:tcW w:w="1008" w:type="dxa"/>
            <w:tcBorders>
              <w:top w:val="single" w:sz="18" w:space="0" w:color="auto"/>
              <w:left w:val="nil"/>
              <w:bottom w:val="single" w:sz="12" w:space="0" w:color="auto"/>
            </w:tcBorders>
          </w:tcPr>
          <w:p w:rsidR="00143FAD" w:rsidRDefault="00143FAD" w:rsidP="00143FAD">
            <w:pPr>
              <w:spacing w:before="40"/>
              <w:ind w:right="113"/>
              <w:jc w:val="right"/>
              <w:rPr>
                <w:color w:val="000000"/>
              </w:rPr>
            </w:pPr>
            <w:r>
              <w:rPr>
                <w:color w:val="000000"/>
              </w:rPr>
              <w:t>-0,4</w:t>
            </w:r>
          </w:p>
        </w:tc>
        <w:tc>
          <w:tcPr>
            <w:tcW w:w="1008" w:type="dxa"/>
            <w:tcBorders>
              <w:top w:val="single" w:sz="18" w:space="0" w:color="auto"/>
              <w:bottom w:val="single" w:sz="12" w:space="0" w:color="auto"/>
            </w:tcBorders>
          </w:tcPr>
          <w:p w:rsidR="00143FAD" w:rsidRDefault="00143FAD" w:rsidP="00143FAD">
            <w:pPr>
              <w:spacing w:before="40"/>
              <w:ind w:right="113"/>
              <w:jc w:val="right"/>
              <w:rPr>
                <w:color w:val="000000"/>
              </w:rPr>
            </w:pPr>
            <w:r>
              <w:rPr>
                <w:color w:val="000000"/>
              </w:rPr>
              <w:t>-1</w:t>
            </w:r>
          </w:p>
        </w:tc>
        <w:tc>
          <w:tcPr>
            <w:tcW w:w="1008" w:type="dxa"/>
            <w:tcBorders>
              <w:top w:val="single" w:sz="18" w:space="0" w:color="auto"/>
              <w:bottom w:val="single" w:sz="12" w:space="0" w:color="auto"/>
            </w:tcBorders>
          </w:tcPr>
          <w:p w:rsidR="00143FAD" w:rsidRDefault="00143FAD" w:rsidP="00143FAD">
            <w:pPr>
              <w:spacing w:before="40"/>
              <w:ind w:right="113"/>
              <w:jc w:val="right"/>
              <w:rPr>
                <w:color w:val="000000"/>
              </w:rPr>
            </w:pPr>
            <w:r>
              <w:rPr>
                <w:color w:val="000000"/>
              </w:rPr>
              <w:t>-1,6</w:t>
            </w:r>
          </w:p>
        </w:tc>
        <w:tc>
          <w:tcPr>
            <w:tcW w:w="1008" w:type="dxa"/>
            <w:tcBorders>
              <w:top w:val="single" w:sz="18" w:space="0" w:color="auto"/>
              <w:bottom w:val="single" w:sz="12" w:space="0" w:color="auto"/>
            </w:tcBorders>
          </w:tcPr>
          <w:p w:rsidR="00143FAD" w:rsidRDefault="00143FAD" w:rsidP="00143FAD">
            <w:pPr>
              <w:spacing w:before="40"/>
              <w:ind w:right="113"/>
              <w:jc w:val="right"/>
              <w:rPr>
                <w:color w:val="000000"/>
              </w:rPr>
            </w:pPr>
            <w:r>
              <w:rPr>
                <w:color w:val="000000"/>
              </w:rPr>
              <w:t>-2,2</w:t>
            </w:r>
          </w:p>
        </w:tc>
      </w:tr>
      <w:tr w:rsidR="00143FAD" w:rsidTr="00143FAD">
        <w:trPr>
          <w:trHeight w:val="300"/>
        </w:trPr>
        <w:tc>
          <w:tcPr>
            <w:tcW w:w="1191" w:type="dxa"/>
            <w:tcBorders>
              <w:top w:val="nil"/>
              <w:bottom w:val="single" w:sz="18" w:space="0" w:color="auto"/>
              <w:right w:val="single" w:sz="12" w:space="0" w:color="auto"/>
            </w:tcBorders>
          </w:tcPr>
          <w:p w:rsidR="00143FAD" w:rsidRDefault="00143FAD" w:rsidP="00143FAD">
            <w:pPr>
              <w:jc w:val="center"/>
              <w:rPr>
                <w:b/>
                <w:i/>
                <w:color w:val="000000"/>
              </w:rPr>
            </w:pPr>
            <w:proofErr w:type="spellStart"/>
            <w:r>
              <w:rPr>
                <w:b/>
                <w:i/>
                <w:color w:val="000000"/>
              </w:rPr>
              <w:t>g</w:t>
            </w:r>
            <w:r>
              <w:rPr>
                <w:b/>
                <w:i/>
                <w:color w:val="000000"/>
                <w:vertAlign w:val="subscript"/>
              </w:rPr>
              <w:t>m</w:t>
            </w:r>
            <w:proofErr w:type="spellEnd"/>
            <w:r>
              <w:rPr>
                <w:b/>
                <w:color w:val="000000"/>
              </w:rPr>
              <w:t xml:space="preserve">  </w:t>
            </w:r>
            <w:r>
              <w:rPr>
                <w:color w:val="000000"/>
              </w:rPr>
              <w:t>[mS]</w:t>
            </w:r>
          </w:p>
        </w:tc>
        <w:tc>
          <w:tcPr>
            <w:tcW w:w="1008" w:type="dxa"/>
            <w:tcBorders>
              <w:top w:val="nil"/>
              <w:left w:val="nil"/>
            </w:tcBorders>
          </w:tcPr>
          <w:p w:rsidR="00143FAD" w:rsidRDefault="00143FAD" w:rsidP="00143FAD">
            <w:pPr>
              <w:spacing w:before="40"/>
              <w:ind w:right="113"/>
              <w:jc w:val="right"/>
              <w:rPr>
                <w:color w:val="000000"/>
              </w:rPr>
            </w:pPr>
            <w:r>
              <w:rPr>
                <w:color w:val="000000"/>
              </w:rPr>
              <w:t>1,33</w:t>
            </w:r>
          </w:p>
        </w:tc>
        <w:tc>
          <w:tcPr>
            <w:tcW w:w="1008" w:type="dxa"/>
            <w:tcBorders>
              <w:top w:val="nil"/>
            </w:tcBorders>
          </w:tcPr>
          <w:p w:rsidR="00143FAD" w:rsidRDefault="00143FAD" w:rsidP="00143FAD">
            <w:pPr>
              <w:spacing w:before="40"/>
              <w:ind w:right="113"/>
              <w:jc w:val="right"/>
              <w:rPr>
                <w:color w:val="000000"/>
              </w:rPr>
            </w:pPr>
            <w:r>
              <w:rPr>
                <w:color w:val="000000"/>
              </w:rPr>
              <w:t>1,04</w:t>
            </w:r>
          </w:p>
        </w:tc>
        <w:tc>
          <w:tcPr>
            <w:tcW w:w="1008" w:type="dxa"/>
            <w:tcBorders>
              <w:top w:val="nil"/>
            </w:tcBorders>
          </w:tcPr>
          <w:p w:rsidR="00143FAD" w:rsidRDefault="00143FAD" w:rsidP="00143FAD">
            <w:pPr>
              <w:spacing w:before="40"/>
              <w:ind w:right="113"/>
              <w:jc w:val="right"/>
              <w:rPr>
                <w:color w:val="000000"/>
              </w:rPr>
            </w:pPr>
            <w:r>
              <w:rPr>
                <w:color w:val="000000"/>
              </w:rPr>
              <w:t>0,74</w:t>
            </w:r>
          </w:p>
        </w:tc>
        <w:tc>
          <w:tcPr>
            <w:tcW w:w="1008" w:type="dxa"/>
            <w:tcBorders>
              <w:top w:val="nil"/>
            </w:tcBorders>
          </w:tcPr>
          <w:p w:rsidR="00143FAD" w:rsidRDefault="00143FAD" w:rsidP="00143FAD">
            <w:pPr>
              <w:spacing w:before="40"/>
              <w:ind w:right="113"/>
              <w:jc w:val="right"/>
              <w:rPr>
                <w:color w:val="000000"/>
              </w:rPr>
            </w:pPr>
            <w:r>
              <w:rPr>
                <w:color w:val="000000"/>
              </w:rPr>
              <w:t>0,41</w:t>
            </w:r>
          </w:p>
        </w:tc>
      </w:tr>
    </w:tbl>
    <w:p w:rsidR="0034723E" w:rsidRDefault="00143FAD" w:rsidP="009034F0">
      <w:pPr>
        <w:rPr>
          <w:rFonts w:eastAsiaTheme="minorEastAsia"/>
        </w:rPr>
      </w:pPr>
      <w:proofErr w:type="spellStart"/>
      <w:r>
        <w:t>Tran</w:t>
      </w:r>
      <w:r w:rsidR="00612DE6">
        <w:t>s</w:t>
      </w:r>
      <w:r>
        <w:t>konduktancję</w:t>
      </w:r>
      <w:proofErr w:type="spellEnd"/>
      <w:r>
        <w:t xml:space="preserve"> można również wyznaczyć z zależności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(1-</m:t>
        </m:r>
        <m:rad>
          <m:radPr>
            <m:degHide m:val="on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GS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</m:den>
            </m:f>
          </m:e>
        </m:rad>
        <m:r>
          <w:rPr>
            <w:rFonts w:ascii="Cambria Math" w:hAnsi="Cambria Math"/>
          </w:rPr>
          <m:t>)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DS</m:t>
            </m:r>
          </m:sub>
        </m:sSub>
      </m:oMath>
      <w:r>
        <w:rPr>
          <w:rFonts w:eastAsiaTheme="minorEastAsia"/>
        </w:rPr>
        <w:t>, czyli dla wykresu charakterystyki wyjściowej w zakresie liniowym.</w:t>
      </w:r>
    </w:p>
    <w:p w:rsidR="00143FAD" w:rsidRDefault="00143FAD" w:rsidP="009034F0">
      <w:pPr>
        <w:rPr>
          <w:rFonts w:eastAsiaTheme="minorEastAsia"/>
        </w:rPr>
      </w:pPr>
    </w:p>
    <w:p w:rsidR="00143FAD" w:rsidRDefault="00143FAD" w:rsidP="009034F0">
      <w:pPr>
        <w:rPr>
          <w:rFonts w:eastAsiaTheme="minorEastAsia"/>
        </w:rPr>
      </w:pPr>
    </w:p>
    <w:p w:rsidR="00143FAD" w:rsidRDefault="00143FAD" w:rsidP="009034F0">
      <w:pPr>
        <w:rPr>
          <w:rFonts w:eastAsiaTheme="minorEastAsia"/>
        </w:rPr>
      </w:pPr>
    </w:p>
    <w:p w:rsidR="00143FAD" w:rsidRDefault="00143FAD" w:rsidP="009034F0">
      <w:pPr>
        <w:rPr>
          <w:rFonts w:eastAsiaTheme="minorEastAsia"/>
        </w:rPr>
      </w:pPr>
      <w:r>
        <w:rPr>
          <w:rFonts w:eastAsiaTheme="minorEastAsia"/>
        </w:rPr>
        <w:t>Umieścimy to na jednym wykresie:</w:t>
      </w:r>
    </w:p>
    <w:p w:rsidR="00143FAD" w:rsidRDefault="00D21373" w:rsidP="009034F0">
      <w:pPr>
        <w:rPr>
          <w:rFonts w:eastAsiaTheme="minorEastAsia"/>
        </w:rPr>
      </w:pPr>
      <w:r w:rsidRPr="00D21373">
        <w:rPr>
          <w:rFonts w:eastAsiaTheme="minorEastAsia"/>
        </w:rPr>
        <w:drawing>
          <wp:inline distT="0" distB="0" distL="0" distR="0">
            <wp:extent cx="5962650" cy="3267075"/>
            <wp:effectExtent l="0" t="0" r="0" b="0"/>
            <wp:docPr id="11" name="Wykres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612DE6" w:rsidRDefault="00612DE6" w:rsidP="00612DE6">
      <w:pPr>
        <w:pStyle w:val="tytu"/>
      </w:pPr>
    </w:p>
    <w:p w:rsidR="00612DE6" w:rsidRDefault="00612DE6" w:rsidP="00612DE6">
      <w:pPr>
        <w:pStyle w:val="tytu"/>
      </w:pPr>
      <w:r>
        <w:t>Wnioski</w:t>
      </w:r>
    </w:p>
    <w:p w:rsidR="00612DE6" w:rsidRDefault="00612DE6" w:rsidP="00612DE6">
      <w:pPr>
        <w:pStyle w:val="tytu"/>
      </w:pPr>
    </w:p>
    <w:p w:rsidR="00143FAD" w:rsidRPr="00612DE6" w:rsidRDefault="00612DE6" w:rsidP="00612DE6">
      <w:pPr>
        <w:rPr>
          <w:rFonts w:eastAsiaTheme="minorEastAsia"/>
        </w:rPr>
      </w:pPr>
      <w:r>
        <w:t>Z przeprowadzonego ćwiczenia, wynika jednoznacznie, iż przyjęty opis zjawisk zachodzących we wnętrzu tranzystora jest, mimo przyjętych uproszczeń, w dużej mierze poprawny. Wszystkie bowiem wyniki uzyskane w ćwiczeniu pokrywają się z przewidywaniami teoretycznymi. Świadczy o tym chociażby kształt uzyskanych charakterystyk statycznych - przejściowych i wyjściowych.</w:t>
      </w:r>
      <w:r w:rsidRPr="00612DE6">
        <w:t xml:space="preserve"> </w:t>
      </w:r>
      <w:r>
        <w:t xml:space="preserve">Dodatkowym argumentem przemawiającym za poprawnością naszego założenia jest nieduża wartość (rzędu kilku Voltów) napięcia progowego </w:t>
      </w:r>
      <w:r>
        <w:rPr>
          <w:i/>
        </w:rPr>
        <w:t>U</w:t>
      </w:r>
      <w:r>
        <w:rPr>
          <w:i/>
          <w:vertAlign w:val="subscript"/>
        </w:rPr>
        <w:t>P</w:t>
      </w:r>
      <w:r>
        <w:t xml:space="preserve">.  Takie właśnie wartości </w:t>
      </w:r>
      <w:r>
        <w:rPr>
          <w:i/>
        </w:rPr>
        <w:t>U</w:t>
      </w:r>
      <w:r>
        <w:rPr>
          <w:i/>
          <w:vertAlign w:val="subscript"/>
        </w:rPr>
        <w:t>P</w:t>
      </w:r>
      <w:r>
        <w:t>, wynikające z niewielkiej grubości kanału, są jedną z charakterystycznych cech tranzystorów złączowych ze szpilkowym rozkładem domieszek.</w:t>
      </w:r>
      <w:r w:rsidRPr="00612DE6">
        <w:t xml:space="preserve"> </w:t>
      </w:r>
      <w:r>
        <w:t xml:space="preserve">Warto również zwrócić uwagę odpowiadający naszym oczekiwaniom przebieg zależności </w:t>
      </w:r>
      <w:proofErr w:type="spellStart"/>
      <w:r>
        <w:t>transkonduktancji</w:t>
      </w:r>
      <w:proofErr w:type="spellEnd"/>
      <w:r>
        <w:t xml:space="preserve"> od napięcia </w:t>
      </w:r>
      <w:r>
        <w:rPr>
          <w:i/>
        </w:rPr>
        <w:t>U</w:t>
      </w:r>
      <w:r>
        <w:rPr>
          <w:i/>
          <w:vertAlign w:val="subscript"/>
        </w:rPr>
        <w:t>GS</w:t>
      </w:r>
      <w:r>
        <w:rPr>
          <w:i/>
        </w:rPr>
        <w:t>.</w:t>
      </w:r>
      <w:r>
        <w:t xml:space="preserve"> Widzimy, że jest to zależność w przybliżeniu liniowa - </w:t>
      </w:r>
      <w:proofErr w:type="spellStart"/>
      <w:r>
        <w:t>transkonduktancja</w:t>
      </w:r>
      <w:proofErr w:type="spellEnd"/>
      <w:r>
        <w:t xml:space="preserve"> maleje wprost proporcjonalnie do wzrostu ujemnej wartości </w:t>
      </w:r>
      <w:r>
        <w:rPr>
          <w:i/>
        </w:rPr>
        <w:t>U</w:t>
      </w:r>
      <w:r>
        <w:rPr>
          <w:i/>
          <w:vertAlign w:val="subscript"/>
        </w:rPr>
        <w:t>GS</w:t>
      </w:r>
      <w:r>
        <w:t xml:space="preserve">. Ponieważ z kolei </w:t>
      </w:r>
      <w:proofErr w:type="spellStart"/>
      <w:r>
        <w:t>transkonduktancja</w:t>
      </w:r>
      <w:proofErr w:type="spellEnd"/>
      <w:r>
        <w:t xml:space="preserve"> jest związana z własnościami wzmacniającymi tranzystora, więc własności te będą się oczywiście również zmieniać ze zmiana napięcia </w:t>
      </w:r>
      <w:r>
        <w:rPr>
          <w:i/>
        </w:rPr>
        <w:t>U</w:t>
      </w:r>
      <w:r>
        <w:rPr>
          <w:i/>
          <w:vertAlign w:val="subscript"/>
        </w:rPr>
        <w:t>GS</w:t>
      </w:r>
      <w:r>
        <w:rPr>
          <w:i/>
        </w:rPr>
        <w:t xml:space="preserve">. </w:t>
      </w:r>
      <w:r>
        <w:t>Jako, że z wyznaczeniem trans konduktancji miałem problemy, obawiam się, że jej wyznaczenie może okazać się niepoprawne.</w:t>
      </w:r>
    </w:p>
    <w:p w:rsidR="00143FAD" w:rsidRDefault="00143FAD" w:rsidP="009034F0"/>
    <w:p w:rsidR="0034723E" w:rsidRDefault="0034723E" w:rsidP="0034723E">
      <w:pPr>
        <w:spacing w:after="0" w:line="240" w:lineRule="auto"/>
      </w:pPr>
    </w:p>
    <w:sectPr w:rsidR="0034723E" w:rsidSect="00143FAD">
      <w:pgSz w:w="11906" w:h="16838"/>
      <w:pgMar w:top="1417" w:right="1417" w:bottom="993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A4B82" w:rsidRDefault="004A4B82" w:rsidP="00143FAD">
      <w:pPr>
        <w:spacing w:after="0" w:line="240" w:lineRule="auto"/>
      </w:pPr>
      <w:r>
        <w:separator/>
      </w:r>
    </w:p>
  </w:endnote>
  <w:endnote w:type="continuationSeparator" w:id="0">
    <w:p w:rsidR="004A4B82" w:rsidRDefault="004A4B82" w:rsidP="00143F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A4B82" w:rsidRDefault="004A4B82" w:rsidP="00143FAD">
      <w:pPr>
        <w:spacing w:after="0" w:line="240" w:lineRule="auto"/>
      </w:pPr>
      <w:r>
        <w:separator/>
      </w:r>
    </w:p>
  </w:footnote>
  <w:footnote w:type="continuationSeparator" w:id="0">
    <w:p w:rsidR="004A4B82" w:rsidRDefault="004A4B82" w:rsidP="00143FA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15980"/>
    <w:rsid w:val="00062363"/>
    <w:rsid w:val="000E150A"/>
    <w:rsid w:val="00143FAD"/>
    <w:rsid w:val="002D5839"/>
    <w:rsid w:val="0034723E"/>
    <w:rsid w:val="00385018"/>
    <w:rsid w:val="004345A3"/>
    <w:rsid w:val="004440B0"/>
    <w:rsid w:val="004A4B82"/>
    <w:rsid w:val="00515980"/>
    <w:rsid w:val="00612DE6"/>
    <w:rsid w:val="0074248C"/>
    <w:rsid w:val="007B2991"/>
    <w:rsid w:val="00852E80"/>
    <w:rsid w:val="009034F0"/>
    <w:rsid w:val="00A3095E"/>
    <w:rsid w:val="00C05388"/>
    <w:rsid w:val="00C155C2"/>
    <w:rsid w:val="00D21373"/>
    <w:rsid w:val="00E806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4440B0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5159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15980"/>
    <w:rPr>
      <w:rFonts w:ascii="Tahoma" w:hAnsi="Tahoma" w:cs="Tahoma"/>
      <w:sz w:val="16"/>
      <w:szCs w:val="16"/>
    </w:rPr>
  </w:style>
  <w:style w:type="character" w:styleId="Tekstzastpczy">
    <w:name w:val="Placeholder Text"/>
    <w:basedOn w:val="Domylnaczcionkaakapitu"/>
    <w:uiPriority w:val="99"/>
    <w:semiHidden/>
    <w:rsid w:val="00143FAD"/>
    <w:rPr>
      <w:color w:val="808080"/>
    </w:rPr>
  </w:style>
  <w:style w:type="paragraph" w:styleId="Nagwek">
    <w:name w:val="header"/>
    <w:basedOn w:val="Normalny"/>
    <w:link w:val="NagwekZnak"/>
    <w:uiPriority w:val="99"/>
    <w:semiHidden/>
    <w:unhideWhenUsed/>
    <w:rsid w:val="00143F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143FAD"/>
  </w:style>
  <w:style w:type="paragraph" w:styleId="Stopka">
    <w:name w:val="footer"/>
    <w:basedOn w:val="Normalny"/>
    <w:link w:val="StopkaZnak"/>
    <w:uiPriority w:val="99"/>
    <w:semiHidden/>
    <w:unhideWhenUsed/>
    <w:rsid w:val="00143F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semiHidden/>
    <w:rsid w:val="00143FAD"/>
  </w:style>
  <w:style w:type="paragraph" w:customStyle="1" w:styleId="tytu">
    <w:name w:val="tytuł"/>
    <w:basedOn w:val="Normalny"/>
    <w:rsid w:val="00612DE6"/>
    <w:pPr>
      <w:overflowPunct w:val="0"/>
      <w:autoSpaceDE w:val="0"/>
      <w:autoSpaceDN w:val="0"/>
      <w:adjustRightInd w:val="0"/>
      <w:spacing w:after="0" w:line="240" w:lineRule="auto"/>
      <w:jc w:val="center"/>
      <w:textAlignment w:val="baseline"/>
    </w:pPr>
    <w:rPr>
      <w:rFonts w:ascii="Times New Roman" w:eastAsia="Times New Roman" w:hAnsi="Times New Roman" w:cs="Times New Roman"/>
      <w:b/>
      <w:sz w:val="32"/>
      <w:szCs w:val="20"/>
      <w:lang w:eastAsia="pl-PL"/>
    </w:rPr>
  </w:style>
  <w:style w:type="paragraph" w:styleId="Tekstpodstawowy2">
    <w:name w:val="Body Text 2"/>
    <w:basedOn w:val="Normalny"/>
    <w:link w:val="Tekstpodstawowy2Znak"/>
    <w:rsid w:val="00E80609"/>
    <w:pPr>
      <w:spacing w:after="0" w:line="240" w:lineRule="auto"/>
    </w:pPr>
    <w:rPr>
      <w:rFonts w:ascii="Times New Roman" w:eastAsia="Times New Roman" w:hAnsi="Times New Roman" w:cs="Times New Roman"/>
      <w:b/>
      <w:sz w:val="24"/>
      <w:szCs w:val="20"/>
      <w:lang w:eastAsia="pl-PL"/>
    </w:rPr>
  </w:style>
  <w:style w:type="character" w:customStyle="1" w:styleId="Tekstpodstawowy2Znak">
    <w:name w:val="Tekst podstawowy 2 Znak"/>
    <w:basedOn w:val="Domylnaczcionkaakapitu"/>
    <w:link w:val="Tekstpodstawowy2"/>
    <w:rsid w:val="00E80609"/>
    <w:rPr>
      <w:rFonts w:ascii="Times New Roman" w:eastAsia="Times New Roman" w:hAnsi="Times New Roman" w:cs="Times New Roman"/>
      <w:b/>
      <w:sz w:val="24"/>
      <w:szCs w:val="20"/>
      <w:lang w:eastAsia="pl-P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hart" Target="charts/chart4.xml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chart" Target="charts/chart3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chart" Target="charts/chart5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Piotrek\Documents\wyniki%20ee%204.xlsx" TargetMode="External"/></Relationships>
</file>

<file path=word/charts/_rels/chart2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.xml"/><Relationship Id="rId1" Type="http://schemas.openxmlformats.org/officeDocument/2006/relationships/oleObject" Target="file:///C:\Users\Piotrek\Documents\wyniki%20ee%204.xlsx" TargetMode="External"/></Relationships>
</file>

<file path=word/charts/_rels/chart3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2.xml"/><Relationship Id="rId1" Type="http://schemas.openxmlformats.org/officeDocument/2006/relationships/oleObject" Target="file:///C:\Documents%20and%20Settings\User\Moje%20dokumenty\wyniki%20ee%204.xlsx" TargetMode="External"/></Relationships>
</file>

<file path=word/charts/_rels/chart4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3.xml"/><Relationship Id="rId1" Type="http://schemas.openxmlformats.org/officeDocument/2006/relationships/oleObject" Target="file:///C:\Users\Piotrek\Documents\wyniki%20ee%204.xlsx" TargetMode="External"/></Relationships>
</file>

<file path=word/charts/_rels/chart5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4.xml"/><Relationship Id="rId1" Type="http://schemas.openxmlformats.org/officeDocument/2006/relationships/oleObject" Target="file:///C:\Users\Piotrek\Documents\wyniki%20ee%204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pl-PL"/>
  <c:chart>
    <c:plotArea>
      <c:layout>
        <c:manualLayout>
          <c:layoutTarget val="inner"/>
          <c:xMode val="edge"/>
          <c:yMode val="edge"/>
          <c:x val="8.4600015275868315E-2"/>
          <c:y val="5.9565195988258067E-2"/>
          <c:w val="0.7957982682720216"/>
          <c:h val="0.85001075221456768"/>
        </c:manualLayout>
      </c:layout>
      <c:scatterChart>
        <c:scatterStyle val="lineMarker"/>
        <c:ser>
          <c:idx val="0"/>
          <c:order val="0"/>
          <c:tx>
            <c:v>Ugs= - 0,4</c:v>
          </c:tx>
          <c:spPr>
            <a:ln w="28575">
              <a:noFill/>
            </a:ln>
          </c:spPr>
          <c:marker>
            <c:symbol val="diamond"/>
            <c:size val="4"/>
            <c:spPr>
              <a:noFill/>
              <a:ln>
                <a:solidFill>
                  <a:sysClr val="windowText" lastClr="000000"/>
                </a:solidFill>
              </a:ln>
            </c:spPr>
          </c:marker>
          <c:xVal>
            <c:numRef>
              <c:f>Arkusz1!$F$3:$F$30</c:f>
              <c:numCache>
                <c:formatCode>General</c:formatCode>
                <c:ptCount val="28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0.30000000000000016</c:v>
                </c:pt>
                <c:pt idx="4">
                  <c:v>0.4</c:v>
                </c:pt>
                <c:pt idx="5">
                  <c:v>0.5</c:v>
                </c:pt>
                <c:pt idx="6">
                  <c:v>0.60000000000000031</c:v>
                </c:pt>
                <c:pt idx="7">
                  <c:v>0.70000000000000029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1.2</c:v>
                </c:pt>
                <c:pt idx="12">
                  <c:v>1.4</c:v>
                </c:pt>
                <c:pt idx="13">
                  <c:v>1.6</c:v>
                </c:pt>
                <c:pt idx="14">
                  <c:v>1.8</c:v>
                </c:pt>
                <c:pt idx="15">
                  <c:v>2</c:v>
                </c:pt>
                <c:pt idx="16">
                  <c:v>2.2000000000000002</c:v>
                </c:pt>
                <c:pt idx="17">
                  <c:v>2.4</c:v>
                </c:pt>
                <c:pt idx="18">
                  <c:v>2.6</c:v>
                </c:pt>
                <c:pt idx="19">
                  <c:v>2.8</c:v>
                </c:pt>
                <c:pt idx="20">
                  <c:v>3</c:v>
                </c:pt>
                <c:pt idx="21">
                  <c:v>4</c:v>
                </c:pt>
                <c:pt idx="22">
                  <c:v>5</c:v>
                </c:pt>
                <c:pt idx="23">
                  <c:v>6</c:v>
                </c:pt>
                <c:pt idx="24">
                  <c:v>7</c:v>
                </c:pt>
                <c:pt idx="25">
                  <c:v>8</c:v>
                </c:pt>
                <c:pt idx="26">
                  <c:v>9</c:v>
                </c:pt>
                <c:pt idx="27">
                  <c:v>10</c:v>
                </c:pt>
              </c:numCache>
            </c:numRef>
          </c:xVal>
          <c:yVal>
            <c:numRef>
              <c:f>Arkusz1!$G$3:$G$30</c:f>
              <c:numCache>
                <c:formatCode>General</c:formatCode>
                <c:ptCount val="28"/>
                <c:pt idx="0">
                  <c:v>3.0000000000000018E-3</c:v>
                </c:pt>
                <c:pt idx="1">
                  <c:v>0.56000000000000005</c:v>
                </c:pt>
                <c:pt idx="2">
                  <c:v>1.1100000000000001</c:v>
                </c:pt>
                <c:pt idx="3">
                  <c:v>1.62</c:v>
                </c:pt>
                <c:pt idx="4">
                  <c:v>2.12</c:v>
                </c:pt>
                <c:pt idx="5">
                  <c:v>2.58</c:v>
                </c:pt>
                <c:pt idx="6">
                  <c:v>3.01</c:v>
                </c:pt>
                <c:pt idx="7">
                  <c:v>3.42</c:v>
                </c:pt>
                <c:pt idx="8">
                  <c:v>3.8</c:v>
                </c:pt>
                <c:pt idx="9">
                  <c:v>4.1499999999999995</c:v>
                </c:pt>
                <c:pt idx="10">
                  <c:v>4.4800000000000004</c:v>
                </c:pt>
                <c:pt idx="11">
                  <c:v>5.05</c:v>
                </c:pt>
                <c:pt idx="12">
                  <c:v>5.53</c:v>
                </c:pt>
                <c:pt idx="13">
                  <c:v>5.91</c:v>
                </c:pt>
                <c:pt idx="14">
                  <c:v>6.23</c:v>
                </c:pt>
                <c:pt idx="15">
                  <c:v>6.48</c:v>
                </c:pt>
                <c:pt idx="16">
                  <c:v>6.6899999999999995</c:v>
                </c:pt>
                <c:pt idx="17">
                  <c:v>6.8599999999999985</c:v>
                </c:pt>
                <c:pt idx="18">
                  <c:v>7</c:v>
                </c:pt>
                <c:pt idx="19">
                  <c:v>7.1199999999999974</c:v>
                </c:pt>
                <c:pt idx="20">
                  <c:v>7.22</c:v>
                </c:pt>
                <c:pt idx="21">
                  <c:v>7.59</c:v>
                </c:pt>
                <c:pt idx="22">
                  <c:v>7.8199999999999985</c:v>
                </c:pt>
                <c:pt idx="23">
                  <c:v>7.98</c:v>
                </c:pt>
                <c:pt idx="24">
                  <c:v>8.1</c:v>
                </c:pt>
                <c:pt idx="25">
                  <c:v>8.19</c:v>
                </c:pt>
                <c:pt idx="26">
                  <c:v>8.25</c:v>
                </c:pt>
                <c:pt idx="27">
                  <c:v>8.32</c:v>
                </c:pt>
              </c:numCache>
            </c:numRef>
          </c:yVal>
        </c:ser>
        <c:ser>
          <c:idx val="1"/>
          <c:order val="1"/>
          <c:tx>
            <c:v>Ugs=  - 1</c:v>
          </c:tx>
          <c:spPr>
            <a:ln w="28575">
              <a:noFill/>
            </a:ln>
          </c:spPr>
          <c:marker>
            <c:symbol val="square"/>
            <c:size val="4"/>
            <c:spPr>
              <a:noFill/>
              <a:ln>
                <a:solidFill>
                  <a:schemeClr val="tx1"/>
                </a:solidFill>
              </a:ln>
            </c:spPr>
          </c:marker>
          <c:xVal>
            <c:numRef>
              <c:f>Arkusz1!$F$3:$F$30</c:f>
              <c:numCache>
                <c:formatCode>General</c:formatCode>
                <c:ptCount val="28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0.30000000000000016</c:v>
                </c:pt>
                <c:pt idx="4">
                  <c:v>0.4</c:v>
                </c:pt>
                <c:pt idx="5">
                  <c:v>0.5</c:v>
                </c:pt>
                <c:pt idx="6">
                  <c:v>0.60000000000000031</c:v>
                </c:pt>
                <c:pt idx="7">
                  <c:v>0.70000000000000029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1.2</c:v>
                </c:pt>
                <c:pt idx="12">
                  <c:v>1.4</c:v>
                </c:pt>
                <c:pt idx="13">
                  <c:v>1.6</c:v>
                </c:pt>
                <c:pt idx="14">
                  <c:v>1.8</c:v>
                </c:pt>
                <c:pt idx="15">
                  <c:v>2</c:v>
                </c:pt>
                <c:pt idx="16">
                  <c:v>2.2000000000000002</c:v>
                </c:pt>
                <c:pt idx="17">
                  <c:v>2.4</c:v>
                </c:pt>
                <c:pt idx="18">
                  <c:v>2.6</c:v>
                </c:pt>
                <c:pt idx="19">
                  <c:v>2.8</c:v>
                </c:pt>
                <c:pt idx="20">
                  <c:v>3</c:v>
                </c:pt>
                <c:pt idx="21">
                  <c:v>4</c:v>
                </c:pt>
                <c:pt idx="22">
                  <c:v>5</c:v>
                </c:pt>
                <c:pt idx="23">
                  <c:v>6</c:v>
                </c:pt>
                <c:pt idx="24">
                  <c:v>7</c:v>
                </c:pt>
                <c:pt idx="25">
                  <c:v>8</c:v>
                </c:pt>
                <c:pt idx="26">
                  <c:v>9</c:v>
                </c:pt>
                <c:pt idx="27">
                  <c:v>10</c:v>
                </c:pt>
              </c:numCache>
            </c:numRef>
          </c:xVal>
          <c:yVal>
            <c:numRef>
              <c:f>Arkusz1!$H$3:$H$30</c:f>
              <c:numCache>
                <c:formatCode>General</c:formatCode>
                <c:ptCount val="28"/>
                <c:pt idx="0">
                  <c:v>2.0000000000000013E-3</c:v>
                </c:pt>
                <c:pt idx="1">
                  <c:v>0.42000000000000015</c:v>
                </c:pt>
                <c:pt idx="2">
                  <c:v>0.83000000000000029</c:v>
                </c:pt>
                <c:pt idx="3">
                  <c:v>1.21</c:v>
                </c:pt>
                <c:pt idx="4">
                  <c:v>1.56</c:v>
                </c:pt>
                <c:pt idx="5">
                  <c:v>1.8900000000000001</c:v>
                </c:pt>
                <c:pt idx="6">
                  <c:v>2.19</c:v>
                </c:pt>
                <c:pt idx="7">
                  <c:v>2.4699999999999998</c:v>
                </c:pt>
                <c:pt idx="8">
                  <c:v>2.73</c:v>
                </c:pt>
                <c:pt idx="9">
                  <c:v>2.96</c:v>
                </c:pt>
                <c:pt idx="10">
                  <c:v>3.16</c:v>
                </c:pt>
                <c:pt idx="11">
                  <c:v>3.5</c:v>
                </c:pt>
                <c:pt idx="12">
                  <c:v>3.77</c:v>
                </c:pt>
                <c:pt idx="13">
                  <c:v>3.98</c:v>
                </c:pt>
                <c:pt idx="14">
                  <c:v>4.1499999999999995</c:v>
                </c:pt>
                <c:pt idx="15">
                  <c:v>4.28</c:v>
                </c:pt>
                <c:pt idx="16">
                  <c:v>4.3899999999999997</c:v>
                </c:pt>
                <c:pt idx="17">
                  <c:v>4.4800000000000004</c:v>
                </c:pt>
                <c:pt idx="18">
                  <c:v>4.5599999999999996</c:v>
                </c:pt>
                <c:pt idx="19">
                  <c:v>4.63</c:v>
                </c:pt>
                <c:pt idx="20">
                  <c:v>4.6899999999999995</c:v>
                </c:pt>
                <c:pt idx="21">
                  <c:v>4.9300000000000024</c:v>
                </c:pt>
                <c:pt idx="22">
                  <c:v>5.0999999999999996</c:v>
                </c:pt>
                <c:pt idx="23">
                  <c:v>5.23</c:v>
                </c:pt>
                <c:pt idx="24">
                  <c:v>5.33</c:v>
                </c:pt>
                <c:pt idx="25">
                  <c:v>5.41</c:v>
                </c:pt>
                <c:pt idx="26">
                  <c:v>5.49</c:v>
                </c:pt>
                <c:pt idx="27">
                  <c:v>5.55</c:v>
                </c:pt>
              </c:numCache>
            </c:numRef>
          </c:yVal>
        </c:ser>
        <c:ser>
          <c:idx val="2"/>
          <c:order val="2"/>
          <c:tx>
            <c:v>Ugs = - 1,6</c:v>
          </c:tx>
          <c:spPr>
            <a:ln w="28575">
              <a:noFill/>
            </a:ln>
          </c:spPr>
          <c:marker>
            <c:symbol val="triangle"/>
            <c:size val="4"/>
            <c:spPr>
              <a:noFill/>
              <a:ln>
                <a:solidFill>
                  <a:sysClr val="windowText" lastClr="000000"/>
                </a:solidFill>
              </a:ln>
            </c:spPr>
          </c:marker>
          <c:xVal>
            <c:numRef>
              <c:f>Arkusz1!$F$3:$F$30</c:f>
              <c:numCache>
                <c:formatCode>General</c:formatCode>
                <c:ptCount val="28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0.30000000000000016</c:v>
                </c:pt>
                <c:pt idx="4">
                  <c:v>0.4</c:v>
                </c:pt>
                <c:pt idx="5">
                  <c:v>0.5</c:v>
                </c:pt>
                <c:pt idx="6">
                  <c:v>0.60000000000000031</c:v>
                </c:pt>
                <c:pt idx="7">
                  <c:v>0.70000000000000029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1.2</c:v>
                </c:pt>
                <c:pt idx="12">
                  <c:v>1.4</c:v>
                </c:pt>
                <c:pt idx="13">
                  <c:v>1.6</c:v>
                </c:pt>
                <c:pt idx="14">
                  <c:v>1.8</c:v>
                </c:pt>
                <c:pt idx="15">
                  <c:v>2</c:v>
                </c:pt>
                <c:pt idx="16">
                  <c:v>2.2000000000000002</c:v>
                </c:pt>
                <c:pt idx="17">
                  <c:v>2.4</c:v>
                </c:pt>
                <c:pt idx="18">
                  <c:v>2.6</c:v>
                </c:pt>
                <c:pt idx="19">
                  <c:v>2.8</c:v>
                </c:pt>
                <c:pt idx="20">
                  <c:v>3</c:v>
                </c:pt>
                <c:pt idx="21">
                  <c:v>4</c:v>
                </c:pt>
                <c:pt idx="22">
                  <c:v>5</c:v>
                </c:pt>
                <c:pt idx="23">
                  <c:v>6</c:v>
                </c:pt>
                <c:pt idx="24">
                  <c:v>7</c:v>
                </c:pt>
                <c:pt idx="25">
                  <c:v>8</c:v>
                </c:pt>
                <c:pt idx="26">
                  <c:v>9</c:v>
                </c:pt>
                <c:pt idx="27">
                  <c:v>10</c:v>
                </c:pt>
              </c:numCache>
            </c:numRef>
          </c:xVal>
          <c:yVal>
            <c:numRef>
              <c:f>Arkusz1!$I$3:$I$30</c:f>
              <c:numCache>
                <c:formatCode>General</c:formatCode>
                <c:ptCount val="28"/>
                <c:pt idx="0">
                  <c:v>2.0000000000000013E-3</c:v>
                </c:pt>
                <c:pt idx="1">
                  <c:v>0.29000000000000015</c:v>
                </c:pt>
                <c:pt idx="2">
                  <c:v>0.58000000000000018</c:v>
                </c:pt>
                <c:pt idx="3">
                  <c:v>0.85000000000000031</c:v>
                </c:pt>
                <c:pt idx="4">
                  <c:v>1.02</c:v>
                </c:pt>
                <c:pt idx="5">
                  <c:v>1.22</c:v>
                </c:pt>
                <c:pt idx="6">
                  <c:v>1.3900000000000001</c:v>
                </c:pt>
                <c:pt idx="7">
                  <c:v>1.54</c:v>
                </c:pt>
                <c:pt idx="8">
                  <c:v>1.6700000000000006</c:v>
                </c:pt>
                <c:pt idx="9">
                  <c:v>1.7800000000000002</c:v>
                </c:pt>
                <c:pt idx="10">
                  <c:v>1.87</c:v>
                </c:pt>
                <c:pt idx="11">
                  <c:v>2.02</c:v>
                </c:pt>
                <c:pt idx="12">
                  <c:v>2.13</c:v>
                </c:pt>
                <c:pt idx="13">
                  <c:v>2.2200000000000002</c:v>
                </c:pt>
                <c:pt idx="14">
                  <c:v>2.29</c:v>
                </c:pt>
                <c:pt idx="15">
                  <c:v>2.36</c:v>
                </c:pt>
                <c:pt idx="16">
                  <c:v>2.4099999999999997</c:v>
                </c:pt>
                <c:pt idx="17">
                  <c:v>2.46</c:v>
                </c:pt>
                <c:pt idx="18">
                  <c:v>2.5</c:v>
                </c:pt>
                <c:pt idx="19">
                  <c:v>2.54</c:v>
                </c:pt>
                <c:pt idx="20">
                  <c:v>2.57</c:v>
                </c:pt>
                <c:pt idx="21">
                  <c:v>2.72</c:v>
                </c:pt>
                <c:pt idx="22">
                  <c:v>2.8299999999999987</c:v>
                </c:pt>
                <c:pt idx="23">
                  <c:v>2.92</c:v>
                </c:pt>
                <c:pt idx="24">
                  <c:v>3</c:v>
                </c:pt>
                <c:pt idx="25">
                  <c:v>3.07</c:v>
                </c:pt>
                <c:pt idx="26">
                  <c:v>3.14</c:v>
                </c:pt>
                <c:pt idx="27">
                  <c:v>3.19</c:v>
                </c:pt>
              </c:numCache>
            </c:numRef>
          </c:yVal>
        </c:ser>
        <c:ser>
          <c:idx val="3"/>
          <c:order val="3"/>
          <c:tx>
            <c:v>Ugs = - 2,2</c:v>
          </c:tx>
          <c:spPr>
            <a:ln w="28575">
              <a:noFill/>
            </a:ln>
          </c:spPr>
          <c:marker>
            <c:symbol val="circle"/>
            <c:size val="4"/>
            <c:spPr>
              <a:noFill/>
              <a:ln>
                <a:solidFill>
                  <a:sysClr val="windowText" lastClr="000000"/>
                </a:solidFill>
              </a:ln>
            </c:spPr>
          </c:marker>
          <c:xVal>
            <c:numRef>
              <c:f>Arkusz1!$F$3:$F$30</c:f>
              <c:numCache>
                <c:formatCode>General</c:formatCode>
                <c:ptCount val="28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0.30000000000000016</c:v>
                </c:pt>
                <c:pt idx="4">
                  <c:v>0.4</c:v>
                </c:pt>
                <c:pt idx="5">
                  <c:v>0.5</c:v>
                </c:pt>
                <c:pt idx="6">
                  <c:v>0.60000000000000031</c:v>
                </c:pt>
                <c:pt idx="7">
                  <c:v>0.70000000000000029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1.2</c:v>
                </c:pt>
                <c:pt idx="12">
                  <c:v>1.4</c:v>
                </c:pt>
                <c:pt idx="13">
                  <c:v>1.6</c:v>
                </c:pt>
                <c:pt idx="14">
                  <c:v>1.8</c:v>
                </c:pt>
                <c:pt idx="15">
                  <c:v>2</c:v>
                </c:pt>
                <c:pt idx="16">
                  <c:v>2.2000000000000002</c:v>
                </c:pt>
                <c:pt idx="17">
                  <c:v>2.4</c:v>
                </c:pt>
                <c:pt idx="18">
                  <c:v>2.6</c:v>
                </c:pt>
                <c:pt idx="19">
                  <c:v>2.8</c:v>
                </c:pt>
                <c:pt idx="20">
                  <c:v>3</c:v>
                </c:pt>
                <c:pt idx="21">
                  <c:v>4</c:v>
                </c:pt>
                <c:pt idx="22">
                  <c:v>5</c:v>
                </c:pt>
                <c:pt idx="23">
                  <c:v>6</c:v>
                </c:pt>
                <c:pt idx="24">
                  <c:v>7</c:v>
                </c:pt>
                <c:pt idx="25">
                  <c:v>8</c:v>
                </c:pt>
                <c:pt idx="26">
                  <c:v>9</c:v>
                </c:pt>
                <c:pt idx="27">
                  <c:v>10</c:v>
                </c:pt>
              </c:numCache>
            </c:numRef>
          </c:xVal>
          <c:yVal>
            <c:numRef>
              <c:f>Arkusz1!$J$3:$J$30</c:f>
              <c:numCache>
                <c:formatCode>General</c:formatCode>
                <c:ptCount val="28"/>
                <c:pt idx="0">
                  <c:v>0</c:v>
                </c:pt>
                <c:pt idx="1">
                  <c:v>0.15000000000000008</c:v>
                </c:pt>
                <c:pt idx="2">
                  <c:v>0.27</c:v>
                </c:pt>
                <c:pt idx="3">
                  <c:v>0.37000000000000016</c:v>
                </c:pt>
                <c:pt idx="4">
                  <c:v>0.45</c:v>
                </c:pt>
                <c:pt idx="5">
                  <c:v>0.51</c:v>
                </c:pt>
                <c:pt idx="6">
                  <c:v>0.56000000000000005</c:v>
                </c:pt>
                <c:pt idx="7">
                  <c:v>0.60000000000000031</c:v>
                </c:pt>
                <c:pt idx="8">
                  <c:v>0.63000000000000034</c:v>
                </c:pt>
                <c:pt idx="9">
                  <c:v>0.66000000000000036</c:v>
                </c:pt>
                <c:pt idx="10">
                  <c:v>0.68000000000000027</c:v>
                </c:pt>
                <c:pt idx="11">
                  <c:v>0.73000000000000032</c:v>
                </c:pt>
                <c:pt idx="12">
                  <c:v>0.76000000000000034</c:v>
                </c:pt>
                <c:pt idx="13">
                  <c:v>0.8</c:v>
                </c:pt>
                <c:pt idx="14">
                  <c:v>0.82000000000000028</c:v>
                </c:pt>
                <c:pt idx="15">
                  <c:v>0.8400000000000003</c:v>
                </c:pt>
                <c:pt idx="16">
                  <c:v>0.87000000000000033</c:v>
                </c:pt>
                <c:pt idx="17">
                  <c:v>0.89000000000000012</c:v>
                </c:pt>
                <c:pt idx="18">
                  <c:v>0.91</c:v>
                </c:pt>
                <c:pt idx="19">
                  <c:v>0.93</c:v>
                </c:pt>
                <c:pt idx="20">
                  <c:v>0.94000000000000028</c:v>
                </c:pt>
                <c:pt idx="21">
                  <c:v>1.02</c:v>
                </c:pt>
                <c:pt idx="22">
                  <c:v>1.08</c:v>
                </c:pt>
                <c:pt idx="23">
                  <c:v>1.1399999999999992</c:v>
                </c:pt>
                <c:pt idx="24">
                  <c:v>1.1900000000000006</c:v>
                </c:pt>
                <c:pt idx="25">
                  <c:v>1.23</c:v>
                </c:pt>
                <c:pt idx="26">
                  <c:v>1.27</c:v>
                </c:pt>
                <c:pt idx="27">
                  <c:v>1.31</c:v>
                </c:pt>
              </c:numCache>
            </c:numRef>
          </c:yVal>
        </c:ser>
        <c:ser>
          <c:idx val="4"/>
          <c:order val="4"/>
          <c:tx>
            <c:v>Up</c:v>
          </c:tx>
          <c:spPr>
            <a:ln w="28575">
              <a:noFill/>
            </a:ln>
          </c:spPr>
          <c:marker>
            <c:symbol val="none"/>
          </c:marker>
          <c:trendline>
            <c:trendlineType val="log"/>
          </c:trendline>
          <c:trendline>
            <c:trendlineType val="log"/>
          </c:trendline>
          <c:trendline>
            <c:spPr>
              <a:ln>
                <a:prstDash val="dash"/>
              </a:ln>
            </c:spPr>
            <c:trendlineType val="poly"/>
            <c:order val="2"/>
          </c:trendline>
          <c:xVal>
            <c:numRef>
              <c:f>Arkusz1!$L$15:$L$19</c:f>
              <c:numCache>
                <c:formatCode>General</c:formatCode>
                <c:ptCount val="5"/>
                <c:pt idx="0">
                  <c:v>0</c:v>
                </c:pt>
                <c:pt idx="1">
                  <c:v>1</c:v>
                </c:pt>
                <c:pt idx="2">
                  <c:v>1.6</c:v>
                </c:pt>
                <c:pt idx="3">
                  <c:v>2.2000000000000002</c:v>
                </c:pt>
                <c:pt idx="4">
                  <c:v>2.8</c:v>
                </c:pt>
              </c:numCache>
            </c:numRef>
          </c:xVal>
          <c:yVal>
            <c:numRef>
              <c:f>Arkusz1!$M$15:$M$19</c:f>
              <c:numCache>
                <c:formatCode>General</c:formatCode>
                <c:ptCount val="5"/>
                <c:pt idx="0">
                  <c:v>0</c:v>
                </c:pt>
                <c:pt idx="1">
                  <c:v>0.68000000000000027</c:v>
                </c:pt>
                <c:pt idx="2">
                  <c:v>2.2200000000000002</c:v>
                </c:pt>
                <c:pt idx="3">
                  <c:v>4.3899999999999997</c:v>
                </c:pt>
                <c:pt idx="4">
                  <c:v>7.1199999999999974</c:v>
                </c:pt>
              </c:numCache>
            </c:numRef>
          </c:yVal>
        </c:ser>
        <c:axId val="113302912"/>
        <c:axId val="115380992"/>
      </c:scatterChart>
      <c:valAx>
        <c:axId val="113302912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pl-PL"/>
                  <a:t>U</a:t>
                </a:r>
                <a:r>
                  <a:rPr lang="pl-PL" baseline="-25000"/>
                  <a:t>DS</a:t>
                </a:r>
                <a:r>
                  <a:rPr lang="pl-PL" baseline="0"/>
                  <a:t>[V]</a:t>
                </a:r>
                <a:endParaRPr lang="pl-PL"/>
              </a:p>
            </c:rich>
          </c:tx>
          <c:layout>
            <c:manualLayout>
              <c:xMode val="edge"/>
              <c:yMode val="edge"/>
              <c:x val="0.88672631198877927"/>
              <c:y val="0.86112698754038564"/>
            </c:manualLayout>
          </c:layout>
        </c:title>
        <c:numFmt formatCode="General" sourceLinked="1"/>
        <c:tickLblPos val="nextTo"/>
        <c:crossAx val="115380992"/>
        <c:crosses val="autoZero"/>
        <c:crossBetween val="midCat"/>
      </c:valAx>
      <c:valAx>
        <c:axId val="115380992"/>
        <c:scaling>
          <c:orientation val="minMax"/>
          <c:min val="0"/>
        </c:scaling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pl-PL"/>
                  <a:t>I</a:t>
                </a:r>
                <a:r>
                  <a:rPr lang="pl-PL" baseline="-25000"/>
                  <a:t>D</a:t>
                </a:r>
                <a:r>
                  <a:rPr lang="pl-PL" baseline="0"/>
                  <a:t>[mA]</a:t>
                </a:r>
                <a:endParaRPr lang="pl-PL"/>
              </a:p>
            </c:rich>
          </c:tx>
          <c:layout>
            <c:manualLayout>
              <c:xMode val="edge"/>
              <c:yMode val="edge"/>
              <c:x val="5.9523809523809514E-2"/>
              <c:y val="2.1841245495081217E-3"/>
            </c:manualLayout>
          </c:layout>
        </c:title>
        <c:numFmt formatCode="General" sourceLinked="1"/>
        <c:tickLblPos val="nextTo"/>
        <c:crossAx val="113302912"/>
        <c:crosses val="autoZero"/>
        <c:crossBetween val="midCat"/>
      </c:valAx>
    </c:plotArea>
    <c:legend>
      <c:legendPos val="r"/>
      <c:legendEntry>
        <c:idx val="4"/>
        <c:delete val="1"/>
      </c:legendEntry>
      <c:legendEntry>
        <c:idx val="5"/>
        <c:delete val="1"/>
      </c:legendEntry>
      <c:legendEntry>
        <c:idx val="6"/>
        <c:delete val="1"/>
      </c:legendEntry>
      <c:legendEntry>
        <c:idx val="7"/>
        <c:delete val="1"/>
      </c:legendEntry>
    </c:legend>
    <c:plotVisOnly val="1"/>
  </c:chart>
  <c:spPr>
    <a:ln>
      <a:noFill/>
    </a:ln>
  </c:spPr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l-PL"/>
  <c:chart>
    <c:plotArea>
      <c:layout/>
      <c:scatterChart>
        <c:scatterStyle val="lineMarker"/>
        <c:ser>
          <c:idx val="0"/>
          <c:order val="0"/>
          <c:tx>
            <c:v>Ud = 5V</c:v>
          </c:tx>
          <c:spPr>
            <a:ln w="28575">
              <a:noFill/>
            </a:ln>
          </c:spPr>
          <c:marker>
            <c:symbol val="diamond"/>
            <c:size val="4"/>
            <c:spPr>
              <a:noFill/>
              <a:ln>
                <a:solidFill>
                  <a:sysClr val="windowText" lastClr="000000"/>
                </a:solidFill>
              </a:ln>
            </c:spPr>
          </c:marker>
          <c:xVal>
            <c:numRef>
              <c:f>Arkusz1!$A$5:$A$20</c:f>
              <c:numCache>
                <c:formatCode>General</c:formatCode>
                <c:ptCount val="16"/>
                <c:pt idx="0">
                  <c:v>0</c:v>
                </c:pt>
                <c:pt idx="1">
                  <c:v>-0.2</c:v>
                </c:pt>
                <c:pt idx="2">
                  <c:v>-0.4</c:v>
                </c:pt>
                <c:pt idx="3">
                  <c:v>-0.60000000000000053</c:v>
                </c:pt>
                <c:pt idx="4">
                  <c:v>-0.8</c:v>
                </c:pt>
                <c:pt idx="5">
                  <c:v>-1</c:v>
                </c:pt>
                <c:pt idx="6">
                  <c:v>-1.2</c:v>
                </c:pt>
                <c:pt idx="7">
                  <c:v>-1.4</c:v>
                </c:pt>
                <c:pt idx="8">
                  <c:v>-1.6</c:v>
                </c:pt>
                <c:pt idx="9">
                  <c:v>-1.8</c:v>
                </c:pt>
                <c:pt idx="10">
                  <c:v>-2</c:v>
                </c:pt>
                <c:pt idx="11">
                  <c:v>-2.2000000000000002</c:v>
                </c:pt>
                <c:pt idx="12">
                  <c:v>-2.4</c:v>
                </c:pt>
                <c:pt idx="13">
                  <c:v>-2.6</c:v>
                </c:pt>
                <c:pt idx="14">
                  <c:v>-2.8</c:v>
                </c:pt>
                <c:pt idx="15">
                  <c:v>-3</c:v>
                </c:pt>
              </c:numCache>
            </c:numRef>
          </c:xVal>
          <c:yVal>
            <c:numRef>
              <c:f>Arkusz1!$B$5:$B$20</c:f>
              <c:numCache>
                <c:formatCode>General</c:formatCode>
                <c:ptCount val="16"/>
                <c:pt idx="0">
                  <c:v>9.8000000000000007</c:v>
                </c:pt>
                <c:pt idx="1">
                  <c:v>8.7299999999999986</c:v>
                </c:pt>
                <c:pt idx="2">
                  <c:v>7.74</c:v>
                </c:pt>
                <c:pt idx="3">
                  <c:v>6.8</c:v>
                </c:pt>
                <c:pt idx="4">
                  <c:v>5.9</c:v>
                </c:pt>
                <c:pt idx="5">
                  <c:v>5.0599999999999996</c:v>
                </c:pt>
                <c:pt idx="6">
                  <c:v>4.26</c:v>
                </c:pt>
                <c:pt idx="7">
                  <c:v>3.51</c:v>
                </c:pt>
                <c:pt idx="8">
                  <c:v>2.8099999999999987</c:v>
                </c:pt>
                <c:pt idx="9">
                  <c:v>2.17</c:v>
                </c:pt>
                <c:pt idx="10">
                  <c:v>1.59</c:v>
                </c:pt>
                <c:pt idx="11">
                  <c:v>1.08</c:v>
                </c:pt>
                <c:pt idx="12">
                  <c:v>0.6500000000000008</c:v>
                </c:pt>
                <c:pt idx="13">
                  <c:v>0.31000000000000028</c:v>
                </c:pt>
                <c:pt idx="14">
                  <c:v>0.1</c:v>
                </c:pt>
                <c:pt idx="15">
                  <c:v>2.0000000000000011E-2</c:v>
                </c:pt>
              </c:numCache>
            </c:numRef>
          </c:yVal>
        </c:ser>
        <c:ser>
          <c:idx val="1"/>
          <c:order val="1"/>
          <c:tx>
            <c:v>Ud = 2V</c:v>
          </c:tx>
          <c:spPr>
            <a:ln w="28575">
              <a:noFill/>
            </a:ln>
          </c:spPr>
          <c:marker>
            <c:symbol val="square"/>
            <c:size val="4"/>
            <c:spPr>
              <a:noFill/>
              <a:ln>
                <a:solidFill>
                  <a:sysClr val="windowText" lastClr="000000"/>
                </a:solidFill>
              </a:ln>
            </c:spPr>
          </c:marker>
          <c:xVal>
            <c:numRef>
              <c:f>Arkusz1!$A$5:$A$20</c:f>
              <c:numCache>
                <c:formatCode>General</c:formatCode>
                <c:ptCount val="16"/>
                <c:pt idx="0">
                  <c:v>0</c:v>
                </c:pt>
                <c:pt idx="1">
                  <c:v>-0.2</c:v>
                </c:pt>
                <c:pt idx="2">
                  <c:v>-0.4</c:v>
                </c:pt>
                <c:pt idx="3">
                  <c:v>-0.60000000000000053</c:v>
                </c:pt>
                <c:pt idx="4">
                  <c:v>-0.8</c:v>
                </c:pt>
                <c:pt idx="5">
                  <c:v>-1</c:v>
                </c:pt>
                <c:pt idx="6">
                  <c:v>-1.2</c:v>
                </c:pt>
                <c:pt idx="7">
                  <c:v>-1.4</c:v>
                </c:pt>
                <c:pt idx="8">
                  <c:v>-1.6</c:v>
                </c:pt>
                <c:pt idx="9">
                  <c:v>-1.8</c:v>
                </c:pt>
                <c:pt idx="10">
                  <c:v>-2</c:v>
                </c:pt>
                <c:pt idx="11">
                  <c:v>-2.2000000000000002</c:v>
                </c:pt>
                <c:pt idx="12">
                  <c:v>-2.4</c:v>
                </c:pt>
                <c:pt idx="13">
                  <c:v>-2.6</c:v>
                </c:pt>
                <c:pt idx="14">
                  <c:v>-2.8</c:v>
                </c:pt>
                <c:pt idx="15">
                  <c:v>-3</c:v>
                </c:pt>
              </c:numCache>
            </c:numRef>
          </c:xVal>
          <c:yVal>
            <c:numRef>
              <c:f>Arkusz1!$C$5:$C$20</c:f>
              <c:numCache>
                <c:formatCode>General</c:formatCode>
                <c:ptCount val="16"/>
                <c:pt idx="0">
                  <c:v>8.0400000000000009</c:v>
                </c:pt>
                <c:pt idx="1">
                  <c:v>7.23</c:v>
                </c:pt>
                <c:pt idx="2">
                  <c:v>6.46</c:v>
                </c:pt>
                <c:pt idx="3">
                  <c:v>5.71</c:v>
                </c:pt>
                <c:pt idx="4">
                  <c:v>4.9800000000000004</c:v>
                </c:pt>
                <c:pt idx="5">
                  <c:v>4.2699999999999996</c:v>
                </c:pt>
                <c:pt idx="6">
                  <c:v>3.6</c:v>
                </c:pt>
                <c:pt idx="7">
                  <c:v>2.96</c:v>
                </c:pt>
                <c:pt idx="8">
                  <c:v>2.3499999999999988</c:v>
                </c:pt>
                <c:pt idx="9">
                  <c:v>1.79</c:v>
                </c:pt>
                <c:pt idx="10">
                  <c:v>1.29</c:v>
                </c:pt>
                <c:pt idx="11">
                  <c:v>0.84000000000000052</c:v>
                </c:pt>
                <c:pt idx="12">
                  <c:v>0.48000000000000026</c:v>
                </c:pt>
                <c:pt idx="13">
                  <c:v>0.21000000000000013</c:v>
                </c:pt>
                <c:pt idx="14">
                  <c:v>6.0000000000000032E-2</c:v>
                </c:pt>
                <c:pt idx="15">
                  <c:v>1.0000000000000005E-2</c:v>
                </c:pt>
              </c:numCache>
            </c:numRef>
          </c:yVal>
        </c:ser>
        <c:axId val="115726592"/>
        <c:axId val="115840512"/>
      </c:scatterChart>
      <c:valAx>
        <c:axId val="115726592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pl-PL"/>
                  <a:t>U</a:t>
                </a:r>
                <a:r>
                  <a:rPr lang="pl-PL" baseline="-25000"/>
                  <a:t>GS</a:t>
                </a:r>
                <a:r>
                  <a:rPr lang="pl-PL" baseline="0"/>
                  <a:t>[V]</a:t>
                </a:r>
                <a:endParaRPr lang="pl-PL"/>
              </a:p>
            </c:rich>
          </c:tx>
          <c:layout>
            <c:manualLayout>
              <c:xMode val="edge"/>
              <c:yMode val="edge"/>
              <c:x val="0.8677579644858181"/>
              <c:y val="0.76686004572009159"/>
            </c:manualLayout>
          </c:layout>
        </c:title>
        <c:numFmt formatCode="General" sourceLinked="1"/>
        <c:tickLblPos val="nextTo"/>
        <c:crossAx val="115840512"/>
        <c:crosses val="autoZero"/>
        <c:crossBetween val="midCat"/>
      </c:valAx>
      <c:valAx>
        <c:axId val="115840512"/>
        <c:scaling>
          <c:orientation val="minMax"/>
        </c:scaling>
        <c:axPos val="l"/>
        <c:majorGridlines/>
        <c:numFmt formatCode="General" sourceLinked="1"/>
        <c:tickLblPos val="nextTo"/>
        <c:crossAx val="115726592"/>
        <c:crosses val="autoZero"/>
        <c:crossBetween val="midCat"/>
      </c:valAx>
    </c:plotArea>
    <c:legend>
      <c:legendPos val="r"/>
    </c:legend>
    <c:plotVisOnly val="1"/>
  </c:chart>
  <c:spPr>
    <a:ln>
      <a:noFill/>
    </a:ln>
  </c:spPr>
  <c:externalData r:id="rId1"/>
  <c:userShapes r:id="rId2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l-PL"/>
  <c:chart>
    <c:plotArea>
      <c:layout>
        <c:manualLayout>
          <c:layoutTarget val="inner"/>
          <c:xMode val="edge"/>
          <c:yMode val="edge"/>
          <c:x val="4.6709988388997842E-2"/>
          <c:y val="5.9451243293383506E-2"/>
          <c:w val="0.85283162095444398"/>
          <c:h val="0.79339552435463634"/>
        </c:manualLayout>
      </c:layout>
      <c:scatterChart>
        <c:scatterStyle val="lineMarker"/>
        <c:ser>
          <c:idx val="0"/>
          <c:order val="0"/>
          <c:spPr>
            <a:ln w="28575">
              <a:noFill/>
            </a:ln>
          </c:spPr>
          <c:marker>
            <c:spPr>
              <a:noFill/>
              <a:ln>
                <a:solidFill>
                  <a:sysClr val="windowText" lastClr="000000"/>
                </a:solidFill>
              </a:ln>
            </c:spPr>
          </c:marker>
          <c:trendline>
            <c:trendlineType val="linear"/>
            <c:dispEq val="1"/>
            <c:trendlineLbl>
              <c:numFmt formatCode="General" sourceLinked="0"/>
            </c:trendlineLbl>
          </c:trendline>
          <c:xVal>
            <c:numRef>
              <c:f>Arkusz1!$A$5:$A$20</c:f>
              <c:numCache>
                <c:formatCode>General</c:formatCode>
                <c:ptCount val="16"/>
                <c:pt idx="0">
                  <c:v>0</c:v>
                </c:pt>
                <c:pt idx="1">
                  <c:v>-0.2</c:v>
                </c:pt>
                <c:pt idx="2">
                  <c:v>-0.4</c:v>
                </c:pt>
                <c:pt idx="3">
                  <c:v>-0.60000000000000053</c:v>
                </c:pt>
                <c:pt idx="4">
                  <c:v>-0.8</c:v>
                </c:pt>
                <c:pt idx="5">
                  <c:v>-1</c:v>
                </c:pt>
                <c:pt idx="6">
                  <c:v>-1.2</c:v>
                </c:pt>
                <c:pt idx="7">
                  <c:v>-1.4</c:v>
                </c:pt>
                <c:pt idx="8">
                  <c:v>-1.6</c:v>
                </c:pt>
                <c:pt idx="9">
                  <c:v>-1.8</c:v>
                </c:pt>
                <c:pt idx="10">
                  <c:v>-2</c:v>
                </c:pt>
                <c:pt idx="11">
                  <c:v>-2.2000000000000002</c:v>
                </c:pt>
                <c:pt idx="12">
                  <c:v>-2.4</c:v>
                </c:pt>
                <c:pt idx="13">
                  <c:v>-2.6</c:v>
                </c:pt>
                <c:pt idx="14">
                  <c:v>-2.8</c:v>
                </c:pt>
                <c:pt idx="15">
                  <c:v>-3</c:v>
                </c:pt>
              </c:numCache>
            </c:numRef>
          </c:xVal>
          <c:yVal>
            <c:numRef>
              <c:f>Arkusz1!$D$5:$D$20</c:f>
              <c:numCache>
                <c:formatCode>General</c:formatCode>
                <c:ptCount val="16"/>
                <c:pt idx="0">
                  <c:v>3.1304951684997047</c:v>
                </c:pt>
                <c:pt idx="1">
                  <c:v>2.9546573405388292</c:v>
                </c:pt>
                <c:pt idx="2">
                  <c:v>2.7820855486487135</c:v>
                </c:pt>
                <c:pt idx="3">
                  <c:v>2.6076809620810617</c:v>
                </c:pt>
                <c:pt idx="4">
                  <c:v>2.4289915602982242</c:v>
                </c:pt>
                <c:pt idx="5">
                  <c:v>2.2494443758403992</c:v>
                </c:pt>
                <c:pt idx="6">
                  <c:v>2.0639767440550321</c:v>
                </c:pt>
                <c:pt idx="7">
                  <c:v>1.8734993995195184</c:v>
                </c:pt>
                <c:pt idx="8">
                  <c:v>1.6763054614240225</c:v>
                </c:pt>
                <c:pt idx="9">
                  <c:v>1.4730919862656224</c:v>
                </c:pt>
                <c:pt idx="10">
                  <c:v>1.2609520212918512</c:v>
                </c:pt>
                <c:pt idx="11">
                  <c:v>1.0392304845413265</c:v>
                </c:pt>
                <c:pt idx="12">
                  <c:v>0.80622577482985502</c:v>
                </c:pt>
                <c:pt idx="13">
                  <c:v>0.55677643628300333</c:v>
                </c:pt>
                <c:pt idx="14">
                  <c:v>0.31622776601683822</c:v>
                </c:pt>
                <c:pt idx="15">
                  <c:v>0.14142135623730964</c:v>
                </c:pt>
              </c:numCache>
            </c:numRef>
          </c:yVal>
        </c:ser>
        <c:axId val="119599488"/>
        <c:axId val="119601792"/>
      </c:scatterChart>
      <c:valAx>
        <c:axId val="119599488"/>
        <c:scaling>
          <c:orientation val="minMax"/>
        </c:scaling>
        <c:axPos val="b"/>
        <c:numFmt formatCode="General" sourceLinked="1"/>
        <c:tickLblPos val="nextTo"/>
        <c:crossAx val="119601792"/>
        <c:crosses val="autoZero"/>
        <c:crossBetween val="midCat"/>
      </c:valAx>
      <c:valAx>
        <c:axId val="119601792"/>
        <c:scaling>
          <c:orientation val="minMax"/>
        </c:scaling>
        <c:axPos val="l"/>
        <c:majorGridlines/>
        <c:numFmt formatCode="General" sourceLinked="1"/>
        <c:tickLblPos val="nextTo"/>
        <c:crossAx val="119599488"/>
        <c:crosses val="autoZero"/>
        <c:crossBetween val="midCat"/>
      </c:valAx>
    </c:plotArea>
    <c:plotVisOnly val="1"/>
  </c:chart>
  <c:spPr>
    <a:ln>
      <a:noFill/>
    </a:ln>
  </c:spPr>
  <c:externalData r:id="rId1"/>
  <c:userShapes r:id="rId2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l-PL"/>
  <c:chart>
    <c:autoTitleDeleted val="1"/>
    <c:plotArea>
      <c:layout>
        <c:manualLayout>
          <c:layoutTarget val="inner"/>
          <c:xMode val="edge"/>
          <c:yMode val="edge"/>
          <c:x val="6.4896551724137982E-2"/>
          <c:y val="3.5190096351962519E-2"/>
          <c:w val="0.84881618245995116"/>
          <c:h val="0.81071276513888535"/>
        </c:manualLayout>
      </c:layout>
      <c:scatterChart>
        <c:scatterStyle val="lineMarker"/>
        <c:ser>
          <c:idx val="0"/>
          <c:order val="0"/>
          <c:tx>
            <c:v>wd</c:v>
          </c:tx>
          <c:spPr>
            <a:ln w="28575">
              <a:noFill/>
            </a:ln>
          </c:spPr>
          <c:marker>
            <c:spPr>
              <a:noFill/>
              <a:ln>
                <a:solidFill>
                  <a:schemeClr val="tx1"/>
                </a:solidFill>
              </a:ln>
            </c:spPr>
          </c:marker>
          <c:trendline>
            <c:trendlineType val="linear"/>
          </c:trendline>
          <c:xVal>
            <c:numRef>
              <c:f>Arkusz1!$A$5:$A$20</c:f>
              <c:numCache>
                <c:formatCode>General</c:formatCode>
                <c:ptCount val="16"/>
                <c:pt idx="0">
                  <c:v>0</c:v>
                </c:pt>
                <c:pt idx="1">
                  <c:v>-0.2</c:v>
                </c:pt>
                <c:pt idx="2">
                  <c:v>-0.4</c:v>
                </c:pt>
                <c:pt idx="3">
                  <c:v>-0.60000000000000031</c:v>
                </c:pt>
                <c:pt idx="4">
                  <c:v>-0.8</c:v>
                </c:pt>
                <c:pt idx="5">
                  <c:v>-1</c:v>
                </c:pt>
                <c:pt idx="6">
                  <c:v>-1.2</c:v>
                </c:pt>
                <c:pt idx="7">
                  <c:v>-1.4</c:v>
                </c:pt>
                <c:pt idx="8">
                  <c:v>-1.6</c:v>
                </c:pt>
                <c:pt idx="9">
                  <c:v>-1.8</c:v>
                </c:pt>
                <c:pt idx="10">
                  <c:v>-2</c:v>
                </c:pt>
                <c:pt idx="11">
                  <c:v>-2.2000000000000002</c:v>
                </c:pt>
                <c:pt idx="12">
                  <c:v>-2.4</c:v>
                </c:pt>
                <c:pt idx="13">
                  <c:v>-2.6</c:v>
                </c:pt>
                <c:pt idx="14">
                  <c:v>-2.8</c:v>
                </c:pt>
                <c:pt idx="15">
                  <c:v>-3</c:v>
                </c:pt>
              </c:numCache>
            </c:numRef>
          </c:xVal>
          <c:yVal>
            <c:numRef>
              <c:f>Arkusz1!$E$5:$E$20</c:f>
              <c:numCache>
                <c:formatCode>General</c:formatCode>
                <c:ptCount val="16"/>
                <c:pt idx="0">
                  <c:v>1.5574602828356734</c:v>
                </c:pt>
                <c:pt idx="1">
                  <c:v>1.4699787763874774</c:v>
                </c:pt>
                <c:pt idx="2">
                  <c:v>1.384122163506823</c:v>
                </c:pt>
                <c:pt idx="3">
                  <c:v>1.2973537124781385</c:v>
                </c:pt>
                <c:pt idx="4">
                  <c:v>1.2084535125861811</c:v>
                </c:pt>
                <c:pt idx="5">
                  <c:v>1.1191265551444756</c:v>
                </c:pt>
                <c:pt idx="6">
                  <c:v>1.0268541015199153</c:v>
                </c:pt>
                <c:pt idx="7">
                  <c:v>0.93208925349229865</c:v>
                </c:pt>
                <c:pt idx="8">
                  <c:v>0.83398281662886675</c:v>
                </c:pt>
                <c:pt idx="9">
                  <c:v>0.73288158520677793</c:v>
                </c:pt>
                <c:pt idx="10">
                  <c:v>0.62733931407554733</c:v>
                </c:pt>
                <c:pt idx="11">
                  <c:v>0.51703009181160497</c:v>
                </c:pt>
                <c:pt idx="12">
                  <c:v>0.40110735066161929</c:v>
                </c:pt>
                <c:pt idx="13">
                  <c:v>0.27700320213084706</c:v>
                </c:pt>
                <c:pt idx="14">
                  <c:v>0.15732724677454626</c:v>
                </c:pt>
                <c:pt idx="15">
                  <c:v>7.0358883700153987E-2</c:v>
                </c:pt>
              </c:numCache>
            </c:numRef>
          </c:yVal>
        </c:ser>
        <c:axId val="120803328"/>
        <c:axId val="120804864"/>
      </c:scatterChart>
      <c:valAx>
        <c:axId val="120803328"/>
        <c:scaling>
          <c:orientation val="minMax"/>
        </c:scaling>
        <c:axPos val="b"/>
        <c:numFmt formatCode="General" sourceLinked="1"/>
        <c:tickLblPos val="nextTo"/>
        <c:crossAx val="120804864"/>
        <c:crosses val="autoZero"/>
        <c:crossBetween val="midCat"/>
      </c:valAx>
      <c:valAx>
        <c:axId val="120804864"/>
        <c:scaling>
          <c:orientation val="minMax"/>
        </c:scaling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pl-PL" sz="1100"/>
                  <a:t>g</a:t>
                </a:r>
                <a:r>
                  <a:rPr lang="pl-PL" sz="1100" baseline="-25000"/>
                  <a:t>m</a:t>
                </a:r>
                <a:r>
                  <a:rPr lang="pl-PL" sz="1100" baseline="0"/>
                  <a:t>[mS</a:t>
                </a:r>
                <a:r>
                  <a:rPr lang="pl-PL" baseline="0"/>
                  <a:t>]</a:t>
                </a:r>
                <a:endParaRPr lang="pl-PL"/>
              </a:p>
            </c:rich>
          </c:tx>
          <c:layout>
            <c:manualLayout>
              <c:xMode val="edge"/>
              <c:yMode val="edge"/>
              <c:x val="0.91724137931034477"/>
              <c:y val="3.8363983003753196E-2"/>
            </c:manualLayout>
          </c:layout>
        </c:title>
        <c:numFmt formatCode="General" sourceLinked="1"/>
        <c:tickLblPos val="nextTo"/>
        <c:crossAx val="120803328"/>
        <c:crosses val="autoZero"/>
        <c:crossBetween val="midCat"/>
      </c:valAx>
    </c:plotArea>
    <c:plotVisOnly val="1"/>
  </c:chart>
  <c:spPr>
    <a:ln>
      <a:noFill/>
    </a:ln>
  </c:spPr>
  <c:externalData r:id="rId1"/>
  <c:userShapes r:id="rId2"/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l-PL"/>
  <c:chart>
    <c:autoTitleDeleted val="1"/>
    <c:plotArea>
      <c:layout>
        <c:manualLayout>
          <c:layoutTarget val="inner"/>
          <c:xMode val="edge"/>
          <c:yMode val="edge"/>
          <c:x val="4.4715255788755945E-2"/>
          <c:y val="6.0958196551961628E-2"/>
          <c:w val="0.69111888170528191"/>
          <c:h val="0.82664554685766323"/>
        </c:manualLayout>
      </c:layout>
      <c:scatterChart>
        <c:scatterStyle val="lineMarker"/>
        <c:ser>
          <c:idx val="0"/>
          <c:order val="0"/>
          <c:tx>
            <c:v> metoda graficzna</c:v>
          </c:tx>
          <c:spPr>
            <a:ln w="28575">
              <a:noFill/>
            </a:ln>
          </c:spPr>
          <c:marker>
            <c:spPr>
              <a:noFill/>
              <a:ln>
                <a:solidFill>
                  <a:sysClr val="windowText" lastClr="000000">
                    <a:shade val="95000"/>
                    <a:satMod val="105000"/>
                  </a:sysClr>
                </a:solidFill>
              </a:ln>
            </c:spPr>
          </c:marker>
          <c:trendline>
            <c:trendlineType val="linear"/>
          </c:trendline>
          <c:xVal>
            <c:numRef>
              <c:f>Arkusz1!$A$5:$A$20</c:f>
              <c:numCache>
                <c:formatCode>General</c:formatCode>
                <c:ptCount val="16"/>
                <c:pt idx="0">
                  <c:v>0</c:v>
                </c:pt>
                <c:pt idx="1">
                  <c:v>-0.2</c:v>
                </c:pt>
                <c:pt idx="2">
                  <c:v>-0.4</c:v>
                </c:pt>
                <c:pt idx="3">
                  <c:v>-0.60000000000000009</c:v>
                </c:pt>
                <c:pt idx="4">
                  <c:v>-0.8</c:v>
                </c:pt>
                <c:pt idx="5">
                  <c:v>-1</c:v>
                </c:pt>
                <c:pt idx="6">
                  <c:v>-1.2</c:v>
                </c:pt>
                <c:pt idx="7">
                  <c:v>-1.4</c:v>
                </c:pt>
                <c:pt idx="8">
                  <c:v>-1.6</c:v>
                </c:pt>
                <c:pt idx="9">
                  <c:v>-1.8</c:v>
                </c:pt>
                <c:pt idx="10">
                  <c:v>-2</c:v>
                </c:pt>
                <c:pt idx="11">
                  <c:v>-2.2000000000000002</c:v>
                </c:pt>
                <c:pt idx="12">
                  <c:v>-2.4</c:v>
                </c:pt>
                <c:pt idx="13">
                  <c:v>-2.6</c:v>
                </c:pt>
                <c:pt idx="14">
                  <c:v>-2.8</c:v>
                </c:pt>
                <c:pt idx="15">
                  <c:v>-3</c:v>
                </c:pt>
              </c:numCache>
            </c:numRef>
          </c:xVal>
          <c:yVal>
            <c:numRef>
              <c:f>Arkusz1!$E$5:$E$20</c:f>
              <c:numCache>
                <c:formatCode>General</c:formatCode>
                <c:ptCount val="16"/>
                <c:pt idx="0">
                  <c:v>1.5574602828356741</c:v>
                </c:pt>
                <c:pt idx="1">
                  <c:v>1.4699787763874781</c:v>
                </c:pt>
                <c:pt idx="2">
                  <c:v>1.3841221635068222</c:v>
                </c:pt>
                <c:pt idx="3">
                  <c:v>1.2973537124781389</c:v>
                </c:pt>
                <c:pt idx="4">
                  <c:v>1.2084535125861811</c:v>
                </c:pt>
                <c:pt idx="5">
                  <c:v>1.1191265551444765</c:v>
                </c:pt>
                <c:pt idx="6">
                  <c:v>1.0268541015199153</c:v>
                </c:pt>
                <c:pt idx="7">
                  <c:v>0.93208925349229843</c:v>
                </c:pt>
                <c:pt idx="8">
                  <c:v>0.83398281662886642</c:v>
                </c:pt>
                <c:pt idx="9">
                  <c:v>0.73288158520677793</c:v>
                </c:pt>
                <c:pt idx="10">
                  <c:v>0.62733931407554711</c:v>
                </c:pt>
                <c:pt idx="11">
                  <c:v>0.5170300918116052</c:v>
                </c:pt>
                <c:pt idx="12">
                  <c:v>0.4011073506616194</c:v>
                </c:pt>
                <c:pt idx="13">
                  <c:v>0.27700320213084695</c:v>
                </c:pt>
                <c:pt idx="14">
                  <c:v>0.15732724677454626</c:v>
                </c:pt>
                <c:pt idx="15">
                  <c:v>7.0358883700153987E-2</c:v>
                </c:pt>
              </c:numCache>
            </c:numRef>
          </c:yVal>
        </c:ser>
        <c:ser>
          <c:idx val="1"/>
          <c:order val="1"/>
          <c:tx>
            <c:v>Obliczona z zależności</c:v>
          </c:tx>
          <c:spPr>
            <a:ln w="28575">
              <a:noFill/>
            </a:ln>
          </c:spPr>
          <c:marker>
            <c:spPr>
              <a:noFill/>
              <a:ln>
                <a:solidFill>
                  <a:sysClr val="windowText" lastClr="000000">
                    <a:shade val="95000"/>
                    <a:satMod val="105000"/>
                  </a:sysClr>
                </a:solidFill>
              </a:ln>
            </c:spPr>
          </c:marker>
          <c:trendline>
            <c:trendlineType val="linear"/>
          </c:trendline>
          <c:xVal>
            <c:numRef>
              <c:f>Arkusz1!$K$8:$K$11</c:f>
              <c:numCache>
                <c:formatCode>General</c:formatCode>
                <c:ptCount val="4"/>
                <c:pt idx="0">
                  <c:v>-0.4</c:v>
                </c:pt>
                <c:pt idx="1">
                  <c:v>-1</c:v>
                </c:pt>
                <c:pt idx="2">
                  <c:v>-1.6</c:v>
                </c:pt>
                <c:pt idx="3">
                  <c:v>-2.2000000000000002</c:v>
                </c:pt>
              </c:numCache>
            </c:numRef>
          </c:xVal>
          <c:yVal>
            <c:numRef>
              <c:f>Arkusz1!$L$8:$L$11</c:f>
              <c:numCache>
                <c:formatCode>General</c:formatCode>
                <c:ptCount val="4"/>
                <c:pt idx="0">
                  <c:v>1.327528762599635</c:v>
                </c:pt>
                <c:pt idx="1">
                  <c:v>1.0424043203859186</c:v>
                </c:pt>
                <c:pt idx="2">
                  <c:v>0.74127683710205683</c:v>
                </c:pt>
                <c:pt idx="3">
                  <c:v>0.4102592662306131</c:v>
                </c:pt>
              </c:numCache>
            </c:numRef>
          </c:yVal>
        </c:ser>
        <c:axId val="107353600"/>
        <c:axId val="107355136"/>
      </c:scatterChart>
      <c:valAx>
        <c:axId val="107353600"/>
        <c:scaling>
          <c:orientation val="minMax"/>
        </c:scaling>
        <c:axPos val="b"/>
        <c:numFmt formatCode="General" sourceLinked="1"/>
        <c:tickLblPos val="nextTo"/>
        <c:crossAx val="107355136"/>
        <c:crosses val="autoZero"/>
        <c:crossBetween val="midCat"/>
      </c:valAx>
      <c:valAx>
        <c:axId val="107355136"/>
        <c:scaling>
          <c:orientation val="minMax"/>
        </c:scaling>
        <c:axPos val="l"/>
        <c:majorGridlines/>
        <c:numFmt formatCode="General" sourceLinked="1"/>
        <c:tickLblPos val="nextTo"/>
        <c:crossAx val="107353600"/>
        <c:crosses val="autoZero"/>
        <c:crossBetween val="midCat"/>
      </c:valAx>
    </c:plotArea>
    <c:legend>
      <c:legendPos val="r"/>
      <c:legendEntry>
        <c:idx val="2"/>
        <c:delete val="1"/>
      </c:legendEntry>
      <c:legendEntry>
        <c:idx val="3"/>
        <c:delete val="1"/>
      </c:legendEntry>
      <c:layout>
        <c:manualLayout>
          <c:xMode val="edge"/>
          <c:yMode val="edge"/>
          <c:x val="0.72832131277707945"/>
          <c:y val="0.4178612949454939"/>
          <c:w val="0.25507135137519577"/>
          <c:h val="0.20858767276446941"/>
        </c:manualLayout>
      </c:layout>
    </c:legend>
    <c:plotVisOnly val="1"/>
  </c:chart>
  <c:spPr>
    <a:ln>
      <a:noFill/>
    </a:ln>
  </c:spPr>
  <c:externalData r:id="rId1"/>
  <c:userShapes r:id="rId2"/>
</c:chartSpace>
</file>

<file path=word/drawings/_rels/drawing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drawings/_rels/drawing2.xml.rels><?xml version="1.0" encoding="UTF-8" standalone="yes"?>
<Relationships xmlns="http://schemas.openxmlformats.org/package/2006/relationships"><Relationship Id="rId2" Type="http://schemas.openxmlformats.org/officeDocument/2006/relationships/image" Target="../media/image5.png"/><Relationship Id="rId1" Type="http://schemas.openxmlformats.org/officeDocument/2006/relationships/image" Target="../media/image4.png"/></Relationships>
</file>

<file path=word/drawings/_rels/drawing3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png"/></Relationships>
</file>

<file path=word/drawings/_rels/drawing4.xml.rels><?xml version="1.0" encoding="UTF-8" standalone="yes"?>
<Relationships xmlns="http://schemas.openxmlformats.org/package/2006/relationships"><Relationship Id="rId2" Type="http://schemas.openxmlformats.org/officeDocument/2006/relationships/image" Target="../media/image4.png"/><Relationship Id="rId1" Type="http://schemas.openxmlformats.org/officeDocument/2006/relationships/image" Target="../media/image5.png"/></Relationships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0.85103</cdr:x>
      <cdr:y>0.02258</cdr:y>
    </cdr:from>
    <cdr:to>
      <cdr:x>0.94435</cdr:x>
      <cdr:y>0.09278</cdr:y>
    </cdr:to>
    <cdr:pic>
      <cdr:nvPicPr>
        <cdr:cNvPr id="2" name="chart"/>
        <cdr:cNvPicPr>
          <a:picLocks xmlns:a="http://schemas.openxmlformats.org/drawingml/2006/main" noChangeAspect="1"/>
        </cdr:cNvPicPr>
      </cdr:nvPicPr>
      <cdr:blipFill>
        <a:blip xmlns:a="http://schemas.openxmlformats.org/drawingml/2006/main" xmlns:r="http://schemas.openxmlformats.org/officeDocument/2006/relationships" r:embed="rId1"/>
        <a:stretch xmlns:a="http://schemas.openxmlformats.org/drawingml/2006/main">
          <a:fillRect/>
        </a:stretch>
      </cdr:blipFill>
      <cdr:spPr>
        <a:xfrm xmlns:a="http://schemas.openxmlformats.org/drawingml/2006/main">
          <a:off x="5114925" y="66675"/>
          <a:ext cx="560881" cy="207282"/>
        </a:xfrm>
        <a:prstGeom xmlns:a="http://schemas.openxmlformats.org/drawingml/2006/main" prst="rect">
          <a:avLst/>
        </a:prstGeom>
      </cdr:spPr>
    </cdr:pic>
  </cdr:relSizeAnchor>
</c:userShapes>
</file>

<file path=word/drawings/drawing2.xml><?xml version="1.0" encoding="utf-8"?>
<c:userShapes xmlns:c="http://schemas.openxmlformats.org/drawingml/2006/chart">
  <cdr:relSizeAnchor xmlns:cdr="http://schemas.openxmlformats.org/drawingml/2006/chartDrawing">
    <cdr:from>
      <cdr:x>0.8796</cdr:x>
      <cdr:y>0.0241</cdr:y>
    </cdr:from>
    <cdr:to>
      <cdr:x>1</cdr:x>
      <cdr:y>0.11245</cdr:y>
    </cdr:to>
    <cdr:pic>
      <cdr:nvPicPr>
        <cdr:cNvPr id="2" name="chart"/>
        <cdr:cNvPicPr>
          <a:picLocks xmlns:a="http://schemas.openxmlformats.org/drawingml/2006/main" noChangeAspect="1"/>
        </cdr:cNvPicPr>
      </cdr:nvPicPr>
      <cdr:blipFill>
        <a:blip xmlns:a="http://schemas.openxmlformats.org/drawingml/2006/main" xmlns:r="http://schemas.openxmlformats.org/officeDocument/2006/relationships" r:embed="rId1"/>
        <a:stretch xmlns:a="http://schemas.openxmlformats.org/drawingml/2006/main">
          <a:fillRect/>
        </a:stretch>
      </cdr:blipFill>
      <cdr:spPr>
        <a:xfrm xmlns:a="http://schemas.openxmlformats.org/drawingml/2006/main">
          <a:off x="4507442" y="57151"/>
          <a:ext cx="617008" cy="209550"/>
        </a:xfrm>
        <a:prstGeom xmlns:a="http://schemas.openxmlformats.org/drawingml/2006/main" prst="rect">
          <a:avLst/>
        </a:prstGeom>
      </cdr:spPr>
    </cdr:pic>
  </cdr:relSizeAnchor>
  <cdr:relSizeAnchor xmlns:cdr="http://schemas.openxmlformats.org/drawingml/2006/chartDrawing">
    <cdr:from>
      <cdr:x>0.89174</cdr:x>
      <cdr:y>0.84337</cdr:y>
    </cdr:from>
    <cdr:to>
      <cdr:x>1</cdr:x>
      <cdr:y>0.93077</cdr:y>
    </cdr:to>
    <cdr:pic>
      <cdr:nvPicPr>
        <cdr:cNvPr id="3" name="chart"/>
        <cdr:cNvPicPr>
          <a:picLocks xmlns:a="http://schemas.openxmlformats.org/drawingml/2006/main" noChangeAspect="1"/>
        </cdr:cNvPicPr>
      </cdr:nvPicPr>
      <cdr:blipFill>
        <a:blip xmlns:a="http://schemas.openxmlformats.org/drawingml/2006/main" xmlns:r="http://schemas.openxmlformats.org/officeDocument/2006/relationships" r:embed="rId2"/>
        <a:stretch xmlns:a="http://schemas.openxmlformats.org/drawingml/2006/main">
          <a:fillRect/>
        </a:stretch>
      </cdr:blipFill>
      <cdr:spPr>
        <a:xfrm xmlns:a="http://schemas.openxmlformats.org/drawingml/2006/main">
          <a:off x="4667250" y="2000250"/>
          <a:ext cx="554784" cy="207282"/>
        </a:xfrm>
        <a:prstGeom xmlns:a="http://schemas.openxmlformats.org/drawingml/2006/main" prst="rect">
          <a:avLst/>
        </a:prstGeom>
      </cdr:spPr>
    </cdr:pic>
  </cdr:relSizeAnchor>
</c:userShapes>
</file>

<file path=word/drawings/drawing3.xml><?xml version="1.0" encoding="utf-8"?>
<c:userShapes xmlns:c="http://schemas.openxmlformats.org/drawingml/2006/chart">
  <cdr:relSizeAnchor xmlns:cdr="http://schemas.openxmlformats.org/drawingml/2006/chartDrawing">
    <cdr:from>
      <cdr:x>0.89486</cdr:x>
      <cdr:y>0.83794</cdr:y>
    </cdr:from>
    <cdr:to>
      <cdr:x>1</cdr:x>
      <cdr:y>0.92396</cdr:y>
    </cdr:to>
    <cdr:pic>
      <cdr:nvPicPr>
        <cdr:cNvPr id="2" name="chart"/>
        <cdr:cNvPicPr>
          <a:picLocks xmlns:a="http://schemas.openxmlformats.org/drawingml/2006/main" noChangeAspect="1"/>
        </cdr:cNvPicPr>
      </cdr:nvPicPr>
      <cdr:blipFill>
        <a:blip xmlns:a="http://schemas.openxmlformats.org/drawingml/2006/main" xmlns:r="http://schemas.openxmlformats.org/officeDocument/2006/relationships" r:embed="rId1"/>
        <a:stretch xmlns:a="http://schemas.openxmlformats.org/drawingml/2006/main">
          <a:fillRect/>
        </a:stretch>
      </cdr:blipFill>
      <cdr:spPr>
        <a:xfrm xmlns:a="http://schemas.openxmlformats.org/drawingml/2006/main">
          <a:off x="4848225" y="2019300"/>
          <a:ext cx="554784" cy="207282"/>
        </a:xfrm>
        <a:prstGeom xmlns:a="http://schemas.openxmlformats.org/drawingml/2006/main" prst="rect">
          <a:avLst/>
        </a:prstGeom>
      </cdr:spPr>
    </cdr:pic>
  </cdr:relSizeAnchor>
</c:userShapes>
</file>

<file path=word/drawings/drawing4.xml><?xml version="1.0" encoding="utf-8"?>
<c:userShapes xmlns:c="http://schemas.openxmlformats.org/drawingml/2006/chart">
  <cdr:relSizeAnchor xmlns:cdr="http://schemas.openxmlformats.org/drawingml/2006/chartDrawing">
    <cdr:from>
      <cdr:x>0.72954</cdr:x>
      <cdr:y>0.85583</cdr:y>
    </cdr:from>
    <cdr:to>
      <cdr:x>0.81933</cdr:x>
      <cdr:y>0.93182</cdr:y>
    </cdr:to>
    <cdr:pic>
      <cdr:nvPicPr>
        <cdr:cNvPr id="2" name="chart"/>
        <cdr:cNvPicPr>
          <a:picLocks xmlns:a="http://schemas.openxmlformats.org/drawingml/2006/main" noChangeAspect="1"/>
        </cdr:cNvPicPr>
      </cdr:nvPicPr>
      <cdr:blipFill>
        <a:blip xmlns:a="http://schemas.openxmlformats.org/drawingml/2006/main" xmlns:r="http://schemas.openxmlformats.org/officeDocument/2006/relationships" r:embed="rId1"/>
        <a:stretch xmlns:a="http://schemas.openxmlformats.org/drawingml/2006/main">
          <a:fillRect/>
        </a:stretch>
      </cdr:blipFill>
      <cdr:spPr>
        <a:xfrm xmlns:a="http://schemas.openxmlformats.org/drawingml/2006/main">
          <a:off x="3905250" y="2657475"/>
          <a:ext cx="480679" cy="235957"/>
        </a:xfrm>
        <a:prstGeom xmlns:a="http://schemas.openxmlformats.org/drawingml/2006/main" prst="rect">
          <a:avLst/>
        </a:prstGeom>
      </cdr:spPr>
    </cdr:pic>
  </cdr:relSizeAnchor>
  <cdr:relSizeAnchor xmlns:cdr="http://schemas.openxmlformats.org/drawingml/2006/chartDrawing">
    <cdr:from>
      <cdr:x>0.73003</cdr:x>
      <cdr:y>0</cdr:y>
    </cdr:from>
    <cdr:to>
      <cdr:x>0.83841</cdr:x>
      <cdr:y>0.06718</cdr:y>
    </cdr:to>
    <cdr:pic>
      <cdr:nvPicPr>
        <cdr:cNvPr id="3" name="chart"/>
        <cdr:cNvPicPr>
          <a:picLocks xmlns:a="http://schemas.openxmlformats.org/drawingml/2006/main" noChangeAspect="1"/>
        </cdr:cNvPicPr>
      </cdr:nvPicPr>
      <cdr:blipFill>
        <a:blip xmlns:a="http://schemas.openxmlformats.org/drawingml/2006/main" xmlns:r="http://schemas.openxmlformats.org/officeDocument/2006/relationships" r:embed="rId2"/>
        <a:stretch xmlns:a="http://schemas.openxmlformats.org/drawingml/2006/main">
          <a:fillRect/>
        </a:stretch>
      </cdr:blipFill>
      <cdr:spPr>
        <a:xfrm xmlns:a="http://schemas.openxmlformats.org/drawingml/2006/main">
          <a:off x="4352925" y="0"/>
          <a:ext cx="646232" cy="219475"/>
        </a:xfrm>
        <a:prstGeom xmlns:a="http://schemas.openxmlformats.org/drawingml/2006/main" prst="rect">
          <a:avLst/>
        </a:prstGeom>
      </cdr:spPr>
    </cdr:pic>
  </cdr:relSizeAnchor>
</c:userShape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4</Pages>
  <Words>414</Words>
  <Characters>2484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 Name</dc:creator>
  <cp:keywords/>
  <dc:description/>
  <cp:lastModifiedBy>Piotrek</cp:lastModifiedBy>
  <cp:revision>13</cp:revision>
  <dcterms:created xsi:type="dcterms:W3CDTF">2011-05-02T15:20:00Z</dcterms:created>
  <dcterms:modified xsi:type="dcterms:W3CDTF">2011-05-04T13:01:00Z</dcterms:modified>
</cp:coreProperties>
</file>