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Rule="auto"/>
        <w:rPr>
          <w:color w:val="1f1f1f"/>
          <w:sz w:val="45"/>
          <w:szCs w:val="45"/>
        </w:rPr>
      </w:pPr>
      <w:bookmarkStart w:colFirst="0" w:colLast="0" w:name="_hdaaonkmgyb4" w:id="0"/>
      <w:bookmarkEnd w:id="0"/>
      <w:r w:rsidDel="00000000" w:rsidR="00000000" w:rsidRPr="00000000">
        <w:rPr>
          <w:color w:val="1f1f1f"/>
          <w:sz w:val="45"/>
          <w:szCs w:val="45"/>
          <w:rtl w:val="0"/>
        </w:rPr>
        <w:t xml:space="preserve">Glossary terms from week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b w:val="1"/>
          <w:color w:val="1f1f1f"/>
          <w:sz w:val="33"/>
          <w:szCs w:val="33"/>
        </w:rPr>
      </w:pPr>
      <w:bookmarkStart w:colFirst="0" w:colLast="0" w:name="_i5aq4aifya1t" w:id="1"/>
      <w:bookmarkEnd w:id="1"/>
      <w:r w:rsidDel="00000000" w:rsidR="00000000" w:rsidRPr="00000000">
        <w:rPr>
          <w:b w:val="1"/>
          <w:color w:val="1f1f1f"/>
          <w:sz w:val="33"/>
          <w:szCs w:val="33"/>
          <w:rtl w:val="0"/>
        </w:rPr>
        <w:t xml:space="preserve">Terms and definitions from Course 1, Week 3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Asset: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 item perceived as having value to an organization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Availability: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The idea that data is accessible to those who are authorized to access it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Compliance: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The process of adhering to internal standards and external regulations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Confidentiality: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The idea that only authorized users can access specific assets or data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Confidentiality, integrity, availability (CIA) triad: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model that helps inform how organizations consider risk when setting up systems and security policies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Hacktivist: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person who uses hacking to achieve a political goal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Health Insurance Portability and Accountability Act (HIPAA):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U.S. federal law established to protect patients' health information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Integrity: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The idea that the data is correct, authentic, and reliable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National Institute of Standards and Technology (NIST) Cyber Security Framework (CSF):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voluntary framework that consists of standards, guidelines, and best practices to manage cybersecurity risk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Privacy protection: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The act of safeguarding personal information from unauthorized use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Protected health information (PHI):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Information that relates to the past, present, or future physical or mental health or condition of an individual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Security architecture: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type of security design composed of multiple components, such as tools and processes, that are used to protect an organization from risks and external threats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Security controls: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Safeguards designed to reduce specific security risks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Security ethics: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Guidelines for making appropriate decisions as a security professional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Security frameworks: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Guidelines used for building plans to help mitigate risk and threats to data and privacy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Security governance: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Practices that help support, define, and direct security efforts of an organization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Sensitive personally identifiable information (SPII):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specific type of PII that falls under stricter handling guidelines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