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rFonts w:ascii="Arial" w:hAnsi="Arial"/>
          <w:b/>
          <w:color w:val="125F38"/>
          <w:sz w:val="18"/>
        </w:rPr>
        <w:t>AKSEN LABS</w:t>
      </w:r>
    </w:p>
    <w:p>
      <w:pPr>
        <w:pStyle w:val="Title"/>
        <w:jc w:val="center"/>
      </w:pPr>
      <w:r>
        <w:t>The Frame Shop</w:t>
      </w:r>
    </w:p>
    <w:p>
      <w:pPr>
        <w:pStyle w:val="Subtitle"/>
        <w:jc w:val="center"/>
      </w:pPr>
      <w:r>
        <w:t>Digital Commerce and AI Services Proposal</w:t>
      </w:r>
    </w:p>
    <w:p>
      <w:pPr>
        <w:spacing w:after="28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aksen-hero-green-v2.png"/>
                    <pic:cNvPicPr/>
                  </pic:nvPicPr>
                  <pic:blipFill>
                    <a:blip r:embed="rId11"/>
                    <a:stretch>
                      <a:fillRect/>
                    </a:stretch>
                  </pic:blipFill>
                  <pic:spPr>
                    <a:xfrm>
                      <a:off x="0" y="0"/>
                      <a:ext cx="5943600" cy="3345052"/>
                    </a:xfrm>
                    <a:prstGeom prst="rect"/>
                  </pic:spPr>
                </pic:pic>
              </a:graphicData>
            </a:graphic>
          </wp:inline>
        </w:drawing>
      </w:r>
    </w:p>
    <w:tbl>
      <w:tblPr>
        <w:tblW w:type="dxa" w:w="9360"/>
        <w:jc w:val="center"/>
        <w:tblLayout w:type="fixed"/>
        <w:tblLook w:firstColumn="1" w:firstRow="1" w:lastColumn="0" w:lastRow="0" w:noHBand="0" w:noVBand="1" w:val="04A0"/>
        <w:tblInd w:w="120" w:type="dxa"/>
        <w:tblBorders>
          <w:top w:val="single" w:sz="4" w:space="0" w:color="D7DED9"/>
          <w:left w:val="single" w:sz="4" w:space="0" w:color="D7DED9"/>
          <w:bottom w:val="single" w:sz="4" w:space="0" w:color="D7DED9"/>
          <w:right w:val="single" w:sz="4" w:space="0" w:color="D7DED9"/>
          <w:insideH w:val="single" w:sz="4" w:space="0" w:color="D7DED9"/>
          <w:insideV w:val="single" w:sz="4" w:space="0" w:color="D7DED9"/>
        </w:tblBorders>
      </w:tblPr>
      <w:tblGrid>
        <w:gridCol w:w="2050"/>
        <w:gridCol w:w="7310"/>
      </w:tblGrid>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PREPARED FOR</w:t>
            </w:r>
          </w:p>
        </w:tc>
        <w:tc>
          <w:tcPr>
            <w:tcW w:type="dxa" w:w="7310"/>
            <w:tcMar>
              <w:top w:w="110" w:type="dxa"/>
              <w:start w:w="130" w:type="dxa"/>
              <w:bottom w:w="110" w:type="dxa"/>
              <w:end w:w="130" w:type="dxa"/>
            </w:tcMar>
            <w:vAlign w:val="center"/>
          </w:tcPr>
          <w:p>
            <w:pPr>
              <w:spacing w:after="0"/>
            </w:pPr>
            <w:r>
              <w:rPr>
                <w:rFonts w:ascii="Arial" w:hAnsi="Arial"/>
                <w:b/>
                <w:color w:val="17201A"/>
                <w:sz w:val="21"/>
              </w:rPr>
              <w:t>Ope, Founder</w:t>
            </w:r>
          </w:p>
        </w:tc>
      </w:tr>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PREPARED BY</w:t>
            </w:r>
          </w:p>
        </w:tc>
        <w:tc>
          <w:tcPr>
            <w:tcW w:type="dxa" w:w="7310"/>
            <w:tcMar>
              <w:top w:w="110" w:type="dxa"/>
              <w:start w:w="130" w:type="dxa"/>
              <w:bottom w:w="110" w:type="dxa"/>
              <w:end w:w="130" w:type="dxa"/>
            </w:tcMar>
            <w:vAlign w:val="center"/>
          </w:tcPr>
          <w:p>
            <w:pPr>
              <w:spacing w:after="0"/>
            </w:pPr>
            <w:r>
              <w:rPr>
                <w:rFonts w:ascii="Arial" w:hAnsi="Arial"/>
                <w:b w:val="0"/>
                <w:color w:val="17201A"/>
                <w:sz w:val="21"/>
              </w:rPr>
              <w:t>Aksen Labs</w:t>
            </w:r>
          </w:p>
        </w:tc>
      </w:tr>
      <w:tr>
        <w:trPr>
          <w:cantSplit/>
        </w:trPr>
        <w:tc>
          <w:tcPr>
            <w:tcW w:type="dxa" w:w="2050"/>
            <w:tcMar>
              <w:top w:w="110" w:type="dxa"/>
              <w:start w:w="130" w:type="dxa"/>
              <w:bottom w:w="110" w:type="dxa"/>
              <w:end w:w="130" w:type="dxa"/>
            </w:tcMar>
            <w:vAlign w:val="center"/>
            <w:shd w:fill="EAF7EF"/>
          </w:tcPr>
          <w:p>
            <w:pPr>
              <w:spacing w:after="0"/>
            </w:pPr>
            <w:r>
              <w:rPr>
                <w:rFonts w:ascii="Arial" w:hAnsi="Arial"/>
                <w:b/>
                <w:color w:val="125F38"/>
                <w:sz w:val="17"/>
              </w:rPr>
              <w:t>DATE</w:t>
            </w:r>
          </w:p>
        </w:tc>
        <w:tc>
          <w:tcPr>
            <w:tcW w:type="dxa" w:w="7310"/>
            <w:tcMar>
              <w:top w:w="110" w:type="dxa"/>
              <w:start w:w="130" w:type="dxa"/>
              <w:bottom w:w="110" w:type="dxa"/>
              <w:end w:w="130" w:type="dxa"/>
            </w:tcMar>
            <w:vAlign w:val="center"/>
          </w:tcPr>
          <w:p>
            <w:pPr>
              <w:spacing w:after="0"/>
            </w:pPr>
            <w:r>
              <w:rPr>
                <w:rFonts w:ascii="Arial" w:hAnsi="Arial"/>
                <w:b w:val="0"/>
                <w:color w:val="17201A"/>
                <w:sz w:val="21"/>
              </w:rPr>
              <w:t>September 2026</w:t>
            </w:r>
          </w:p>
        </w:tc>
      </w:tr>
    </w:tbl>
    <w:p>
      <w:pPr>
        <w:spacing w:before="220"/>
        <w:jc w:val="center"/>
      </w:pPr>
      <w:r>
        <w:rPr>
          <w:rFonts w:ascii="Arial" w:hAnsi="Arial"/>
          <w:i/>
          <w:color w:val="66736B"/>
          <w:sz w:val="19"/>
        </w:rPr>
        <w:t>Confidential Commercial Proposal • Prepared by Aksen Labs</w:t>
      </w:r>
    </w:p>
    <w:p>
      <w:pPr>
        <w:spacing w:before="320"/>
        <w:jc w:val="center"/>
      </w:pPr>
      <w:r>
        <w:rPr>
          <w:rFonts w:ascii="Arial" w:hAnsi="Arial"/>
          <w:b/>
          <w:color w:val="125F38"/>
          <w:sz w:val="20"/>
        </w:rPr>
        <w:t>FROM ATTENTION TO ACTION.</w:t>
      </w:r>
    </w:p>
    <w:p>
      <w:r>
        <w:br w:type="page"/>
      </w:r>
    </w:p>
    <w:p>
      <w:pPr>
        <w:pStyle w:val="Kicker"/>
        <w:jc w:val="left"/>
      </w:pPr>
      <w:r>
        <w:rPr>
          <w:rFonts w:ascii="Arial" w:hAnsi="Arial"/>
          <w:b/>
          <w:color w:val="125F38"/>
          <w:sz w:val="18"/>
        </w:rPr>
        <w:t>EXECUTIVE SUMMARY</w:t>
      </w:r>
    </w:p>
    <w:p>
      <w:pPr>
        <w:pStyle w:val="Heading1"/>
      </w:pPr>
      <w:r>
        <w:t>A connected digital platform for your business</w:t>
      </w:r>
    </w:p>
    <w:p>
      <w:r>
        <w:rPr>
          <w:rFonts w:ascii="Arial" w:hAnsi="Arial"/>
        </w:rPr>
        <w:t>Ope, we have undertaken an extensive review of the businesses we could identify through your public Instagram presence, including @theframe_shop, @tfs_gallery and @decors_store. Your profiles present a complementary range of wall framing, bespoke wall decor and home accessories, alongside installation work for homes and hospitality spaces. This proposal reflects that breadth and the distinct needs of customers buying individual pieces and those commissioning a complete project.</w:t>
      </w:r>
    </w:p>
    <w:p>
      <w:r>
        <w:rPr>
          <w:rFonts w:ascii="Arial" w:hAnsi="Arial"/>
        </w:rPr>
        <w:t>Aksen Labs proposes a shared digital platform that presents these offerings clearly, supports online purchases and project enquiries, and gives your team a central place to manage products, orders and customer information. The proposed structure brings the brands together under The Frame Shop, with the presentation and relationship between them agreed with you during design.</w:t>
      </w:r>
    </w:p>
    <w:p>
      <w:r>
        <w:rPr>
          <w:rFonts w:ascii="Arial" w:hAnsi="Arial"/>
        </w:rPr>
        <w:t>An AI agent will support customer service and everyday sales tasks using your approved catalogue, prices and business policies. Customers can access the agent through the website and WhatsApp, while your team uses the same business information to support enquiries and prepare responses. Bespoke pricing, project commitments and exceptions remain with your team.</w:t>
      </w:r>
    </w:p>
    <w:p>
      <w:pPr>
        <w:pStyle w:val="Heading2"/>
      </w:pPr>
      <w:r>
        <w:t>What the engagement delivers</w:t>
      </w:r>
    </w:p>
    <w:p>
      <w:pPr>
        <w:pStyle w:val="ListBody"/>
        <w:numPr>
          <w:ilvl w:val="0"/>
          <w:numId w:val="10"/>
        </w:numPr>
      </w:pPr>
      <w:r>
        <w:rPr>
          <w:rFonts w:ascii="Arial" w:hAnsi="Arial"/>
        </w:rPr>
        <w:t>A mobile-friendly storefront for frames, art and decor, with product details and secure online checkout.</w:t>
      </w:r>
    </w:p>
    <w:p>
      <w:pPr>
        <w:pStyle w:val="ListBody"/>
        <w:numPr>
          <w:ilvl w:val="0"/>
          <w:numId w:val="10"/>
        </w:numPr>
      </w:pPr>
      <w:r>
        <w:rPr>
          <w:rFonts w:ascii="Arial" w:hAnsi="Arial"/>
        </w:rPr>
        <w:t>A projects portfolio and structured enquiry process for bespoke work and installations.</w:t>
      </w:r>
    </w:p>
    <w:p>
      <w:pPr>
        <w:pStyle w:val="ListBody"/>
        <w:numPr>
          <w:ilvl w:val="0"/>
          <w:numId w:val="10"/>
        </w:numPr>
      </w:pPr>
      <w:r>
        <w:rPr>
          <w:rFonts w:ascii="Arial" w:hAnsi="Arial"/>
        </w:rPr>
        <w:t>An AI service connected to approved business information, with website and WhatsApp access and clear handover to staff.</w:t>
      </w:r>
    </w:p>
    <w:p>
      <w:pPr>
        <w:pStyle w:val="ListBody"/>
        <w:numPr>
          <w:ilvl w:val="0"/>
          <w:numId w:val="10"/>
        </w:numPr>
      </w:pPr>
      <w:r>
        <w:rPr>
          <w:rFonts w:ascii="Arial" w:hAnsi="Arial"/>
        </w:rPr>
        <w:t>An admin dashboard, internal AI assistance and reporting to support the daily operation.</w:t>
      </w:r>
    </w:p>
    <w:p>
      <w:pPr>
        <w:pStyle w:val="Heading2"/>
      </w:pPr>
      <w:r>
        <w:t>Investment</w:t>
      </w:r>
    </w:p>
    <w:p>
      <w:r>
        <w:rPr>
          <w:rFonts w:ascii="Arial" w:hAnsi="Arial"/>
        </w:rPr>
        <w:t>The complete implementation is ₦250,000. A recurring fee of ₦30,000 per month covers the AI subscriptions that power the included AI services, beginning at launch. Implementation includes staff training, handover and a 30-day post-launch warranty.</w:t>
      </w:r>
    </w:p>
    <w:p>
      <w:r>
        <w:br w:type="page"/>
      </w:r>
    </w:p>
    <w:p>
      <w:pPr>
        <w:pStyle w:val="Kicker"/>
        <w:jc w:val="left"/>
      </w:pPr>
      <w:r>
        <w:rPr>
          <w:rFonts w:ascii="Arial" w:hAnsi="Arial"/>
          <w:b/>
          <w:color w:val="125F38"/>
          <w:sz w:val="18"/>
        </w:rPr>
        <w:t>SCOPE OF WORK</w:t>
      </w:r>
    </w:p>
    <w:p>
      <w:pPr>
        <w:pStyle w:val="Heading1"/>
      </w:pPr>
      <w:r>
        <w:t>Digital commerce and business operations</w:t>
      </w:r>
    </w:p>
    <w:p>
      <w:pPr>
        <w:pStyle w:val="Heading2"/>
      </w:pPr>
      <w:r>
        <w:t>Storefront and projects portfolio</w:t>
      </w:r>
    </w:p>
    <w:p>
      <w:r>
        <w:rPr>
          <w:rFonts w:ascii="Arial" w:hAnsi="Arial"/>
        </w:rPr>
        <w:t>The retail shop will organise your approved catalogue by product category, with available sizes, finishes, prices and delivery information. Customers will be able to select products and pay securely through Paystack. A separate projects area will present selected installations and collect the project type, location, dimensions and timeline needed for your team to assess an enquiry.</w:t>
      </w:r>
    </w:p>
    <w:p>
      <w:pPr>
        <w:pStyle w:val="Heading2"/>
      </w:pPr>
      <w:r>
        <w:t>AI customer service and sales assistance</w:t>
      </w:r>
    </w:p>
    <w:p>
      <w:r>
        <w:rPr>
          <w:rFonts w:ascii="Arial" w:hAnsi="Arial"/>
        </w:rPr>
        <w:t>The AI agent will answer routine questions using approved product and policy information, guide customers to suitable catalogue options, collect order details and share secure payment links. Website chat and WhatsApp will serve as interfaces to this shared service. Custom requests, complaints and questions outside the approved information will be passed to staff with the relevant context.</w:t>
      </w:r>
    </w:p>
    <w:p>
      <w:pPr>
        <w:pStyle w:val="Heading2"/>
      </w:pPr>
      <w:r>
        <w:t>Business rules and staff oversight</w:t>
      </w:r>
    </w:p>
    <w:p>
      <w:r>
        <w:rPr>
          <w:rFonts w:ascii="Arial" w:hAnsi="Arial"/>
        </w:rPr>
        <w:t>Prices and availability will come from the maintained catalogue. Payment status will be confirmed through the payment integration before an order is marked as paid. Your team will approve bespoke quotations, discounts and delivery commitments that fall outside the agreed rules.</w:t>
      </w:r>
    </w:p>
    <w:p>
      <w:pPr>
        <w:pStyle w:val="Heading2"/>
      </w:pPr>
      <w:r>
        <w:t>Team tools and reporting</w:t>
      </w:r>
    </w:p>
    <w:p>
      <w:r>
        <w:rPr>
          <w:rFonts w:ascii="Arial" w:hAnsi="Arial"/>
        </w:rPr>
        <w:t>A self-service dashboard will allow your team to maintain products and availability, review orders and enquiries, and update project photographs. An internal AI assistant will help staff find catalogue information and draft responses or quotations for review. Reporting will show recorded orders, sales and enquiry activity to support follow-up and performance reviews.</w:t>
      </w:r>
    </w:p>
    <w:p>
      <w:pPr>
        <w:pStyle w:val="Heading2"/>
      </w:pPr>
      <w:r>
        <w:t>Configuration and handover</w:t>
      </w:r>
    </w:p>
    <w:p>
      <w:r>
        <w:rPr>
          <w:rFonts w:ascii="Arial" w:hAnsi="Arial"/>
        </w:rPr>
        <w:t>Aksen Labs will configure the platform and integrations, test purchase and enquiry journeys, and train Ope and designated team members. Handover includes account access and operating guidance. Catalogue content, policies, brand presentation and escalation contacts will be agreed before launch.</w:t>
      </w:r>
    </w:p>
    <w:p>
      <w:r>
        <w:br w:type="page"/>
      </w:r>
    </w:p>
    <w:p>
      <w:pPr>
        <w:pStyle w:val="Kicker"/>
        <w:jc w:val="left"/>
      </w:pPr>
      <w:r>
        <w:rPr>
          <w:rFonts w:ascii="Arial" w:hAnsi="Arial"/>
          <w:b/>
          <w:color w:val="125F38"/>
          <w:sz w:val="18"/>
        </w:rPr>
        <w:t>INVESTMENT AND DELIVERY</w:t>
      </w:r>
    </w:p>
    <w:p>
      <w:pPr>
        <w:pStyle w:val="Heading1"/>
      </w:pPr>
      <w:r>
        <w:t>Fees and implementation schedule</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2300"/>
        <w:gridCol w:w="1900"/>
        <w:gridCol w:w="5160"/>
      </w:tblGrid>
      <w:tr>
        <w:trPr>
          <w:cantSplit/>
          <w:tblHeader w:val="true"/>
          <w:cantSplit/>
        </w:trPr>
        <w:tc>
          <w:tcPr>
            <w:tcW w:type="dxa" w:w="2300"/>
            <w:tcMar>
              <w:top w:w="110" w:type="dxa"/>
              <w:start w:w="130" w:type="dxa"/>
              <w:bottom w:w="110" w:type="dxa"/>
              <w:end w:w="130" w:type="dxa"/>
            </w:tcMar>
            <w:vAlign w:val="center"/>
            <w:shd w:fill="173D2A"/>
          </w:tcPr>
          <w:p>
            <w:pPr>
              <w:spacing w:after="0"/>
            </w:pPr>
            <w:r>
              <w:rPr>
                <w:rFonts w:ascii="Arial" w:hAnsi="Arial"/>
                <w:b/>
                <w:color w:val="FFFFFF"/>
                <w:sz w:val="17"/>
              </w:rPr>
              <w:t>Item</w:t>
            </w:r>
          </w:p>
        </w:tc>
        <w:tc>
          <w:tcPr>
            <w:tcW w:type="dxa" w:w="1900"/>
            <w:tcMar>
              <w:top w:w="110" w:type="dxa"/>
              <w:start w:w="130" w:type="dxa"/>
              <w:bottom w:w="110" w:type="dxa"/>
              <w:end w:w="130" w:type="dxa"/>
            </w:tcMar>
            <w:vAlign w:val="center"/>
            <w:shd w:fill="173D2A"/>
          </w:tcPr>
          <w:p>
            <w:pPr>
              <w:spacing w:after="0"/>
            </w:pPr>
            <w:r>
              <w:rPr>
                <w:rFonts w:ascii="Arial" w:hAnsi="Arial"/>
                <w:b/>
                <w:color w:val="FFFFFF"/>
                <w:sz w:val="17"/>
              </w:rPr>
              <w:t>Fee</w:t>
            </w:r>
          </w:p>
        </w:tc>
        <w:tc>
          <w:tcPr>
            <w:tcW w:type="dxa" w:w="5160"/>
            <w:tcMar>
              <w:top w:w="110" w:type="dxa"/>
              <w:start w:w="130" w:type="dxa"/>
              <w:bottom w:w="110" w:type="dxa"/>
              <w:end w:w="130" w:type="dxa"/>
            </w:tcMar>
            <w:vAlign w:val="center"/>
            <w:shd w:fill="173D2A"/>
          </w:tcPr>
          <w:p>
            <w:pPr>
              <w:spacing w:after="0"/>
            </w:pPr>
            <w:r>
              <w:rPr>
                <w:rFonts w:ascii="Arial" w:hAnsi="Arial"/>
                <w:b/>
                <w:color w:val="FFFFFF"/>
                <w:sz w:val="17"/>
              </w:rPr>
              <w:t>Coverage</w:t>
            </w:r>
          </w:p>
        </w:tc>
      </w:tr>
      <w:tr>
        <w:trPr>
          <w:cantSplit/>
        </w:trPr>
        <w:tc>
          <w:tcPr>
            <w:tcW w:type="dxa" w:w="2300"/>
            <w:tcMar>
              <w:top w:w="110" w:type="dxa"/>
              <w:start w:w="130" w:type="dxa"/>
              <w:bottom w:w="110" w:type="dxa"/>
              <w:end w:w="130" w:type="dxa"/>
            </w:tcMar>
            <w:vAlign w:val="center"/>
          </w:tcPr>
          <w:p>
            <w:pPr>
              <w:spacing w:after="0"/>
            </w:pPr>
            <w:r>
              <w:rPr>
                <w:rFonts w:ascii="Arial" w:hAnsi="Arial"/>
                <w:b/>
                <w:color w:val="17201A"/>
                <w:sz w:val="19"/>
              </w:rPr>
              <w:t>Complete implementation</w:t>
            </w:r>
          </w:p>
        </w:tc>
        <w:tc>
          <w:tcPr>
            <w:tcW w:type="dxa" w:w="1900"/>
            <w:tcMar>
              <w:top w:w="110" w:type="dxa"/>
              <w:start w:w="130" w:type="dxa"/>
              <w:bottom w:w="110" w:type="dxa"/>
              <w:end w:w="130" w:type="dxa"/>
            </w:tcMar>
            <w:vAlign w:val="center"/>
          </w:tcPr>
          <w:p>
            <w:pPr>
              <w:spacing w:after="0"/>
            </w:pPr>
            <w:r>
              <w:rPr>
                <w:rFonts w:ascii="Arial" w:hAnsi="Arial"/>
                <w:b w:val="0"/>
                <w:color w:val="17201A"/>
                <w:sz w:val="19"/>
              </w:rPr>
              <w:t>₦250,000 once</w:t>
            </w:r>
          </w:p>
        </w:tc>
        <w:tc>
          <w:tcPr>
            <w:tcW w:type="dxa" w:w="5160"/>
            <w:tcMar>
              <w:top w:w="110" w:type="dxa"/>
              <w:start w:w="130" w:type="dxa"/>
              <w:bottom w:w="110" w:type="dxa"/>
              <w:end w:w="130" w:type="dxa"/>
            </w:tcMar>
            <w:vAlign w:val="center"/>
          </w:tcPr>
          <w:p>
            <w:pPr>
              <w:spacing w:after="0"/>
            </w:pPr>
            <w:r>
              <w:rPr>
                <w:rFonts w:ascii="Arial" w:hAnsi="Arial"/>
                <w:b w:val="0"/>
                <w:color w:val="17201A"/>
                <w:sz w:val="19"/>
              </w:rPr>
              <w:t>All scope in this proposal, including setup, integrations, training and handover.</w:t>
            </w:r>
          </w:p>
        </w:tc>
      </w:tr>
      <w:tr>
        <w:trPr>
          <w:cantSplit/>
        </w:trPr>
        <w:tc>
          <w:tcPr>
            <w:tcW w:type="dxa" w:w="2300"/>
            <w:shd w:fill="F8FAF8"/>
            <w:tcMar>
              <w:top w:w="110" w:type="dxa"/>
              <w:start w:w="130" w:type="dxa"/>
              <w:bottom w:w="110" w:type="dxa"/>
              <w:end w:w="130" w:type="dxa"/>
            </w:tcMar>
            <w:vAlign w:val="center"/>
          </w:tcPr>
          <w:p>
            <w:pPr>
              <w:spacing w:after="0"/>
            </w:pPr>
            <w:r>
              <w:rPr>
                <w:rFonts w:ascii="Arial" w:hAnsi="Arial"/>
                <w:b/>
                <w:color w:val="17201A"/>
                <w:sz w:val="19"/>
              </w:rPr>
              <w:t>AI service subscription</w:t>
            </w:r>
          </w:p>
        </w:tc>
        <w:tc>
          <w:tcPr>
            <w:tcW w:type="dxa" w:w="1900"/>
            <w:shd w:fill="F8FAF8"/>
            <w:tcMar>
              <w:top w:w="110" w:type="dxa"/>
              <w:start w:w="130" w:type="dxa"/>
              <w:bottom w:w="110" w:type="dxa"/>
              <w:end w:w="130" w:type="dxa"/>
            </w:tcMar>
            <w:vAlign w:val="center"/>
          </w:tcPr>
          <w:p>
            <w:pPr>
              <w:spacing w:after="0"/>
            </w:pPr>
            <w:r>
              <w:rPr>
                <w:rFonts w:ascii="Arial" w:hAnsi="Arial"/>
                <w:b w:val="0"/>
                <w:color w:val="17201A"/>
                <w:sz w:val="19"/>
              </w:rPr>
              <w:t>₦30,000 monthly</w:t>
            </w:r>
          </w:p>
        </w:tc>
        <w:tc>
          <w:tcPr>
            <w:tcW w:type="dxa" w:w="5160"/>
            <w:shd w:fill="F8FAF8"/>
            <w:tcMar>
              <w:top w:w="110" w:type="dxa"/>
              <w:start w:w="130" w:type="dxa"/>
              <w:bottom w:w="110" w:type="dxa"/>
              <w:end w:w="130" w:type="dxa"/>
            </w:tcMar>
            <w:vAlign w:val="center"/>
          </w:tcPr>
          <w:p>
            <w:pPr>
              <w:spacing w:after="0"/>
            </w:pPr>
            <w:r>
              <w:rPr>
                <w:rFonts w:ascii="Arial" w:hAnsi="Arial"/>
                <w:b w:val="0"/>
                <w:color w:val="17201A"/>
                <w:sz w:val="19"/>
              </w:rPr>
              <w:t>AI subscriptions powering the customer agent and internal assistant, starting at launch.</w:t>
            </w:r>
          </w:p>
        </w:tc>
      </w:tr>
      <w:tr>
        <w:trPr>
          <w:cantSplit/>
        </w:trPr>
        <w:tc>
          <w:tcPr>
            <w:tcW w:type="dxa" w:w="2300"/>
            <w:tcMar>
              <w:top w:w="110" w:type="dxa"/>
              <w:start w:w="130" w:type="dxa"/>
              <w:bottom w:w="110" w:type="dxa"/>
              <w:end w:w="130" w:type="dxa"/>
            </w:tcMar>
            <w:vAlign w:val="center"/>
          </w:tcPr>
          <w:p>
            <w:pPr>
              <w:spacing w:after="0"/>
            </w:pPr>
            <w:r>
              <w:rPr>
                <w:rFonts w:ascii="Arial" w:hAnsi="Arial"/>
                <w:b/>
                <w:color w:val="17201A"/>
                <w:sz w:val="19"/>
              </w:rPr>
              <w:t>Post-launch warranty</w:t>
            </w:r>
          </w:p>
        </w:tc>
        <w:tc>
          <w:tcPr>
            <w:tcW w:type="dxa" w:w="1900"/>
            <w:tcMar>
              <w:top w:w="110" w:type="dxa"/>
              <w:start w:w="130" w:type="dxa"/>
              <w:bottom w:w="110" w:type="dxa"/>
              <w:end w:w="130" w:type="dxa"/>
            </w:tcMar>
            <w:vAlign w:val="center"/>
          </w:tcPr>
          <w:p>
            <w:pPr>
              <w:spacing w:after="0"/>
            </w:pPr>
            <w:r>
              <w:rPr>
                <w:rFonts w:ascii="Arial" w:hAnsi="Arial"/>
                <w:b w:val="0"/>
                <w:color w:val="17201A"/>
                <w:sz w:val="19"/>
              </w:rPr>
              <w:t>Included for 30 days</w:t>
            </w:r>
          </w:p>
        </w:tc>
        <w:tc>
          <w:tcPr>
            <w:tcW w:type="dxa" w:w="5160"/>
            <w:tcMar>
              <w:top w:w="110" w:type="dxa"/>
              <w:start w:w="130" w:type="dxa"/>
              <w:bottom w:w="110" w:type="dxa"/>
              <w:end w:w="130" w:type="dxa"/>
            </w:tcMar>
            <w:vAlign w:val="center"/>
          </w:tcPr>
          <w:p>
            <w:pPr>
              <w:spacing w:after="0"/>
            </w:pPr>
            <w:r>
              <w:rPr>
                <w:rFonts w:ascii="Arial" w:hAnsi="Arial"/>
                <w:b w:val="0"/>
                <w:color w:val="17201A"/>
                <w:sz w:val="19"/>
              </w:rPr>
              <w:t>Implementation defect corrections and initial AI configuration adjustments. The monthly AI subscription remains payable.</w:t>
            </w:r>
          </w:p>
        </w:tc>
      </w:tr>
    </w:tbl>
    <w:p>
      <w:pPr>
        <w:pStyle w:val="Heading2"/>
      </w:pPr>
      <w:r>
        <w:t>Payment milestones</w:t>
      </w:r>
    </w:p>
    <w:p>
      <w:r>
        <w:rPr>
          <w:rFonts w:ascii="Arial" w:hAnsi="Arial"/>
        </w:rPr>
        <w:t>A 50% deposit of ₦125,000 initiates the work. The remaining ₦125,000 is due on handover, when the agreed platform is live on the business domain, checkout has passed testing, the AI interfaces are connected, and staff access and training have been provided. The AI subscription is payable monthly in advance from launch.</w:t>
      </w:r>
    </w:p>
    <w:p>
      <w:pPr>
        <w:pStyle w:val="Heading2"/>
      </w:pPr>
      <w:r>
        <w:t>Delivery schedule</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2300"/>
        <w:gridCol w:w="1400"/>
        <w:gridCol w:w="5660"/>
      </w:tblGrid>
      <w:tr>
        <w:trPr>
          <w:cantSplit/>
          <w:tblHeader w:val="true"/>
          <w:cantSplit/>
        </w:trPr>
        <w:tc>
          <w:tcPr>
            <w:tcW w:type="dxa" w:w="2300"/>
            <w:tcMar>
              <w:top w:w="110" w:type="dxa"/>
              <w:start w:w="130" w:type="dxa"/>
              <w:bottom w:w="110" w:type="dxa"/>
              <w:end w:w="130" w:type="dxa"/>
            </w:tcMar>
            <w:vAlign w:val="center"/>
            <w:shd w:fill="173D2A"/>
          </w:tcPr>
          <w:p>
            <w:pPr>
              <w:spacing w:after="0"/>
            </w:pPr>
            <w:r>
              <w:rPr>
                <w:rFonts w:ascii="Arial" w:hAnsi="Arial"/>
                <w:b/>
                <w:color w:val="FFFFFF"/>
                <w:sz w:val="17"/>
              </w:rPr>
              <w:t>Stage</w:t>
            </w:r>
          </w:p>
        </w:tc>
        <w:tc>
          <w:tcPr>
            <w:tcW w:type="dxa" w:w="1400"/>
            <w:tcMar>
              <w:top w:w="110" w:type="dxa"/>
              <w:start w:w="130" w:type="dxa"/>
              <w:bottom w:w="110" w:type="dxa"/>
              <w:end w:w="130" w:type="dxa"/>
            </w:tcMar>
            <w:vAlign w:val="center"/>
            <w:shd w:fill="173D2A"/>
          </w:tcPr>
          <w:p>
            <w:pPr>
              <w:spacing w:after="0"/>
            </w:pPr>
            <w:r>
              <w:rPr>
                <w:rFonts w:ascii="Arial" w:hAnsi="Arial"/>
                <w:b/>
                <w:color w:val="FFFFFF"/>
                <w:sz w:val="17"/>
              </w:rPr>
              <w:t>Timing</w:t>
            </w:r>
          </w:p>
        </w:tc>
        <w:tc>
          <w:tcPr>
            <w:tcW w:type="dxa" w:w="5660"/>
            <w:tcMar>
              <w:top w:w="110" w:type="dxa"/>
              <w:start w:w="130" w:type="dxa"/>
              <w:bottom w:w="110" w:type="dxa"/>
              <w:end w:w="130" w:type="dxa"/>
            </w:tcMar>
            <w:vAlign w:val="center"/>
            <w:shd w:fill="173D2A"/>
          </w:tcPr>
          <w:p>
            <w:pPr>
              <w:spacing w:after="0"/>
            </w:pPr>
            <w:r>
              <w:rPr>
                <w:rFonts w:ascii="Arial" w:hAnsi="Arial"/>
                <w:b/>
                <w:color w:val="FFFFFF"/>
                <w:sz w:val="17"/>
              </w:rPr>
              <w:t>Deliverables</w:t>
            </w:r>
          </w:p>
        </w:tc>
      </w:tr>
      <w:tr>
        <w:trPr>
          <w:cantSplit/>
        </w:trPr>
        <w:tc>
          <w:tcPr>
            <w:tcW w:type="dxa" w:w="2300"/>
            <w:tcMar>
              <w:top w:w="110" w:type="dxa"/>
              <w:start w:w="130" w:type="dxa"/>
              <w:bottom w:w="110" w:type="dxa"/>
              <w:end w:w="130" w:type="dxa"/>
            </w:tcMar>
            <w:vAlign w:val="center"/>
          </w:tcPr>
          <w:p>
            <w:pPr>
              <w:spacing w:after="0"/>
            </w:pPr>
            <w:r>
              <w:rPr>
                <w:rFonts w:ascii="Arial" w:hAnsi="Arial"/>
                <w:b/>
                <w:color w:val="17201A"/>
                <w:sz w:val="19"/>
              </w:rPr>
              <w:t>Intake and design</w:t>
            </w:r>
          </w:p>
        </w:tc>
        <w:tc>
          <w:tcPr>
            <w:tcW w:type="dxa" w:w="1400"/>
            <w:tcMar>
              <w:top w:w="110" w:type="dxa"/>
              <w:start w:w="130" w:type="dxa"/>
              <w:bottom w:w="110" w:type="dxa"/>
              <w:end w:w="130" w:type="dxa"/>
            </w:tcMar>
            <w:vAlign w:val="center"/>
          </w:tcPr>
          <w:p>
            <w:pPr>
              <w:spacing w:after="0"/>
            </w:pPr>
            <w:r>
              <w:rPr>
                <w:rFonts w:ascii="Arial" w:hAnsi="Arial"/>
                <w:b w:val="0"/>
                <w:color w:val="17201A"/>
                <w:sz w:val="19"/>
              </w:rPr>
              <w:t>Weeks 1–2</w:t>
            </w:r>
          </w:p>
        </w:tc>
        <w:tc>
          <w:tcPr>
            <w:tcW w:type="dxa" w:w="5660"/>
            <w:tcMar>
              <w:top w:w="110" w:type="dxa"/>
              <w:start w:w="130" w:type="dxa"/>
              <w:bottom w:w="110" w:type="dxa"/>
              <w:end w:w="130" w:type="dxa"/>
            </w:tcMar>
            <w:vAlign w:val="center"/>
          </w:tcPr>
          <w:p>
            <w:pPr>
              <w:spacing w:after="0"/>
            </w:pPr>
            <w:r>
              <w:rPr>
                <w:rFonts w:ascii="Arial" w:hAnsi="Arial"/>
                <w:b w:val="0"/>
                <w:color w:val="17201A"/>
                <w:sz w:val="19"/>
              </w:rPr>
              <w:t>Confirm brand structure, catalogue, policies and customer journeys; approve designs.</w:t>
            </w:r>
          </w:p>
        </w:tc>
      </w:tr>
      <w:tr>
        <w:trPr>
          <w:cantSplit/>
        </w:trPr>
        <w:tc>
          <w:tcPr>
            <w:tcW w:type="dxa" w:w="2300"/>
            <w:shd w:fill="F8FAF8"/>
            <w:tcMar>
              <w:top w:w="110" w:type="dxa"/>
              <w:start w:w="130" w:type="dxa"/>
              <w:bottom w:w="110" w:type="dxa"/>
              <w:end w:w="130" w:type="dxa"/>
            </w:tcMar>
            <w:vAlign w:val="center"/>
          </w:tcPr>
          <w:p>
            <w:pPr>
              <w:spacing w:after="0"/>
            </w:pPr>
            <w:r>
              <w:rPr>
                <w:rFonts w:ascii="Arial" w:hAnsi="Arial"/>
                <w:b/>
                <w:color w:val="17201A"/>
                <w:sz w:val="19"/>
              </w:rPr>
              <w:t>Build and integrations</w:t>
            </w:r>
          </w:p>
        </w:tc>
        <w:tc>
          <w:tcPr>
            <w:tcW w:type="dxa" w:w="1400"/>
            <w:shd w:fill="F8FAF8"/>
            <w:tcMar>
              <w:top w:w="110" w:type="dxa"/>
              <w:start w:w="130" w:type="dxa"/>
              <w:bottom w:w="110" w:type="dxa"/>
              <w:end w:w="130" w:type="dxa"/>
            </w:tcMar>
            <w:vAlign w:val="center"/>
          </w:tcPr>
          <w:p>
            <w:pPr>
              <w:spacing w:after="0"/>
            </w:pPr>
            <w:r>
              <w:rPr>
                <w:rFonts w:ascii="Arial" w:hAnsi="Arial"/>
                <w:b w:val="0"/>
                <w:color w:val="17201A"/>
                <w:sz w:val="19"/>
              </w:rPr>
              <w:t>Weeks 3–4</w:t>
            </w:r>
          </w:p>
        </w:tc>
        <w:tc>
          <w:tcPr>
            <w:tcW w:type="dxa" w:w="5660"/>
            <w:shd w:fill="F8FAF8"/>
            <w:tcMar>
              <w:top w:w="110" w:type="dxa"/>
              <w:start w:w="130" w:type="dxa"/>
              <w:bottom w:w="110" w:type="dxa"/>
              <w:end w:w="130" w:type="dxa"/>
            </w:tcMar>
            <w:vAlign w:val="center"/>
          </w:tcPr>
          <w:p>
            <w:pPr>
              <w:spacing w:after="0"/>
            </w:pPr>
            <w:r>
              <w:rPr>
                <w:rFonts w:ascii="Arial" w:hAnsi="Arial"/>
                <w:b w:val="0"/>
                <w:color w:val="17201A"/>
                <w:sz w:val="19"/>
              </w:rPr>
              <w:t>Build storefront, projects area, dashboard, payment integration and AI services.</w:t>
            </w:r>
          </w:p>
        </w:tc>
      </w:tr>
      <w:tr>
        <w:trPr>
          <w:cantSplit/>
        </w:trPr>
        <w:tc>
          <w:tcPr>
            <w:tcW w:type="dxa" w:w="2300"/>
            <w:tcMar>
              <w:top w:w="110" w:type="dxa"/>
              <w:start w:w="130" w:type="dxa"/>
              <w:bottom w:w="110" w:type="dxa"/>
              <w:end w:w="130" w:type="dxa"/>
            </w:tcMar>
            <w:vAlign w:val="center"/>
          </w:tcPr>
          <w:p>
            <w:pPr>
              <w:spacing w:after="0"/>
            </w:pPr>
            <w:r>
              <w:rPr>
                <w:rFonts w:ascii="Arial" w:hAnsi="Arial"/>
                <w:b/>
                <w:color w:val="17201A"/>
                <w:sz w:val="19"/>
              </w:rPr>
              <w:t>Review and training</w:t>
            </w:r>
          </w:p>
        </w:tc>
        <w:tc>
          <w:tcPr>
            <w:tcW w:type="dxa" w:w="1400"/>
            <w:tcMar>
              <w:top w:w="110" w:type="dxa"/>
              <w:start w:w="130" w:type="dxa"/>
              <w:bottom w:w="110" w:type="dxa"/>
              <w:end w:w="130" w:type="dxa"/>
            </w:tcMar>
            <w:vAlign w:val="center"/>
          </w:tcPr>
          <w:p>
            <w:pPr>
              <w:spacing w:after="0"/>
            </w:pPr>
            <w:r>
              <w:rPr>
                <w:rFonts w:ascii="Arial" w:hAnsi="Arial"/>
                <w:b w:val="0"/>
                <w:color w:val="17201A"/>
                <w:sz w:val="19"/>
              </w:rPr>
              <w:t>Weeks 5–6</w:t>
            </w:r>
          </w:p>
        </w:tc>
        <w:tc>
          <w:tcPr>
            <w:tcW w:type="dxa" w:w="5660"/>
            <w:tcMar>
              <w:top w:w="110" w:type="dxa"/>
              <w:start w:w="130" w:type="dxa"/>
              <w:bottom w:w="110" w:type="dxa"/>
              <w:end w:w="130" w:type="dxa"/>
            </w:tcMar>
            <w:vAlign w:val="center"/>
          </w:tcPr>
          <w:p>
            <w:pPr>
              <w:spacing w:after="0"/>
            </w:pPr>
            <w:r>
              <w:rPr>
                <w:rFonts w:ascii="Arial" w:hAnsi="Arial"/>
                <w:b w:val="0"/>
                <w:color w:val="17201A"/>
                <w:sz w:val="19"/>
              </w:rPr>
              <w:t>Test purchases, enquiries and staff handovers; review AI responses and train the team.</w:t>
            </w:r>
          </w:p>
        </w:tc>
      </w:tr>
      <w:tr>
        <w:trPr>
          <w:cantSplit/>
        </w:trPr>
        <w:tc>
          <w:tcPr>
            <w:tcW w:type="dxa" w:w="2300"/>
            <w:shd w:fill="F8FAF8"/>
            <w:tcMar>
              <w:top w:w="110" w:type="dxa"/>
              <w:start w:w="130" w:type="dxa"/>
              <w:bottom w:w="110" w:type="dxa"/>
              <w:end w:w="130" w:type="dxa"/>
            </w:tcMar>
            <w:vAlign w:val="center"/>
          </w:tcPr>
          <w:p>
            <w:pPr>
              <w:spacing w:after="0"/>
            </w:pPr>
            <w:r>
              <w:rPr>
                <w:rFonts w:ascii="Arial" w:hAnsi="Arial"/>
                <w:b/>
                <w:color w:val="17201A"/>
                <w:sz w:val="19"/>
              </w:rPr>
              <w:t>Launch and handover</w:t>
            </w:r>
          </w:p>
        </w:tc>
        <w:tc>
          <w:tcPr>
            <w:tcW w:type="dxa" w:w="1400"/>
            <w:shd w:fill="F8FAF8"/>
            <w:tcMar>
              <w:top w:w="110" w:type="dxa"/>
              <w:start w:w="130" w:type="dxa"/>
              <w:bottom w:w="110" w:type="dxa"/>
              <w:end w:w="130" w:type="dxa"/>
            </w:tcMar>
            <w:vAlign w:val="center"/>
          </w:tcPr>
          <w:p>
            <w:pPr>
              <w:spacing w:after="0"/>
            </w:pPr>
            <w:r>
              <w:rPr>
                <w:rFonts w:ascii="Arial" w:hAnsi="Arial"/>
                <w:b w:val="0"/>
                <w:color w:val="17201A"/>
                <w:sz w:val="19"/>
              </w:rPr>
              <w:t>Week 7</w:t>
            </w:r>
          </w:p>
        </w:tc>
        <w:tc>
          <w:tcPr>
            <w:tcW w:type="dxa" w:w="5660"/>
            <w:shd w:fill="F8FAF8"/>
            <w:tcMar>
              <w:top w:w="110" w:type="dxa"/>
              <w:start w:w="130" w:type="dxa"/>
              <w:bottom w:w="110" w:type="dxa"/>
              <w:end w:w="130" w:type="dxa"/>
            </w:tcMar>
            <w:vAlign w:val="center"/>
          </w:tcPr>
          <w:p>
            <w:pPr>
              <w:spacing w:after="0"/>
            </w:pPr>
            <w:r>
              <w:rPr>
                <w:rFonts w:ascii="Arial" w:hAnsi="Arial"/>
                <w:b w:val="0"/>
                <w:color w:val="17201A"/>
                <w:sz w:val="19"/>
              </w:rPr>
              <w:t>Connect the domain, activate the agreed services and begin the 30-day warranty.</w:t>
            </w:r>
          </w:p>
        </w:tc>
      </w:tr>
    </w:tbl>
    <w:p>
      <w:pPr>
        <w:spacing w:before="160"/>
      </w:pPr>
      <w:r>
        <w:rPr>
          <w:rFonts w:ascii="Arial" w:hAnsi="Arial"/>
        </w:rPr>
        <w:t>The target is seven weeks from receipt of the deposit and required content. Delivery depends on timely feedback, access to relevant business accounts and any third-party account approvals. Any resulting change to the schedule will be discussed with you.</w:t>
      </w:r>
    </w:p>
    <w:p>
      <w:r>
        <w:br w:type="page"/>
      </w:r>
    </w:p>
    <w:p>
      <w:pPr>
        <w:pStyle w:val="Kicker"/>
        <w:jc w:val="left"/>
      </w:pPr>
      <w:r>
        <w:rPr>
          <w:rFonts w:ascii="Arial" w:hAnsi="Arial"/>
          <w:b/>
          <w:color w:val="125F38"/>
          <w:sz w:val="18"/>
        </w:rPr>
        <w:t>ENGAGEMENT DETAILS</w:t>
      </w:r>
    </w:p>
    <w:p>
      <w:pPr>
        <w:pStyle w:val="Heading1"/>
      </w:pPr>
      <w:r>
        <w:t>Responsibilities and approval</w:t>
      </w:r>
    </w:p>
    <w:p>
      <w:pPr>
        <w:pStyle w:val="Heading2"/>
      </w:pPr>
      <w:r>
        <w:t>What we need from your team</w:t>
      </w:r>
    </w:p>
    <w:p>
      <w:r>
        <w:rPr>
          <w:rFonts w:ascii="Arial" w:hAnsi="Arial"/>
        </w:rPr>
        <w:t>Please provide the launch catalogue, current prices and availability, approved product and installation photographs, delivery and returns policies, and access to the relevant business accounts. Ope or a nominated representative will approve the design, content and operating rules and identify staff responsible for customer handovers.</w:t>
      </w:r>
    </w:p>
    <w:p>
      <w:pPr>
        <w:pStyle w:val="Heading2"/>
      </w:pPr>
      <w:r>
        <w:t>Service costs and scope changes</w:t>
      </w:r>
    </w:p>
    <w:p>
      <w:r>
        <w:rPr>
          <w:rFonts w:ascii="Arial" w:hAnsi="Arial"/>
        </w:rPr>
        <w:t>The ₦250,000 implementation fee covers the full scope set out here. The ₦30,000 monthly fee covers the subscriptions required to power the included AI services. Domain registration and payment processing charges are paid directly to the relevant providers at their applicable rates. Any separate hosting or messaging charges will be itemised and agreed before activation; no additional recurring charge will be introduced without your approval.</w:t>
      </w:r>
    </w:p>
    <w:p>
      <w:r>
        <w:rPr>
          <w:rFonts w:ascii="Arial" w:hAnsi="Arial"/>
        </w:rPr>
        <w:t>Additional features or material changes to the agreed scope will be described and priced for approval before work begins. If AI usage requires a change to the subscription arrangement, Aksen Labs will explain the requirement and agree the cost with you before making that change.</w:t>
      </w:r>
    </w:p>
    <w:p>
      <w:pPr>
        <w:pStyle w:val="Heading2"/>
      </w:pPr>
      <w:r>
        <w:t>Approval to proceed</w:t>
      </w:r>
    </w:p>
    <w:p>
      <w:r>
        <w:rPr>
          <w:rFonts w:ascii="Arial" w:hAnsi="Arial"/>
        </w:rPr>
        <w:t>To proceed, confirm acceptance of this proposal and arrange the ₦125,000 kickoff deposit. We will then schedule the content and catalogue intake session with you and your team.</w:t>
      </w:r>
    </w:p>
    <w:p>
      <w:pPr>
        <w:pStyle w:val="Heading2"/>
      </w:pPr>
      <w:r>
        <w:t>Confirmation of engagement</w:t>
      </w:r>
    </w:p>
    <w:tbl>
      <w:tblPr>
        <w:tblW w:type="dxa" w:w="9360"/>
        <w:jc w:val="center"/>
        <w:tblLayout w:type="fixed"/>
        <w:tblLook w:firstColumn="1" w:firstRow="1" w:lastColumn="0" w:lastRow="0" w:noHBand="0" w:noVBand="1" w:val="04A0"/>
        <w:tblInd w:w="120" w:type="dxa"/>
        <w:tblBorders>
          <w:top w:val="single" w:sz="5" w:space="0" w:color="D7DED9"/>
          <w:left w:val="single" w:sz="5" w:space="0" w:color="D7DED9"/>
          <w:bottom w:val="single" w:sz="5" w:space="0" w:color="D7DED9"/>
          <w:right w:val="single" w:sz="5" w:space="0" w:color="D7DED9"/>
          <w:insideH w:val="single" w:sz="5" w:space="0" w:color="D7DED9"/>
          <w:insideV w:val="single" w:sz="5" w:space="0" w:color="D7DED9"/>
        </w:tblBorders>
      </w:tblPr>
      <w:tblGrid>
        <w:gridCol w:w="4680"/>
        <w:gridCol w:w="4680"/>
      </w:tblGrid>
      <w:tr>
        <w:trPr>
          <w:cantSplit/>
          <w:tblHeader w:val="true"/>
          <w:cantSplit/>
        </w:trPr>
        <w:tc>
          <w:tcPr>
            <w:tcW w:type="dxa" w:w="4680"/>
            <w:tcMar>
              <w:top w:w="110" w:type="dxa"/>
              <w:start w:w="130" w:type="dxa"/>
              <w:bottom w:w="110" w:type="dxa"/>
              <w:end w:w="130" w:type="dxa"/>
            </w:tcMar>
            <w:vAlign w:val="center"/>
            <w:shd w:fill="173D2A"/>
          </w:tcPr>
          <w:p>
            <w:pPr>
              <w:spacing w:after="0"/>
            </w:pPr>
            <w:r>
              <w:rPr>
                <w:rFonts w:ascii="Arial" w:hAnsi="Arial"/>
                <w:b/>
                <w:color w:val="FFFFFF"/>
                <w:sz w:val="17"/>
              </w:rPr>
              <w:t>The Frame Shop</w:t>
            </w:r>
          </w:p>
        </w:tc>
        <w:tc>
          <w:tcPr>
            <w:tcW w:type="dxa" w:w="4680"/>
            <w:tcMar>
              <w:top w:w="110" w:type="dxa"/>
              <w:start w:w="130" w:type="dxa"/>
              <w:bottom w:w="110" w:type="dxa"/>
              <w:end w:w="130" w:type="dxa"/>
            </w:tcMar>
            <w:vAlign w:val="center"/>
            <w:shd w:fill="173D2A"/>
          </w:tcPr>
          <w:p>
            <w:pPr>
              <w:spacing w:after="0"/>
            </w:pPr>
            <w:r>
              <w:rPr>
                <w:rFonts w:ascii="Arial" w:hAnsi="Arial"/>
                <w:b/>
                <w:color w:val="FFFFFF"/>
                <w:sz w:val="17"/>
              </w:rPr>
              <w:t>Aksen Labs</w:t>
            </w:r>
          </w:p>
        </w:tc>
      </w:tr>
      <w:tr>
        <w:trPr>
          <w:cantSplit/>
        </w:trPr>
        <w:tc>
          <w:tcPr>
            <w:tcW w:type="dxa" w:w="4680"/>
            <w:tcMar>
              <w:top w:w="110" w:type="dxa"/>
              <w:start w:w="130" w:type="dxa"/>
              <w:bottom w:w="110" w:type="dxa"/>
              <w:end w:w="130" w:type="dxa"/>
            </w:tcMar>
            <w:vAlign w:val="center"/>
          </w:tcPr>
          <w:p>
            <w:pPr>
              <w:spacing w:after="0"/>
            </w:pPr>
            <w:r>
              <w:rPr>
                <w:rFonts w:ascii="Arial" w:hAnsi="Arial"/>
                <w:b/>
                <w:color w:val="17201A"/>
                <w:sz w:val="20"/>
              </w:rPr>
              <w:t>Name: Ope</w:t>
            </w:r>
          </w:p>
        </w:tc>
        <w:tc>
          <w:tcPr>
            <w:tcW w:type="dxa" w:w="4680"/>
            <w:tcMar>
              <w:top w:w="110" w:type="dxa"/>
              <w:start w:w="130" w:type="dxa"/>
              <w:bottom w:w="110" w:type="dxa"/>
              <w:end w:w="130" w:type="dxa"/>
            </w:tcMar>
            <w:vAlign w:val="center"/>
          </w:tcPr>
          <w:p>
            <w:pPr>
              <w:spacing w:after="0"/>
            </w:pPr>
            <w:r>
              <w:rPr>
                <w:rFonts w:ascii="Arial" w:hAnsi="Arial"/>
                <w:b w:val="0"/>
                <w:color w:val="17201A"/>
                <w:sz w:val="20"/>
              </w:rPr>
              <w:t>Name: __________________________</w:t>
            </w:r>
          </w:p>
        </w:tc>
      </w:tr>
      <w:tr>
        <w:trPr>
          <w:cantSplit/>
        </w:trPr>
        <w:tc>
          <w:tcPr>
            <w:tcW w:type="dxa" w:w="4680"/>
            <w:shd w:fill="F8FAF8"/>
            <w:tcMar>
              <w:top w:w="110" w:type="dxa"/>
              <w:start w:w="130" w:type="dxa"/>
              <w:bottom w:w="110" w:type="dxa"/>
              <w:end w:w="130" w:type="dxa"/>
            </w:tcMar>
            <w:vAlign w:val="center"/>
          </w:tcPr>
          <w:p>
            <w:pPr>
              <w:spacing w:after="0"/>
            </w:pPr>
            <w:r>
              <w:rPr>
                <w:rFonts w:ascii="Arial" w:hAnsi="Arial"/>
                <w:b/>
                <w:color w:val="17201A"/>
                <w:sz w:val="20"/>
              </w:rPr>
              <w:t>Title: Founder</w:t>
            </w:r>
          </w:p>
        </w:tc>
        <w:tc>
          <w:tcPr>
            <w:tcW w:type="dxa" w:w="4680"/>
            <w:shd w:fill="F8FAF8"/>
            <w:tcMar>
              <w:top w:w="110" w:type="dxa"/>
              <w:start w:w="130" w:type="dxa"/>
              <w:bottom w:w="110" w:type="dxa"/>
              <w:end w:w="130" w:type="dxa"/>
            </w:tcMar>
            <w:vAlign w:val="center"/>
          </w:tcPr>
          <w:p>
            <w:pPr>
              <w:spacing w:after="0"/>
            </w:pPr>
            <w:r>
              <w:rPr>
                <w:rFonts w:ascii="Arial" w:hAnsi="Arial"/>
                <w:b w:val="0"/>
                <w:color w:val="17201A"/>
                <w:sz w:val="20"/>
              </w:rPr>
              <w:t>Title: ___________________________</w:t>
            </w:r>
          </w:p>
        </w:tc>
      </w:tr>
      <w:tr>
        <w:trPr>
          <w:cantSplit/>
        </w:trPr>
        <w:tc>
          <w:tcPr>
            <w:tcW w:type="dxa" w:w="4680"/>
            <w:tcMar>
              <w:top w:w="110" w:type="dxa"/>
              <w:start w:w="130" w:type="dxa"/>
              <w:bottom w:w="110" w:type="dxa"/>
              <w:end w:w="130" w:type="dxa"/>
            </w:tcMar>
            <w:vAlign w:val="center"/>
          </w:tcPr>
          <w:p>
            <w:pPr>
              <w:spacing w:after="0"/>
            </w:pPr>
            <w:r>
              <w:rPr>
                <w:rFonts w:ascii="Arial" w:hAnsi="Arial"/>
                <w:b/>
                <w:color w:val="17201A"/>
                <w:sz w:val="20"/>
              </w:rPr>
              <w:t>Signature: ______________________</w:t>
            </w:r>
          </w:p>
        </w:tc>
        <w:tc>
          <w:tcPr>
            <w:tcW w:type="dxa" w:w="4680"/>
            <w:tcMar>
              <w:top w:w="110" w:type="dxa"/>
              <w:start w:w="130" w:type="dxa"/>
              <w:bottom w:w="110" w:type="dxa"/>
              <w:end w:w="130" w:type="dxa"/>
            </w:tcMar>
            <w:vAlign w:val="center"/>
          </w:tcPr>
          <w:p>
            <w:pPr>
              <w:spacing w:after="0"/>
            </w:pPr>
            <w:r>
              <w:rPr>
                <w:rFonts w:ascii="Arial" w:hAnsi="Arial"/>
                <w:b w:val="0"/>
                <w:color w:val="17201A"/>
                <w:sz w:val="20"/>
              </w:rPr>
              <w:t>Signature: _______________________</w:t>
            </w:r>
          </w:p>
        </w:tc>
      </w:tr>
      <w:tr>
        <w:trPr>
          <w:cantSplit/>
        </w:trPr>
        <w:tc>
          <w:tcPr>
            <w:tcW w:type="dxa" w:w="4680"/>
            <w:shd w:fill="F8FAF8"/>
            <w:tcMar>
              <w:top w:w="110" w:type="dxa"/>
              <w:start w:w="130" w:type="dxa"/>
              <w:bottom w:w="110" w:type="dxa"/>
              <w:end w:w="130" w:type="dxa"/>
            </w:tcMar>
            <w:vAlign w:val="center"/>
          </w:tcPr>
          <w:p>
            <w:pPr>
              <w:spacing w:after="0"/>
            </w:pPr>
            <w:r>
              <w:rPr>
                <w:rFonts w:ascii="Arial" w:hAnsi="Arial"/>
                <w:b/>
                <w:color w:val="17201A"/>
                <w:sz w:val="20"/>
              </w:rPr>
              <w:t>Date: __________________________</w:t>
            </w:r>
          </w:p>
        </w:tc>
        <w:tc>
          <w:tcPr>
            <w:tcW w:type="dxa" w:w="4680"/>
            <w:shd w:fill="F8FAF8"/>
            <w:tcMar>
              <w:top w:w="110" w:type="dxa"/>
              <w:start w:w="130" w:type="dxa"/>
              <w:bottom w:w="110" w:type="dxa"/>
              <w:end w:w="130" w:type="dxa"/>
            </w:tcMar>
            <w:vAlign w:val="center"/>
          </w:tcPr>
          <w:p>
            <w:pPr>
              <w:spacing w:after="0"/>
            </w:pPr>
            <w:r>
              <w:rPr>
                <w:rFonts w:ascii="Arial" w:hAnsi="Arial"/>
                <w:b w:val="0"/>
                <w:color w:val="17201A"/>
                <w:sz w:val="20"/>
              </w:rPr>
              <w:t>Date: ___________________________</w:t>
            </w:r>
          </w:p>
        </w:tc>
      </w:tr>
    </w:tbl>
    <w:p>
      <w:pPr>
        <w:spacing w:before="160"/>
      </w:pPr>
      <w:r>
        <w:rPr>
          <w:rFonts w:ascii="Arial" w:hAnsi="Arial"/>
        </w:rPr>
        <w:t>This proposal is valid until 25 September 2026.</w:t>
      </w:r>
    </w:p>
    <w:sectPr w:rsidR="00FC693F" w:rsidRPr="0006063C" w:rsidSect="00034616">
      <w:headerReference w:type="default" r:id="rId9"/>
      <w:footerReference w:type="default" r:id="rId10"/>
      <w:pgSz w:w="12240" w:h="15840"/>
      <w:pgMar w:top="1181"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66736B"/>
        <w:sz w:val="17"/>
      </w:rPr>
      <w:t xml:space="preserve">AKSEN LABS  /  </w:t>
    </w:r>
    <w:r>
      <w:rPr>
        <w:rFonts w:ascii="Arial" w:hAnsi="Arial"/>
        <w:color w:val="66736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736B"/>
        <w:sz w:val="17"/>
      </w:rPr>
      <w:t>THE FRAME SHOP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Arial" w:hAnsi="Arial"/>
      </w:rPr>
    </w:lvl>
  </w:abstract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7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125F38"/>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173D2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5F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5080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66736B"/>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after="80" w:line="290" w:lineRule="auto"/>
    </w:pPr>
    <w:rPr>
      <w:rFonts w:ascii="Arial" w:hAnsi="Arial"/>
      <w:color w:val="17201A"/>
      <w:sz w:val="21"/>
    </w:rPr>
  </w:style>
  <w:style w:type="paragraph" w:customStyle="1" w:styleId="Kicker">
    <w:name w:val="Kicker"/>
    <w:pPr>
      <w:spacing w:after="100"/>
    </w:pPr>
    <w:rPr>
      <w:rFonts w:ascii="Arial" w:hAnsi="Arial"/>
      <w:b/>
      <w:color w:val="125F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Frame Shop Digital Commerce and AI Services Proposal</dc:title>
  <dc:subject>Prepared for Ope by Aksen Labs</dc:subject>
  <dc:creator>Aksen Labs</dc:creator>
  <cp:keywords>Aksen Labs, proposal, AI, digital systems</cp:keywords>
  <dc:description>generated by python-docx</dc:description>
  <cp:lastModifiedBy/>
  <cp:revision>1</cp:revision>
  <dcterms:created xsi:type="dcterms:W3CDTF">2013-12-23T23:15:00Z</dcterms:created>
  <dcterms:modified xsi:type="dcterms:W3CDTF">2013-12-23T23:15:00Z</dcterms:modified>
  <cp:category/>
</cp:coreProperties>
</file>