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rPr>
          <w:rFonts w:ascii="Arial" w:hAnsi="Arial"/>
          <w:b/>
          <w:color w:val="125F38"/>
          <w:sz w:val="18"/>
        </w:rPr>
        <w:t>AKSEN LABS</w:t>
      </w:r>
    </w:p>
    <w:p>
      <w:pPr>
        <w:pStyle w:val="Title"/>
        <w:jc w:val="center"/>
      </w:pPr>
      <w:r>
        <w:t>Services &amp; Pricing Guide</w:t>
      </w:r>
    </w:p>
    <w:p>
      <w:pPr>
        <w:pStyle w:val="Subtitle"/>
        <w:jc w:val="center"/>
      </w:pPr>
      <w:r>
        <w:t>Practical AI, digital experiences, creative systems and managed operations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sen-hero-green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D9"/>
          <w:left w:val="single" w:sz="4" w:space="0" w:color="D7DED9"/>
          <w:bottom w:val="single" w:sz="4" w:space="0" w:color="D7DED9"/>
          <w:right w:val="single" w:sz="4" w:space="0" w:color="D7DED9"/>
          <w:insideH w:val="single" w:sz="4" w:space="0" w:color="D7DED9"/>
          <w:insideV w:val="single" w:sz="4" w:space="0" w:color="D7DED9"/>
        </w:tblBorders>
      </w:tblPr>
      <w:tblGrid>
        <w:gridCol w:w="2050"/>
        <w:gridCol w:w="7310"/>
      </w:tblGrid>
      <w:tr>
        <w:trPr>
          <w:cantSplit/>
        </w:trP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>PREPARED FOR</w:t>
            </w:r>
          </w:p>
        </w:tc>
        <w:tc>
          <w:tcPr>
            <w:tcW w:type="dxa" w:w="7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21"/>
              </w:rPr>
              <w:t>Prospective clients and partners</w:t>
            </w:r>
          </w:p>
        </w:tc>
      </w:tr>
      <w:tr>
        <w:trPr>
          <w:cantSplit/>
        </w:trP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>PREPARED BY</w:t>
            </w:r>
          </w:p>
        </w:tc>
        <w:tc>
          <w:tcPr>
            <w:tcW w:type="dxa" w:w="7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21"/>
              </w:rPr>
              <w:t>Aksen Labs</w:t>
            </w:r>
          </w:p>
        </w:tc>
      </w:tr>
      <w:tr>
        <w:trPr>
          <w:cantSplit/>
        </w:trP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>DATE</w:t>
            </w:r>
          </w:p>
        </w:tc>
        <w:tc>
          <w:tcPr>
            <w:tcW w:type="dxa" w:w="7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21"/>
              </w:rPr>
              <w:t>September 2026</w:t>
            </w:r>
          </w:p>
        </w:tc>
      </w:tr>
    </w:tbl>
    <w:p>
      <w:pPr>
        <w:spacing w:before="220"/>
        <w:jc w:val="center"/>
      </w:pPr>
      <w:r>
        <w:rPr>
          <w:rFonts w:ascii="Arial" w:hAnsi="Arial"/>
          <w:i/>
          <w:color w:val="66736B"/>
          <w:sz w:val="19"/>
        </w:rPr>
        <w:t>Indicative commercial guide • Final scope and pricing follow discovery</w:t>
      </w:r>
    </w:p>
    <w:p>
      <w:pPr>
        <w:spacing w:before="320"/>
        <w:jc w:val="center"/>
      </w:pPr>
      <w:r>
        <w:rPr>
          <w:rFonts w:ascii="Arial" w:hAnsi="Arial"/>
          <w:b/>
          <w:color w:val="125F38"/>
          <w:sz w:val="20"/>
        </w:rPr>
        <w:t>FROM ATTENTION TO ACTION.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AKSEN LABS</w:t>
      </w:r>
    </w:p>
    <w:p>
      <w:pPr>
        <w:pStyle w:val="Heading1"/>
      </w:pPr>
      <w:r>
        <w:t>From attention to action</w:t>
      </w:r>
    </w:p>
    <w:p>
      <w:r>
        <w:rPr>
          <w:rFonts w:ascii="Arial" w:hAnsi="Arial"/>
        </w:rPr>
        <w:t>Aksen Labs helps businesses and creators turn customer conversations, content, knowledge, and repetitive work into controlled, measurable outcomes. We begin with a bounded business problem, build the smallest useful system, keep people in control where consequences matter, and improve the workflow using real evidence.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D9"/>
          <w:left w:val="single" w:sz="4" w:space="0" w:color="D7DED9"/>
          <w:bottom w:val="single" w:sz="4" w:space="0" w:color="D7DED9"/>
          <w:right w:val="single" w:sz="4" w:space="0" w:color="D7DED9"/>
          <w:insideH w:val="single" w:sz="4" w:space="0" w:color="D7DED9"/>
          <w:insideV w:val="single" w:sz="4" w:space="0" w:color="D7DED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 xml:space="preserve">POSITIONING  </w:t>
            </w:r>
            <w:r>
              <w:rPr>
                <w:rFonts w:ascii="Arial" w:hAnsi="Arial"/>
                <w:b/>
                <w:color w:val="17201A"/>
                <w:sz w:val="20"/>
              </w:rPr>
              <w:t>Aksen sits between low-cost generic bots and slow enterprise transformation: one accountable partner for strategy, design, implementation, governance, and improvement.</w:t>
            </w:r>
          </w:p>
        </w:tc>
      </w:tr>
    </w:tbl>
    <w:p>
      <w:pPr>
        <w:spacing w:after="20"/>
      </w:pPr>
    </w:p>
    <w:p>
      <w:pPr>
        <w:pStyle w:val="Heading2"/>
      </w:pPr>
      <w:r>
        <w:t>Three outcome pillars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1500"/>
        <w:gridCol w:w="3550"/>
        <w:gridCol w:w="431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35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What we help clients do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Typical work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Convert</w:t>
            </w:r>
          </w:p>
        </w:tc>
        <w:tc>
          <w:tcPr>
            <w:tcW w:type="dxa" w:w="35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Turn enquiries and demand into qualified next steps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Websites, AI concierge, WhatsApp, lead capture, follow-up workflows</w:t>
            </w:r>
          </w:p>
        </w:tc>
      </w:tr>
      <w:tr>
        <w:trPr>
          <w:cantSplit/>
        </w:trPr>
        <w:tc>
          <w:tcPr>
            <w:tcW w:type="dxa" w:w="15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Create</w:t>
            </w:r>
          </w:p>
        </w:tc>
        <w:tc>
          <w:tcPr>
            <w:tcW w:type="dxa" w:w="355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Turn knowledge and ideas into approved creative output</w:t>
            </w:r>
          </w:p>
        </w:tc>
        <w:tc>
          <w:tcPr>
            <w:tcW w:type="dxa" w:w="431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Campaign concepts, content systems, image/video workflows, brand-safe production</w:t>
            </w:r>
          </w:p>
        </w:tc>
      </w:tr>
      <w:tr>
        <w:trPr>
          <w:cantSplit/>
        </w:trP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Operate</w:t>
            </w:r>
          </w:p>
        </w:tc>
        <w:tc>
          <w:tcPr>
            <w:tcW w:type="dxa" w:w="35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Turn repetitive workflows into controlled intelligent systems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Automation, internal copilots, knowledge systems, approvals, reporting</w:t>
            </w:r>
          </w:p>
        </w:tc>
      </w:tr>
    </w:tbl>
    <w:p>
      <w:pPr>
        <w:pStyle w:val="Heading2"/>
      </w:pPr>
      <w:r>
        <w:t>How pricing works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Published figures are indicative starting points or ranges in Ghana cedis.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A final proposal defines deliverables, assumptions, external costs, milestones, and acceptance criteria.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Third-party model, WhatsApp, voice, email, storage, hosting, and licensed-data usage is separated or governed by an approved allowance.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Taxes, travel, hardware, paid media, production crews, and specialist licences are excluded unless stated.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DIGITAL EXPERIENCES</w:t>
      </w:r>
    </w:p>
    <w:p>
      <w:pPr>
        <w:pStyle w:val="Heading1"/>
      </w:pPr>
      <w:r>
        <w:t>Websites and customer journeys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2250"/>
        <w:gridCol w:w="1800"/>
        <w:gridCol w:w="3650"/>
        <w:gridCol w:w="1660"/>
      </w:tblGrid>
      <w:tr>
        <w:trPr>
          <w:cantSplit/>
          <w:tblHeader w:val="true"/>
          <w:cantSplit/>
        </w:trPr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Indicative fee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Typical scope</w:t>
            </w:r>
          </w:p>
        </w:tc>
        <w:tc>
          <w:tcPr>
            <w:tcW w:type="dxa" w:w="1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Typical timing</w:t>
            </w:r>
          </w:p>
        </w:tc>
      </w:tr>
      <w:tr>
        <w:trPr>
          <w:cantSplit/>
        </w:trPr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Landing Page / Campaign Site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6,500–10,000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One focused conversion journey, responsive build, form, analytics and launch</w:t>
            </w:r>
          </w:p>
        </w:tc>
        <w:tc>
          <w:tcPr>
            <w:tcW w:type="dxa" w:w="1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2–3 weeks</w:t>
            </w:r>
          </w:p>
        </w:tc>
      </w:tr>
      <w:tr>
        <w:trPr>
          <w:cantSplit/>
        </w:trPr>
        <w:tc>
          <w:tcPr>
            <w:tcW w:type="dxa" w:w="225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Business Website</w:t>
            </w:r>
          </w:p>
        </w:tc>
        <w:tc>
          <w:tcPr>
            <w:tcW w:type="dxa" w:w="18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10,000–18,000</w:t>
            </w:r>
          </w:p>
        </w:tc>
        <w:tc>
          <w:tcPr>
            <w:tcW w:type="dxa" w:w="365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Core pages, services, proof, CMS-ready content structure, forms, analytics and basic SEO</w:t>
            </w:r>
          </w:p>
        </w:tc>
        <w:tc>
          <w:tcPr>
            <w:tcW w:type="dxa" w:w="16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3–5 weeks</w:t>
            </w:r>
          </w:p>
        </w:tc>
      </w:tr>
      <w:tr>
        <w:trPr>
          <w:cantSplit/>
        </w:trPr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Growth Website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18,000–35,000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Advanced journeys, content collections, lead qualification, integrations and performance reporting</w:t>
            </w:r>
          </w:p>
        </w:tc>
        <w:tc>
          <w:tcPr>
            <w:tcW w:type="dxa" w:w="1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4–7 weeks</w:t>
            </w:r>
          </w:p>
        </w:tc>
      </w:tr>
      <w:tr>
        <w:trPr>
          <w:cantSplit/>
        </w:trPr>
        <w:tc>
          <w:tcPr>
            <w:tcW w:type="dxa" w:w="225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Portal / Web Application</w:t>
            </w:r>
          </w:p>
        </w:tc>
        <w:tc>
          <w:tcPr>
            <w:tcW w:type="dxa" w:w="18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From GHS 30,000</w:t>
            </w:r>
          </w:p>
        </w:tc>
        <w:tc>
          <w:tcPr>
            <w:tcW w:type="dxa" w:w="365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Authentication, data workflows, dashboards, permissions and custom product logic</w:t>
            </w:r>
          </w:p>
        </w:tc>
        <w:tc>
          <w:tcPr>
            <w:tcW w:type="dxa" w:w="16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Scoped</w:t>
            </w:r>
          </w:p>
        </w:tc>
      </w:tr>
    </w:tbl>
    <w:p>
      <w:pPr>
        <w:pStyle w:val="Heading2"/>
      </w:pPr>
      <w:r>
        <w:t>Common add-ons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Copy refinement and information architecture: from GHS 2,500.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Multilingual content structure: from GHS 3,500 per additional language, excluding specialist translation.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Advanced analytics and conversion instrumentation: from GHS 3,000.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Client content migration beyond the agreed allowance: scoped by volume and condition.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AI CUSTOMER EXPERIENCE</w:t>
      </w:r>
    </w:p>
    <w:p>
      <w:pPr>
        <w:pStyle w:val="Heading1"/>
      </w:pPr>
      <w:r>
        <w:t>Concierge, qualification and channel systems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2600"/>
        <w:gridCol w:w="2120"/>
        <w:gridCol w:w="4640"/>
      </w:tblGrid>
      <w:tr>
        <w:trPr>
          <w:cantSplit/>
          <w:tblHeader w:val="true"/>
          <w:cantSplit/>
        </w:trPr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Offer</w:t>
            </w:r>
          </w:p>
        </w:tc>
        <w:tc>
          <w:tcPr>
            <w:tcW w:type="dxa" w:w="2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Indicative fee</w:t>
            </w:r>
          </w:p>
        </w:tc>
        <w:tc>
          <w:tcPr>
            <w:tcW w:type="dxa" w:w="46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Buyer receives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AI Opportunity Sprint</w:t>
            </w:r>
          </w:p>
        </w:tc>
        <w:tc>
          <w:tcPr>
            <w:tcW w:type="dxa" w:w="2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5,000–12,000</w:t>
            </w:r>
          </w:p>
        </w:tc>
        <w:tc>
          <w:tcPr>
            <w:tcW w:type="dxa" w:w="46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Workflow map, baseline, risks, data plan, pilot boundary, controls and success measures</w:t>
            </w:r>
          </w:p>
        </w:tc>
      </w:tr>
      <w:tr>
        <w:trPr>
          <w:cantSplit/>
        </w:trPr>
        <w:tc>
          <w:tcPr>
            <w:tcW w:type="dxa" w:w="26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Productized Website Assistant</w:t>
            </w:r>
          </w:p>
        </w:tc>
        <w:tc>
          <w:tcPr>
            <w:tcW w:type="dxa" w:w="212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8,000–20,000 add-on</w:t>
            </w:r>
          </w:p>
        </w:tc>
        <w:tc>
          <w:tcPr>
            <w:tcW w:type="dxa" w:w="464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Approved knowledge, FAQ support, guided qualification, lead summary, testing and human handoff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Official WhatsApp AI Extension</w:t>
            </w:r>
          </w:p>
        </w:tc>
        <w:tc>
          <w:tcPr>
            <w:tcW w:type="dxa" w:w="2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8,000–20,000 add-on</w:t>
            </w:r>
          </w:p>
        </w:tc>
        <w:tc>
          <w:tcPr>
            <w:tcW w:type="dxa" w:w="46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Official channel integration, guided flows, approved templates, handoff and monitoring setup</w:t>
            </w:r>
          </w:p>
        </w:tc>
      </w:tr>
      <w:tr>
        <w:trPr>
          <w:cantSplit/>
        </w:trPr>
        <w:tc>
          <w:tcPr>
            <w:tcW w:type="dxa" w:w="26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Focused AI Pilot</w:t>
            </w:r>
          </w:p>
        </w:tc>
        <w:tc>
          <w:tcPr>
            <w:tcW w:type="dxa" w:w="212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20,000–60,000</w:t>
            </w:r>
          </w:p>
        </w:tc>
        <w:tc>
          <w:tcPr>
            <w:tcW w:type="dxa" w:w="464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One bounded workflow, evaluation, controls, integration, training and four-to-six-week launch support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Multi-workflow Transformation</w:t>
            </w:r>
          </w:p>
        </w:tc>
        <w:tc>
          <w:tcPr>
            <w:tcW w:type="dxa" w:w="2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60,000–250,000+</w:t>
            </w:r>
          </w:p>
        </w:tc>
        <w:tc>
          <w:tcPr>
            <w:tcW w:type="dxa" w:w="46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Connected agents, systems integration, governance, training, change management and roadmap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D9"/>
          <w:left w:val="single" w:sz="4" w:space="0" w:color="D7DED9"/>
          <w:bottom w:val="single" w:sz="4" w:space="0" w:color="D7DED9"/>
          <w:right w:val="single" w:sz="4" w:space="0" w:color="D7DED9"/>
          <w:insideH w:val="single" w:sz="4" w:space="0" w:color="D7DED9"/>
          <w:insideV w:val="single" w:sz="4" w:space="0" w:color="D7DED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 xml:space="preserve">HUMAN CONTROL  </w:t>
            </w:r>
            <w:r>
              <w:rPr>
                <w:rFonts w:ascii="Arial" w:hAnsi="Arial"/>
                <w:b/>
                <w:color w:val="17201A"/>
                <w:sz w:val="20"/>
              </w:rPr>
              <w:t>Aksen assistants do not silently invent commitments. Consequential prices, approvals, payments, public messages, and customer promises remain subject to defined human control.</w:t>
            </w:r>
          </w:p>
        </w:tc>
      </w:tr>
    </w:tbl>
    <w:p>
      <w:pPr>
        <w:spacing w:after="20"/>
      </w:pPr>
    </w:p>
    <w:p>
      <w:pPr>
        <w:pStyle w:val="Heading2"/>
      </w:pPr>
      <w:r>
        <w:t>Examples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Property and hospitality concierge systems.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Customer-service and sales qualification assistants.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WhatsApp enquiry and callback workflows.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Internal knowledge copilots and guided staff operations.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AUTOMATION AND OPERATIONS</w:t>
      </w:r>
    </w:p>
    <w:p>
      <w:pPr>
        <w:pStyle w:val="Heading1"/>
      </w:pPr>
      <w:r>
        <w:t>Connected workflows that move work forward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2600"/>
        <w:gridCol w:w="2100"/>
        <w:gridCol w:w="4660"/>
      </w:tblGrid>
      <w:tr>
        <w:trPr>
          <w:cantSplit/>
          <w:tblHeader w:val="true"/>
          <w:cantSplit/>
        </w:trPr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Indicative fee</w:t>
            </w:r>
          </w:p>
        </w:tc>
        <w:tc>
          <w:tcPr>
            <w:tcW w:type="dxa" w:w="4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Typical result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Workflow Automation</w:t>
            </w:r>
          </w:p>
        </w:tc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GHS 15,000–50,000</w:t>
            </w:r>
          </w:p>
        </w:tc>
        <w:tc>
          <w:tcPr>
            <w:tcW w:type="dxa" w:w="4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A controlled process connecting forms, email, CRM, documents, notifications or reporting</w:t>
            </w:r>
          </w:p>
        </w:tc>
      </w:tr>
      <w:tr>
        <w:trPr>
          <w:cantSplit/>
        </w:trPr>
        <w:tc>
          <w:tcPr>
            <w:tcW w:type="dxa" w:w="26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Internal AI Copilot</w:t>
            </w:r>
          </w:p>
        </w:tc>
        <w:tc>
          <w:tcPr>
            <w:tcW w:type="dxa" w:w="21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GHS 20,000–65,000</w:t>
            </w:r>
          </w:p>
        </w:tc>
        <w:tc>
          <w:tcPr>
            <w:tcW w:type="dxa" w:w="46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Approved knowledge, structured tools, permissions, evaluation and staff-facing experience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Lead &amp; Delivery Operations</w:t>
            </w:r>
          </w:p>
        </w:tc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GHS 20,000–70,000</w:t>
            </w:r>
          </w:p>
        </w:tc>
        <w:tc>
          <w:tcPr>
            <w:tcW w:type="dxa" w:w="4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Pipeline, handoffs, project states, notifications, reporting and selected integrations</w:t>
            </w:r>
          </w:p>
        </w:tc>
      </w:tr>
      <w:tr>
        <w:trPr>
          <w:cantSplit/>
        </w:trPr>
        <w:tc>
          <w:tcPr>
            <w:tcW w:type="dxa" w:w="26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Data / Reporting Layer</w:t>
            </w:r>
          </w:p>
        </w:tc>
        <w:tc>
          <w:tcPr>
            <w:tcW w:type="dxa" w:w="21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GHS 12,000–45,000</w:t>
            </w:r>
          </w:p>
        </w:tc>
        <w:tc>
          <w:tcPr>
            <w:tcW w:type="dxa" w:w="46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Defined metrics, data connections, dashboards, alerts and operating review</w:t>
            </w:r>
          </w:p>
        </w:tc>
      </w:tr>
    </w:tbl>
    <w:p>
      <w:pPr>
        <w:pStyle w:val="Heading2"/>
      </w:pPr>
      <w:r>
        <w:t>Every production workflow includes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A bounded job, success definition, failure handling, and named owner.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Approved knowledge or data sources with explicit permissions.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Human approval and escalation where the business consequence requires it.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Testing across common, difficult, ambiguous, and failure scenarios.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Basic observability for usage, cost, errors, quality, and outcomes appropriate to scope.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CREATIVE INTELLIGENCE</w:t>
      </w:r>
    </w:p>
    <w:p>
      <w:pPr>
        <w:pStyle w:val="Heading1"/>
      </w:pPr>
      <w:r>
        <w:t>Campaign, image, video and content systems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2500"/>
        <w:gridCol w:w="2060"/>
        <w:gridCol w:w="4800"/>
      </w:tblGrid>
      <w:tr>
        <w:trPr>
          <w:cantSplit/>
          <w:tblHeader w:val="true"/>
          <w:cantSplit/>
        </w:trPr>
        <w:tc>
          <w:tcPr>
            <w:tcW w:type="dxa" w:w="2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Offer</w:t>
            </w:r>
          </w:p>
        </w:tc>
        <w:tc>
          <w:tcPr>
            <w:tcW w:type="dxa" w:w="2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Indicative fee</w:t>
            </w:r>
          </w:p>
        </w:tc>
        <w:tc>
          <w:tcPr>
            <w:tcW w:type="dxa" w:w="4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Typical deliverables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Creative Direction Sprint</w:t>
            </w:r>
          </w:p>
        </w:tc>
        <w:tc>
          <w:tcPr>
            <w:tcW w:type="dxa" w:w="2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5,000–12,000</w:t>
            </w:r>
          </w:p>
        </w:tc>
        <w:tc>
          <w:tcPr>
            <w:tcW w:type="dxa" w:w="4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Brief refinement, audience/message, visual territories, references and production plan</w:t>
            </w:r>
          </w:p>
        </w:tc>
      </w:tr>
      <w:tr>
        <w:trPr>
          <w:cantSplit/>
        </w:trPr>
        <w:tc>
          <w:tcPr>
            <w:tcW w:type="dxa" w:w="25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AI Image Campaign</w:t>
            </w:r>
          </w:p>
        </w:tc>
        <w:tc>
          <w:tcPr>
            <w:tcW w:type="dxa" w:w="20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8,000–25,000</w:t>
            </w:r>
          </w:p>
        </w:tc>
        <w:tc>
          <w:tcPr>
            <w:tcW w:type="dxa" w:w="48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Approved concept, generation, selected retouching, variations, formats and usage record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AI-Assisted Video Package</w:t>
            </w:r>
          </w:p>
        </w:tc>
        <w:tc>
          <w:tcPr>
            <w:tcW w:type="dxa" w:w="2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12,000–40,000</w:t>
            </w:r>
          </w:p>
        </w:tc>
        <w:tc>
          <w:tcPr>
            <w:tcW w:type="dxa" w:w="4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Concept, script, storyboard, generated/edited sequence, review and platform adaptations</w:t>
            </w:r>
          </w:p>
        </w:tc>
      </w:tr>
      <w:tr>
        <w:trPr>
          <w:cantSplit/>
        </w:trPr>
        <w:tc>
          <w:tcPr>
            <w:tcW w:type="dxa" w:w="25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Content Operating System</w:t>
            </w:r>
          </w:p>
        </w:tc>
        <w:tc>
          <w:tcPr>
            <w:tcW w:type="dxa" w:w="20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12,000–35,000</w:t>
            </w:r>
          </w:p>
        </w:tc>
        <w:tc>
          <w:tcPr>
            <w:tcW w:type="dxa" w:w="48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Source intake, voice guide, idea extraction, multi-channel drafts, approvals and publishing packages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Managed Creative Studio</w:t>
            </w:r>
          </w:p>
        </w:tc>
        <w:tc>
          <w:tcPr>
            <w:tcW w:type="dxa" w:w="2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From GHS 6,000/mo</w:t>
            </w:r>
          </w:p>
        </w:tc>
        <w:tc>
          <w:tcPr>
            <w:tcW w:type="dxa" w:w="4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Agreed monthly brief, production allowance, review rhythm and performance learning</w:t>
            </w:r>
          </w:p>
        </w:tc>
      </w:tr>
    </w:tbl>
    <w:p>
      <w:r>
        <w:rPr>
          <w:rFonts w:ascii="Arial" w:hAnsi="Arial"/>
        </w:rPr>
        <w:t>Final creative cost depends on asset count, complexity, identity continuity, retouching, voice/music rights, specialist editing, paid-media versions, and production requirements. Generated people, products, claims, likenesses, and sensitive scenarios require explicit review and appropriate disclosure.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MANAGED SERVICES</w:t>
      </w:r>
    </w:p>
    <w:p>
      <w:pPr>
        <w:pStyle w:val="Heading1"/>
      </w:pPr>
      <w:r>
        <w:t>Support, monitoring and continuous improvement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2300"/>
        <w:gridCol w:w="1900"/>
        <w:gridCol w:w="2100"/>
        <w:gridCol w:w="3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Plan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Indicative fee</w:t>
            </w:r>
          </w:p>
        </w:tc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Best for</w:t>
            </w:r>
          </w:p>
        </w:tc>
        <w:tc>
          <w:tcPr>
            <w:tcW w:type="dxa" w:w="3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Typical coverage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Website Care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From GHS 900/mo</w:t>
            </w:r>
          </w:p>
        </w:tc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Business websites</w:t>
            </w:r>
          </w:p>
        </w:tc>
        <w:tc>
          <w:tcPr>
            <w:tcW w:type="dxa" w:w="3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Monitoring, backups, minor updates and technical support allowance</w:t>
            </w:r>
          </w:p>
        </w:tc>
      </w:tr>
      <w:tr>
        <w:trPr>
          <w:cantSplit/>
        </w:trPr>
        <w:tc>
          <w:tcPr>
            <w:tcW w:type="dxa" w:w="23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AI Care</w:t>
            </w:r>
          </w:p>
        </w:tc>
        <w:tc>
          <w:tcPr>
            <w:tcW w:type="dxa" w:w="19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From GHS 1,500/mo</w:t>
            </w:r>
          </w:p>
        </w:tc>
        <w:tc>
          <w:tcPr>
            <w:tcW w:type="dxa" w:w="21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Productized assistants</w:t>
            </w:r>
          </w:p>
        </w:tc>
        <w:tc>
          <w:tcPr>
            <w:tcW w:type="dxa" w:w="30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Website care plus knowledge updates, response monitoring and monthly review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Managed Agent Operations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GHS 4,000–18,000/mo</w:t>
            </w:r>
          </w:p>
        </w:tc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Operational AI workflows</w:t>
            </w:r>
          </w:p>
        </w:tc>
        <w:tc>
          <w:tcPr>
            <w:tcW w:type="dxa" w:w="3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Evaluation, incident support, cost/quality review, improvements and reporting</w:t>
            </w:r>
          </w:p>
        </w:tc>
      </w:tr>
      <w:tr>
        <w:trPr>
          <w:cantSplit/>
        </w:trPr>
        <w:tc>
          <w:tcPr>
            <w:tcW w:type="dxa" w:w="23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Transformation Partner</w:t>
            </w:r>
          </w:p>
        </w:tc>
        <w:tc>
          <w:tcPr>
            <w:tcW w:type="dxa" w:w="19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Custom retainer</w:t>
            </w:r>
          </w:p>
        </w:tc>
        <w:tc>
          <w:tcPr>
            <w:tcW w:type="dxa" w:w="21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Multiple teams and workflows</w:t>
            </w:r>
          </w:p>
        </w:tc>
        <w:tc>
          <w:tcPr>
            <w:tcW w:type="dxa" w:w="30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Roadmap, governance, delivery leadership, change management and portfolio review</w:t>
            </w:r>
          </w:p>
        </w:tc>
      </w:tr>
    </w:tbl>
    <w:p>
      <w:pPr>
        <w:pStyle w:val="Heading2"/>
      </w:pPr>
      <w:r>
        <w:t>Service-level details are agreed per engagement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Support hours, response targets, included change allowance, reporting cadence, and escalation contacts.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Approved model and channel budgets, overage treatment, and cost alerts.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Knowledge owners, update process, incident handling, retention, and access review.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ENGAGEMENT MODEL</w:t>
      </w:r>
    </w:p>
    <w:p>
      <w:pPr>
        <w:pStyle w:val="Heading1"/>
      </w:pPr>
      <w:r>
        <w:t>From first conversation to measurable operation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1900"/>
        <w:gridCol w:w="4000"/>
        <w:gridCol w:w="3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Exit gate</w:t>
            </w:r>
          </w:p>
        </w:tc>
      </w:tr>
      <w:tr>
        <w:trPr>
          <w:cantSplit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1. Qualify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Confirm need, urgency, owner, budget range and current workflow</w:t>
            </w:r>
          </w:p>
        </w:tc>
        <w:tc>
          <w:tcPr>
            <w:tcW w:type="dxa" w:w="3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Discovery is worth both parties’ time</w:t>
            </w:r>
          </w:p>
        </w:tc>
      </w:tr>
      <w:tr>
        <w:trPr>
          <w:cantSplit/>
        </w:trPr>
        <w:tc>
          <w:tcPr>
            <w:tcW w:type="dxa" w:w="19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2. Discover</w:t>
            </w:r>
          </w:p>
        </w:tc>
        <w:tc>
          <w:tcPr>
            <w:tcW w:type="dxa" w:w="40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Map workflow, baseline, users, systems, risks and success</w:t>
            </w:r>
          </w:p>
        </w:tc>
        <w:tc>
          <w:tcPr>
            <w:tcW w:type="dxa" w:w="34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Problem and pilot boundary are agreed</w:t>
            </w:r>
          </w:p>
        </w:tc>
      </w:tr>
      <w:tr>
        <w:trPr>
          <w:cantSplit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3. Propose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Define scope, deliverables, exclusions, price, responsibilities and controls</w:t>
            </w:r>
          </w:p>
        </w:tc>
        <w:tc>
          <w:tcPr>
            <w:tcW w:type="dxa" w:w="3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Approved agreement and payment trigger</w:t>
            </w:r>
          </w:p>
        </w:tc>
      </w:tr>
      <w:tr>
        <w:trPr>
          <w:cantSplit/>
        </w:trPr>
        <w:tc>
          <w:tcPr>
            <w:tcW w:type="dxa" w:w="19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4. Design &amp; build</w:t>
            </w:r>
          </w:p>
        </w:tc>
        <w:tc>
          <w:tcPr>
            <w:tcW w:type="dxa" w:w="40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Create the experience, tools, content, data connections and test cases</w:t>
            </w:r>
          </w:p>
        </w:tc>
        <w:tc>
          <w:tcPr>
            <w:tcW w:type="dxa" w:w="34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Acceptance criteria can be tested</w:t>
            </w:r>
          </w:p>
        </w:tc>
      </w:tr>
      <w:tr>
        <w:trPr>
          <w:cantSplit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5. Evaluate &amp; approve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Review quality, safety, failure handling and human control</w:t>
            </w:r>
          </w:p>
        </w:tc>
        <w:tc>
          <w:tcPr>
            <w:tcW w:type="dxa" w:w="3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Named owner approves release</w:t>
            </w:r>
          </w:p>
        </w:tc>
      </w:tr>
      <w:tr>
        <w:trPr>
          <w:cantSplit/>
        </w:trPr>
        <w:tc>
          <w:tcPr>
            <w:tcW w:type="dxa" w:w="19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7"/>
              </w:rPr>
              <w:t>6. Launch &amp; observe</w:t>
            </w:r>
          </w:p>
        </w:tc>
        <w:tc>
          <w:tcPr>
            <w:tcW w:type="dxa" w:w="40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Release, support, measure, learn and prioritize improvements</w:t>
            </w:r>
          </w:p>
        </w:tc>
        <w:tc>
          <w:tcPr>
            <w:tcW w:type="dxa" w:w="34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7"/>
              </w:rPr>
              <w:t>Stable operation and outcome review</w:t>
            </w:r>
          </w:p>
        </w:tc>
      </w:tr>
    </w:tbl>
    <w:p>
      <w:pPr>
        <w:pStyle w:val="Heading2"/>
      </w:pPr>
      <w:r>
        <w:t>Standard commercial defaults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Projects typically use milestone payments, commonly 50% / 30% / 20% unless scope suggests another structure.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Two consolidated review rounds per major stage are normally included.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New requirements are handled through written change control before work begins.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Aksen retains reusable methods, platform components, and pre-existing intellectual property; project-specific ownership is defined in the final agreement.</w:t>
      </w:r>
    </w:p>
    <w:p>
      <w:pPr>
        <w:pStyle w:val="ListBody"/>
        <w:numPr>
          <w:ilvl w:val="0"/>
          <w:numId w:val="10"/>
        </w:numPr>
      </w:pPr>
      <w:r>
        <w:rPr>
          <w:rFonts w:ascii="Arial" w:hAnsi="Arial"/>
        </w:rPr>
        <w:t>This guide is not a quotation, service-level agreement, or binding offer.</w:t>
      </w:r>
    </w:p>
    <w:p>
      <w:r>
        <w:br w:type="page"/>
      </w:r>
    </w:p>
    <w:p>
      <w:pPr>
        <w:pStyle w:val="Kicker"/>
        <w:jc w:val="left"/>
      </w:pPr>
      <w:r>
        <w:rPr>
          <w:rFonts w:ascii="Arial" w:hAnsi="Arial"/>
          <w:b/>
          <w:color w:val="125F38"/>
          <w:sz w:val="18"/>
        </w:rPr>
        <w:t>START HERE</w:t>
      </w:r>
    </w:p>
    <w:p>
      <w:pPr>
        <w:pStyle w:val="Heading1"/>
      </w:pPr>
      <w:r>
        <w:t>Choose the smallest engagement that can prove value</w:t>
      </w:r>
    </w:p>
    <w:p>
      <w:r>
        <w:rPr>
          <w:rFonts w:ascii="Arial" w:hAnsi="Arial"/>
        </w:rPr>
        <w:t>The strongest first engagement is specific enough to measure and valuable enough to matter. Aksen Labs will recommend a practical starting point after a short qualification conversation.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D9"/>
          <w:left w:val="single" w:sz="5" w:space="0" w:color="D7DED9"/>
          <w:bottom w:val="single" w:sz="5" w:space="0" w:color="D7DED9"/>
          <w:right w:val="single" w:sz="5" w:space="0" w:color="D7DED9"/>
          <w:insideH w:val="single" w:sz="5" w:space="0" w:color="D7DED9"/>
          <w:insideV w:val="single" w:sz="5" w:space="0" w:color="D7DED9"/>
        </w:tblBorders>
      </w:tblPr>
      <w:tblGrid>
        <w:gridCol w:w="4300"/>
        <w:gridCol w:w="5060"/>
      </w:tblGrid>
      <w:tr>
        <w:trPr>
          <w:cantSplit/>
          <w:tblHeader w:val="true"/>
          <w:cantSplit/>
        </w:trPr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If you need…</w:t>
            </w:r>
          </w:p>
        </w:tc>
        <w:tc>
          <w:tcPr>
            <w:tcW w:type="dxa" w:w="5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73D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Recommended first step</w:t>
            </w:r>
          </w:p>
        </w:tc>
      </w:tr>
      <w:tr>
        <w:trPr>
          <w:cantSplit/>
        </w:trPr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A credible digital presence and better enquiries</w:t>
            </w:r>
          </w:p>
        </w:tc>
        <w:tc>
          <w:tcPr>
            <w:tcW w:type="dxa" w:w="5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Business Website or Growth Website</w:t>
            </w:r>
          </w:p>
        </w:tc>
      </w:tr>
      <w:tr>
        <w:trPr>
          <w:cantSplit/>
        </w:trPr>
        <w:tc>
          <w:tcPr>
            <w:tcW w:type="dxa" w:w="43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Faster answers and structured customer qualification</w:t>
            </w:r>
          </w:p>
        </w:tc>
        <w:tc>
          <w:tcPr>
            <w:tcW w:type="dxa" w:w="50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Productized Website Assistant</w:t>
            </w:r>
          </w:p>
        </w:tc>
      </w:tr>
      <w:tr>
        <w:trPr>
          <w:cantSplit/>
        </w:trPr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A serious workflow problem with unclear scope</w:t>
            </w:r>
          </w:p>
        </w:tc>
        <w:tc>
          <w:tcPr>
            <w:tcW w:type="dxa" w:w="5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AI Opportunity Sprint</w:t>
            </w:r>
          </w:p>
        </w:tc>
      </w:tr>
      <w:tr>
        <w:trPr>
          <w:cantSplit/>
        </w:trPr>
        <w:tc>
          <w:tcPr>
            <w:tcW w:type="dxa" w:w="43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Proof that one AI workflow can operate safely</w:t>
            </w:r>
          </w:p>
        </w:tc>
        <w:tc>
          <w:tcPr>
            <w:tcW w:type="dxa" w:w="50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Focused AI Pilot</w:t>
            </w:r>
          </w:p>
        </w:tc>
      </w:tr>
      <w:tr>
        <w:trPr>
          <w:cantSplit/>
        </w:trPr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Ongoing quality, cost and improvement ownership</w:t>
            </w:r>
          </w:p>
        </w:tc>
        <w:tc>
          <w:tcPr>
            <w:tcW w:type="dxa" w:w="5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Managed Agent Operations</w:t>
            </w:r>
          </w:p>
        </w:tc>
      </w:tr>
      <w:tr>
        <w:trPr>
          <w:cantSplit/>
        </w:trPr>
        <w:tc>
          <w:tcPr>
            <w:tcW w:type="dxa" w:w="430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7201A"/>
                <w:sz w:val="18"/>
              </w:rPr>
              <w:t>A repeatable campaign or content production system</w:t>
            </w:r>
          </w:p>
        </w:tc>
        <w:tc>
          <w:tcPr>
            <w:tcW w:type="dxa" w:w="5060"/>
            <w:shd w:fill="F8FA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1A"/>
                <w:sz w:val="18"/>
              </w:rPr>
              <w:t>Creative Direction Sprint or Content Operating System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D9"/>
          <w:left w:val="single" w:sz="4" w:space="0" w:color="D7DED9"/>
          <w:bottom w:val="single" w:sz="4" w:space="0" w:color="D7DED9"/>
          <w:right w:val="single" w:sz="4" w:space="0" w:color="D7DED9"/>
          <w:insideH w:val="single" w:sz="4" w:space="0" w:color="D7DED9"/>
          <w:insideV w:val="single" w:sz="4" w:space="0" w:color="D7DED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Arial" w:hAnsi="Arial"/>
                <w:b/>
                <w:color w:val="125F38"/>
                <w:sz w:val="17"/>
              </w:rPr>
              <w:t xml:space="preserve">NEXT ACTION  </w:t>
            </w:r>
            <w:r>
              <w:rPr>
                <w:rFonts w:ascii="Arial" w:hAnsi="Arial"/>
                <w:b/>
                <w:color w:val="17201A"/>
                <w:sz w:val="20"/>
              </w:rPr>
              <w:t>Request a discovery conversation and receive a tailored proposal with scope, milestones, assumptions, and final pricing.</w:t>
            </w:r>
          </w:p>
        </w:tc>
      </w:tr>
    </w:tbl>
    <w:p>
      <w:pPr>
        <w:spacing w:after="20"/>
      </w:pPr>
    </w:p>
    <w:p>
      <w:pPr>
        <w:pStyle w:val="Heading2"/>
      </w:pPr>
      <w:r>
        <w:t>Contact placeholders</w:t>
      </w:r>
    </w:p>
    <w:p>
      <w:r>
        <w:rPr>
          <w:rFonts w:ascii="Arial" w:hAnsi="Arial"/>
        </w:rPr>
        <w:t>Email: [AKSEN EMAIL]   •   Phone/WhatsApp: [AKSEN NUMBER]   •   Web: [AKSEN WEBSITE]</w:t>
      </w:r>
    </w:p>
    <w:p>
      <w:r>
        <w:rPr>
          <w:rFonts w:ascii="Arial" w:hAnsi="Arial"/>
        </w:rPr>
        <w:t>Aksen Labs is currently a working business name pending final registry, trademark, and domain clearance. Replace the placeholders and confirm legal/commercial details before public distribution.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66736B"/>
        <w:sz w:val="17"/>
      </w:rPr>
      <w:t xml:space="preserve">AKSEN LABS  /  </w:t>
    </w:r>
    <w:r>
      <w:rPr>
        <w:rFonts w:ascii="Arial" w:hAnsi="Arial"/>
        <w:color w:val="66736B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36B"/>
        <w:sz w:val="17"/>
      </w:rPr>
      <w:t>SERVICES &amp; PRICING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20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125F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D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5F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5080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66736B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basedOn w:val="Normal"/>
    <w:pPr>
      <w:spacing w:after="80" w:line="290" w:lineRule="auto"/>
    </w:pPr>
    <w:rPr>
      <w:rFonts w:ascii="Arial" w:hAnsi="Arial"/>
      <w:color w:val="17201A"/>
      <w:sz w:val="21"/>
    </w:rPr>
  </w:style>
  <w:style w:type="paragraph" w:customStyle="1" w:styleId="Kicker">
    <w:name w:val="Kicker"/>
    <w:pPr>
      <w:spacing w:after="100"/>
    </w:pPr>
    <w:rPr>
      <w:rFonts w:ascii="Arial" w:hAnsi="Arial"/>
      <w:b/>
      <w:color w:val="125F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Aksen Labs Services &amp; Pricing Guide</dc:title>
  <dc:subject>Indicative services, packages and commercial model</dc:subject>
  <dc:creator>Aksen Labs</dc:creator>
  <cp:keywords>Aksen Labs, proposal, AI, digital systems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