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5276"/>
          <w:sz w:val="36"/>
          <w:szCs w:val="36"/>
        </w:rPr>
        <w:t xml:space="preserve">GREENSPIN GAMING</w:t>
      </w:r>
    </w:p>
    <w:p>
      <w:pPr>
        <w:spacing w:after="40" w:before="0"/>
        <w:jc w:val="center"/>
      </w:pPr>
      <w:r>
        <w:rPr>
          <w:rFonts w:ascii="Arial" w:cs="Arial" w:eastAsia="Arial" w:hAnsi="Arial"/>
          <w:color w:val="555555"/>
          <w:sz w:val="28"/>
          <w:szCs w:val="28"/>
        </w:rPr>
        <w:t xml:space="preserve">iGaming KPI Analytics Suite</w:t>
      </w:r>
    </w:p>
    <w:p>
      <w:pPr>
        <w:spacing w:after="40" w:before="0"/>
        <w:jc w:val="center"/>
      </w:pPr>
      <w:r>
        <w:rPr>
          <w:rFonts w:ascii="Arial" w:cs="Arial" w:eastAsia="Arial" w:hAnsi="Arial"/>
          <w:b/>
          <w:bCs/>
          <w:color w:val="1A5276"/>
          <w:sz w:val="24"/>
          <w:szCs w:val="24"/>
        </w:rPr>
        <w:t xml:space="preserve">EXECUTIVE SUMMARY</w:t>
      </w:r>
    </w:p>
    <w:p>
      <w:pPr>
        <w:spacing w:after="40" w:before="0"/>
        <w:jc w:val="center"/>
      </w:pPr>
      <w:r>
        <w:rPr>
          <w:rFonts w:ascii="Arial" w:cs="Arial" w:eastAsia="Arial" w:hAnsi="Arial"/>
          <w:i/>
          <w:iCs/>
          <w:color w:val="777777"/>
          <w:sz w:val="20"/>
          <w:szCs w:val="20"/>
        </w:rPr>
        <w:t xml:space="preserve">Prepared for: Chief Marketing Officer | GreenSpin Gaming</w:t>
      </w:r>
    </w:p>
    <w:p>
      <w:pPr>
        <w:spacing w:after="160" w:before="0"/>
        <w:jc w:val="center"/>
      </w:pPr>
      <w:r>
        <w:rPr>
          <w:rFonts w:ascii="Arial" w:cs="Arial" w:eastAsia="Arial" w:hAnsi="Arial"/>
          <w:i/>
          <w:iCs/>
          <w:color w:val="777777"/>
          <w:sz w:val="18"/>
          <w:szCs w:val="18"/>
        </w:rPr>
        <w:t xml:space="preserve">Analysis Period: January 2023 - December 2024 | Dataset: 50,000 Players, 2.1M Sessions</w:t>
      </w:r>
    </w:p>
    <w:p>
      <w:pPr>
        <w:pBdr>
          <w:bottom w:val="single" w:color="1A5276" w:sz="6" w:space="1"/>
        </w:pBdr>
        <w:spacing w:after="80" w:before="80"/>
      </w:pPr>
    </w:p>
    <w:p>
      <w:pPr>
        <w:pStyle w:val="Heading1"/>
      </w:pPr>
      <w:r>
        <w:rPr>
          <w:rFonts w:ascii="Arial" w:cs="Arial" w:eastAsia="Arial" w:hAnsi="Arial"/>
          <w:b/>
          <w:bCs/>
          <w:color w:val="1A5276"/>
          <w:sz w:val="28"/>
          <w:szCs w:val="28"/>
        </w:rPr>
        <w:t xml:space="preserve">Business Context</w:t>
      </w:r>
    </w:p>
    <w:p>
      <w:pPr>
        <w:spacing w:after="160" w:before="80"/>
      </w:pPr>
      <w:r>
        <w:rPr>
          <w:rFonts w:ascii="Arial" w:cs="Arial" w:eastAsia="Arial" w:hAnsi="Arial"/>
          <w:sz w:val="22"/>
          <w:szCs w:val="22"/>
        </w:rPr>
        <w:t xml:space="preserve">This report presents a comprehensive analysis of GreenSpin Gaming's player base, revenue performance, and operational efficiency across a 24-month period. Using a dataset of 50,000 registered players generating over 2.1 million gaming sessions and EUR 127.5 million in Gross Gaming Revenue (GGR), this analysis identifies key growth opportunities, retention risks, and bonus efficiency gaps to inform strategic decision-making at the CMO level.</w:t>
      </w:r>
    </w:p>
    <w:p>
      <w:pPr>
        <w:pBdr>
          <w:bottom w:val="single" w:color="1A5276" w:sz="6" w:space="1"/>
        </w:pBdr>
        <w:spacing w:after="80" w:before="80"/>
      </w:pPr>
    </w:p>
    <w:p>
      <w:pPr>
        <w:pStyle w:val="Heading1"/>
      </w:pPr>
      <w:r>
        <w:rPr>
          <w:rFonts w:ascii="Arial" w:cs="Arial" w:eastAsia="Arial" w:hAnsi="Arial"/>
          <w:b/>
          <w:bCs/>
          <w:color w:val="1A5276"/>
          <w:sz w:val="28"/>
          <w:szCs w:val="28"/>
        </w:rPr>
        <w:t xml:space="preserve">Key Findings</w:t>
      </w:r>
    </w:p>
    <w:p>
      <w:pPr>
        <w:pStyle w:val="Heading2"/>
        <w:spacing w:after="60" w:before="120"/>
      </w:pPr>
      <w:r>
        <w:rPr>
          <w:rFonts w:ascii="Arial" w:cs="Arial" w:eastAsia="Arial" w:hAnsi="Arial"/>
          <w:b/>
          <w:bCs/>
          <w:color w:val="1A5276"/>
          <w:sz w:val="24"/>
          <w:szCs w:val="24"/>
        </w:rPr>
        <w:t xml:space="preserve">Finding 1: Exceptional Revenue Growth Masking a Bonus Cost Problem</w:t>
      </w:r>
    </w:p>
    <w:p>
      <w:pPr>
        <w:spacing w:after="120" w:before="60"/>
      </w:pPr>
      <w:r>
        <w:rPr>
          <w:rFonts w:ascii="Arial" w:cs="Arial" w:eastAsia="Arial" w:hAnsi="Arial"/>
          <w:sz w:val="22"/>
          <w:szCs w:val="22"/>
        </w:rPr>
        <w:t xml:space="preserve">GreenSpin Gaming achieved 17x GGR growth from EUR 336,746 in January 2023 to EUR 8.4 million in August 2024. However, bonus costs have consistently consumed 40% of GGR across the entire period without improvement. Total bonus expenditure reached EUR 51.9 million over 24 months, representing a significant margin pressure that has not reduced despite scale.</w:t>
      </w:r>
    </w:p>
    <w:p>
      <w:pPr>
        <w:pStyle w:val="Heading2"/>
        <w:spacing w:after="60" w:before="120"/>
      </w:pPr>
      <w:r>
        <w:rPr>
          <w:rFonts w:ascii="Arial" w:cs="Arial" w:eastAsia="Arial" w:hAnsi="Arial"/>
          <w:b/>
          <w:bCs/>
          <w:color w:val="1A5276"/>
          <w:sz w:val="24"/>
          <w:szCs w:val="24"/>
        </w:rPr>
        <w:t xml:space="preserve">Finding 2: VIP Segment Drives Disproportionate Revenue</w:t>
      </w:r>
    </w:p>
    <w:p>
      <w:pPr>
        <w:spacing w:after="120" w:before="60"/>
      </w:pPr>
      <w:r>
        <w:rPr>
          <w:rFonts w:ascii="Arial" w:cs="Arial" w:eastAsia="Arial" w:hAnsi="Arial"/>
          <w:sz w:val="22"/>
          <w:szCs w:val="22"/>
        </w:rPr>
        <w:t xml:space="preserve">VIP players represent only 5% of the total player base (2,483 players) yet generate EUR 62.8 million in GGR, which is 49% of total revenue. Average VIP Lifetime Value (LTV) stands at EUR 25,294 compared to EUR 21 for Dormant players, a 1,197x difference. Furthermore, the top 1,000 players (2% of the base) account for 33.83% of all GGR, confirming extreme revenue concentration in a small high-value cohort.</w:t>
      </w:r>
    </w:p>
    <w:p>
      <w:pPr>
        <w:pStyle w:val="Heading2"/>
        <w:spacing w:after="60" w:before="120"/>
      </w:pPr>
      <w:r>
        <w:rPr>
          <w:rFonts w:ascii="Arial" w:cs="Arial" w:eastAsia="Arial" w:hAnsi="Arial"/>
          <w:b/>
          <w:bCs/>
          <w:color w:val="1A5276"/>
          <w:sz w:val="24"/>
          <w:szCs w:val="24"/>
        </w:rPr>
        <w:t xml:space="preserve">Finding 3: Churn Is Catastrophic in Bottom Segments</w:t>
      </w:r>
    </w:p>
    <w:p>
      <w:pPr>
        <w:spacing w:after="120" w:before="60"/>
      </w:pPr>
      <w:r>
        <w:rPr>
          <w:rFonts w:ascii="Arial" w:cs="Arial" w:eastAsia="Arial" w:hAnsi="Arial"/>
          <w:sz w:val="22"/>
          <w:szCs w:val="22"/>
        </w:rPr>
        <w:t xml:space="preserve">Dormant players churn at a 93.66% rate and leave after an average of just 83.6 days. Low segment players churn at 80.59% after 142 days. Combined, these two segments represent 44% of the player base (22,312 players) but generate less than 2% of total GGR while consuming bonus budgets at the highest rate proportionally (54% and 50% of their GGR respectively). The business is acquiring players who cost more to retain than they generate in revenue.</w:t>
      </w:r>
    </w:p>
    <w:p>
      <w:pPr>
        <w:pStyle w:val="Heading2"/>
        <w:spacing w:after="60" w:before="120"/>
      </w:pPr>
      <w:r>
        <w:rPr>
          <w:rFonts w:ascii="Arial" w:cs="Arial" w:eastAsia="Arial" w:hAnsi="Arial"/>
          <w:b/>
          <w:bCs/>
          <w:color w:val="1A5276"/>
          <w:sz w:val="24"/>
          <w:szCs w:val="24"/>
        </w:rPr>
        <w:t xml:space="preserve">Finding 4: Malta and Canada Deliver the Highest Player Quality</w:t>
      </w:r>
    </w:p>
    <w:p>
      <w:pPr>
        <w:spacing w:after="120" w:before="60"/>
      </w:pPr>
      <w:r>
        <w:rPr>
          <w:rFonts w:ascii="Arial" w:cs="Arial" w:eastAsia="Arial" w:hAnsi="Arial"/>
          <w:sz w:val="22"/>
          <w:szCs w:val="22"/>
        </w:rPr>
        <w:t xml:space="preserve">Country-level analysis reveals significant variation in player quality despite similar churn rates across markets (69-71%). Malta ranks first with an average LTV of EUR 2,756 per player, followed by Canada at EUR 2,700 and Australia at EUR 2,617. Germany, despite being the largest market by volume with 9,014 players, ranks sixth by LTV at EUR 2,510, indicating that volume-led market expansion does not guarantee proportional revenue quality.</w:t>
      </w:r>
    </w:p>
    <w:p>
      <w:pPr>
        <w:pStyle w:val="Heading2"/>
        <w:spacing w:after="60" w:before="120"/>
      </w:pPr>
      <w:r>
        <w:rPr>
          <w:rFonts w:ascii="Arial" w:cs="Arial" w:eastAsia="Arial" w:hAnsi="Arial"/>
          <w:b/>
          <w:bCs/>
          <w:color w:val="1A5276"/>
          <w:sz w:val="24"/>
          <w:szCs w:val="24"/>
        </w:rPr>
        <w:t xml:space="preserve">Finding 5: Slots Dominates but Free Spins Delivers the Best Bonus ROI</w:t>
      </w:r>
    </w:p>
    <w:p>
      <w:pPr>
        <w:spacing w:after="160" w:before="60"/>
      </w:pPr>
      <w:r>
        <w:rPr>
          <w:rFonts w:ascii="Arial" w:cs="Arial" w:eastAsia="Arial" w:hAnsi="Arial"/>
          <w:sz w:val="22"/>
          <w:szCs w:val="22"/>
        </w:rPr>
        <w:t xml:space="preserve">Slots accounts for 45% of total GGR with 953,190 sessions, making it the single most important game vertical. Across all promotion types, Free Spins achieves the highest bonus ROI at 106.36x, meaning every EUR 1 spent on Free Spins generates EUR 106 in GGR. This is marginally ahead of Cashback (106.10x), Reload Bonus (105.86x), Welcome Bonus (105.62x), and VIP Reward (104.46x), indicating Free Spins as the most capital-efficient promotional tool available.</w:t>
      </w:r>
    </w:p>
    <w:p>
      <w:pPr>
        <w:pBdr>
          <w:bottom w:val="single" w:color="1A5276" w:sz="6" w:space="1"/>
        </w:pBdr>
        <w:spacing w:after="80" w:before="80"/>
      </w:pPr>
    </w:p>
    <w:p>
      <w:pPr>
        <w:pStyle w:val="Heading1"/>
      </w:pPr>
      <w:r>
        <w:rPr>
          <w:rFonts w:ascii="Arial" w:cs="Arial" w:eastAsia="Arial" w:hAnsi="Arial"/>
          <w:b/>
          <w:bCs/>
          <w:color w:val="1A5276"/>
          <w:sz w:val="28"/>
          <w:szCs w:val="28"/>
        </w:rPr>
        <w:t xml:space="preserve">Strategic Recommendations</w:t>
      </w:r>
    </w:p>
    <w:p>
      <w:pPr>
        <w:pStyle w:val="ListParagraph"/>
        <w:numPr>
          <w:ilvl w:val="0"/>
          <w:numId w:val="2"/>
        </w:numPr>
        <w:spacing w:after="40" w:before="120"/>
      </w:pPr>
      <w:r>
        <w:rPr>
          <w:rFonts w:ascii="Arial" w:cs="Arial" w:eastAsia="Arial" w:hAnsi="Arial"/>
          <w:b/>
          <w:bCs/>
          <w:sz w:val="22"/>
          <w:szCs w:val="22"/>
        </w:rPr>
        <w:t xml:space="preserve">Implement a VIP Acceleration Programme</w:t>
      </w:r>
    </w:p>
    <w:p>
      <w:pPr>
        <w:spacing w:after="120" w:before="40"/>
        <w:ind w:left="720"/>
      </w:pPr>
      <w:r>
        <w:rPr>
          <w:rFonts w:ascii="Arial" w:cs="Arial" w:eastAsia="Arial" w:hAnsi="Arial"/>
          <w:sz w:val="22"/>
          <w:szCs w:val="22"/>
        </w:rPr>
        <w:t xml:space="preserve">Given that 2% of players generate 34% of all GGR, assigning dedicated account managers to the top 1,000 players and building a personalised retention programme around this cohort is the single highest-ROI initiative available. A 5% reduction in VIP churn (currently 28.72%) would protect approximately EUR 3.1 million in annual GGR.</w:t>
      </w:r>
    </w:p>
    <w:p>
      <w:pPr>
        <w:pStyle w:val="ListParagraph"/>
        <w:numPr>
          <w:ilvl w:val="0"/>
          <w:numId w:val="2"/>
        </w:numPr>
        <w:spacing w:after="40" w:before="120"/>
      </w:pPr>
      <w:r>
        <w:rPr>
          <w:rFonts w:ascii="Arial" w:cs="Arial" w:eastAsia="Arial" w:hAnsi="Arial"/>
          <w:b/>
          <w:bCs/>
          <w:sz w:val="22"/>
          <w:szCs w:val="22"/>
        </w:rPr>
        <w:t xml:space="preserve">Restructure Bonus Budget Away from Dormant and Low Segments</w:t>
      </w:r>
    </w:p>
    <w:p>
      <w:pPr>
        <w:spacing w:after="120" w:before="40"/>
        <w:ind w:left="720"/>
      </w:pPr>
      <w:r>
        <w:rPr>
          <w:rFonts w:ascii="Arial" w:cs="Arial" w:eastAsia="Arial" w:hAnsi="Arial"/>
          <w:sz w:val="22"/>
          <w:szCs w:val="22"/>
        </w:rPr>
        <w:t xml:space="preserve">Dormant and Low players consume 54% and 50% of their GGR in bonus costs respectively, while generating negative minimum LTV. Reducing bonus allocation to these segments by 30% and redirecting that budget toward Mid and High segment retention would improve NGR margin without reducing total GGR. The reallocation should be phased over two quarters with A/B testing to validate impact.</w:t>
      </w:r>
    </w:p>
    <w:p>
      <w:pPr>
        <w:pStyle w:val="ListParagraph"/>
        <w:numPr>
          <w:ilvl w:val="0"/>
          <w:numId w:val="2"/>
        </w:numPr>
        <w:spacing w:after="40" w:before="120"/>
      </w:pPr>
      <w:r>
        <w:rPr>
          <w:rFonts w:ascii="Arial" w:cs="Arial" w:eastAsia="Arial" w:hAnsi="Arial"/>
          <w:b/>
          <w:bCs/>
          <w:sz w:val="22"/>
          <w:szCs w:val="22"/>
        </w:rPr>
        <w:t xml:space="preserve">Launch a 30-Day Onboarding Journey for New Players</w:t>
      </w:r>
    </w:p>
    <w:p>
      <w:pPr>
        <w:spacing w:after="120" w:before="40"/>
        <w:ind w:left="720"/>
      </w:pPr>
      <w:r>
        <w:rPr>
          <w:rFonts w:ascii="Arial" w:cs="Arial" w:eastAsia="Arial" w:hAnsi="Arial"/>
          <w:sz w:val="22"/>
          <w:szCs w:val="22"/>
        </w:rPr>
        <w:t xml:space="preserve">Dormant players churn within 83.6 days on average. This means the business has a critical 30-day window after registration to drive meaningful engagement before the churn trajectory becomes irreversible. A structured onboarding journey with day 3, day 7, day 14, and day 30 CRM touchpoints, personalised by game preference and deposit behaviour, could materially improve the Dormant-to-Mid segment conversion rate.</w:t>
      </w:r>
    </w:p>
    <w:p>
      <w:pPr>
        <w:pStyle w:val="ListParagraph"/>
        <w:numPr>
          <w:ilvl w:val="0"/>
          <w:numId w:val="2"/>
        </w:numPr>
        <w:spacing w:after="40" w:before="120"/>
      </w:pPr>
      <w:r>
        <w:rPr>
          <w:rFonts w:ascii="Arial" w:cs="Arial" w:eastAsia="Arial" w:hAnsi="Arial"/>
          <w:b/>
          <w:bCs/>
          <w:sz w:val="22"/>
          <w:szCs w:val="22"/>
        </w:rPr>
        <w:t xml:space="preserve">Reallocate Marketing Budget Toward Malta and Canada</w:t>
      </w:r>
    </w:p>
    <w:p>
      <w:pPr>
        <w:spacing w:after="120" w:before="40"/>
        <w:ind w:left="720"/>
      </w:pPr>
      <w:r>
        <w:rPr>
          <w:rFonts w:ascii="Arial" w:cs="Arial" w:eastAsia="Arial" w:hAnsi="Arial"/>
          <w:sz w:val="22"/>
          <w:szCs w:val="22"/>
        </w:rPr>
        <w:t xml:space="preserve">Malta and Canada consistently deliver the highest LTV per player at EUR 2,756 and EUR 2,700 respectively. If the current marketing budget allocates spend proportionally by player volume, these markets are underinvested relative to their return. A market efficiency audit comparing CPA by market against LTV by market is recommended, with budget reallocation toward Malta and Canada targets as a priority action for the next planning cycle.</w:t>
      </w:r>
    </w:p>
    <w:p>
      <w:pPr>
        <w:pStyle w:val="ListParagraph"/>
        <w:numPr>
          <w:ilvl w:val="0"/>
          <w:numId w:val="2"/>
        </w:numPr>
        <w:spacing w:after="40" w:before="120"/>
      </w:pPr>
      <w:r>
        <w:rPr>
          <w:rFonts w:ascii="Arial" w:cs="Arial" w:eastAsia="Arial" w:hAnsi="Arial"/>
          <w:b/>
          <w:bCs/>
          <w:sz w:val="22"/>
          <w:szCs w:val="22"/>
        </w:rPr>
        <w:t xml:space="preserve">Scale Free Spins Campaigns as the Primary Promotional Vehicle</w:t>
      </w:r>
    </w:p>
    <w:p>
      <w:pPr>
        <w:spacing w:after="160" w:before="40"/>
        <w:ind w:left="720"/>
      </w:pPr>
      <w:r>
        <w:rPr>
          <w:rFonts w:ascii="Arial" w:cs="Arial" w:eastAsia="Arial" w:hAnsi="Arial"/>
          <w:sz w:val="22"/>
          <w:szCs w:val="22"/>
        </w:rPr>
        <w:t xml:space="preserve">With a bonus ROI of 106.36x, Free Spins outperforms all other promotion types and is closely tied to Slots which is responsible for 45% of total GGR. Increasing Free Spins campaign frequency, particularly targeted at newly registered players and Mid segment players showing early churn signals, would leverage the highest efficiency promotional tool while simultaneously supporting the two most critical business objectives: acquisition conversion and retention.</w:t>
      </w:r>
    </w:p>
    <w:p>
      <w:pPr>
        <w:pBdr>
          <w:bottom w:val="single" w:color="1A5276" w:sz="6" w:space="1"/>
        </w:pBdr>
        <w:spacing w:after="80" w:before="80"/>
      </w:pPr>
    </w:p>
    <w:p>
      <w:pPr>
        <w:spacing w:after="0" w:before="120"/>
        <w:jc w:val="center"/>
      </w:pPr>
      <w:r>
        <w:rPr>
          <w:rFonts w:ascii="Arial" w:cs="Arial" w:eastAsia="Arial" w:hAnsi="Arial"/>
          <w:i/>
          <w:iCs/>
          <w:color w:val="777777"/>
          <w:sz w:val="18"/>
          <w:szCs w:val="18"/>
        </w:rPr>
        <w:t xml:space="preserve">Prepared by: Oluwatobi Bamidele | Data Analyst | GreenSpin Gaming Analytics Project | DA-1</w:t>
      </w:r>
    </w:p>
    <w:p>
      <w:pPr>
        <w:spacing w:after="0" w:before="40"/>
        <w:jc w:val="center"/>
      </w:pPr>
      <w:r>
        <w:rPr>
          <w:rFonts w:ascii="Arial" w:cs="Arial" w:eastAsia="Arial" w:hAnsi="Arial"/>
          <w:i/>
          <w:iCs/>
          <w:color w:val="1A5276"/>
          <w:sz w:val="18"/>
          <w:szCs w:val="18"/>
        </w:rPr>
        <w:t xml:space="preserve">Dashboard: public.tableau.com/app/profile/oluwatobi.bamidele/viz/GreenSpinGamingiGamingKPIDashboard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2026-06-24T18:34:11.272Z</dcterms:created>
  <dcterms:modified xsi:type="dcterms:W3CDTF">2026-06-24T18:34:11.272Z</dcterms:modified>
</cp:coreProperties>
</file>

<file path=docProps/custom.xml><?xml version="1.0" encoding="utf-8"?>
<Properties xmlns="http://schemas.openxmlformats.org/officeDocument/2006/custom-properties" xmlns:vt="http://schemas.openxmlformats.org/officeDocument/2006/docPropsVTypes"/>
</file>