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4"/>
          <w:szCs w:val="34"/>
        </w:rPr>
        <w:t xml:space="preserve">DATA DICTIONARY: Diabetes 130-US Hospitals (1999-2008)</w:t>
      </w:r>
    </w:p>
    <w:p>
      <w:pPr>
        <w:spacing w:after="240"/>
      </w:pPr>
      <w:r>
        <w:rPr>
          <w:rFonts w:ascii="Arial" w:cs="Arial" w:eastAsia="Arial" w:hAnsi="Arial"/>
          <w:b/>
          <w:bCs/>
          <w:sz w:val="24"/>
          <w:szCs w:val="24"/>
        </w:rPr>
        <w:t xml:space="preserve">Application of AI in Healthcare (MSAI-544) Residency - Group Project</w:t>
      </w:r>
    </w:p>
    <w:p>
      <w:pPr>
        <w:pStyle w:val="Heading1"/>
        <w:spacing w:after="100" w:before="320"/>
      </w:pPr>
      <w:r>
        <w:rPr>
          <w:rFonts w:ascii="Arial" w:cs="Arial" w:eastAsia="Arial" w:hAnsi="Arial"/>
          <w:b/>
          <w:bCs/>
          <w:color w:val="1F3864"/>
          <w:sz w:val="30"/>
          <w:szCs w:val="30"/>
        </w:rPr>
        <w:t xml:space="preserve">DATASET INFORMATION</w:t>
      </w:r>
    </w:p>
    <w:p>
      <w:pPr>
        <w:spacing w:after="120"/>
      </w:pPr>
      <w:r>
        <w:rPr>
          <w:rFonts w:ascii="Arial" w:cs="Arial" w:eastAsia="Arial" w:hAnsi="Arial"/>
          <w:b/>
          <w:bCs/>
          <w:sz w:val="22"/>
          <w:szCs w:val="22"/>
        </w:rPr>
        <w:t xml:space="preserve">Source:</w:t>
      </w:r>
      <w:r>
        <w:rPr>
          <w:rFonts w:ascii="Arial" w:cs="Arial" w:eastAsia="Arial" w:hAnsi="Arial"/>
          <w:sz w:val="22"/>
          <w:szCs w:val="22"/>
        </w:rPr>
        <w:t xml:space="preserve"> UCI Machine Learning Repository (dataset 296), donated 2014 by the Center for Clinical and Translational Research, Virginia Commonwealth University</w:t>
      </w:r>
    </w:p>
    <w:p>
      <w:pPr>
        <w:spacing w:after="120"/>
      </w:pPr>
      <w:r>
        <w:rPr>
          <w:rFonts w:ascii="Arial" w:cs="Arial" w:eastAsia="Arial" w:hAnsi="Arial"/>
          <w:b/>
          <w:bCs/>
          <w:sz w:val="22"/>
          <w:szCs w:val="22"/>
        </w:rPr>
        <w:t xml:space="preserve">Original data:</w:t>
      </w:r>
      <w:r>
        <w:rPr>
          <w:rFonts w:ascii="Arial" w:cs="Arial" w:eastAsia="Arial" w:hAnsi="Arial"/>
          <w:sz w:val="22"/>
          <w:szCs w:val="22"/>
        </w:rPr>
        <w:t xml:space="preserve"> Cerner Health Facts, a national clinical data warehouse of de-identified electronic health records from participating US hospitals</w:t>
      </w:r>
    </w:p>
    <w:p>
      <w:pPr>
        <w:spacing w:after="120"/>
      </w:pPr>
      <w:r>
        <w:rPr>
          <w:rFonts w:ascii="Arial" w:cs="Arial" w:eastAsia="Arial" w:hAnsi="Arial"/>
          <w:b/>
          <w:bCs/>
          <w:sz w:val="22"/>
          <w:szCs w:val="22"/>
        </w:rPr>
        <w:t xml:space="preserve">Study:</w:t>
      </w:r>
      <w:r>
        <w:rPr>
          <w:rFonts w:ascii="Arial" w:cs="Arial" w:eastAsia="Arial" w:hAnsi="Arial"/>
          <w:sz w:val="22"/>
          <w:szCs w:val="22"/>
        </w:rPr>
        <w:t xml:space="preserve"> Strack et al. (2014), "Impact of HbA1c Measurement on Hospital Readmission Rates: Analysis of 70,000 Clinical Database Patient Records," BioMed Research International</w:t>
      </w:r>
    </w:p>
    <w:p>
      <w:pPr>
        <w:spacing w:after="120"/>
      </w:pPr>
      <w:r>
        <w:rPr>
          <w:rFonts w:ascii="Arial" w:cs="Arial" w:eastAsia="Arial" w:hAnsi="Arial"/>
          <w:b/>
          <w:bCs/>
          <w:sz w:val="22"/>
          <w:szCs w:val="22"/>
        </w:rPr>
        <w:t xml:space="preserve">Time period:</w:t>
      </w:r>
      <w:r>
        <w:rPr>
          <w:rFonts w:ascii="Arial" w:cs="Arial" w:eastAsia="Arial" w:hAnsi="Arial"/>
          <w:sz w:val="22"/>
          <w:szCs w:val="22"/>
        </w:rPr>
        <w:t xml:space="preserve"> 1999-2008 (ten years), 130 hospitals and integrated delivery networks</w:t>
      </w:r>
    </w:p>
    <w:p>
      <w:pPr>
        <w:spacing w:after="120"/>
      </w:pPr>
      <w:r>
        <w:rPr>
          <w:rFonts w:ascii="Arial" w:cs="Arial" w:eastAsia="Arial" w:hAnsi="Arial"/>
          <w:b/>
          <w:bCs/>
          <w:sz w:val="22"/>
          <w:szCs w:val="22"/>
        </w:rPr>
        <w:t xml:space="preserve">Size:</w:t>
      </w:r>
      <w:r>
        <w:rPr>
          <w:rFonts w:ascii="Arial" w:cs="Arial" w:eastAsia="Arial" w:hAnsi="Arial"/>
          <w:sz w:val="22"/>
          <w:szCs w:val="22"/>
        </w:rPr>
        <w:t xml:space="preserve"> 101,766 encounters, 71,518 unique patients, 50 columns</w:t>
      </w:r>
    </w:p>
    <w:p>
      <w:pPr>
        <w:spacing w:after="120"/>
      </w:pPr>
      <w:r>
        <w:rPr>
          <w:rFonts w:ascii="Arial" w:cs="Arial" w:eastAsia="Arial" w:hAnsi="Arial"/>
          <w:b/>
          <w:bCs/>
          <w:sz w:val="22"/>
          <w:szCs w:val="22"/>
        </w:rPr>
        <w:t xml:space="preserve">License:</w:t>
      </w:r>
      <w:r>
        <w:rPr>
          <w:rFonts w:ascii="Arial" w:cs="Arial" w:eastAsia="Arial" w:hAnsi="Arial"/>
          <w:sz w:val="22"/>
          <w:szCs w:val="22"/>
        </w:rPr>
        <w:t xml:space="preserve"> CC BY 4.0 (UCI). Fully de-identified; no dates, no facility identifiers, no free text</w:t>
      </w:r>
    </w:p>
    <w:p>
      <w:pPr>
        <w:spacing w:after="120"/>
      </w:pPr>
      <w:r>
        <w:rPr>
          <w:rFonts w:ascii="Arial" w:cs="Arial" w:eastAsia="Arial" w:hAnsi="Arial"/>
          <w:b/>
          <w:bCs/>
          <w:sz w:val="22"/>
          <w:szCs w:val="22"/>
        </w:rPr>
        <w:t xml:space="preserve">Files:</w:t>
      </w:r>
    </w:p>
    <w:p>
      <w:pPr>
        <w:pStyle w:val="ListParagraph"/>
        <w:numPr>
          <w:ilvl w:val="0"/>
          <w:numId w:val="2"/>
        </w:numPr>
        <w:spacing w:after="60"/>
      </w:pPr>
      <w:r>
        <w:rPr>
          <w:rFonts w:ascii="Arial" w:cs="Arial" w:eastAsia="Arial" w:hAnsi="Arial"/>
          <w:sz w:val="22"/>
          <w:szCs w:val="22"/>
        </w:rPr>
        <w:t xml:space="preserve">diabetic_data.csv (18.3 MB), one row per inpatient encounter</w:t>
      </w:r>
    </w:p>
    <w:p>
      <w:pPr>
        <w:pStyle w:val="ListParagraph"/>
        <w:numPr>
          <w:ilvl w:val="0"/>
          <w:numId w:val="2"/>
        </w:numPr>
        <w:spacing w:after="60"/>
      </w:pPr>
      <w:r>
        <w:rPr>
          <w:rFonts w:ascii="Arial" w:cs="Arial" w:eastAsia="Arial" w:hAnsi="Arial"/>
          <w:sz w:val="22"/>
          <w:szCs w:val="22"/>
        </w:rPr>
        <w:t xml:space="preserve">ids_mapping.csv, descriptions for admission_type_id, discharge_disposition_id and admission_source_id (cleaned into one three-column table: id_type, id, description)</w:t>
      </w:r>
    </w:p>
    <w:p>
      <w:pPr>
        <w:pStyle w:val="Heading3"/>
        <w:spacing w:after="100" w:before="220"/>
      </w:pPr>
      <w:r>
        <w:rPr>
          <w:rFonts w:ascii="Arial" w:cs="Arial" w:eastAsia="Arial" w:hAnsi="Arial"/>
          <w:b/>
          <w:bCs/>
          <w:color w:val="1F3864"/>
          <w:sz w:val="23"/>
          <w:szCs w:val="23"/>
        </w:rPr>
        <w:t xml:space="preserve">Inclusion Criteria (applied by the original authors)</w:t>
      </w:r>
    </w:p>
    <w:p>
      <w:pPr>
        <w:pStyle w:val="ListParagraph"/>
        <w:numPr>
          <w:ilvl w:val="0"/>
          <w:numId w:val="3"/>
        </w:numPr>
        <w:spacing w:after="60"/>
      </w:pPr>
      <w:r>
        <w:rPr>
          <w:rFonts w:ascii="Arial" w:cs="Arial" w:eastAsia="Arial" w:hAnsi="Arial"/>
          <w:sz w:val="22"/>
          <w:szCs w:val="22"/>
        </w:rPr>
        <w:t xml:space="preserve">Inpatient encounter (hospital admission)</w:t>
      </w:r>
    </w:p>
    <w:p>
      <w:pPr>
        <w:pStyle w:val="ListParagraph"/>
        <w:numPr>
          <w:ilvl w:val="0"/>
          <w:numId w:val="3"/>
        </w:numPr>
        <w:spacing w:after="60"/>
      </w:pPr>
      <w:r>
        <w:rPr>
          <w:rFonts w:ascii="Arial" w:cs="Arial" w:eastAsia="Arial" w:hAnsi="Arial"/>
          <w:sz w:val="22"/>
          <w:szCs w:val="22"/>
        </w:rPr>
        <w:t xml:space="preserve">Diabetes of any kind entered as a diagnosis</w:t>
      </w:r>
    </w:p>
    <w:p>
      <w:pPr>
        <w:pStyle w:val="ListParagraph"/>
        <w:numPr>
          <w:ilvl w:val="0"/>
          <w:numId w:val="3"/>
        </w:numPr>
        <w:spacing w:after="60"/>
      </w:pPr>
      <w:r>
        <w:rPr>
          <w:rFonts w:ascii="Arial" w:cs="Arial" w:eastAsia="Arial" w:hAnsi="Arial"/>
          <w:sz w:val="22"/>
          <w:szCs w:val="22"/>
        </w:rPr>
        <w:t xml:space="preserve">Length of stay 1 to 14 days</w:t>
      </w:r>
    </w:p>
    <w:p>
      <w:pPr>
        <w:pStyle w:val="ListParagraph"/>
        <w:numPr>
          <w:ilvl w:val="0"/>
          <w:numId w:val="3"/>
        </w:numPr>
        <w:spacing w:after="60"/>
      </w:pPr>
      <w:r>
        <w:rPr>
          <w:rFonts w:ascii="Arial" w:cs="Arial" w:eastAsia="Arial" w:hAnsi="Arial"/>
          <w:sz w:val="22"/>
          <w:szCs w:val="22"/>
        </w:rPr>
        <w:t xml:space="preserve">Laboratory tests performed during the encounter</w:t>
      </w:r>
    </w:p>
    <w:p>
      <w:pPr>
        <w:pStyle w:val="ListParagraph"/>
        <w:numPr>
          <w:ilvl w:val="0"/>
          <w:numId w:val="3"/>
        </w:numPr>
        <w:spacing w:after="60"/>
      </w:pPr>
      <w:r>
        <w:rPr>
          <w:rFonts w:ascii="Arial" w:cs="Arial" w:eastAsia="Arial" w:hAnsi="Arial"/>
          <w:sz w:val="22"/>
          <w:szCs w:val="22"/>
        </w:rPr>
        <w:t xml:space="preserve">Medications administered during the encounter</w:t>
      </w:r>
    </w:p>
    <w:p>
      <w:pPr>
        <w:pStyle w:val="Heading3"/>
        <w:spacing w:after="100" w:before="220"/>
      </w:pPr>
      <w:r>
        <w:rPr>
          <w:rFonts w:ascii="Arial" w:cs="Arial" w:eastAsia="Arial" w:hAnsi="Arial"/>
          <w:b/>
          <w:bCs/>
          <w:color w:val="1F3864"/>
          <w:sz w:val="23"/>
          <w:szCs w:val="23"/>
        </w:rPr>
        <w:t xml:space="preserve">Loading</w:t>
      </w:r>
    </w:p>
    <w:p>
      <w:pPr>
        <w:shd w:fill="F2F2F2" w:color="auto" w:val="clear"/>
        <w:spacing w:after="120"/>
        <w:ind w:left="200"/>
      </w:pPr>
      <w:r>
        <w:rPr>
          <w:rFonts w:ascii="Consolas" w:cs="Consolas" w:eastAsia="Consolas" w:hAnsi="Consolas"/>
          <w:sz w:val="19"/>
          <w:szCs w:val="19"/>
        </w:rPr>
        <w:t xml:space="preserve">Python:  df = pd.read_csv("diabetic_data.csv", na_values=["?", "None"], low_memory=False)</w:t>
      </w:r>
      <w:r>
        <w:rPr>
          <w:rFonts w:ascii="Consolas" w:cs="Consolas" w:eastAsia="Consolas" w:hAnsi="Consolas"/>
          <w:sz w:val="19"/>
          <w:szCs w:val="19"/>
        </w:rPr>
        <w:br/>
        <w:t xml:space="preserve">         ids = pd.read_csv("ids_mapping.csv", keep_default_na=False)</w:t>
      </w:r>
      <w:r>
        <w:rPr>
          <w:rFonts w:ascii="Consolas" w:cs="Consolas" w:eastAsia="Consolas" w:hAnsi="Consolas"/>
          <w:sz w:val="19"/>
          <w:szCs w:val="19"/>
        </w:rPr>
        <w:br/>
        <w:t xml:space="preserve">R:       df &lt;- read_csv("diabetic_data.csv", na = c("?", "", "None"), guess_max = 110000)</w:t>
      </w:r>
      <w:r>
        <w:rPr>
          <w:rFonts w:ascii="Consolas" w:cs="Consolas" w:eastAsia="Consolas" w:hAnsi="Consolas"/>
          <w:sz w:val="19"/>
          <w:szCs w:val="19"/>
        </w:rPr>
        <w:br/>
        <w:t xml:space="preserve">         ids &lt;- read_csv("ids_mapping.csv", na = character())</w:t>
      </w:r>
    </w:p>
    <w:p>
      <w:pPr>
        <w:spacing w:after="120"/>
      </w:pPr>
      <w:r>
        <w:rPr>
          <w:rFonts w:ascii="Arial" w:cs="Arial" w:eastAsia="Arial" w:hAnsi="Arial"/>
          <w:sz w:val="22"/>
          <w:szCs w:val="22"/>
        </w:rPr>
        <w:t xml:space="preserve">"?" is the missing marker. "None" in A1Cresult and max_glu_serum means the test was not performed; treat it as missing but remember that "not tested" is itself informative. Two codes in ids_mapping have the literal description "NULL"; keep_default_na=False / na = character() stops the loaders from converting it to a missing value.</w:t>
      </w:r>
    </w:p>
    <w:p>
      <w:pPr>
        <w:pStyle w:val="Heading1"/>
        <w:spacing w:after="100" w:before="320"/>
      </w:pPr>
      <w:r>
        <w:rPr>
          <w:rFonts w:ascii="Arial" w:cs="Arial" w:eastAsia="Arial" w:hAnsi="Arial"/>
          <w:b/>
          <w:bCs/>
          <w:color w:val="1F3864"/>
          <w:sz w:val="30"/>
          <w:szCs w:val="30"/>
        </w:rPr>
        <w:t xml:space="preserve">COLUMN DEFINITIONS</w:t>
      </w:r>
    </w:p>
    <w:p>
      <w:pPr>
        <w:pStyle w:val="Heading3"/>
        <w:spacing w:after="100" w:before="220"/>
      </w:pPr>
      <w:r>
        <w:rPr>
          <w:rFonts w:ascii="Arial" w:cs="Arial" w:eastAsia="Arial" w:hAnsi="Arial"/>
          <w:b/>
          <w:bCs/>
          <w:color w:val="1F3864"/>
          <w:sz w:val="23"/>
          <w:szCs w:val="23"/>
        </w:rPr>
        <w:t xml:space="preserve">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3450"/>
        <w:gridCol w:w="26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Column</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3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Description</w:t>
            </w:r>
          </w:p>
        </w:tc>
        <w:tc>
          <w:tcPr>
            <w:tcW w:type="dxa" w:w="2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Notes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encounter_id</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Unique identifier of the hospital stay</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Never use as a feature</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patient_nbr</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Unique identifier of the patient</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71,518 patients; up to 40 encounters each. Rows of the same patient are not independent</w:t>
            </w:r>
          </w:p>
        </w:tc>
      </w:tr>
    </w:tbl>
    <w:p>
      <w:pPr>
        <w:spacing w:after="60"/>
      </w:pPr>
    </w:p>
    <w:p>
      <w:pPr>
        <w:pStyle w:val="Heading3"/>
        <w:spacing w:after="100" w:before="220"/>
      </w:pPr>
      <w:r>
        <w:rPr>
          <w:rFonts w:ascii="Arial" w:cs="Arial" w:eastAsia="Arial" w:hAnsi="Arial"/>
          <w:b/>
          <w:bCs/>
          <w:color w:val="1F3864"/>
          <w:sz w:val="23"/>
          <w:szCs w:val="23"/>
        </w:rPr>
        <w:t xml:space="preserve">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3450"/>
        <w:gridCol w:w="26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Column</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3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Description</w:t>
            </w:r>
          </w:p>
        </w:tc>
        <w:tc>
          <w:tcPr>
            <w:tcW w:type="dxa" w:w="2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Values / notes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race</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Categorical</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Race as recorded</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Caucasian 75%, AfricanAmerican 19%, Hispanic 2%, Other 1.5%, Asian 0.6%, missing 2.2%</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gender</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Categorical</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Gender as recorded</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Female 54%, Male 46%, Unknown/Invalid (3 rows)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age</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Categorical</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Age band in 10-year intervals</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[0-10) to [90-100); 70-80 is the largest band; convert to a midpoint for modeling</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weight</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Categorical</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Weight band in pounds</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97% missing; drop</w:t>
            </w:r>
          </w:p>
        </w:tc>
      </w:tr>
    </w:tbl>
    <w:p>
      <w:pPr>
        <w:spacing w:after="60"/>
      </w:pPr>
    </w:p>
    <w:p>
      <w:pPr>
        <w:pStyle w:val="Heading3"/>
        <w:spacing w:after="100" w:before="220"/>
      </w:pPr>
      <w:r>
        <w:rPr>
          <w:rFonts w:ascii="Arial" w:cs="Arial" w:eastAsia="Arial" w:hAnsi="Arial"/>
          <w:b/>
          <w:bCs/>
          <w:color w:val="1F3864"/>
          <w:sz w:val="23"/>
          <w:szCs w:val="23"/>
        </w:rPr>
        <w:t xml:space="preserve">Encounter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3450"/>
        <w:gridCol w:w="26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Column</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3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Description</w:t>
            </w:r>
          </w:p>
        </w:tc>
        <w:tc>
          <w:tcPr>
            <w:tcW w:type="dxa" w:w="2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Values / notes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admission_type_id</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Code (1-8)</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How the patient was admitted</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Emergency 53%, Elective 19%, Urgent 18%; codes 5, 6, 8 are unknown variants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discharge_disposition_id</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Code (1-29)</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Where the patient went at discharge</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Home 59%, SNF 14%, home health 13%. Codes 11, 19, 20, 21 = Expired; 13, 14 = Hospice. Exclude these from a readmission cohort</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admission_source_id</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Code (1-25)</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Where the patient came from</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Emergency room 56%, Physician referral 29%, transfers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time_in_hospital</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Length of stay in days</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1 to 14, median 4</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payer_code</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Categorical</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Primary payer</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40% missing; MC (Medicare) 32%, HM, SP (self-pay), BC, MD (Medicaid), 13 others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medical_specialty</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Categorical</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Specialty of the admitting physician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49% missing; 72 values; InternalMedicine, Emergency/Trauma, Family/GeneralPractice, Cardiology most common. Group into top-N + Other + Missing</w:t>
            </w:r>
          </w:p>
        </w:tc>
      </w:tr>
    </w:tbl>
    <w:p>
      <w:pPr>
        <w:spacing w:after="60"/>
      </w:pPr>
    </w:p>
    <w:p>
      <w:pPr>
        <w:pStyle w:val="Heading3"/>
        <w:spacing w:after="100" w:before="220"/>
      </w:pPr>
      <w:r>
        <w:rPr>
          <w:rFonts w:ascii="Arial" w:cs="Arial" w:eastAsia="Arial" w:hAnsi="Arial"/>
          <w:b/>
          <w:bCs/>
          <w:color w:val="1F3864"/>
          <w:sz w:val="23"/>
          <w:szCs w:val="23"/>
        </w:rPr>
        <w:t xml:space="preserve">Utilization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3450"/>
        <w:gridCol w:w="26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Column</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3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Description</w:t>
            </w:r>
          </w:p>
        </w:tc>
        <w:tc>
          <w:tcPr>
            <w:tcW w:type="dxa" w:w="2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Range (median)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num_lab_procedures</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Lab tests performed during the encounter</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1-132 (44)</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num_procedures</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Non-lab procedures during the encounter</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0-6 (1)</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num_medications</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Distinct generic medications administered</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1-81 (15)</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number_outpatient</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Outpatient visits in the year before the encounter</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0-42 (0)</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number_emergency</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Emergency visits in the year before the encounter</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0-76 (0)</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number_inpatient</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Inpatient admissions in the year before the encounter</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0-21 (0). The strongest single predictor of readmission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number_diagnoses</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Integer</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Diagnoses entered for the encounter</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1-16 (8)</w:t>
            </w:r>
          </w:p>
        </w:tc>
      </w:tr>
    </w:tbl>
    <w:p>
      <w:pPr>
        <w:spacing w:after="60"/>
      </w:pPr>
    </w:p>
    <w:p>
      <w:pPr>
        <w:pStyle w:val="Heading3"/>
        <w:spacing w:after="100" w:before="220"/>
      </w:pPr>
      <w:r>
        <w:rPr>
          <w:rFonts w:ascii="Arial" w:cs="Arial" w:eastAsia="Arial" w:hAnsi="Arial"/>
          <w:b/>
          <w:bCs/>
          <w:color w:val="1F3864"/>
          <w:sz w:val="23"/>
          <w:szCs w:val="23"/>
        </w:rPr>
        <w:t xml:space="preserve">Diagnoses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3450"/>
        <w:gridCol w:w="26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Column</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3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Description</w:t>
            </w:r>
          </w:p>
        </w:tc>
        <w:tc>
          <w:tcPr>
            <w:tcW w:type="dxa" w:w="2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Notes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diag_1</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ICD-9 code</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Primary diagnosis</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716 distinct codes; 21 missing. Group into clinical categories (see below)</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diag_2</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ICD-9 code</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Secondary diagnosis</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748 distinct; 358 missing</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diag_3</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ICD-9 code</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Additional secondary diagnosis</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789 distinct; 1,423 missing</w:t>
            </w:r>
          </w:p>
        </w:tc>
      </w:tr>
    </w:tbl>
    <w:p>
      <w:pPr>
        <w:spacing w:after="60"/>
      </w:pPr>
    </w:p>
    <w:p>
      <w:pPr>
        <w:spacing w:after="120"/>
      </w:pPr>
      <w:r>
        <w:rPr>
          <w:rFonts w:ascii="Arial" w:cs="Arial" w:eastAsia="Arial" w:hAnsi="Arial"/>
          <w:b/>
          <w:bCs/>
          <w:sz w:val="22"/>
          <w:szCs w:val="22"/>
        </w:rPr>
        <w:t xml:space="preserve">ICD-9 grouping used by Strack et al. (function provided in the starter code):</w:t>
      </w:r>
      <w:r>
        <w:rPr>
          <w:rFonts w:ascii="Arial" w:cs="Arial" w:eastAsia="Arial" w:hAnsi="Arial"/>
          <w:sz w:val="22"/>
          <w:szCs w:val="22"/>
        </w:rPr>
        <w:t xml:space="preserve"> Circulatory 390-459 and 785; Respiratory 460-519 and 786; Digestive 520-579 and 787; Diabetes 250.xx; Injury 800-999; Musculoskeletal 710-739; Genitourinary 580-629 and 788; Neoplasms 140-239; everything else (including V and E codes) Other.</w:t>
      </w:r>
    </w:p>
    <w:p>
      <w:pPr>
        <w:pStyle w:val="Heading3"/>
        <w:spacing w:after="100" w:before="220"/>
      </w:pPr>
      <w:r>
        <w:rPr>
          <w:rFonts w:ascii="Arial" w:cs="Arial" w:eastAsia="Arial" w:hAnsi="Arial"/>
          <w:b/>
          <w:bCs/>
          <w:color w:val="1F3864"/>
          <w:sz w:val="23"/>
          <w:szCs w:val="23"/>
        </w:rPr>
        <w:t xml:space="preserve">Laboratory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3450"/>
        <w:gridCol w:w="26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Column</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3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Description</w:t>
            </w:r>
          </w:p>
        </w:tc>
        <w:tc>
          <w:tcPr>
            <w:tcW w:type="dxa" w:w="2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Values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max_glu_serum</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Categorical</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Highest glucose serum test result</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&gt;200, &gt;300, Norm, or None (not tested; 95%)</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A1Cresult</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Categorical</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HbA1c test result (average glucose over about 3 months)</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&gt;8 (poor control), &gt;7, Norm, or None (not tested; 83%). The original paper studied whether ordering this test relates to readmission</w:t>
            </w:r>
          </w:p>
        </w:tc>
      </w:tr>
    </w:tbl>
    <w:p>
      <w:pPr>
        <w:spacing w:after="60"/>
      </w:pPr>
    </w:p>
    <w:p>
      <w:pPr>
        <w:pStyle w:val="Heading3"/>
        <w:spacing w:after="100" w:before="220"/>
      </w:pPr>
      <w:r>
        <w:rPr>
          <w:rFonts w:ascii="Arial" w:cs="Arial" w:eastAsia="Arial" w:hAnsi="Arial"/>
          <w:b/>
          <w:bCs/>
          <w:color w:val="1F3864"/>
          <w:sz w:val="23"/>
          <w:szCs w:val="23"/>
        </w:rPr>
        <w:t xml:space="preserve">Medications (23 columns)</w:t>
      </w:r>
    </w:p>
    <w:p>
      <w:pPr>
        <w:spacing w:after="120"/>
      </w:pPr>
      <w:r>
        <w:rPr>
          <w:rFonts w:ascii="Arial" w:cs="Arial" w:eastAsia="Arial" w:hAnsi="Arial"/>
          <w:sz w:val="22"/>
          <w:szCs w:val="22"/>
        </w:rPr>
        <w:t xml:space="preserve">For each generic diabetes drug, whether it was prescribed and whether the dose changed during the encounter. Values: </w:t>
      </w:r>
      <w:r>
        <w:rPr>
          <w:rFonts w:ascii="Arial" w:cs="Arial" w:eastAsia="Arial" w:hAnsi="Arial"/>
          <w:b/>
          <w:bCs/>
          <w:sz w:val="22"/>
          <w:szCs w:val="22"/>
        </w:rPr>
        <w:t xml:space="preserve">No</w:t>
      </w:r>
      <w:r>
        <w:rPr>
          <w:rFonts w:ascii="Arial" w:cs="Arial" w:eastAsia="Arial" w:hAnsi="Arial"/>
          <w:sz w:val="22"/>
          <w:szCs w:val="22"/>
        </w:rPr>
        <w:t xml:space="preserve"> (not prescribed), </w:t>
      </w:r>
      <w:r>
        <w:rPr>
          <w:rFonts w:ascii="Arial" w:cs="Arial" w:eastAsia="Arial" w:hAnsi="Arial"/>
          <w:b/>
          <w:bCs/>
          <w:sz w:val="22"/>
          <w:szCs w:val="22"/>
        </w:rPr>
        <w:t xml:space="preserve">Steady</w:t>
      </w:r>
      <w:r>
        <w:rPr>
          <w:rFonts w:ascii="Arial" w:cs="Arial" w:eastAsia="Arial" w:hAnsi="Arial"/>
          <w:sz w:val="22"/>
          <w:szCs w:val="22"/>
        </w:rPr>
        <w:t xml:space="preserve"> (prescribed, dose unchanged), </w:t>
      </w:r>
      <w:r>
        <w:rPr>
          <w:rFonts w:ascii="Arial" w:cs="Arial" w:eastAsia="Arial" w:hAnsi="Arial"/>
          <w:b/>
          <w:bCs/>
          <w:sz w:val="22"/>
          <w:szCs w:val="22"/>
        </w:rPr>
        <w:t xml:space="preserve">Up</w:t>
      </w:r>
      <w:r>
        <w:rPr>
          <w:rFonts w:ascii="Arial" w:cs="Arial" w:eastAsia="Arial" w:hAnsi="Arial"/>
          <w:sz w:val="22"/>
          <w:szCs w:val="22"/>
        </w:rPr>
        <w:t xml:space="preserve"> (dose increased), </w:t>
      </w:r>
      <w:r>
        <w:rPr>
          <w:rFonts w:ascii="Arial" w:cs="Arial" w:eastAsia="Arial" w:hAnsi="Arial"/>
          <w:b/>
          <w:bCs/>
          <w:sz w:val="22"/>
          <w:szCs w:val="22"/>
        </w:rPr>
        <w:t xml:space="preserve">Down</w:t>
      </w:r>
      <w:r>
        <w:rPr>
          <w:rFonts w:ascii="Arial" w:cs="Arial" w:eastAsia="Arial" w:hAnsi="Arial"/>
          <w:sz w:val="22"/>
          <w:szCs w:val="22"/>
        </w:rPr>
        <w:t xml:space="preserve"> (dose decreased).</w:t>
      </w:r>
    </w:p>
    <w:p>
      <w:pPr>
        <w:spacing w:after="120"/>
      </w:pPr>
      <w:r>
        <w:rPr>
          <w:rFonts w:ascii="Arial" w:cs="Arial" w:eastAsia="Arial" w:hAnsi="Arial"/>
          <w:sz w:val="22"/>
          <w:szCs w:val="22"/>
        </w:rPr>
        <w:t xml:space="preserve">Columns: metformin, repaglinide, nateglinide, chlorpropamide, glimepiride, acetohexamide, glipizide, glyburide, tolbutamide, pioglitazone, rosiglitazone, acarbose, miglitol, troglitazone, tolazamide, examide, citoglipton, insulin, glyburide-metformin, glipizide-metformin, glimepiride-pioglitazone, metformin-rosiglitazone, metformin-pioglitazone.</w:t>
      </w:r>
    </w:p>
    <w:p>
      <w:pPr>
        <w:spacing w:after="120"/>
      </w:pPr>
      <w:r>
        <w:rPr>
          <w:rFonts w:ascii="Arial" w:cs="Arial" w:eastAsia="Arial" w:hAnsi="Arial"/>
          <w:sz w:val="22"/>
          <w:szCs w:val="22"/>
        </w:rPr>
        <w:t xml:space="preserve">examide and citoglipton are "No" in every row; drop them. insulin is the most informative (No 47%, Steady 30%, Down 12%, Up 11%). Useful derived features: number of diabetes medications prescribed, number with a dose change.</w:t>
      </w:r>
    </w:p>
    <w:p>
      <w:pPr>
        <w:pStyle w:val="Heading3"/>
        <w:spacing w:after="100" w:before="220"/>
      </w:pPr>
      <w:r>
        <w:rPr>
          <w:rFonts w:ascii="Arial" w:cs="Arial" w:eastAsia="Arial" w:hAnsi="Arial"/>
          <w:b/>
          <w:bCs/>
          <w:color w:val="1F3864"/>
          <w:sz w:val="23"/>
          <w:szCs w:val="23"/>
        </w:rPr>
        <w:t xml:space="preserve">Summary Flags and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50"/>
        <w:gridCol w:w="3450"/>
        <w:gridCol w:w="26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Column</w:t>
            </w:r>
          </w:p>
        </w:tc>
        <w:tc>
          <w:tcPr>
            <w:tcW w:type="dxa" w:w="12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Type</w:t>
            </w:r>
          </w:p>
        </w:tc>
        <w:tc>
          <w:tcPr>
            <w:tcW w:type="dxa" w:w="34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Description</w:t>
            </w:r>
          </w:p>
        </w:tc>
        <w:tc>
          <w:tcPr>
            <w:tcW w:type="dxa" w:w="26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Values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change</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Binary</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Any change in diabetes medication (dose or generic name)</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Ch 46%, No 54%</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diabetesMed</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Binary</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Any diabetes medication prescribed</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Yes 77%, No 23%</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readmitted</w:t>
            </w:r>
          </w:p>
        </w:tc>
        <w:tc>
          <w:tcPr>
            <w:tcW w:type="dxa" w:w="12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Target</w:t>
            </w:r>
          </w:p>
        </w:tc>
        <w:tc>
          <w:tcPr>
            <w:tcW w:type="dxa" w:w="34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Days to inpatient readmission</w:t>
            </w:r>
          </w:p>
        </w:tc>
        <w:tc>
          <w:tcPr>
            <w:tcW w:type="dxa" w:w="26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&lt;30 (11.2%), &gt;30 (34.9%), NO (53.9%). Model &lt;30 vs everything else</w:t>
            </w:r>
          </w:p>
        </w:tc>
      </w:tr>
    </w:tbl>
    <w:p>
      <w:pPr>
        <w:spacing w:after="60"/>
      </w:pPr>
    </w:p>
    <w:p>
      <w:pPr>
        <w:pStyle w:val="Heading1"/>
        <w:spacing w:after="100" w:before="320"/>
      </w:pPr>
      <w:r>
        <w:rPr>
          <w:rFonts w:ascii="Arial" w:cs="Arial" w:eastAsia="Arial" w:hAnsi="Arial"/>
          <w:b/>
          <w:bCs/>
          <w:color w:val="1F3864"/>
          <w:sz w:val="30"/>
          <w:szCs w:val="30"/>
        </w:rPr>
        <w:t xml:space="preserve">ID CODE REFERENCE (ids_mapping.csv)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id_type</w:t>
            </w:r>
          </w:p>
        </w:tc>
        <w:tc>
          <w:tcPr>
            <w:tcW w:type="dxa" w:w="6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Codes worth knowing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admission_type_id</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1 Emergency, 2 Urgent, 3 Elective, 4 Newborn, 5 Not Available, 6 NULL, 7 Trauma Center, 8 Not Mapped</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discharge_disposition_id</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1 Discharged to home; 2 another short-term hospital; 3 SNF; 4 ICF; 5 another inpatient institution; 6 home with home health; 7 left AMA; 8 home under Home IV; 9 admitted as inpatient; 11 Expired; 13 Hospice/home; 14 Hospice/medical facility; 18 NULL; 19, 20, 21 Expired (variants); 22-30 transfers to rehab, long-term care, psychiatric, federal facilities, etc.</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admission_source_id</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1 Physician referral, 2 Clinic referral, 3 HMO referral, 4 Transfer from hospital, 5 Transfer from SNF, 6 Transfer from another facility, 7 Emergency room, 8 Court/law enforcement, 9 Not available, 17 NULL, 20 Not mapped, others are rare transfers and newborn sources</w:t>
            </w:r>
          </w:p>
        </w:tc>
      </w:tr>
    </w:tbl>
    <w:p>
      <w:pPr>
        <w:spacing w:after="60"/>
      </w:pPr>
    </w:p>
    <w:p>
      <w:pPr>
        <w:pStyle w:val="Heading1"/>
        <w:spacing w:after="100" w:before="320"/>
      </w:pPr>
      <w:r>
        <w:rPr>
          <w:rFonts w:ascii="Arial" w:cs="Arial" w:eastAsia="Arial" w:hAnsi="Arial"/>
          <w:b/>
          <w:bCs/>
          <w:color w:val="1F3864"/>
          <w:sz w:val="30"/>
          <w:szCs w:val="30"/>
        </w:rPr>
        <w:t xml:space="preserve">DERIVED FIELDS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Field</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Formula</w:t>
            </w:r>
          </w:p>
        </w:tc>
        <w:tc>
          <w:tcPr>
            <w:tcW w:type="dxa" w:w="2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Purpose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readmit_30</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readmitted == "&lt;30"</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Binary target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age_num</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Lower bound of age band + 5</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Numeric age (band midpoint)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diag_group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icd9_group(diag_1)</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Clinical category of primary diagnosis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total_prior_visits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outpatient + emergency + inpatient</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Overall prior utilization</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n_diabetes_meds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Count of medication columns != "No"</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Treatment intensity</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n_meds_changed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Count of medication columns in {Up, Down}</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Regimen instability</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a1c_tested, a1c_high</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A1Cresult not missing; A1Cresult in {&gt;7, &gt;8}</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Testing behavior and glycemic control</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discharge_group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Home / Home with services / Facility transfer / Other</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Collapses 26 observed codes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source_group</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Emergency room / Referral / Transfer / Other</w:t>
            </w:r>
          </w:p>
        </w:tc>
        <w:tc>
          <w:tcPr>
            <w:tcW w:type="dxa" w:w="2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Collapses 17 observed codes</w:t>
            </w:r>
          </w:p>
        </w:tc>
      </w:tr>
    </w:tbl>
    <w:p>
      <w:pPr>
        <w:spacing w:after="60"/>
      </w:pPr>
    </w:p>
    <w:p>
      <w:pPr>
        <w:pStyle w:val="Heading1"/>
        <w:spacing w:after="100" w:before="320"/>
      </w:pPr>
      <w:r>
        <w:rPr>
          <w:rFonts w:ascii="Arial" w:cs="Arial" w:eastAsia="Arial" w:hAnsi="Arial"/>
          <w:b/>
          <w:bCs/>
          <w:color w:val="1F3864"/>
          <w:sz w:val="30"/>
          <w:szCs w:val="30"/>
        </w:rPr>
        <w:t xml:space="preserve">DATA QUALITY ISSUES</w:t>
      </w:r>
    </w:p>
    <w:p>
      <w:pPr>
        <w:pStyle w:val="Heading3"/>
        <w:spacing w:after="100" w:before="220"/>
      </w:pPr>
      <w:r>
        <w:rPr>
          <w:rFonts w:ascii="Arial" w:cs="Arial" w:eastAsia="Arial" w:hAnsi="Arial"/>
          <w:b/>
          <w:bCs/>
          <w:color w:val="1F3864"/>
          <w:sz w:val="23"/>
          <w:szCs w:val="23"/>
        </w:rPr>
        <w:t xml:space="preserve">1. Repeated patients</w:t>
      </w:r>
    </w:p>
    <w:p>
      <w:pPr>
        <w:spacing w:after="120"/>
      </w:pPr>
      <w:r>
        <w:rPr>
          <w:rFonts w:ascii="Arial" w:cs="Arial" w:eastAsia="Arial" w:hAnsi="Arial"/>
          <w:sz w:val="22"/>
          <w:szCs w:val="22"/>
        </w:rPr>
        <w:t xml:space="preserve">30% of encounters belong to patients who appear more than once. Encounters of the same patient share demographics, history and often outcomes. If they are split across training and test sets, the test estimate is optimistic. Either keep one encounter per patient (the original study kept the first) or split by patient.</w:t>
      </w:r>
    </w:p>
    <w:p>
      <w:pPr>
        <w:pStyle w:val="Heading3"/>
        <w:spacing w:after="100" w:before="220"/>
      </w:pPr>
      <w:r>
        <w:rPr>
          <w:rFonts w:ascii="Arial" w:cs="Arial" w:eastAsia="Arial" w:hAnsi="Arial"/>
          <w:b/>
          <w:bCs/>
          <w:color w:val="1F3864"/>
          <w:sz w:val="23"/>
          <w:szCs w:val="23"/>
        </w:rPr>
        <w:t xml:space="preserve">2. Outcomes that cannot occur</w:t>
      </w:r>
    </w:p>
    <w:p>
      <w:pPr>
        <w:spacing w:after="120"/>
      </w:pPr>
      <w:r>
        <w:rPr>
          <w:rFonts w:ascii="Arial" w:cs="Arial" w:eastAsia="Arial" w:hAnsi="Arial"/>
          <w:sz w:val="22"/>
          <w:szCs w:val="22"/>
        </w:rPr>
        <w:t xml:space="preserve">About 2% of encounters ended in death or discharge to hospice. These patients cannot be readmitted; leaving them in teaches the model that "Expired" predicts "not readmitted," which is both useless and a form of leakage.</w:t>
      </w:r>
    </w:p>
    <w:p>
      <w:pPr>
        <w:pStyle w:val="Heading3"/>
        <w:spacing w:after="100" w:before="220"/>
      </w:pPr>
      <w:r>
        <w:rPr>
          <w:rFonts w:ascii="Arial" w:cs="Arial" w:eastAsia="Arial" w:hAnsi="Arial"/>
          <w:b/>
          <w:bCs/>
          <w:color w:val="1F3864"/>
          <w:sz w:val="23"/>
          <w:szCs w:val="23"/>
        </w:rPr>
        <w:t xml:space="preserve">3. Informative missingness</w:t>
      </w:r>
    </w:p>
    <w:p>
      <w:pPr>
        <w:spacing w:after="120"/>
      </w:pPr>
      <w:r>
        <w:rPr>
          <w:rFonts w:ascii="Arial" w:cs="Arial" w:eastAsia="Arial" w:hAnsi="Arial"/>
          <w:sz w:val="22"/>
          <w:szCs w:val="22"/>
        </w:rPr>
        <w:t xml:space="preserve">Missing A1Cresult means the test was not ordered, which the original authors found was itself associated with readmission. Missing payer_code and medical_specialty are also patterns, not random gaps. Encode missing as a category rather than dropping rows.</w:t>
      </w:r>
    </w:p>
    <w:p>
      <w:pPr>
        <w:pStyle w:val="Heading3"/>
        <w:spacing w:after="100" w:before="220"/>
      </w:pPr>
      <w:r>
        <w:rPr>
          <w:rFonts w:ascii="Arial" w:cs="Arial" w:eastAsia="Arial" w:hAnsi="Arial"/>
          <w:b/>
          <w:bCs/>
          <w:color w:val="1F3864"/>
          <w:sz w:val="23"/>
          <w:szCs w:val="23"/>
        </w:rPr>
        <w:t xml:space="preserve">4. High-cardinality codes</w:t>
      </w:r>
    </w:p>
    <w:p>
      <w:pPr>
        <w:spacing w:after="120"/>
      </w:pPr>
      <w:r>
        <w:rPr>
          <w:rFonts w:ascii="Arial" w:cs="Arial" w:eastAsia="Arial" w:hAnsi="Arial"/>
          <w:sz w:val="22"/>
          <w:szCs w:val="22"/>
        </w:rPr>
        <w:t xml:space="preserve">Over 700 distinct diagnosis codes, 72 specialties, 26 discharge codes. One-hot encoding them raw creates thousands of sparse columns and overfits. Group them.</w:t>
      </w:r>
    </w:p>
    <w:p>
      <w:pPr>
        <w:pStyle w:val="Heading3"/>
        <w:spacing w:after="100" w:before="220"/>
      </w:pPr>
      <w:r>
        <w:rPr>
          <w:rFonts w:ascii="Arial" w:cs="Arial" w:eastAsia="Arial" w:hAnsi="Arial"/>
          <w:b/>
          <w:bCs/>
          <w:color w:val="1F3864"/>
          <w:sz w:val="23"/>
          <w:szCs w:val="23"/>
        </w:rPr>
        <w:t xml:space="preserve">5. Class imbalance</w:t>
      </w:r>
    </w:p>
    <w:p>
      <w:pPr>
        <w:spacing w:after="120"/>
      </w:pPr>
      <w:r>
        <w:rPr>
          <w:rFonts w:ascii="Arial" w:cs="Arial" w:eastAsia="Arial" w:hAnsi="Arial"/>
          <w:sz w:val="22"/>
          <w:szCs w:val="22"/>
        </w:rPr>
        <w:t xml:space="preserve">About 9% of the cleaned cohort is readmitted within 30 days. Accuracy is meaningless (predicting "no" for everyone scores 91%). Use ROC AUC, PR AUC, calibration and sensitivity at a stated operating point.</w:t>
      </w:r>
    </w:p>
    <w:p>
      <w:pPr>
        <w:pStyle w:val="Heading3"/>
        <w:spacing w:after="100" w:before="220"/>
      </w:pPr>
      <w:r>
        <w:rPr>
          <w:rFonts w:ascii="Arial" w:cs="Arial" w:eastAsia="Arial" w:hAnsi="Arial"/>
          <w:b/>
          <w:bCs/>
          <w:color w:val="1F3864"/>
          <w:sz w:val="23"/>
          <w:szCs w:val="23"/>
        </w:rPr>
        <w:t xml:space="preserve">6. Age of the data</w:t>
      </w:r>
    </w:p>
    <w:p>
      <w:pPr>
        <w:spacing w:after="120"/>
      </w:pPr>
      <w:r>
        <w:rPr>
          <w:rFonts w:ascii="Arial" w:cs="Arial" w:eastAsia="Arial" w:hAnsi="Arial"/>
          <w:sz w:val="22"/>
          <w:szCs w:val="22"/>
        </w:rPr>
        <w:t xml:space="preserve">Collected 1999-2008, before the Affordable Care Act, the Hospital Readmissions Reduction Program (2012), ICD-10 and most modern diabetes drugs. Patterns are real but may not transfer to today's hospitals.</w:t>
      </w:r>
    </w:p>
    <w:p>
      <w:pPr>
        <w:pStyle w:val="Heading3"/>
        <w:spacing w:after="100" w:before="220"/>
      </w:pPr>
      <w:r>
        <w:rPr>
          <w:rFonts w:ascii="Arial" w:cs="Arial" w:eastAsia="Arial" w:hAnsi="Arial"/>
          <w:b/>
          <w:bCs/>
          <w:color w:val="1F3864"/>
          <w:sz w:val="23"/>
          <w:szCs w:val="23"/>
        </w:rPr>
        <w:t xml:space="preserve">7. What is not in the data</w:t>
      </w:r>
    </w:p>
    <w:p>
      <w:pPr>
        <w:spacing w:after="120"/>
      </w:pPr>
      <w:r>
        <w:rPr>
          <w:rFonts w:ascii="Arial" w:cs="Arial" w:eastAsia="Arial" w:hAnsi="Arial"/>
          <w:sz w:val="22"/>
          <w:szCs w:val="22"/>
        </w:rPr>
        <w:t xml:space="preserve">No social determinants (housing, income, caregiver support), no medication adherence, no vital signs or lab values beyond two categorical results, no post-discharge follow-up information, no hospital identifier. These are among the strongest known drivers of readmission, which caps achievable model performance.</w:t>
      </w:r>
    </w:p>
    <w:p>
      <w:pPr>
        <w:pStyle w:val="Heading1"/>
        <w:spacing w:after="100" w:before="320"/>
      </w:pPr>
      <w:r>
        <w:rPr>
          <w:rFonts w:ascii="Arial" w:cs="Arial" w:eastAsia="Arial" w:hAnsi="Arial"/>
          <w:b/>
          <w:bCs/>
          <w:color w:val="1F3864"/>
          <w:sz w:val="30"/>
          <w:szCs w:val="30"/>
        </w:rPr>
        <w:t xml:space="preserve">CLINICAL AND POLICY CONTEXT</w:t>
      </w:r>
    </w:p>
    <w:p>
      <w:pPr>
        <w:pStyle w:val="Heading3"/>
        <w:spacing w:after="100" w:before="220"/>
      </w:pPr>
      <w:r>
        <w:rPr>
          <w:rFonts w:ascii="Arial" w:cs="Arial" w:eastAsia="Arial" w:hAnsi="Arial"/>
          <w:b/>
          <w:bCs/>
          <w:color w:val="1F3864"/>
          <w:sz w:val="23"/>
          <w:szCs w:val="23"/>
        </w:rPr>
        <w:t xml:space="preserve">Why 30-day readmission?</w:t>
      </w:r>
    </w:p>
    <w:p>
      <w:pPr>
        <w:spacing w:after="120"/>
      </w:pPr>
      <w:r>
        <w:rPr>
          <w:rFonts w:ascii="Arial" w:cs="Arial" w:eastAsia="Arial" w:hAnsi="Arial"/>
          <w:sz w:val="22"/>
          <w:szCs w:val="22"/>
        </w:rPr>
        <w:t xml:space="preserve">An unplanned return to hospital within 30 days is widely used as a quality measure because many such readmissions reflect problems with discharge planning, medication reconciliation or follow-up care rather than new disease. Since 2012 the US Centers for Medicare and Medicaid Services has penalized hospitals with excess readmissions for selected conditions under the Hospital Readmissions Reduction Program, with penalties of up to 3% of Medicare inpatient payments.</w:t>
      </w:r>
    </w:p>
    <w:p>
      <w:pPr>
        <w:pStyle w:val="Heading3"/>
        <w:spacing w:after="100" w:before="220"/>
      </w:pPr>
      <w:r>
        <w:rPr>
          <w:rFonts w:ascii="Arial" w:cs="Arial" w:eastAsia="Arial" w:hAnsi="Arial"/>
          <w:b/>
          <w:bCs/>
          <w:color w:val="1F3864"/>
          <w:sz w:val="23"/>
          <w:szCs w:val="23"/>
        </w:rPr>
        <w:t xml:space="preserve">Diabetes and readmission</w:t>
      </w:r>
    </w:p>
    <w:p>
      <w:pPr>
        <w:spacing w:after="120"/>
      </w:pPr>
      <w:r>
        <w:rPr>
          <w:rFonts w:ascii="Arial" w:cs="Arial" w:eastAsia="Arial" w:hAnsi="Arial"/>
          <w:sz w:val="22"/>
          <w:szCs w:val="22"/>
        </w:rPr>
        <w:t xml:space="preserve">Patients with diabetes are readmitted at higher rates than patients without it (roughly 14-22% vs 9-13% at 30 days in published series). Contributing factors include multiple chronic conditions, complex medication regimens, hypoglycemia after discharge, and gaps in self-management support.</w:t>
      </w:r>
    </w:p>
    <w:p>
      <w:pPr>
        <w:pStyle w:val="Heading3"/>
        <w:spacing w:after="100" w:before="220"/>
      </w:pPr>
      <w:r>
        <w:rPr>
          <w:rFonts w:ascii="Arial" w:cs="Arial" w:eastAsia="Arial" w:hAnsi="Arial"/>
          <w:b/>
          <w:bCs/>
          <w:color w:val="1F3864"/>
          <w:sz w:val="23"/>
          <w:szCs w:val="23"/>
        </w:rPr>
        <w:t xml:space="preserve">What a risk model is for</w:t>
      </w:r>
    </w:p>
    <w:p>
      <w:pPr>
        <w:spacing w:after="120"/>
      </w:pPr>
      <w:r>
        <w:rPr>
          <w:rFonts w:ascii="Arial" w:cs="Arial" w:eastAsia="Arial" w:hAnsi="Arial"/>
          <w:sz w:val="22"/>
          <w:szCs w:val="22"/>
        </w:rPr>
        <w:t xml:space="preserve">Transitional-care interventions (pharmacist medication review, nurse phone calls, early follow-up appointments, home visits) reduce readmissions but are labor-intensive. A risk model lets a hospital aim them at the patients most likely to benefit. The practical question is not "is the AUC high" but "if we can reach 15% of discharges, which 15% should it be, and how many readmissions does that prevent?"</w:t>
      </w:r>
    </w:p>
    <w:p>
      <w:pPr>
        <w:pStyle w:val="Heading3"/>
        <w:spacing w:after="100" w:before="220"/>
      </w:pPr>
      <w:r>
        <w:rPr>
          <w:rFonts w:ascii="Arial" w:cs="Arial" w:eastAsia="Arial" w:hAnsi="Arial"/>
          <w:b/>
          <w:bCs/>
          <w:color w:val="1F3864"/>
          <w:sz w:val="23"/>
          <w:szCs w:val="23"/>
        </w:rPr>
        <w:t xml:space="preserve">Realistic performance</w:t>
      </w:r>
    </w:p>
    <w:p>
      <w:pPr>
        <w:spacing w:after="120"/>
      </w:pPr>
      <w:r>
        <w:rPr>
          <w:rFonts w:ascii="Arial" w:cs="Arial" w:eastAsia="Arial" w:hAnsi="Arial"/>
          <w:sz w:val="22"/>
          <w:szCs w:val="22"/>
        </w:rPr>
        <w:t xml:space="preserve">Published readmission models, including those on this dataset, typically reach ROC AUC of 0.60-0.70. The LACE and HOSPITAL scores used in practice are in the same range. A model near 0.65 that is well calibrated and fairly applied is operationally useful; a model near 0.90 on this data is almost certainly leaking.</w:t>
      </w:r>
    </w:p>
    <w:p>
      <w:pPr>
        <w:pStyle w:val="Heading3"/>
        <w:spacing w:after="100" w:before="220"/>
      </w:pPr>
      <w:r>
        <w:rPr>
          <w:rFonts w:ascii="Arial" w:cs="Arial" w:eastAsia="Arial" w:hAnsi="Arial"/>
          <w:b/>
          <w:bCs/>
          <w:color w:val="1F3864"/>
          <w:sz w:val="23"/>
          <w:szCs w:val="23"/>
        </w:rPr>
        <w:t xml:space="preserve">Fairness considerations</w:t>
      </w:r>
    </w:p>
    <w:p>
      <w:pPr>
        <w:spacing w:after="120"/>
      </w:pPr>
      <w:r>
        <w:rPr>
          <w:rFonts w:ascii="Arial" w:cs="Arial" w:eastAsia="Arial" w:hAnsi="Arial"/>
          <w:sz w:val="22"/>
          <w:szCs w:val="22"/>
        </w:rPr>
        <w:t xml:space="preserve">Readmission models have been shown to under-flag some groups because the data encode unequal access to care (for example, fewer recorded prior visits for patients with less access). Differences in sensitivity or flag rate across race, sex and age at the operating point you would actually use are the relevant test, not overall AUC alone.</w:t>
      </w:r>
    </w:p>
    <w:p>
      <w:pPr>
        <w:pStyle w:val="Heading1"/>
        <w:spacing w:after="100" w:before="320"/>
      </w:pPr>
      <w:r>
        <w:rPr>
          <w:rFonts w:ascii="Arial" w:cs="Arial" w:eastAsia="Arial" w:hAnsi="Arial"/>
          <w:b/>
          <w:bCs/>
          <w:color w:val="1F3864"/>
          <w:sz w:val="30"/>
          <w:szCs w:val="30"/>
        </w:rPr>
        <w:t xml:space="preserve">EVALUATION METRICS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Metric</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Meaning</w:t>
            </w:r>
          </w:p>
        </w:tc>
        <w:tc>
          <w:tcPr>
            <w:tcW w:type="dxa" w:w="3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0"/>
            </w:pPr>
            <w:r>
              <w:rPr>
                <w:rFonts w:ascii="Arial" w:cs="Arial" w:eastAsia="Arial" w:hAnsi="Arial"/>
                <w:b/>
                <w:bCs/>
                <w:sz w:val="20"/>
                <w:szCs w:val="20"/>
              </w:rPr>
              <w:t xml:space="preserve">Why it matters here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ROC AUC</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Probability a random readmitted patient scores higher than a random non-readmitted one</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Threshold-free discrimination; the standard headline number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PR AUC (average precision)</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Area under precision-recall; baseline equals the positive rate (about 0.09)</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More informative than ROC AUC when positives are rare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Brier score</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Mean squared error of predicted probabilities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Overall probability quality; lower is better</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Calibration curve</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Predicted probability vs observed rate by decile</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A risk score clinicians can trust must mean what it says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Sensitivity at operating point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Share of readmissions flagged when the top X% are flagged</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What the outreach team actually captures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PPV at operating point</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Share of flagged patients who are readmitted</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How many calls are "wasted"</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Number needed to flag</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Patients flagged per readmission captured</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Workload per potentially prevented event</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Cumulative gains</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Share of readmissions captured vs share of patients flagged</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b w:val="false"/>
                <w:bCs w:val="false"/>
                <w:sz w:val="20"/>
                <w:szCs w:val="20"/>
              </w:rPr>
              <w:t xml:space="preserve">Capacity planning curve</w:t>
            </w:r>
          </w:p>
        </w:tc>
      </w:tr>
    </w:tbl>
    <w:p>
      <w:pPr>
        <w:spacing w:after="60"/>
      </w:pPr>
    </w:p>
    <w:p>
      <w:pPr>
        <w:pStyle w:val="Heading1"/>
        <w:spacing w:after="100" w:before="320"/>
      </w:pPr>
      <w:r>
        <w:rPr>
          <w:rFonts w:ascii="Arial" w:cs="Arial" w:eastAsia="Arial" w:hAnsi="Arial"/>
          <w:b/>
          <w:bCs/>
          <w:color w:val="1F3864"/>
          <w:sz w:val="30"/>
          <w:szCs w:val="30"/>
        </w:rPr>
        <w:t xml:space="preserve">CITATIONS</w:t>
      </w:r>
    </w:p>
    <w:p>
      <w:pPr>
        <w:spacing w:after="120"/>
      </w:pPr>
      <w:r>
        <w:rPr>
          <w:rFonts w:ascii="Arial" w:cs="Arial" w:eastAsia="Arial" w:hAnsi="Arial"/>
          <w:sz w:val="22"/>
          <w:szCs w:val="22"/>
        </w:rPr>
        <w:t xml:space="preserve">Clore, J., Cios, K., DeShazo, J., &amp; Strack, B. (2014). Diabetes 130-US Hospitals for Years 1999-2008 [Dataset]. UCI Machine Learning Repository. https://doi.org/10.24432/C5230J</w:t>
      </w:r>
    </w:p>
    <w:p>
      <w:pPr>
        <w:spacing w:after="120"/>
      </w:pPr>
      <w:r>
        <w:rPr>
          <w:rFonts w:ascii="Arial" w:cs="Arial" w:eastAsia="Arial" w:hAnsi="Arial"/>
          <w:sz w:val="22"/>
          <w:szCs w:val="22"/>
        </w:rPr>
        <w:t xml:space="preserve">Strack, B., DeShazo, J. P., Gennings, C., Olmo, J. L., Ventura, S., Cios, K. J., &amp; Clore, J. N. (2014). Impact of HbA1c measurement on hospital readmission rates: Analysis of 70,000 clinical database patient records. BioMed Research International, 2014, 781670. https://doi.org/10.1155/2014/781670</w:t>
      </w:r>
    </w:p>
    <w:p>
      <w:pPr>
        <w:pStyle w:val="Heading1"/>
        <w:spacing w:after="100" w:before="320"/>
      </w:pPr>
      <w:r>
        <w:rPr>
          <w:rFonts w:ascii="Arial" w:cs="Arial" w:eastAsia="Arial" w:hAnsi="Arial"/>
          <w:b/>
          <w:bCs/>
          <w:color w:val="1F3864"/>
          <w:sz w:val="30"/>
          <w:szCs w:val="30"/>
        </w:rPr>
        <w:t xml:space="preserve">GLOSSARY</w:t>
      </w:r>
    </w:p>
    <w:p>
      <w:pPr>
        <w:pStyle w:val="ListParagraph"/>
        <w:numPr>
          <w:ilvl w:val="0"/>
          <w:numId w:val="2"/>
        </w:numPr>
        <w:spacing w:after="60"/>
      </w:pPr>
      <w:r>
        <w:rPr>
          <w:rFonts w:ascii="Arial" w:cs="Arial" w:eastAsia="Arial" w:hAnsi="Arial"/>
          <w:b/>
          <w:bCs/>
          <w:sz w:val="22"/>
          <w:szCs w:val="22"/>
        </w:rPr>
        <w:t xml:space="preserve">Encounter:</w:t>
      </w:r>
      <w:r>
        <w:rPr>
          <w:rFonts w:ascii="Arial" w:cs="Arial" w:eastAsia="Arial" w:hAnsi="Arial"/>
          <w:sz w:val="22"/>
          <w:szCs w:val="22"/>
        </w:rPr>
        <w:t xml:space="preserve"> one hospital admission; the unit of analysis in the raw file</w:t>
      </w:r>
    </w:p>
    <w:p>
      <w:pPr>
        <w:pStyle w:val="ListParagraph"/>
        <w:numPr>
          <w:ilvl w:val="0"/>
          <w:numId w:val="2"/>
        </w:numPr>
        <w:spacing w:after="60"/>
      </w:pPr>
      <w:r>
        <w:rPr>
          <w:rFonts w:ascii="Arial" w:cs="Arial" w:eastAsia="Arial" w:hAnsi="Arial"/>
          <w:b/>
          <w:bCs/>
          <w:sz w:val="22"/>
          <w:szCs w:val="22"/>
        </w:rPr>
        <w:t xml:space="preserve">HbA1c:</w:t>
      </w:r>
      <w:r>
        <w:rPr>
          <w:rFonts w:ascii="Arial" w:cs="Arial" w:eastAsia="Arial" w:hAnsi="Arial"/>
          <w:sz w:val="22"/>
          <w:szCs w:val="22"/>
        </w:rPr>
        <w:t xml:space="preserve"> glycated hemoglobin, a lab test reflecting average blood glucose over about three months</w:t>
      </w:r>
    </w:p>
    <w:p>
      <w:pPr>
        <w:pStyle w:val="ListParagraph"/>
        <w:numPr>
          <w:ilvl w:val="0"/>
          <w:numId w:val="2"/>
        </w:numPr>
        <w:spacing w:after="60"/>
      </w:pPr>
      <w:r>
        <w:rPr>
          <w:rFonts w:ascii="Arial" w:cs="Arial" w:eastAsia="Arial" w:hAnsi="Arial"/>
          <w:b/>
          <w:bCs/>
          <w:sz w:val="22"/>
          <w:szCs w:val="22"/>
        </w:rPr>
        <w:t xml:space="preserve">ICD-9:</w:t>
      </w:r>
      <w:r>
        <w:rPr>
          <w:rFonts w:ascii="Arial" w:cs="Arial" w:eastAsia="Arial" w:hAnsi="Arial"/>
          <w:sz w:val="22"/>
          <w:szCs w:val="22"/>
        </w:rPr>
        <w:t xml:space="preserve"> the diagnosis coding system used in the US until 2015</w:t>
      </w:r>
    </w:p>
    <w:p>
      <w:pPr>
        <w:pStyle w:val="ListParagraph"/>
        <w:numPr>
          <w:ilvl w:val="0"/>
          <w:numId w:val="2"/>
        </w:numPr>
        <w:spacing w:after="60"/>
      </w:pPr>
      <w:r>
        <w:rPr>
          <w:rFonts w:ascii="Arial" w:cs="Arial" w:eastAsia="Arial" w:hAnsi="Arial"/>
          <w:b/>
          <w:bCs/>
          <w:sz w:val="22"/>
          <w:szCs w:val="22"/>
        </w:rPr>
        <w:t xml:space="preserve">SNF / ICF:</w:t>
      </w:r>
      <w:r>
        <w:rPr>
          <w:rFonts w:ascii="Arial" w:cs="Arial" w:eastAsia="Arial" w:hAnsi="Arial"/>
          <w:sz w:val="22"/>
          <w:szCs w:val="22"/>
        </w:rPr>
        <w:t xml:space="preserve"> skilled nursing facility / intermediate care facility</w:t>
      </w:r>
    </w:p>
    <w:p>
      <w:pPr>
        <w:pStyle w:val="ListParagraph"/>
        <w:numPr>
          <w:ilvl w:val="0"/>
          <w:numId w:val="2"/>
        </w:numPr>
        <w:spacing w:after="60"/>
      </w:pPr>
      <w:r>
        <w:rPr>
          <w:rFonts w:ascii="Arial" w:cs="Arial" w:eastAsia="Arial" w:hAnsi="Arial"/>
          <w:b/>
          <w:bCs/>
          <w:sz w:val="22"/>
          <w:szCs w:val="22"/>
        </w:rPr>
        <w:t xml:space="preserve">AMA:</w:t>
      </w:r>
      <w:r>
        <w:rPr>
          <w:rFonts w:ascii="Arial" w:cs="Arial" w:eastAsia="Arial" w:hAnsi="Arial"/>
          <w:sz w:val="22"/>
          <w:szCs w:val="22"/>
        </w:rPr>
        <w:t xml:space="preserve"> against medical advice</w:t>
      </w:r>
    </w:p>
    <w:p>
      <w:pPr>
        <w:pStyle w:val="ListParagraph"/>
        <w:numPr>
          <w:ilvl w:val="0"/>
          <w:numId w:val="2"/>
        </w:numPr>
        <w:spacing w:after="60"/>
      </w:pPr>
      <w:r>
        <w:rPr>
          <w:rFonts w:ascii="Arial" w:cs="Arial" w:eastAsia="Arial" w:hAnsi="Arial"/>
          <w:b/>
          <w:bCs/>
          <w:sz w:val="22"/>
          <w:szCs w:val="22"/>
        </w:rPr>
        <w:t xml:space="preserve">Transitional care:</w:t>
      </w:r>
      <w:r>
        <w:rPr>
          <w:rFonts w:ascii="Arial" w:cs="Arial" w:eastAsia="Arial" w:hAnsi="Arial"/>
          <w:sz w:val="22"/>
          <w:szCs w:val="22"/>
        </w:rPr>
        <w:t xml:space="preserve"> services that bridge discharge and the next care setting</w:t>
      </w:r>
    </w:p>
    <w:p>
      <w:pPr>
        <w:pStyle w:val="ListParagraph"/>
        <w:numPr>
          <w:ilvl w:val="0"/>
          <w:numId w:val="2"/>
        </w:numPr>
        <w:spacing w:after="60"/>
      </w:pPr>
      <w:r>
        <w:rPr>
          <w:rFonts w:ascii="Arial" w:cs="Arial" w:eastAsia="Arial" w:hAnsi="Arial"/>
          <w:b/>
          <w:bCs/>
          <w:sz w:val="22"/>
          <w:szCs w:val="22"/>
        </w:rPr>
        <w:t xml:space="preserve">Operating point:</w:t>
      </w:r>
      <w:r>
        <w:rPr>
          <w:rFonts w:ascii="Arial" w:cs="Arial" w:eastAsia="Arial" w:hAnsi="Arial"/>
          <w:sz w:val="22"/>
          <w:szCs w:val="22"/>
        </w:rPr>
        <w:t xml:space="preserve"> the probability threshold (or top-X% rule) at which a score triggers action</w:t>
      </w:r>
    </w:p>
    <w:p>
      <w:pPr>
        <w:pStyle w:val="ListParagraph"/>
        <w:numPr>
          <w:ilvl w:val="0"/>
          <w:numId w:val="2"/>
        </w:numPr>
        <w:spacing w:after="60"/>
      </w:pPr>
      <w:r>
        <w:rPr>
          <w:rFonts w:ascii="Arial" w:cs="Arial" w:eastAsia="Arial" w:hAnsi="Arial"/>
          <w:b/>
          <w:bCs/>
          <w:sz w:val="22"/>
          <w:szCs w:val="22"/>
        </w:rPr>
        <w:t xml:space="preserve">Leakage:</w:t>
      </w:r>
      <w:r>
        <w:rPr>
          <w:rFonts w:ascii="Arial" w:cs="Arial" w:eastAsia="Arial" w:hAnsi="Arial"/>
          <w:sz w:val="22"/>
          <w:szCs w:val="22"/>
        </w:rPr>
        <w:t xml:space="preserve"> training on information that would not be available at prediction time or that encodes the outcome</w:t>
      </w:r>
    </w:p>
    <w:p>
      <w:pPr>
        <w:pStyle w:val="ListParagraph"/>
        <w:numPr>
          <w:ilvl w:val="0"/>
          <w:numId w:val="2"/>
        </w:numPr>
        <w:spacing w:after="60"/>
      </w:pPr>
      <w:r>
        <w:rPr>
          <w:rFonts w:ascii="Arial" w:cs="Arial" w:eastAsia="Arial" w:hAnsi="Arial"/>
          <w:b/>
          <w:bCs/>
          <w:sz w:val="22"/>
          <w:szCs w:val="22"/>
        </w:rPr>
        <w:t xml:space="preserve">Calibration:</w:t>
      </w:r>
      <w:r>
        <w:rPr>
          <w:rFonts w:ascii="Arial" w:cs="Arial" w:eastAsia="Arial" w:hAnsi="Arial"/>
          <w:sz w:val="22"/>
          <w:szCs w:val="22"/>
        </w:rPr>
        <w:t xml:space="preserve"> agreement between predicted probabilities and observed rates</w:t>
      </w:r>
    </w:p>
    <w:p>
      <w:pPr>
        <w:pStyle w:val="ListParagraph"/>
        <w:numPr>
          <w:ilvl w:val="0"/>
          <w:numId w:val="2"/>
        </w:numPr>
        <w:spacing w:after="60"/>
      </w:pPr>
      <w:r>
        <w:rPr>
          <w:rFonts w:ascii="Arial" w:cs="Arial" w:eastAsia="Arial" w:hAnsi="Arial"/>
          <w:b/>
          <w:bCs/>
          <w:sz w:val="22"/>
          <w:szCs w:val="22"/>
        </w:rPr>
        <w:t xml:space="preserve">Model card:</w:t>
      </w:r>
      <w:r>
        <w:rPr>
          <w:rFonts w:ascii="Arial" w:cs="Arial" w:eastAsia="Arial" w:hAnsi="Arial"/>
          <w:sz w:val="22"/>
          <w:szCs w:val="22"/>
        </w:rPr>
        <w:t xml:space="preserve"> a short standardized document describing a model's intended use, performance, limitations and governance</w:t>
      </w:r>
    </w:p>
    <w:p>
      <w:pPr>
        <w:spacing w:after="120"/>
      </w:pPr>
      <w:r>
        <w:rPr>
          <w:rFonts w:ascii="Arial" w:cs="Arial" w:eastAsia="Arial" w:hAnsi="Arial"/>
          <w:i/>
          <w:iCs/>
          <w:sz w:val="22"/>
          <w:szCs w:val="22"/>
        </w:rPr>
        <w:t xml:space="preserve">Questions about the data? Ask your instructor during residency work time.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2026-10-30T03:27:46.672Z</dcterms:created>
  <dcterms:modified xsi:type="dcterms:W3CDTF">2026-10-30T03:27:46.672Z</dcterms:modified>
</cp:coreProperties>
</file>

<file path=docProps/custom.xml><?xml version="1.0" encoding="utf-8"?>
<Properties xmlns="http://schemas.openxmlformats.org/officeDocument/2006/custom-properties" xmlns:vt="http://schemas.openxmlformats.org/officeDocument/2006/docPropsVTypes"/>
</file>