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F68C" w14:textId="21304241" w:rsidR="00035BF2" w:rsidRPr="001E7921" w:rsidRDefault="00CC5B12" w:rsidP="00BC4E12">
      <w:pPr>
        <w:pStyle w:val="a1"/>
        <w:spacing w:after="80" w:line="276" w:lineRule="auto"/>
      </w:pPr>
      <w:r w:rsidRPr="00CC5B12">
        <w:t>스튜어트 플랫폼을 이용한 항공우주 비행체 자세제어 및 HILS 플랫폼 개발</w:t>
      </w:r>
    </w:p>
    <w:p w14:paraId="51514DAC" w14:textId="512430A9" w:rsidR="00035BF2" w:rsidRPr="00D471B6" w:rsidRDefault="00E303AE" w:rsidP="00214975">
      <w:pPr>
        <w:pStyle w:val="a3"/>
        <w:spacing w:line="360" w:lineRule="auto"/>
        <w:rPr>
          <w:color w:val="EE0000"/>
        </w:rPr>
      </w:pPr>
      <w:r>
        <w:rPr>
          <w:rFonts w:hint="eastAsia"/>
        </w:rPr>
        <w:t>정현용</w:t>
      </w:r>
      <w:r w:rsidR="00C90A2C" w:rsidRPr="00B64925">
        <w:rPr>
          <w:vertAlign w:val="superscript"/>
        </w:rPr>
        <w:t>1</w:t>
      </w:r>
      <w:r w:rsidR="00C90A2C" w:rsidRPr="001E7921">
        <w:t xml:space="preserve">*, </w:t>
      </w:r>
      <w:r>
        <w:rPr>
          <w:rFonts w:hint="eastAsia"/>
        </w:rPr>
        <w:t>이수원</w:t>
      </w:r>
      <w:r>
        <w:rPr>
          <w:rFonts w:hint="eastAsia"/>
          <w:vertAlign w:val="superscript"/>
        </w:rPr>
        <w:t>1</w:t>
      </w:r>
    </w:p>
    <w:p w14:paraId="371DA025" w14:textId="0F05572F" w:rsidR="00035BF2" w:rsidRPr="001E7921" w:rsidRDefault="00E303AE" w:rsidP="00214975">
      <w:pPr>
        <w:pStyle w:val="a3"/>
      </w:pPr>
      <w:r>
        <w:rPr>
          <w:rFonts w:hint="eastAsia"/>
        </w:rPr>
        <w:t>국민</w:t>
      </w:r>
      <w:r w:rsidR="00C90A2C" w:rsidRPr="001E7921">
        <w:t>대학교</w:t>
      </w:r>
      <w:r w:rsidR="00C90A2C" w:rsidRPr="00B64925">
        <w:rPr>
          <w:vertAlign w:val="superscript"/>
        </w:rPr>
        <w:t xml:space="preserve">1 </w:t>
      </w:r>
    </w:p>
    <w:p w14:paraId="06956B0F" w14:textId="77777777" w:rsidR="00035BF2" w:rsidRPr="00532BA2" w:rsidRDefault="00035BF2" w:rsidP="001E7921">
      <w:pPr>
        <w:pStyle w:val="a3"/>
      </w:pPr>
    </w:p>
    <w:p w14:paraId="2D38DA18" w14:textId="343B7957" w:rsidR="00035BF2" w:rsidRPr="00DB7504" w:rsidRDefault="00CC5B12" w:rsidP="00BC4E12">
      <w:pPr>
        <w:pStyle w:val="a2"/>
        <w:spacing w:after="80"/>
      </w:pPr>
      <w:r w:rsidRPr="00CC5B12">
        <w:t>Development of a Stewart-Platform-Based HILS Platform for Attitude Control of Aerospace Vehicles</w:t>
      </w:r>
    </w:p>
    <w:p w14:paraId="791394AB" w14:textId="59004FC3" w:rsidR="00035BF2" w:rsidRDefault="00E303AE" w:rsidP="003C3972">
      <w:pPr>
        <w:pStyle w:val="a3"/>
        <w:spacing w:after="120"/>
        <w:rPr>
          <w:color w:val="FF0000"/>
        </w:rPr>
      </w:pPr>
      <w:r w:rsidRPr="00E303AE">
        <w:t>Hyeon-</w:t>
      </w:r>
      <w:proofErr w:type="spellStart"/>
      <w:r w:rsidRPr="00E303AE">
        <w:t>yong</w:t>
      </w:r>
      <w:proofErr w:type="spellEnd"/>
      <w:r w:rsidRPr="00E303AE">
        <w:t xml:space="preserve"> Jeong</w:t>
      </w:r>
      <w:r w:rsidRPr="00E303AE">
        <w:rPr>
          <w:vertAlign w:val="superscript"/>
        </w:rPr>
        <w:t xml:space="preserve"> </w:t>
      </w:r>
      <w:r w:rsidR="00C90A2C" w:rsidRPr="00465A6B">
        <w:rPr>
          <w:vertAlign w:val="superscript"/>
        </w:rPr>
        <w:t>1*</w:t>
      </w:r>
      <w:r w:rsidR="00C90A2C" w:rsidRPr="00465A6B">
        <w:t xml:space="preserve">, </w:t>
      </w:r>
      <w:r>
        <w:rPr>
          <w:rFonts w:hint="eastAsia"/>
        </w:rPr>
        <w:t>Suwon Lee</w:t>
      </w:r>
      <w:r>
        <w:rPr>
          <w:rFonts w:hint="eastAsia"/>
          <w:vertAlign w:val="superscript"/>
        </w:rPr>
        <w:t>1</w:t>
      </w:r>
    </w:p>
    <w:p w14:paraId="7F3B6F09" w14:textId="77777777" w:rsidR="00035BF2" w:rsidRDefault="00C90A2C" w:rsidP="00AF1112">
      <w:pPr>
        <w:spacing w:after="0" w:line="312" w:lineRule="auto"/>
        <w:jc w:val="center"/>
        <w:rPr>
          <w:rFonts w:ascii="Gulim" w:eastAsia="Gulim" w:hAnsi="Gulim"/>
          <w:sz w:val="30"/>
        </w:rPr>
      </w:pPr>
      <w:r w:rsidRPr="00465A6B">
        <w:rPr>
          <w:rFonts w:ascii="Gulim" w:eastAsia="Gulim" w:hAnsi="Gulim"/>
          <w:sz w:val="30"/>
        </w:rPr>
        <w:t>━━━━━━━━━━━━━━━━━━━━━━━━━━━━━━━━</w:t>
      </w:r>
    </w:p>
    <w:p w14:paraId="261FA37B" w14:textId="0B2D51F5" w:rsidR="00B45682" w:rsidRPr="00DB7504" w:rsidRDefault="00B45682" w:rsidP="00B45682">
      <w:pPr>
        <w:pStyle w:val="a6"/>
        <w:tabs>
          <w:tab w:val="clear" w:pos="0"/>
        </w:tabs>
        <w:spacing w:before="0" w:after="184"/>
        <w:ind w:leftChars="91" w:left="1351" w:hangingChars="621" w:hanging="1169"/>
      </w:pPr>
      <w:r w:rsidRPr="00D048B1">
        <w:rPr>
          <w:b/>
        </w:rPr>
        <w:t>Key Words</w:t>
      </w:r>
      <w:r w:rsidRPr="00D048B1">
        <w:t xml:space="preserve"> :</w:t>
      </w:r>
      <w:r>
        <w:rPr>
          <w:rFonts w:hint="eastAsia"/>
        </w:rPr>
        <w:t xml:space="preserve"> </w:t>
      </w:r>
      <w:r w:rsidR="00E70AD3" w:rsidRPr="00E70AD3">
        <w:t>Physical HILS(물리적 HILS), Stewart Platform(스튜어트 플랫폼), Inverse Kinematics(역기구학), Flight Simulator(비행 시뮬레이터), PX4(PX4</w:t>
      </w:r>
      <w:r w:rsidR="00E70AD3">
        <w:rPr>
          <w:rFonts w:hint="eastAsia"/>
        </w:rPr>
        <w:t>)</w:t>
      </w:r>
    </w:p>
    <w:p w14:paraId="26CF7F3A" w14:textId="77777777" w:rsidR="00B45682" w:rsidRPr="00845A4D" w:rsidRDefault="00B45682" w:rsidP="008E0FA6">
      <w:pPr>
        <w:spacing w:line="360" w:lineRule="auto"/>
        <w:jc w:val="center"/>
        <w:rPr>
          <w:rFonts w:ascii="Gulim" w:eastAsia="Gulim" w:hAnsi="Gulim"/>
          <w:color w:val="4BACC6" w:themeColor="accent5"/>
        </w:rPr>
      </w:pPr>
    </w:p>
    <w:p w14:paraId="015089DF" w14:textId="77777777" w:rsidR="00035BF2" w:rsidRPr="00845A4D" w:rsidRDefault="00035BF2" w:rsidP="00AF1112">
      <w:pPr>
        <w:spacing w:after="0"/>
        <w:rPr>
          <w:rFonts w:ascii="Gulim" w:eastAsia="Gulim" w:hAnsi="Gulim"/>
          <w:color w:val="4BACC6" w:themeColor="accent5"/>
        </w:rPr>
        <w:sectPr w:rsidR="00035BF2" w:rsidRPr="00845A4D" w:rsidSect="008634AD">
          <w:headerReference w:type="default" r:id="rId7"/>
          <w:footerReference w:type="default" r:id="rId8"/>
          <w:endnotePr>
            <w:numFmt w:val="decimal"/>
          </w:endnotePr>
          <w:pgSz w:w="11906" w:h="16838"/>
          <w:pgMar w:top="1984" w:right="1134" w:bottom="1417" w:left="1134" w:header="1134" w:footer="529" w:gutter="0"/>
          <w:cols w:space="0"/>
        </w:sectPr>
      </w:pPr>
    </w:p>
    <w:p w14:paraId="0A1C2869" w14:textId="77777777" w:rsidR="00035BF2" w:rsidRPr="001D628B" w:rsidRDefault="00C90A2C" w:rsidP="001D628B">
      <w:pPr>
        <w:pStyle w:val="a4"/>
      </w:pPr>
      <w:r w:rsidRPr="001D628B">
        <w:t>서 론</w:t>
      </w:r>
    </w:p>
    <w:p w14:paraId="274B55C8" w14:textId="505202A5" w:rsidR="00C10E4D" w:rsidRDefault="00C10E4D" w:rsidP="00C10E4D">
      <w:pPr>
        <w:pStyle w:val="a5"/>
      </w:pPr>
      <w:r>
        <w:t xml:space="preserve">HILS(Hardware-In-the-Loop Simulation)는 비행제어 시스템 개발에서 실 비행 전 제어 로직과 소프트웨어 통합을 검증해 비용과 위험을 줄이는 기법이다. 기존 HILS는 센서 신호를 </w:t>
      </w:r>
      <w:proofErr w:type="spellStart"/>
      <w:r>
        <w:t>가상값으로</w:t>
      </w:r>
      <w:proofErr w:type="spellEnd"/>
      <w:r>
        <w:t xml:space="preserve"> 대체해 IMU와 자세추정기가 실제 운동 자극과 지연을 충분히 경험하지 못할 수 있다.</w:t>
      </w:r>
    </w:p>
    <w:p w14:paraId="1026B43F" w14:textId="77777777" w:rsidR="00C10E4D" w:rsidRDefault="00C10E4D" w:rsidP="00C10E4D">
      <w:pPr>
        <w:pStyle w:val="a5"/>
      </w:pPr>
    </w:p>
    <w:p w14:paraId="647BA9CF" w14:textId="37DD9F84" w:rsidR="0015041B" w:rsidRPr="001E7921" w:rsidRDefault="00C10E4D" w:rsidP="00C10E4D">
      <w:pPr>
        <w:pStyle w:val="a5"/>
      </w:pPr>
      <w:r>
        <w:t>본 연구는 X</w:t>
      </w:r>
      <w:r>
        <w:rPr>
          <w:rFonts w:ascii="Cambria Math" w:hAnsi="Cambria Math" w:cs="Cambria Math"/>
        </w:rPr>
        <w:t>‑</w:t>
      </w:r>
      <w:r>
        <w:t xml:space="preserve">Plane 시뮬레이터의 자세를 스튜어트 플랫폼으로 구현하고, PX4 기반 비행제어기의 IMU/자세를 피드백으로 활용하는 물리 </w:t>
      </w:r>
      <w:proofErr w:type="spellStart"/>
      <w:r>
        <w:t>폐루프</w:t>
      </w:r>
      <w:proofErr w:type="spellEnd"/>
      <w:r>
        <w:t xml:space="preserve"> HILS를 제안한다. 주요 기여는 (</w:t>
      </w:r>
      <w:proofErr w:type="spellStart"/>
      <w:r>
        <w:t>i</w:t>
      </w:r>
      <w:proofErr w:type="spellEnd"/>
      <w:r>
        <w:t>) X</w:t>
      </w:r>
      <w:r>
        <w:rPr>
          <w:rFonts w:ascii="Cambria Math" w:hAnsi="Cambria Math" w:cs="Cambria Math"/>
        </w:rPr>
        <w:t>‑</w:t>
      </w:r>
      <w:r>
        <w:t>Plane–스튜어트–PX4 통합 아키텍처 구현, (ii) 트림 전이(pitch step) 기반 표준화된 실험/로깅 절차, (iii) 추종 오차·지연 정량화 및 잔여 오차 요인(FC 장착 바이어스) 분석이다.</w:t>
      </w:r>
    </w:p>
    <w:p w14:paraId="239DD90F" w14:textId="77777777" w:rsidR="00C10E4D" w:rsidRDefault="00C10E4D" w:rsidP="001D628B">
      <w:pPr>
        <w:pStyle w:val="a4"/>
      </w:pPr>
    </w:p>
    <w:p w14:paraId="65F13D71" w14:textId="753C4131" w:rsidR="00035BF2" w:rsidRPr="001E7921" w:rsidRDefault="00C90A2C" w:rsidP="001D628B">
      <w:pPr>
        <w:pStyle w:val="a4"/>
      </w:pPr>
      <w:r w:rsidRPr="001E7921">
        <w:rPr>
          <w:rFonts w:hint="eastAsia"/>
        </w:rPr>
        <w:t>본 론</w:t>
      </w:r>
    </w:p>
    <w:p w14:paraId="62AE3F6C" w14:textId="61D638DA" w:rsidR="009439F5" w:rsidRPr="001E7921" w:rsidRDefault="009439F5" w:rsidP="009439F5">
      <w:pPr>
        <w:pStyle w:val="a"/>
        <w:rPr>
          <w:color w:val="FF0000"/>
        </w:rPr>
      </w:pPr>
      <w:r w:rsidRPr="009439F5">
        <w:t>1) 시스템 아키텍처</w:t>
      </w:r>
    </w:p>
    <w:p w14:paraId="7353F3C2" w14:textId="77777777" w:rsidR="000963E6" w:rsidRDefault="000963E6" w:rsidP="000963E6">
      <w:pPr>
        <w:pStyle w:val="a5"/>
      </w:pPr>
      <w:r>
        <w:t xml:space="preserve">본 연구는 시뮬레이터에서 생성된 자세/운동을 실제 물리 운동으로 구현하고, 이를 실물 IMU가 직접 감지하도록 구성된 물리 </w:t>
      </w:r>
      <w:proofErr w:type="spellStart"/>
      <w:r>
        <w:t>폐루프</w:t>
      </w:r>
      <w:proofErr w:type="spellEnd"/>
      <w:r>
        <w:t xml:space="preserve"> HILS 시험 플랫폼을 구현하였다. </w:t>
      </w:r>
    </w:p>
    <w:p w14:paraId="76BB44FF" w14:textId="77777777" w:rsidR="000963E6" w:rsidRDefault="000963E6" w:rsidP="000963E6">
      <w:pPr>
        <w:pStyle w:val="a5"/>
      </w:pPr>
      <w:r>
        <w:t>전체 루프는 (</w:t>
      </w:r>
      <w:proofErr w:type="spellStart"/>
      <w:r>
        <w:t>i</w:t>
      </w:r>
      <w:proofErr w:type="spellEnd"/>
      <w:r>
        <w:t>) X</w:t>
      </w:r>
      <w:r>
        <w:rPr>
          <w:rFonts w:ascii="Cambria Math" w:hAnsi="Cambria Math" w:cs="Cambria Math"/>
        </w:rPr>
        <w:t>‑</w:t>
      </w:r>
      <w:r>
        <w:t xml:space="preserve">Plane이 항공기 자세/운동 상태를 실시간으로 생성하고, (ii) 호스트 컴퓨터가 UDP로 해당 상태를 수신하여 포즈 명령으로 변환하며, (iii) 스튜어트 플랫폼이 명령된 포즈를 수행하고, (iv) 플랫폼에 탑재된 실제 비행제어기(Pix32 v6, PX4)가 onboard IMU 기반 자세를 추정하고, (v) 호스트가 </w:t>
      </w:r>
      <w:proofErr w:type="spellStart"/>
      <w:r>
        <w:t>MAVLink</w:t>
      </w:r>
      <w:proofErr w:type="spellEnd"/>
      <w:r>
        <w:t xml:space="preserve">로 PX4 자세 </w:t>
      </w:r>
      <w:proofErr w:type="spellStart"/>
      <w:r>
        <w:t>텔레메트리를</w:t>
      </w:r>
      <w:proofErr w:type="spellEnd"/>
      <w:r>
        <w:t xml:space="preserve"> 수신하여 UDP로 X</w:t>
      </w:r>
      <w:r>
        <w:rPr>
          <w:rFonts w:ascii="Cambria Math" w:hAnsi="Cambria Math" w:cs="Cambria Math"/>
        </w:rPr>
        <w:t>‑</w:t>
      </w:r>
      <w:r>
        <w:t>Plane</w:t>
      </w:r>
      <w:proofErr w:type="spellStart"/>
      <w:r>
        <w:t>에</w:t>
      </w:r>
      <w:proofErr w:type="spellEnd"/>
      <w:r>
        <w:t xml:space="preserve"> </w:t>
      </w:r>
      <w:proofErr w:type="spellStart"/>
      <w:r>
        <w:t>조종면</w:t>
      </w:r>
      <w:proofErr w:type="spellEnd"/>
      <w:r>
        <w:t xml:space="preserve"> 명령을 주입하는 구조로 구성된다. </w:t>
      </w:r>
    </w:p>
    <w:p w14:paraId="7B94A44C" w14:textId="77777777" w:rsidR="00FF2649" w:rsidRPr="001E7921" w:rsidRDefault="00FF2649" w:rsidP="00FF2649">
      <w:pPr>
        <w:pStyle w:val="a7"/>
      </w:pPr>
      <w:r w:rsidRPr="001E7921">
        <w:rPr>
          <w:noProof/>
        </w:rPr>
        <w:drawing>
          <wp:inline distT="0" distB="0" distL="0" distR="0" wp14:anchorId="32015E0E" wp14:editId="7982121A">
            <wp:extent cx="2880000" cy="1963161"/>
            <wp:effectExtent l="0" t="0" r="3175" b="5715"/>
            <wp:docPr id="2" name="그림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A diagram of a computer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000" cy="1963161"/>
                    </a:xfrm>
                    <a:prstGeom prst="rect">
                      <a:avLst/>
                    </a:prstGeom>
                    <a:effectLst/>
                  </pic:spPr>
                </pic:pic>
              </a:graphicData>
            </a:graphic>
          </wp:inline>
        </w:drawing>
      </w:r>
    </w:p>
    <w:p w14:paraId="106FF471" w14:textId="77777777" w:rsidR="00FF2649" w:rsidRDefault="00FF2649" w:rsidP="00FF2649">
      <w:pPr>
        <w:pStyle w:val="a7"/>
        <w:rPr>
          <w:rFonts w:ascii="Gulim" w:eastAsia="Gulim"/>
        </w:rPr>
      </w:pPr>
      <w:r w:rsidRPr="00DB7504">
        <w:rPr>
          <w:rFonts w:ascii="Gulim" w:eastAsia="Gulim" w:hint="eastAsia"/>
        </w:rPr>
        <w:t xml:space="preserve">Fig. 1. </w:t>
      </w:r>
      <w:r w:rsidRPr="009439F5">
        <w:rPr>
          <w:rFonts w:ascii="Gulim" w:eastAsia="Gulim"/>
        </w:rPr>
        <w:t>아키텍처</w:t>
      </w:r>
      <w:r w:rsidRPr="00DB7504">
        <w:rPr>
          <w:rFonts w:ascii="Gulim" w:eastAsia="Gulim" w:hint="eastAsia"/>
        </w:rPr>
        <w:t xml:space="preserve"> </w:t>
      </w:r>
    </w:p>
    <w:p w14:paraId="19481001" w14:textId="564E3622" w:rsidR="000963E6" w:rsidRDefault="000963E6" w:rsidP="00FF2649">
      <w:pPr>
        <w:pStyle w:val="a5"/>
      </w:pPr>
      <w:r>
        <w:t xml:space="preserve">본 구조는 센서 신호를 단순 합성하는 기존 HILS와 달리, IMU/추정기가 실제 운동 자극을 경험하도록 함으로써 </w:t>
      </w:r>
      <w:proofErr w:type="spellStart"/>
      <w:r>
        <w:t>폐루프</w:t>
      </w:r>
      <w:proofErr w:type="spellEnd"/>
      <w:r>
        <w:t xml:space="preserve"> 거동의 현실성을 높인다는 점에서 차별성이 있다.</w:t>
      </w:r>
    </w:p>
    <w:p w14:paraId="6289EF6D" w14:textId="028F2704" w:rsidR="00E80487" w:rsidRDefault="000963E6" w:rsidP="005046CD">
      <w:pPr>
        <w:pStyle w:val="a5"/>
      </w:pPr>
      <w:r>
        <w:t xml:space="preserve">그림 1은 본 연구에서 구현한 물리 </w:t>
      </w:r>
      <w:proofErr w:type="spellStart"/>
      <w:r>
        <w:t>폐루프</w:t>
      </w:r>
      <w:proofErr w:type="spellEnd"/>
      <w:r>
        <w:t xml:space="preserve"> HILS의 전체 데이터 흐름 및 인터페이스(UDP/USB Serial/</w:t>
      </w:r>
      <w:proofErr w:type="spellStart"/>
      <w:r>
        <w:t>MAVLink</w:t>
      </w:r>
      <w:proofErr w:type="spellEnd"/>
      <w:r>
        <w:t>)를 나타낸다</w:t>
      </w:r>
      <w:r w:rsidR="005046CD">
        <w:t>.</w:t>
      </w:r>
    </w:p>
    <w:p w14:paraId="1D4DF0FE" w14:textId="77777777" w:rsidR="00C10E4D" w:rsidRDefault="00C10E4D" w:rsidP="005046CD">
      <w:pPr>
        <w:pStyle w:val="a5"/>
      </w:pPr>
    </w:p>
    <w:p w14:paraId="4D29B627" w14:textId="33469081" w:rsidR="009439F5" w:rsidRPr="001E7921" w:rsidRDefault="005046CD" w:rsidP="009439F5">
      <w:pPr>
        <w:pStyle w:val="a"/>
        <w:rPr>
          <w:color w:val="FF0000"/>
        </w:rPr>
      </w:pPr>
      <w:r>
        <w:rPr>
          <w:rFonts w:hint="eastAsia"/>
        </w:rPr>
        <w:t>2</w:t>
      </w:r>
      <w:r w:rsidR="009439F5" w:rsidRPr="009439F5">
        <w:t>) 자세 포화(saturation) 및 연속 동작 보장</w:t>
      </w:r>
    </w:p>
    <w:p w14:paraId="213306D5" w14:textId="751E083F" w:rsidR="00C10E4D" w:rsidRDefault="000963E6" w:rsidP="00FF2649">
      <w:pPr>
        <w:pStyle w:val="a5"/>
      </w:pPr>
      <w:r w:rsidRPr="000963E6">
        <w:t xml:space="preserve">플랫폼 요구 자세가 </w:t>
      </w:r>
      <w:proofErr w:type="spellStart"/>
      <w:r w:rsidRPr="000963E6">
        <w:t>서보</w:t>
      </w:r>
      <w:proofErr w:type="spellEnd"/>
      <w:r w:rsidRPr="000963E6">
        <w:t xml:space="preserve"> </w:t>
      </w:r>
      <w:proofErr w:type="spellStart"/>
      <w:r w:rsidRPr="000963E6">
        <w:t>제한각</w:t>
      </w:r>
      <w:proofErr w:type="spellEnd"/>
      <w:r w:rsidRPr="000963E6">
        <w:t xml:space="preserve"> 또는 작업공간을 초과하면, 펌웨어는 회전축을 유지한 채 회전 크기만 축소하는 포화기를 적용한다. 요청 자세의 회전벡터 크기 min을 계산한 뒤, 동일한 축을 유지하면서 </w:t>
      </w:r>
      <w:proofErr w:type="spellStart"/>
      <w:r w:rsidRPr="000963E6">
        <w:t>mout</w:t>
      </w:r>
      <w:proofErr w:type="spellEnd"/>
      <w:r w:rsidRPr="000963E6">
        <w:t xml:space="preserve"> ≤ min이 되도록 스케일링(α = </w:t>
      </w:r>
      <w:proofErr w:type="spellStart"/>
      <w:r w:rsidRPr="000963E6">
        <w:t>mout</w:t>
      </w:r>
      <w:proofErr w:type="spellEnd"/>
      <w:r w:rsidRPr="000963E6">
        <w:t>/</w:t>
      </w:r>
      <w:proofErr w:type="spellStart"/>
      <w:r w:rsidRPr="000963E6">
        <w:t>m_in</w:t>
      </w:r>
      <w:proofErr w:type="spellEnd"/>
      <w:r w:rsidRPr="000963E6">
        <w:t xml:space="preserve">, 0 &lt; α ≤ 1)하여 포화된 자세를 생성한다. 이 자세는 역기구학 기반 </w:t>
      </w:r>
      <w:proofErr w:type="spellStart"/>
      <w:r w:rsidRPr="000963E6">
        <w:t>도달성</w:t>
      </w:r>
      <w:proofErr w:type="spellEnd"/>
      <w:r w:rsidRPr="000963E6">
        <w:t xml:space="preserve"> 검사를 통해 </w:t>
      </w:r>
      <w:proofErr w:type="spellStart"/>
      <w:r w:rsidRPr="000963E6">
        <w:t>제한각</w:t>
      </w:r>
      <w:proofErr w:type="spellEnd"/>
      <w:r w:rsidRPr="000963E6">
        <w:t xml:space="preserve"> 내에서 결정되며, 시뮬레이터가 큰 자세를 요구해도 플랫폼은 정지 없이 연속 동작을 유지한다. 포화 여부와 α는 상태 </w:t>
      </w:r>
      <w:proofErr w:type="spellStart"/>
      <w:r w:rsidRPr="000963E6">
        <w:t>텔레메트리로</w:t>
      </w:r>
      <w:proofErr w:type="spellEnd"/>
      <w:r w:rsidRPr="000963E6">
        <w:t xml:space="preserve"> 기록해 응답과 오차 특성을 분석한다.</w:t>
      </w:r>
    </w:p>
    <w:p w14:paraId="2FE7CEEE" w14:textId="77777777" w:rsidR="00FF2649" w:rsidRPr="001E7921" w:rsidRDefault="00FF2649" w:rsidP="00FF2649">
      <w:pPr>
        <w:pStyle w:val="a7"/>
      </w:pPr>
      <w:r w:rsidRPr="001E7921">
        <w:rPr>
          <w:noProof/>
        </w:rPr>
        <w:lastRenderedPageBreak/>
        <w:drawing>
          <wp:inline distT="0" distB="0" distL="0" distR="0" wp14:anchorId="21A64ACD" wp14:editId="55A30B90">
            <wp:extent cx="2880000" cy="1178181"/>
            <wp:effectExtent l="0" t="0" r="3175" b="3175"/>
            <wp:docPr id="1485735927" name="그림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5927" name="그림 2"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178181"/>
                    </a:xfrm>
                    <a:prstGeom prst="rect">
                      <a:avLst/>
                    </a:prstGeom>
                    <a:effectLst/>
                  </pic:spPr>
                </pic:pic>
              </a:graphicData>
            </a:graphic>
          </wp:inline>
        </w:drawing>
      </w:r>
    </w:p>
    <w:p w14:paraId="6AFA5BF2" w14:textId="77777777" w:rsidR="00FF2649" w:rsidRDefault="00FF2649" w:rsidP="00FF2649">
      <w:pPr>
        <w:pStyle w:val="a7"/>
        <w:rPr>
          <w:rFonts w:ascii="Gulim" w:eastAsia="Gulim"/>
        </w:rPr>
      </w:pPr>
      <w:r w:rsidRPr="00DB7504">
        <w:rPr>
          <w:rFonts w:ascii="Gulim" w:eastAsia="Gulim" w:hint="eastAsia"/>
        </w:rPr>
        <w:t xml:space="preserve">Fig. </w:t>
      </w:r>
      <w:r>
        <w:rPr>
          <w:rFonts w:ascii="Gulim" w:eastAsia="Gulim" w:hint="eastAsia"/>
        </w:rPr>
        <w:t>2</w:t>
      </w:r>
      <w:r w:rsidRPr="00DB7504">
        <w:rPr>
          <w:rFonts w:ascii="Gulim" w:eastAsia="Gulim" w:hint="eastAsia"/>
        </w:rPr>
        <w:t xml:space="preserve">. </w:t>
      </w:r>
      <w:r w:rsidRPr="009439F5">
        <w:rPr>
          <w:rFonts w:ascii="Gulim" w:eastAsia="Gulim"/>
        </w:rPr>
        <w:t>자세 및 오차 시계열</w:t>
      </w:r>
      <w:r w:rsidRPr="00DB7504">
        <w:rPr>
          <w:rFonts w:ascii="Gulim" w:eastAsia="Gulim" w:hint="eastAsia"/>
        </w:rPr>
        <w:t xml:space="preserve"> </w:t>
      </w:r>
    </w:p>
    <w:p w14:paraId="4D8737C8" w14:textId="77777777" w:rsidR="00FF2649" w:rsidRPr="001E7921" w:rsidRDefault="00FF2649" w:rsidP="00FF2649">
      <w:pPr>
        <w:pStyle w:val="a7"/>
      </w:pPr>
      <w:r w:rsidRPr="001E7921">
        <w:rPr>
          <w:noProof/>
        </w:rPr>
        <w:drawing>
          <wp:inline distT="0" distB="0" distL="0" distR="0" wp14:anchorId="100419CC" wp14:editId="258F8C22">
            <wp:extent cx="2879998" cy="1254545"/>
            <wp:effectExtent l="0" t="0" r="3175" b="3175"/>
            <wp:docPr id="1400476432" name="그림 2" descr="A white graph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6432" name="그림 2" descr="A white graph with black and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998" cy="1254545"/>
                    </a:xfrm>
                    <a:prstGeom prst="rect">
                      <a:avLst/>
                    </a:prstGeom>
                    <a:effectLst/>
                  </pic:spPr>
                </pic:pic>
              </a:graphicData>
            </a:graphic>
          </wp:inline>
        </w:drawing>
      </w:r>
    </w:p>
    <w:p w14:paraId="5773C973" w14:textId="77777777" w:rsidR="00FF2649" w:rsidRDefault="00FF2649" w:rsidP="00FF2649">
      <w:pPr>
        <w:pStyle w:val="a7"/>
        <w:rPr>
          <w:rFonts w:ascii="Gulim" w:eastAsia="Gulim"/>
        </w:rPr>
      </w:pPr>
      <w:r w:rsidRPr="00DB7504">
        <w:rPr>
          <w:rFonts w:ascii="Gulim" w:eastAsia="Gulim" w:hint="eastAsia"/>
        </w:rPr>
        <w:t xml:space="preserve">Fig. </w:t>
      </w:r>
      <w:r>
        <w:rPr>
          <w:rFonts w:ascii="Gulim" w:eastAsia="Gulim" w:hint="eastAsia"/>
        </w:rPr>
        <w:t>3</w:t>
      </w:r>
      <w:r w:rsidRPr="00DB7504">
        <w:rPr>
          <w:rFonts w:ascii="Gulim" w:eastAsia="Gulim" w:hint="eastAsia"/>
        </w:rPr>
        <w:t xml:space="preserve">. </w:t>
      </w:r>
      <w:r>
        <w:rPr>
          <w:rFonts w:ascii="Gulim" w:eastAsia="Gulim" w:hint="eastAsia"/>
        </w:rPr>
        <w:t>지연 분석</w:t>
      </w:r>
    </w:p>
    <w:p w14:paraId="6D2CEC4E" w14:textId="77777777" w:rsidR="00FF2649" w:rsidRPr="00DB7504" w:rsidRDefault="00FF2649" w:rsidP="00FF2649">
      <w:pPr>
        <w:pStyle w:val="a7"/>
        <w:rPr>
          <w:rFonts w:ascii="Gulim" w:eastAsia="Gulim"/>
        </w:rPr>
      </w:pPr>
      <w:r w:rsidRPr="00DB7504">
        <w:rPr>
          <w:rFonts w:ascii="Gulim" w:eastAsia="Gulim"/>
        </w:rPr>
        <w:t xml:space="preserve">Table 1. </w:t>
      </w:r>
      <w:r>
        <w:rPr>
          <w:rFonts w:ascii="Gulim" w:eastAsia="Gulim"/>
        </w:rPr>
        <w:t>Tracking error</w:t>
      </w:r>
    </w:p>
    <w:tbl>
      <w:tblPr>
        <w:tblOverlap w:val="never"/>
        <w:tblW w:w="0" w:type="auto"/>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000" w:firstRow="0" w:lastRow="0" w:firstColumn="0" w:lastColumn="0" w:noHBand="0" w:noVBand="0"/>
      </w:tblPr>
      <w:tblGrid>
        <w:gridCol w:w="374"/>
        <w:gridCol w:w="1004"/>
        <w:gridCol w:w="992"/>
        <w:gridCol w:w="1085"/>
        <w:gridCol w:w="1072"/>
      </w:tblGrid>
      <w:tr w:rsidR="00FF2649" w:rsidRPr="001E7921" w14:paraId="366EEE03" w14:textId="77777777" w:rsidTr="00561EF5">
        <w:trPr>
          <w:trHeight w:val="349"/>
        </w:trPr>
        <w:tc>
          <w:tcPr>
            <w:tcW w:w="0" w:type="auto"/>
            <w:tcBorders>
              <w:top w:val="single" w:sz="3" w:space="0" w:color="000000"/>
              <w:left w:val="single" w:sz="3" w:space="0" w:color="000000"/>
              <w:bottom w:val="single" w:sz="3" w:space="0" w:color="000000"/>
              <w:right w:val="single" w:sz="3" w:space="0" w:color="000000"/>
            </w:tcBorders>
            <w:shd w:val="clear" w:color="auto" w:fill="E5E5E5"/>
            <w:vAlign w:val="center"/>
          </w:tcPr>
          <w:p w14:paraId="6F725947" w14:textId="77777777" w:rsidR="00FF2649" w:rsidRPr="00561EF5" w:rsidRDefault="00FF2649" w:rsidP="00B6476D">
            <w:pPr>
              <w:wordWrap/>
              <w:spacing w:after="0" w:line="240" w:lineRule="auto"/>
              <w:jc w:val="center"/>
              <w:rPr>
                <w:rFonts w:ascii="Gulim" w:eastAsia="Gulim" w:hAnsi="Gulim"/>
                <w:sz w:val="18"/>
                <w:szCs w:val="18"/>
              </w:rPr>
            </w:pPr>
            <w:r w:rsidRPr="00561EF5">
              <w:rPr>
                <w:sz w:val="18"/>
                <w:szCs w:val="18"/>
              </w:rPr>
              <w:t>Run</w:t>
            </w:r>
          </w:p>
        </w:tc>
        <w:tc>
          <w:tcPr>
            <w:tcW w:w="0" w:type="auto"/>
            <w:tcBorders>
              <w:top w:val="single" w:sz="3" w:space="0" w:color="000000"/>
              <w:left w:val="single" w:sz="3" w:space="0" w:color="000000"/>
              <w:bottom w:val="single" w:sz="3" w:space="0" w:color="000000"/>
              <w:right w:val="single" w:sz="3" w:space="0" w:color="000000"/>
            </w:tcBorders>
            <w:shd w:val="clear" w:color="auto" w:fill="E5E5E5"/>
            <w:vAlign w:val="center"/>
          </w:tcPr>
          <w:p w14:paraId="10D7FD0B" w14:textId="324D3690" w:rsidR="00FF2649" w:rsidRPr="00561EF5" w:rsidRDefault="00FF2649" w:rsidP="00B6476D">
            <w:pPr>
              <w:wordWrap/>
              <w:spacing w:after="0" w:line="240" w:lineRule="auto"/>
              <w:jc w:val="center"/>
              <w:rPr>
                <w:rFonts w:ascii="Gulim" w:eastAsia="Gulim" w:hAnsi="Gulim" w:hint="eastAsia"/>
                <w:sz w:val="18"/>
                <w:szCs w:val="18"/>
              </w:rPr>
            </w:pPr>
            <w:r w:rsidRPr="00561EF5">
              <w:rPr>
                <w:sz w:val="18"/>
                <w:szCs w:val="18"/>
              </w:rPr>
              <w:t xml:space="preserve">raw </w:t>
            </w:r>
            <w:proofErr w:type="gramStart"/>
            <w:r w:rsidRPr="00561EF5">
              <w:rPr>
                <w:sz w:val="18"/>
                <w:szCs w:val="18"/>
              </w:rPr>
              <w:t>RMS</w:t>
            </w:r>
            <w:r w:rsidR="00561EF5" w:rsidRPr="00561EF5">
              <w:rPr>
                <w:sz w:val="18"/>
                <w:szCs w:val="18"/>
              </w:rPr>
              <w:t>E</w:t>
            </w:r>
            <w:r w:rsidRPr="00561EF5">
              <w:rPr>
                <w:rFonts w:hint="eastAsia"/>
                <w:sz w:val="18"/>
                <w:szCs w:val="18"/>
              </w:rPr>
              <w:t>(</w:t>
            </w:r>
            <w:proofErr w:type="gramEnd"/>
            <w:r w:rsidRPr="00561EF5">
              <w:rPr>
                <w:rFonts w:hint="eastAsia"/>
                <w:sz w:val="18"/>
                <w:szCs w:val="18"/>
              </w:rPr>
              <w:t>d</w:t>
            </w:r>
            <w:r w:rsidRPr="00561EF5">
              <w:rPr>
                <w:sz w:val="18"/>
                <w:szCs w:val="18"/>
              </w:rPr>
              <w:t>eg)</w:t>
            </w:r>
          </w:p>
        </w:tc>
        <w:tc>
          <w:tcPr>
            <w:tcW w:w="0" w:type="auto"/>
            <w:tcBorders>
              <w:top w:val="single" w:sz="3" w:space="0" w:color="000000"/>
              <w:left w:val="single" w:sz="3" w:space="0" w:color="000000"/>
              <w:bottom w:val="single" w:sz="3" w:space="0" w:color="000000"/>
              <w:right w:val="single" w:sz="3" w:space="0" w:color="000000"/>
            </w:tcBorders>
            <w:shd w:val="clear" w:color="auto" w:fill="E5E5E5"/>
            <w:vAlign w:val="center"/>
          </w:tcPr>
          <w:p w14:paraId="49135966" w14:textId="6AAD602E" w:rsidR="00FF2649" w:rsidRPr="00561EF5" w:rsidRDefault="00FF2649" w:rsidP="00B6476D">
            <w:pPr>
              <w:wordWrap/>
              <w:spacing w:after="0" w:line="240" w:lineRule="auto"/>
              <w:jc w:val="center"/>
              <w:rPr>
                <w:rFonts w:ascii="Gulim" w:eastAsia="Gulim" w:hAnsi="Gulim"/>
                <w:sz w:val="18"/>
                <w:szCs w:val="18"/>
              </w:rPr>
            </w:pPr>
            <w:r w:rsidRPr="00561EF5">
              <w:rPr>
                <w:sz w:val="18"/>
                <w:szCs w:val="18"/>
              </w:rPr>
              <w:t>raw mean</w:t>
            </w:r>
            <w:r w:rsidRPr="00561EF5">
              <w:rPr>
                <w:rFonts w:hint="eastAsia"/>
                <w:sz w:val="18"/>
                <w:szCs w:val="18"/>
              </w:rPr>
              <w:t>(d</w:t>
            </w:r>
            <w:r w:rsidRPr="00561EF5">
              <w:rPr>
                <w:sz w:val="18"/>
                <w:szCs w:val="18"/>
              </w:rPr>
              <w:t>eg)</w:t>
            </w:r>
          </w:p>
        </w:tc>
        <w:tc>
          <w:tcPr>
            <w:tcW w:w="0" w:type="auto"/>
            <w:tcBorders>
              <w:top w:val="single" w:sz="3" w:space="0" w:color="000000"/>
              <w:left w:val="single" w:sz="3" w:space="0" w:color="000000"/>
              <w:bottom w:val="single" w:sz="3" w:space="0" w:color="000000"/>
              <w:right w:val="single" w:sz="3" w:space="0" w:color="000000"/>
            </w:tcBorders>
            <w:shd w:val="clear" w:color="auto" w:fill="E5E5E5"/>
            <w:vAlign w:val="center"/>
          </w:tcPr>
          <w:p w14:paraId="0659860F" w14:textId="5BD08C90" w:rsidR="00FF2649" w:rsidRPr="00561EF5" w:rsidRDefault="00FF2649" w:rsidP="00B6476D">
            <w:pPr>
              <w:wordWrap/>
              <w:spacing w:after="0" w:line="240" w:lineRule="auto"/>
              <w:jc w:val="center"/>
              <w:rPr>
                <w:rFonts w:ascii="Gulim" w:eastAsia="Gulim" w:hAnsi="Gulim"/>
                <w:sz w:val="18"/>
                <w:szCs w:val="18"/>
              </w:rPr>
            </w:pPr>
            <w:r w:rsidRPr="00561EF5">
              <w:rPr>
                <w:sz w:val="18"/>
                <w:szCs w:val="18"/>
              </w:rPr>
              <w:t xml:space="preserve">corrected </w:t>
            </w:r>
            <w:proofErr w:type="gramStart"/>
            <w:r w:rsidRPr="00561EF5">
              <w:rPr>
                <w:sz w:val="18"/>
                <w:szCs w:val="18"/>
              </w:rPr>
              <w:t>RMS</w:t>
            </w:r>
            <w:r w:rsidR="00561EF5" w:rsidRPr="00561EF5">
              <w:rPr>
                <w:sz w:val="18"/>
                <w:szCs w:val="18"/>
              </w:rPr>
              <w:t>E</w:t>
            </w:r>
            <w:r w:rsidRPr="00561EF5">
              <w:rPr>
                <w:rFonts w:hint="eastAsia"/>
                <w:sz w:val="18"/>
                <w:szCs w:val="18"/>
              </w:rPr>
              <w:t>(</w:t>
            </w:r>
            <w:proofErr w:type="gramEnd"/>
            <w:r w:rsidRPr="00561EF5">
              <w:rPr>
                <w:rFonts w:hint="eastAsia"/>
                <w:sz w:val="18"/>
                <w:szCs w:val="18"/>
              </w:rPr>
              <w:t>d</w:t>
            </w:r>
            <w:r w:rsidRPr="00561EF5">
              <w:rPr>
                <w:sz w:val="18"/>
                <w:szCs w:val="18"/>
              </w:rPr>
              <w:t>eg)</w:t>
            </w:r>
          </w:p>
        </w:tc>
        <w:tc>
          <w:tcPr>
            <w:tcW w:w="0" w:type="auto"/>
            <w:tcBorders>
              <w:top w:val="single" w:sz="3" w:space="0" w:color="000000"/>
              <w:left w:val="single" w:sz="3" w:space="0" w:color="000000"/>
              <w:bottom w:val="single" w:sz="3" w:space="0" w:color="000000"/>
              <w:right w:val="single" w:sz="3" w:space="0" w:color="000000"/>
            </w:tcBorders>
            <w:shd w:val="clear" w:color="auto" w:fill="E5E5E5"/>
            <w:vAlign w:val="center"/>
          </w:tcPr>
          <w:p w14:paraId="3378A56C" w14:textId="77777777" w:rsidR="00FF2649" w:rsidRPr="00561EF5" w:rsidRDefault="00FF2649" w:rsidP="00B6476D">
            <w:pPr>
              <w:wordWrap/>
              <w:spacing w:after="0" w:line="240" w:lineRule="auto"/>
              <w:jc w:val="center"/>
              <w:rPr>
                <w:rFonts w:ascii="Gulim" w:eastAsia="Gulim" w:hAnsi="Gulim"/>
                <w:sz w:val="18"/>
                <w:szCs w:val="18"/>
              </w:rPr>
            </w:pPr>
            <w:r w:rsidRPr="00561EF5">
              <w:rPr>
                <w:sz w:val="18"/>
                <w:szCs w:val="18"/>
              </w:rPr>
              <w:t>corrected mean</w:t>
            </w:r>
            <w:r w:rsidRPr="00561EF5">
              <w:rPr>
                <w:rFonts w:hint="eastAsia"/>
                <w:sz w:val="18"/>
                <w:szCs w:val="18"/>
              </w:rPr>
              <w:t>(d</w:t>
            </w:r>
            <w:r w:rsidRPr="00561EF5">
              <w:rPr>
                <w:sz w:val="18"/>
                <w:szCs w:val="18"/>
              </w:rPr>
              <w:t>eg)</w:t>
            </w:r>
          </w:p>
        </w:tc>
      </w:tr>
      <w:tr w:rsidR="00FF2649" w:rsidRPr="001E7921" w14:paraId="4FAB0B3C" w14:textId="77777777" w:rsidTr="00561EF5">
        <w:trPr>
          <w:trHeight w:val="38"/>
        </w:trPr>
        <w:tc>
          <w:tcPr>
            <w:tcW w:w="0" w:type="auto"/>
            <w:tcBorders>
              <w:top w:val="single" w:sz="3" w:space="0" w:color="000000"/>
              <w:left w:val="single" w:sz="3" w:space="0" w:color="000000"/>
              <w:bottom w:val="single" w:sz="3" w:space="0" w:color="000000"/>
              <w:right w:val="single" w:sz="3" w:space="0" w:color="000000"/>
            </w:tcBorders>
            <w:vAlign w:val="center"/>
          </w:tcPr>
          <w:p w14:paraId="58ADB165" w14:textId="77777777" w:rsidR="00FF2649" w:rsidRPr="00DB7504" w:rsidRDefault="00FF2649" w:rsidP="00B6476D">
            <w:pPr>
              <w:wordWrap/>
              <w:spacing w:after="0" w:line="240" w:lineRule="auto"/>
              <w:jc w:val="center"/>
              <w:rPr>
                <w:rFonts w:ascii="Gulim" w:eastAsia="Gulim" w:hAnsi="Gulim" w:hint="eastAsia"/>
              </w:rPr>
            </w:pPr>
            <w:r>
              <w:rPr>
                <w:rFonts w:hint="eastAsia"/>
              </w:rPr>
              <w:t>1</w:t>
            </w:r>
          </w:p>
        </w:tc>
        <w:tc>
          <w:tcPr>
            <w:tcW w:w="0" w:type="auto"/>
            <w:tcBorders>
              <w:top w:val="single" w:sz="3" w:space="0" w:color="000000"/>
              <w:left w:val="single" w:sz="3" w:space="0" w:color="000000"/>
              <w:bottom w:val="single" w:sz="3" w:space="0" w:color="000000"/>
              <w:right w:val="single" w:sz="3" w:space="0" w:color="000000"/>
            </w:tcBorders>
            <w:vAlign w:val="center"/>
          </w:tcPr>
          <w:p w14:paraId="1A7B5466" w14:textId="77777777" w:rsidR="00FF2649" w:rsidRPr="00DB7504" w:rsidRDefault="00FF2649" w:rsidP="00B6476D">
            <w:pPr>
              <w:wordWrap/>
              <w:spacing w:after="0" w:line="240" w:lineRule="auto"/>
              <w:jc w:val="center"/>
              <w:rPr>
                <w:rFonts w:ascii="Gulim" w:eastAsia="Gulim" w:hAnsi="Gulim"/>
              </w:rPr>
            </w:pPr>
            <w:r w:rsidRPr="0061123A">
              <w:t>2.0963</w:t>
            </w:r>
          </w:p>
        </w:tc>
        <w:tc>
          <w:tcPr>
            <w:tcW w:w="0" w:type="auto"/>
            <w:tcBorders>
              <w:top w:val="single" w:sz="3" w:space="0" w:color="000000"/>
              <w:left w:val="single" w:sz="3" w:space="0" w:color="000000"/>
              <w:bottom w:val="single" w:sz="3" w:space="0" w:color="000000"/>
              <w:right w:val="single" w:sz="3" w:space="0" w:color="000000"/>
            </w:tcBorders>
            <w:vAlign w:val="center"/>
          </w:tcPr>
          <w:p w14:paraId="08618554" w14:textId="77777777" w:rsidR="00FF2649" w:rsidRPr="00DB7504" w:rsidRDefault="00FF2649" w:rsidP="00B6476D">
            <w:pPr>
              <w:wordWrap/>
              <w:spacing w:after="0" w:line="240" w:lineRule="auto"/>
              <w:jc w:val="center"/>
              <w:rPr>
                <w:rFonts w:ascii="Gulim" w:eastAsia="Gulim" w:hAnsi="Gulim"/>
              </w:rPr>
            </w:pPr>
            <w:r w:rsidRPr="0061123A">
              <w:t>2.0540</w:t>
            </w:r>
          </w:p>
        </w:tc>
        <w:tc>
          <w:tcPr>
            <w:tcW w:w="0" w:type="auto"/>
            <w:tcBorders>
              <w:top w:val="single" w:sz="3" w:space="0" w:color="000000"/>
              <w:left w:val="single" w:sz="3" w:space="0" w:color="000000"/>
              <w:bottom w:val="single" w:sz="3" w:space="0" w:color="000000"/>
              <w:right w:val="single" w:sz="3" w:space="0" w:color="000000"/>
            </w:tcBorders>
            <w:vAlign w:val="center"/>
          </w:tcPr>
          <w:p w14:paraId="2044AACE" w14:textId="77777777" w:rsidR="00FF2649" w:rsidRPr="00DB7504" w:rsidRDefault="00FF2649" w:rsidP="00B6476D">
            <w:pPr>
              <w:wordWrap/>
              <w:spacing w:after="0" w:line="240" w:lineRule="auto"/>
              <w:jc w:val="center"/>
              <w:rPr>
                <w:rFonts w:ascii="Gulim" w:eastAsia="Gulim" w:hAnsi="Gulim"/>
              </w:rPr>
            </w:pPr>
            <w:r w:rsidRPr="0061123A">
              <w:t>0.4214</w:t>
            </w:r>
          </w:p>
        </w:tc>
        <w:tc>
          <w:tcPr>
            <w:tcW w:w="0" w:type="auto"/>
            <w:tcBorders>
              <w:top w:val="single" w:sz="3" w:space="0" w:color="000000"/>
              <w:left w:val="single" w:sz="3" w:space="0" w:color="000000"/>
              <w:bottom w:val="single" w:sz="3" w:space="0" w:color="000000"/>
              <w:right w:val="single" w:sz="3" w:space="0" w:color="000000"/>
            </w:tcBorders>
            <w:vAlign w:val="center"/>
          </w:tcPr>
          <w:p w14:paraId="055958A9" w14:textId="77777777" w:rsidR="00FF2649" w:rsidRPr="00DB7504" w:rsidRDefault="00FF2649" w:rsidP="00B6476D">
            <w:pPr>
              <w:wordWrap/>
              <w:spacing w:after="0" w:line="240" w:lineRule="auto"/>
              <w:jc w:val="center"/>
              <w:rPr>
                <w:rFonts w:ascii="Gulim" w:eastAsia="Gulim" w:hAnsi="Gulim"/>
              </w:rPr>
            </w:pPr>
            <w:r w:rsidRPr="0061123A">
              <w:t>0.0456</w:t>
            </w:r>
          </w:p>
        </w:tc>
      </w:tr>
      <w:tr w:rsidR="00FF2649" w:rsidRPr="001E7921" w14:paraId="54D5F595" w14:textId="77777777" w:rsidTr="00561EF5">
        <w:trPr>
          <w:trHeight w:val="124"/>
        </w:trPr>
        <w:tc>
          <w:tcPr>
            <w:tcW w:w="0" w:type="auto"/>
            <w:tcBorders>
              <w:top w:val="single" w:sz="3" w:space="0" w:color="000000"/>
              <w:left w:val="single" w:sz="3" w:space="0" w:color="000000"/>
              <w:bottom w:val="single" w:sz="3" w:space="0" w:color="000000"/>
              <w:right w:val="single" w:sz="3" w:space="0" w:color="000000"/>
            </w:tcBorders>
            <w:vAlign w:val="center"/>
          </w:tcPr>
          <w:p w14:paraId="6FDACD58" w14:textId="77777777" w:rsidR="00FF2649" w:rsidRPr="00DB7504" w:rsidRDefault="00FF2649" w:rsidP="00B6476D">
            <w:pPr>
              <w:wordWrap/>
              <w:spacing w:after="0" w:line="240" w:lineRule="auto"/>
              <w:jc w:val="center"/>
              <w:rPr>
                <w:rFonts w:ascii="Gulim" w:eastAsia="Gulim" w:hAnsi="Gulim" w:hint="eastAsia"/>
              </w:rPr>
            </w:pPr>
            <w:r>
              <w:rPr>
                <w:rFonts w:hint="eastAsia"/>
              </w:rPr>
              <w:t>2</w:t>
            </w:r>
          </w:p>
        </w:tc>
        <w:tc>
          <w:tcPr>
            <w:tcW w:w="0" w:type="auto"/>
            <w:tcBorders>
              <w:top w:val="single" w:sz="3" w:space="0" w:color="000000"/>
              <w:left w:val="single" w:sz="3" w:space="0" w:color="000000"/>
              <w:bottom w:val="single" w:sz="3" w:space="0" w:color="000000"/>
              <w:right w:val="single" w:sz="3" w:space="0" w:color="000000"/>
            </w:tcBorders>
            <w:vAlign w:val="center"/>
          </w:tcPr>
          <w:p w14:paraId="38048CED" w14:textId="77777777" w:rsidR="00FF2649" w:rsidRPr="00DB7504" w:rsidRDefault="00FF2649" w:rsidP="00B6476D">
            <w:pPr>
              <w:wordWrap/>
              <w:spacing w:after="0" w:line="240" w:lineRule="auto"/>
              <w:jc w:val="center"/>
              <w:rPr>
                <w:rFonts w:ascii="Gulim" w:eastAsia="Gulim" w:hAnsi="Gulim"/>
              </w:rPr>
            </w:pPr>
            <w:r w:rsidRPr="0061123A">
              <w:t>2.1830</w:t>
            </w:r>
          </w:p>
        </w:tc>
        <w:tc>
          <w:tcPr>
            <w:tcW w:w="0" w:type="auto"/>
            <w:tcBorders>
              <w:top w:val="single" w:sz="3" w:space="0" w:color="000000"/>
              <w:left w:val="single" w:sz="3" w:space="0" w:color="000000"/>
              <w:bottom w:val="single" w:sz="3" w:space="0" w:color="000000"/>
              <w:right w:val="single" w:sz="3" w:space="0" w:color="000000"/>
            </w:tcBorders>
            <w:vAlign w:val="center"/>
          </w:tcPr>
          <w:p w14:paraId="219F1F6A" w14:textId="77777777" w:rsidR="00FF2649" w:rsidRPr="00DB7504" w:rsidRDefault="00FF2649" w:rsidP="00B6476D">
            <w:pPr>
              <w:wordWrap/>
              <w:spacing w:after="0" w:line="240" w:lineRule="auto"/>
              <w:jc w:val="center"/>
              <w:rPr>
                <w:rFonts w:ascii="Gulim" w:eastAsia="Gulim" w:hAnsi="Gulim"/>
              </w:rPr>
            </w:pPr>
            <w:r w:rsidRPr="0061123A">
              <w:t>2.1277</w:t>
            </w:r>
          </w:p>
        </w:tc>
        <w:tc>
          <w:tcPr>
            <w:tcW w:w="0" w:type="auto"/>
            <w:tcBorders>
              <w:top w:val="single" w:sz="3" w:space="0" w:color="000000"/>
              <w:left w:val="single" w:sz="3" w:space="0" w:color="000000"/>
              <w:bottom w:val="single" w:sz="3" w:space="0" w:color="000000"/>
              <w:right w:val="single" w:sz="3" w:space="0" w:color="000000"/>
            </w:tcBorders>
            <w:vAlign w:val="center"/>
          </w:tcPr>
          <w:p w14:paraId="7084EBA3" w14:textId="77777777" w:rsidR="00FF2649" w:rsidRPr="00DB7504" w:rsidRDefault="00FF2649" w:rsidP="00B6476D">
            <w:pPr>
              <w:wordWrap/>
              <w:spacing w:after="0" w:line="240" w:lineRule="auto"/>
              <w:jc w:val="center"/>
              <w:rPr>
                <w:rFonts w:ascii="Gulim" w:eastAsia="Gulim" w:hAnsi="Gulim"/>
              </w:rPr>
            </w:pPr>
            <w:r w:rsidRPr="0061123A">
              <w:t>0.6198</w:t>
            </w:r>
          </w:p>
        </w:tc>
        <w:tc>
          <w:tcPr>
            <w:tcW w:w="0" w:type="auto"/>
            <w:tcBorders>
              <w:top w:val="single" w:sz="3" w:space="0" w:color="000000"/>
              <w:left w:val="single" w:sz="3" w:space="0" w:color="000000"/>
              <w:bottom w:val="single" w:sz="3" w:space="0" w:color="000000"/>
              <w:right w:val="single" w:sz="3" w:space="0" w:color="000000"/>
            </w:tcBorders>
            <w:vAlign w:val="center"/>
          </w:tcPr>
          <w:p w14:paraId="3650CD04" w14:textId="77777777" w:rsidR="00FF2649" w:rsidRPr="00DB7504" w:rsidRDefault="00FF2649" w:rsidP="00B6476D">
            <w:pPr>
              <w:wordWrap/>
              <w:spacing w:after="0" w:line="240" w:lineRule="auto"/>
              <w:jc w:val="center"/>
              <w:rPr>
                <w:rFonts w:ascii="Gulim" w:eastAsia="Gulim" w:hAnsi="Gulim"/>
              </w:rPr>
            </w:pPr>
            <w:r w:rsidRPr="0061123A">
              <w:t>0.3817</w:t>
            </w:r>
          </w:p>
        </w:tc>
      </w:tr>
      <w:tr w:rsidR="00FF2649" w:rsidRPr="001E7921" w14:paraId="69BAFE97" w14:textId="77777777" w:rsidTr="00561EF5">
        <w:trPr>
          <w:trHeight w:val="38"/>
        </w:trPr>
        <w:tc>
          <w:tcPr>
            <w:tcW w:w="0" w:type="auto"/>
            <w:tcBorders>
              <w:top w:val="single" w:sz="3" w:space="0" w:color="000000"/>
              <w:left w:val="single" w:sz="3" w:space="0" w:color="000000"/>
              <w:bottom w:val="single" w:sz="3" w:space="0" w:color="000000"/>
              <w:right w:val="single" w:sz="3" w:space="0" w:color="000000"/>
            </w:tcBorders>
            <w:vAlign w:val="center"/>
          </w:tcPr>
          <w:p w14:paraId="2F3B3AE2" w14:textId="77777777" w:rsidR="00FF2649" w:rsidRPr="00DB7504" w:rsidRDefault="00FF2649" w:rsidP="00B6476D">
            <w:pPr>
              <w:wordWrap/>
              <w:spacing w:after="0" w:line="240" w:lineRule="auto"/>
              <w:jc w:val="center"/>
              <w:rPr>
                <w:rFonts w:ascii="Gulim" w:eastAsia="Gulim" w:hAnsi="Gulim" w:hint="eastAsia"/>
              </w:rPr>
            </w:pPr>
            <w:r>
              <w:rPr>
                <w:rFonts w:hint="eastAsia"/>
              </w:rPr>
              <w:t>3</w:t>
            </w:r>
          </w:p>
        </w:tc>
        <w:tc>
          <w:tcPr>
            <w:tcW w:w="0" w:type="auto"/>
            <w:tcBorders>
              <w:top w:val="single" w:sz="3" w:space="0" w:color="000000"/>
              <w:left w:val="single" w:sz="3" w:space="0" w:color="000000"/>
              <w:bottom w:val="single" w:sz="3" w:space="0" w:color="000000"/>
              <w:right w:val="single" w:sz="3" w:space="0" w:color="000000"/>
            </w:tcBorders>
            <w:vAlign w:val="center"/>
          </w:tcPr>
          <w:p w14:paraId="0E4EBD35" w14:textId="77777777" w:rsidR="00FF2649" w:rsidRPr="00DB7504" w:rsidRDefault="00FF2649" w:rsidP="00B6476D">
            <w:pPr>
              <w:wordWrap/>
              <w:spacing w:after="0" w:line="240" w:lineRule="auto"/>
              <w:jc w:val="center"/>
              <w:rPr>
                <w:rFonts w:ascii="Gulim" w:eastAsia="Gulim" w:hAnsi="Gulim"/>
              </w:rPr>
            </w:pPr>
            <w:r w:rsidRPr="0061123A">
              <w:t>1.9630</w:t>
            </w:r>
          </w:p>
        </w:tc>
        <w:tc>
          <w:tcPr>
            <w:tcW w:w="0" w:type="auto"/>
            <w:tcBorders>
              <w:top w:val="single" w:sz="3" w:space="0" w:color="000000"/>
              <w:left w:val="single" w:sz="3" w:space="0" w:color="000000"/>
              <w:bottom w:val="single" w:sz="3" w:space="0" w:color="000000"/>
              <w:right w:val="single" w:sz="3" w:space="0" w:color="000000"/>
            </w:tcBorders>
            <w:vAlign w:val="center"/>
          </w:tcPr>
          <w:p w14:paraId="7DBD4A34" w14:textId="77777777" w:rsidR="00FF2649" w:rsidRPr="00DB7504" w:rsidRDefault="00FF2649" w:rsidP="00B6476D">
            <w:pPr>
              <w:wordWrap/>
              <w:spacing w:after="0" w:line="240" w:lineRule="auto"/>
              <w:jc w:val="center"/>
              <w:rPr>
                <w:rFonts w:ascii="Gulim" w:eastAsia="Gulim" w:hAnsi="Gulim"/>
              </w:rPr>
            </w:pPr>
            <w:r w:rsidRPr="0061123A">
              <w:t>1.9254</w:t>
            </w:r>
          </w:p>
        </w:tc>
        <w:tc>
          <w:tcPr>
            <w:tcW w:w="0" w:type="auto"/>
            <w:tcBorders>
              <w:top w:val="single" w:sz="3" w:space="0" w:color="000000"/>
              <w:left w:val="single" w:sz="3" w:space="0" w:color="000000"/>
              <w:bottom w:val="single" w:sz="3" w:space="0" w:color="000000"/>
              <w:right w:val="single" w:sz="3" w:space="0" w:color="000000"/>
            </w:tcBorders>
            <w:vAlign w:val="center"/>
          </w:tcPr>
          <w:p w14:paraId="61D4B6AF" w14:textId="77777777" w:rsidR="00FF2649" w:rsidRPr="00DB7504" w:rsidRDefault="00FF2649" w:rsidP="00B6476D">
            <w:pPr>
              <w:wordWrap/>
              <w:spacing w:after="0" w:line="240" w:lineRule="auto"/>
              <w:jc w:val="center"/>
              <w:rPr>
                <w:rFonts w:ascii="Gulim" w:eastAsia="Gulim" w:hAnsi="Gulim"/>
              </w:rPr>
            </w:pPr>
            <w:r w:rsidRPr="0061123A">
              <w:t>0.3951</w:t>
            </w:r>
          </w:p>
        </w:tc>
        <w:tc>
          <w:tcPr>
            <w:tcW w:w="0" w:type="auto"/>
            <w:tcBorders>
              <w:top w:val="single" w:sz="3" w:space="0" w:color="000000"/>
              <w:left w:val="single" w:sz="3" w:space="0" w:color="000000"/>
              <w:bottom w:val="single" w:sz="3" w:space="0" w:color="000000"/>
              <w:right w:val="single" w:sz="3" w:space="0" w:color="000000"/>
            </w:tcBorders>
            <w:vAlign w:val="center"/>
          </w:tcPr>
          <w:p w14:paraId="387132EA" w14:textId="77777777" w:rsidR="00FF2649" w:rsidRPr="00DB7504" w:rsidRDefault="00FF2649" w:rsidP="00B6476D">
            <w:pPr>
              <w:wordWrap/>
              <w:spacing w:after="0" w:line="240" w:lineRule="auto"/>
              <w:jc w:val="center"/>
              <w:rPr>
                <w:rFonts w:ascii="Gulim" w:eastAsia="Gulim" w:hAnsi="Gulim"/>
              </w:rPr>
            </w:pPr>
            <w:r w:rsidRPr="0061123A">
              <w:t>0.0989</w:t>
            </w:r>
          </w:p>
        </w:tc>
      </w:tr>
      <w:tr w:rsidR="00FF2649" w:rsidRPr="001E7921" w14:paraId="75B2738F" w14:textId="77777777" w:rsidTr="00561EF5">
        <w:trPr>
          <w:trHeight w:val="183"/>
        </w:trPr>
        <w:tc>
          <w:tcPr>
            <w:tcW w:w="0" w:type="auto"/>
            <w:tcBorders>
              <w:top w:val="single" w:sz="3" w:space="0" w:color="000000"/>
              <w:left w:val="single" w:sz="3" w:space="0" w:color="000000"/>
              <w:bottom w:val="single" w:sz="3" w:space="0" w:color="000000"/>
              <w:right w:val="single" w:sz="3" w:space="0" w:color="000000"/>
            </w:tcBorders>
            <w:vAlign w:val="center"/>
          </w:tcPr>
          <w:p w14:paraId="45C5E0EA" w14:textId="77777777" w:rsidR="00FF2649" w:rsidRPr="00DB7504" w:rsidRDefault="00FF2649" w:rsidP="00B6476D">
            <w:pPr>
              <w:wordWrap/>
              <w:spacing w:after="0" w:line="240" w:lineRule="auto"/>
              <w:jc w:val="center"/>
              <w:rPr>
                <w:rFonts w:ascii="Gulim" w:eastAsia="Gulim" w:hAnsi="Gulim" w:hint="eastAsia"/>
              </w:rPr>
            </w:pPr>
            <w:r>
              <w:rPr>
                <w:rFonts w:hint="eastAsia"/>
              </w:rPr>
              <w:t>4</w:t>
            </w:r>
          </w:p>
        </w:tc>
        <w:tc>
          <w:tcPr>
            <w:tcW w:w="0" w:type="auto"/>
            <w:tcBorders>
              <w:top w:val="single" w:sz="3" w:space="0" w:color="000000"/>
              <w:left w:val="single" w:sz="3" w:space="0" w:color="000000"/>
              <w:bottom w:val="single" w:sz="3" w:space="0" w:color="000000"/>
              <w:right w:val="single" w:sz="3" w:space="0" w:color="000000"/>
            </w:tcBorders>
            <w:vAlign w:val="center"/>
          </w:tcPr>
          <w:p w14:paraId="535246BA" w14:textId="77777777" w:rsidR="00FF2649" w:rsidRPr="00DB7504" w:rsidRDefault="00FF2649" w:rsidP="00B6476D">
            <w:pPr>
              <w:wordWrap/>
              <w:spacing w:after="0" w:line="240" w:lineRule="auto"/>
              <w:jc w:val="center"/>
              <w:rPr>
                <w:rFonts w:ascii="Gulim" w:eastAsia="Gulim" w:hAnsi="Gulim"/>
              </w:rPr>
            </w:pPr>
            <w:r w:rsidRPr="0061123A">
              <w:t>1.6827</w:t>
            </w:r>
          </w:p>
        </w:tc>
        <w:tc>
          <w:tcPr>
            <w:tcW w:w="0" w:type="auto"/>
            <w:tcBorders>
              <w:top w:val="single" w:sz="3" w:space="0" w:color="000000"/>
              <w:left w:val="single" w:sz="3" w:space="0" w:color="000000"/>
              <w:bottom w:val="single" w:sz="3" w:space="0" w:color="000000"/>
              <w:right w:val="single" w:sz="3" w:space="0" w:color="000000"/>
            </w:tcBorders>
            <w:vAlign w:val="center"/>
          </w:tcPr>
          <w:p w14:paraId="16701F9F" w14:textId="77777777" w:rsidR="00FF2649" w:rsidRPr="00DB7504" w:rsidRDefault="00FF2649" w:rsidP="00B6476D">
            <w:pPr>
              <w:wordWrap/>
              <w:spacing w:after="0" w:line="240" w:lineRule="auto"/>
              <w:jc w:val="center"/>
              <w:rPr>
                <w:rFonts w:ascii="Gulim" w:eastAsia="Gulim" w:hAnsi="Gulim"/>
              </w:rPr>
            </w:pPr>
            <w:r w:rsidRPr="0061123A">
              <w:t>1.6338</w:t>
            </w:r>
          </w:p>
        </w:tc>
        <w:tc>
          <w:tcPr>
            <w:tcW w:w="0" w:type="auto"/>
            <w:tcBorders>
              <w:top w:val="single" w:sz="3" w:space="0" w:color="000000"/>
              <w:left w:val="single" w:sz="3" w:space="0" w:color="000000"/>
              <w:bottom w:val="single" w:sz="3" w:space="0" w:color="000000"/>
              <w:right w:val="single" w:sz="3" w:space="0" w:color="000000"/>
            </w:tcBorders>
            <w:vAlign w:val="center"/>
          </w:tcPr>
          <w:p w14:paraId="6679C644" w14:textId="77777777" w:rsidR="00FF2649" w:rsidRPr="00DB7504" w:rsidRDefault="00FF2649" w:rsidP="00B6476D">
            <w:pPr>
              <w:wordWrap/>
              <w:spacing w:after="0" w:line="240" w:lineRule="auto"/>
              <w:jc w:val="center"/>
              <w:rPr>
                <w:rFonts w:ascii="Gulim" w:eastAsia="Gulim" w:hAnsi="Gulim"/>
              </w:rPr>
            </w:pPr>
            <w:r w:rsidRPr="0061123A">
              <w:t>0.4432</w:t>
            </w:r>
          </w:p>
        </w:tc>
        <w:tc>
          <w:tcPr>
            <w:tcW w:w="0" w:type="auto"/>
            <w:tcBorders>
              <w:top w:val="single" w:sz="3" w:space="0" w:color="000000"/>
              <w:left w:val="single" w:sz="3" w:space="0" w:color="000000"/>
              <w:bottom w:val="single" w:sz="3" w:space="0" w:color="000000"/>
              <w:right w:val="single" w:sz="3" w:space="0" w:color="000000"/>
            </w:tcBorders>
            <w:vAlign w:val="center"/>
          </w:tcPr>
          <w:p w14:paraId="68B7FEAF" w14:textId="77777777" w:rsidR="00FF2649" w:rsidRPr="00DB7504" w:rsidRDefault="00FF2649" w:rsidP="00B6476D">
            <w:pPr>
              <w:wordWrap/>
              <w:spacing w:after="0" w:line="240" w:lineRule="auto"/>
              <w:jc w:val="center"/>
              <w:rPr>
                <w:rFonts w:ascii="Gulim" w:eastAsia="Gulim" w:hAnsi="Gulim"/>
              </w:rPr>
            </w:pPr>
            <w:r w:rsidRPr="0061123A">
              <w:t>-0.1847</w:t>
            </w:r>
          </w:p>
        </w:tc>
      </w:tr>
      <w:tr w:rsidR="00FF2649" w:rsidRPr="001E7921" w14:paraId="50E0B0DF" w14:textId="77777777" w:rsidTr="00561EF5">
        <w:trPr>
          <w:trHeight w:val="85"/>
        </w:trPr>
        <w:tc>
          <w:tcPr>
            <w:tcW w:w="0" w:type="auto"/>
            <w:tcBorders>
              <w:top w:val="single" w:sz="3" w:space="0" w:color="000000"/>
              <w:left w:val="single" w:sz="3" w:space="0" w:color="000000"/>
              <w:bottom w:val="single" w:sz="3" w:space="0" w:color="000000"/>
              <w:right w:val="single" w:sz="3" w:space="0" w:color="000000"/>
            </w:tcBorders>
            <w:vAlign w:val="center"/>
          </w:tcPr>
          <w:p w14:paraId="5A083C0B" w14:textId="77777777" w:rsidR="00FF2649" w:rsidRPr="00DB7504" w:rsidRDefault="00FF2649" w:rsidP="00B6476D">
            <w:pPr>
              <w:wordWrap/>
              <w:spacing w:after="0" w:line="240" w:lineRule="auto"/>
              <w:jc w:val="center"/>
              <w:rPr>
                <w:rFonts w:ascii="Gulim" w:eastAsia="Gulim" w:hAnsi="Gulim" w:hint="eastAsia"/>
              </w:rPr>
            </w:pPr>
            <w:r>
              <w:rPr>
                <w:rFonts w:hint="eastAsia"/>
              </w:rPr>
              <w:t>5</w:t>
            </w:r>
          </w:p>
        </w:tc>
        <w:tc>
          <w:tcPr>
            <w:tcW w:w="0" w:type="auto"/>
            <w:tcBorders>
              <w:top w:val="single" w:sz="3" w:space="0" w:color="000000"/>
              <w:left w:val="single" w:sz="3" w:space="0" w:color="000000"/>
              <w:bottom w:val="single" w:sz="3" w:space="0" w:color="000000"/>
              <w:right w:val="single" w:sz="3" w:space="0" w:color="000000"/>
            </w:tcBorders>
            <w:vAlign w:val="center"/>
          </w:tcPr>
          <w:p w14:paraId="08F45F05" w14:textId="77777777" w:rsidR="00FF2649" w:rsidRPr="00DB7504" w:rsidRDefault="00FF2649" w:rsidP="00B6476D">
            <w:pPr>
              <w:wordWrap/>
              <w:spacing w:after="0" w:line="240" w:lineRule="auto"/>
              <w:jc w:val="center"/>
              <w:rPr>
                <w:rFonts w:ascii="Gulim" w:eastAsia="Gulim" w:hAnsi="Gulim"/>
              </w:rPr>
            </w:pPr>
            <w:r w:rsidRPr="0061123A">
              <w:t>2.1427</w:t>
            </w:r>
          </w:p>
        </w:tc>
        <w:tc>
          <w:tcPr>
            <w:tcW w:w="0" w:type="auto"/>
            <w:tcBorders>
              <w:top w:val="single" w:sz="3" w:space="0" w:color="000000"/>
              <w:left w:val="single" w:sz="3" w:space="0" w:color="000000"/>
              <w:bottom w:val="single" w:sz="3" w:space="0" w:color="000000"/>
              <w:right w:val="single" w:sz="3" w:space="0" w:color="000000"/>
            </w:tcBorders>
            <w:vAlign w:val="center"/>
          </w:tcPr>
          <w:p w14:paraId="21EE014F" w14:textId="77777777" w:rsidR="00FF2649" w:rsidRPr="00DB7504" w:rsidRDefault="00FF2649" w:rsidP="00B6476D">
            <w:pPr>
              <w:wordWrap/>
              <w:spacing w:after="0" w:line="240" w:lineRule="auto"/>
              <w:jc w:val="center"/>
              <w:rPr>
                <w:rFonts w:ascii="Gulim" w:eastAsia="Gulim" w:hAnsi="Gulim"/>
              </w:rPr>
            </w:pPr>
            <w:r w:rsidRPr="0061123A">
              <w:t>2.0831</w:t>
            </w:r>
          </w:p>
        </w:tc>
        <w:tc>
          <w:tcPr>
            <w:tcW w:w="0" w:type="auto"/>
            <w:tcBorders>
              <w:top w:val="single" w:sz="3" w:space="0" w:color="000000"/>
              <w:left w:val="single" w:sz="3" w:space="0" w:color="000000"/>
              <w:bottom w:val="single" w:sz="3" w:space="0" w:color="000000"/>
              <w:right w:val="single" w:sz="3" w:space="0" w:color="000000"/>
            </w:tcBorders>
            <w:vAlign w:val="center"/>
          </w:tcPr>
          <w:p w14:paraId="42B4F9E8" w14:textId="77777777" w:rsidR="00FF2649" w:rsidRPr="00DB7504" w:rsidRDefault="00FF2649" w:rsidP="00B6476D">
            <w:pPr>
              <w:wordWrap/>
              <w:spacing w:after="0" w:line="240" w:lineRule="auto"/>
              <w:jc w:val="center"/>
              <w:rPr>
                <w:rFonts w:ascii="Gulim" w:eastAsia="Gulim" w:hAnsi="Gulim"/>
              </w:rPr>
            </w:pPr>
            <w:r w:rsidRPr="0061123A">
              <w:t>0.6147</w:t>
            </w:r>
          </w:p>
        </w:tc>
        <w:tc>
          <w:tcPr>
            <w:tcW w:w="0" w:type="auto"/>
            <w:tcBorders>
              <w:top w:val="single" w:sz="3" w:space="0" w:color="000000"/>
              <w:left w:val="single" w:sz="3" w:space="0" w:color="000000"/>
              <w:bottom w:val="single" w:sz="3" w:space="0" w:color="000000"/>
              <w:right w:val="single" w:sz="3" w:space="0" w:color="000000"/>
            </w:tcBorders>
            <w:vAlign w:val="center"/>
          </w:tcPr>
          <w:p w14:paraId="33E41AB0" w14:textId="77777777" w:rsidR="00FF2649" w:rsidRPr="00DB7504" w:rsidRDefault="00FF2649" w:rsidP="00B6476D">
            <w:pPr>
              <w:wordWrap/>
              <w:spacing w:after="0" w:line="240" w:lineRule="auto"/>
              <w:jc w:val="center"/>
              <w:rPr>
                <w:rFonts w:ascii="Gulim" w:eastAsia="Gulim" w:hAnsi="Gulim"/>
              </w:rPr>
            </w:pPr>
            <w:r w:rsidRPr="0061123A">
              <w:t>0.3550</w:t>
            </w:r>
          </w:p>
        </w:tc>
      </w:tr>
    </w:tbl>
    <w:p w14:paraId="3408B7FD" w14:textId="77777777" w:rsidR="00FF2649" w:rsidRDefault="00FF2649" w:rsidP="00FF2649">
      <w:pPr>
        <w:pStyle w:val="a7"/>
        <w:jc w:val="both"/>
        <w:rPr>
          <w:rFonts w:ascii="Gulim" w:eastAsia="Gulim"/>
        </w:rPr>
      </w:pPr>
    </w:p>
    <w:p w14:paraId="34CC8458" w14:textId="03FF781F" w:rsidR="009439F5" w:rsidRPr="00A31300" w:rsidRDefault="005046CD" w:rsidP="009439F5">
      <w:pPr>
        <w:pStyle w:val="a"/>
      </w:pPr>
      <w:r>
        <w:rPr>
          <w:rFonts w:hint="eastAsia"/>
        </w:rPr>
        <w:t>3</w:t>
      </w:r>
      <w:r w:rsidR="009439F5" w:rsidRPr="009439F5">
        <w:t>)</w:t>
      </w:r>
      <w:r w:rsidR="00A31300">
        <w:rPr>
          <w:rFonts w:hint="eastAsia"/>
        </w:rPr>
        <w:t xml:space="preserve"> </w:t>
      </w:r>
      <w:r w:rsidR="009439F5" w:rsidRPr="009439F5">
        <w:t>실험 시나리오 및 평가 지표(Trim transition)</w:t>
      </w:r>
    </w:p>
    <w:p w14:paraId="276D55C2" w14:textId="0D3F3ABA" w:rsidR="005046CD" w:rsidRDefault="00665234" w:rsidP="00C10E4D">
      <w:pPr>
        <w:pStyle w:val="a5"/>
      </w:pPr>
      <w:r w:rsidRPr="00665234">
        <w:t>트림 전이(trim transition) 시나리오를 사용하여 pitch step(0°→+5°→0°)을 반복 수행하고(N=5), X</w:t>
      </w:r>
      <w:r w:rsidRPr="00665234">
        <w:rPr>
          <w:rFonts w:ascii="Cambria Math" w:hAnsi="Cambria Math" w:cs="Cambria Math"/>
        </w:rPr>
        <w:t>‑</w:t>
      </w:r>
      <w:r w:rsidRPr="00665234">
        <w:t xml:space="preserve">Plane/PX4/플랫폼 명령/ACK 로그를 수집하였다. </w:t>
      </w:r>
      <w:r w:rsidR="0073227C">
        <w:rPr>
          <w:rFonts w:hint="eastAsia"/>
        </w:rPr>
        <w:t xml:space="preserve">모든 실험은 </w:t>
      </w:r>
      <w:r w:rsidRPr="00665234">
        <w:t>플랫폼 작업공간 내에서 수행하여 포화/</w:t>
      </w:r>
      <w:proofErr w:type="spellStart"/>
      <w:r w:rsidRPr="00665234">
        <w:t>클램핑</w:t>
      </w:r>
      <w:proofErr w:type="spellEnd"/>
      <w:r w:rsidRPr="00665234">
        <w:t xml:space="preserve"> 영향을 배제하였다.</w:t>
      </w:r>
    </w:p>
    <w:p w14:paraId="1B789F30" w14:textId="77777777" w:rsidR="005046CD" w:rsidRPr="00665234" w:rsidRDefault="005046CD" w:rsidP="00FF2649">
      <w:pPr>
        <w:pStyle w:val="a7"/>
        <w:jc w:val="both"/>
        <w:rPr>
          <w:rFonts w:ascii="Gulim" w:eastAsia="Gulim"/>
        </w:rPr>
      </w:pPr>
    </w:p>
    <w:p w14:paraId="522F6979" w14:textId="7A203060" w:rsidR="00665234" w:rsidRDefault="00665234" w:rsidP="00665234">
      <w:pPr>
        <w:pStyle w:val="a5"/>
      </w:pPr>
      <w:r>
        <w:t xml:space="preserve">그림 2는 트림 전이 시나리오에서 </w:t>
      </w:r>
      <w:r w:rsidRPr="005046CD">
        <w:rPr>
          <w:i/>
          <w:iCs/>
        </w:rPr>
        <w:t>setpoint, X</w:t>
      </w:r>
      <w:r w:rsidRPr="005046CD">
        <w:rPr>
          <w:rFonts w:ascii="Cambria Math" w:hAnsi="Cambria Math" w:cs="Cambria Math"/>
          <w:i/>
          <w:iCs/>
        </w:rPr>
        <w:t>‑</w:t>
      </w:r>
      <w:r w:rsidRPr="005046CD">
        <w:rPr>
          <w:i/>
          <w:iCs/>
        </w:rPr>
        <w:t>Plane pitch, PX4 pitch</w:t>
      </w:r>
      <w:r>
        <w:t xml:space="preserve">를 동일 </w:t>
      </w:r>
      <w:proofErr w:type="spellStart"/>
      <w:r>
        <w:t>시간축에서</w:t>
      </w:r>
      <w:proofErr w:type="spellEnd"/>
      <w:r>
        <w:t xml:space="preserve"> 비교한 결과이다. PX4 pitch는 setpoint 변화에 대해 안정적으로 추종하며, 응답에는 일정한 위상 지연이 관측된다. 또한 </w:t>
      </w:r>
      <w:r w:rsidRPr="005046CD">
        <w:rPr>
          <w:i/>
          <w:iCs/>
        </w:rPr>
        <w:t>X</w:t>
      </w:r>
      <w:r w:rsidRPr="005046CD">
        <w:rPr>
          <w:rFonts w:ascii="Cambria Math" w:hAnsi="Cambria Math" w:cs="Cambria Math"/>
          <w:i/>
          <w:iCs/>
        </w:rPr>
        <w:t>‑</w:t>
      </w:r>
      <w:r w:rsidRPr="005046CD">
        <w:rPr>
          <w:i/>
          <w:iCs/>
        </w:rPr>
        <w:t>Plane pitch</w:t>
      </w:r>
      <w:proofErr w:type="spellStart"/>
      <w:r>
        <w:t>에</w:t>
      </w:r>
      <w:proofErr w:type="spellEnd"/>
      <w:r>
        <w:t xml:space="preserve"> FC 장착 </w:t>
      </w:r>
      <w:r w:rsidR="005046CD">
        <w:rPr>
          <w:rFonts w:hint="eastAsia"/>
        </w:rPr>
        <w:t>오차</w:t>
      </w:r>
      <w:r>
        <w:t>(정지 구간에서 추정된 상수 오프셋)를 적용한 경우(</w:t>
      </w:r>
      <w:r w:rsidR="005046CD" w:rsidRPr="005046CD">
        <w:rPr>
          <w:i/>
          <w:iCs/>
        </w:rPr>
        <w:t xml:space="preserve">Fixed </w:t>
      </w:r>
      <w:r w:rsidRPr="005046CD">
        <w:rPr>
          <w:i/>
          <w:iCs/>
        </w:rPr>
        <w:t>X</w:t>
      </w:r>
      <w:r w:rsidRPr="005046CD">
        <w:rPr>
          <w:rFonts w:ascii="Cambria Math" w:hAnsi="Cambria Math" w:cs="Cambria Math"/>
          <w:i/>
          <w:iCs/>
        </w:rPr>
        <w:t>‑</w:t>
      </w:r>
      <w:r w:rsidRPr="005046CD">
        <w:rPr>
          <w:i/>
          <w:iCs/>
        </w:rPr>
        <w:t>Plane pitc</w:t>
      </w:r>
      <w:r w:rsidR="005046CD" w:rsidRPr="005046CD">
        <w:rPr>
          <w:i/>
          <w:iCs/>
        </w:rPr>
        <w:t>h</w:t>
      </w:r>
      <w:r>
        <w:t>), PX4 pitch</w:t>
      </w:r>
      <w:proofErr w:type="spellStart"/>
      <w:r>
        <w:t>와의</w:t>
      </w:r>
      <w:proofErr w:type="spellEnd"/>
      <w:r>
        <w:t xml:space="preserve"> 정합이 개선되는 경향을 확인할 수 있다.</w:t>
      </w:r>
    </w:p>
    <w:p w14:paraId="2EF83AF7" w14:textId="77777777" w:rsidR="00C10E4D" w:rsidRPr="000A7BCD" w:rsidRDefault="00C10E4D" w:rsidP="00FF2649">
      <w:pPr>
        <w:pStyle w:val="a7"/>
        <w:jc w:val="both"/>
        <w:rPr>
          <w:rFonts w:ascii="Gulim" w:eastAsia="Gulim"/>
        </w:rPr>
      </w:pPr>
    </w:p>
    <w:p w14:paraId="3C44D81C" w14:textId="77777777" w:rsidR="00561EF5" w:rsidRDefault="00665234" w:rsidP="00561EF5">
      <w:pPr>
        <w:pStyle w:val="a5"/>
      </w:pPr>
      <w:r>
        <w:t xml:space="preserve">그림 </w:t>
      </w:r>
      <w:r w:rsidR="00D32B56">
        <w:rPr>
          <w:rFonts w:hint="eastAsia"/>
        </w:rPr>
        <w:t>3은</w:t>
      </w:r>
      <w:r>
        <w:t xml:space="preserve"> </w:t>
      </w:r>
      <w:r w:rsidR="00D32B56">
        <w:rPr>
          <w:rFonts w:hint="eastAsia"/>
        </w:rPr>
        <w:t>모든 실험</w:t>
      </w:r>
      <w:r>
        <w:t xml:space="preserve">에 대한 지연/타이밍 분포를 요약한다. 측정된 Serial RTT 및 샘플 age는 그림 </w:t>
      </w:r>
      <w:r>
        <w:t xml:space="preserve">2에서 관측되는 위상 지연과 </w:t>
      </w:r>
      <w:proofErr w:type="spellStart"/>
      <w:r>
        <w:t>폐루프</w:t>
      </w:r>
      <w:proofErr w:type="spellEnd"/>
      <w:r>
        <w:t xml:space="preserve"> 응답의 한계를 설명하는 근거로 활용된다. 또한 </w:t>
      </w:r>
      <w:proofErr w:type="spellStart"/>
      <w:r w:rsidR="00D32B56">
        <w:rPr>
          <w:rFonts w:hint="eastAsia"/>
        </w:rPr>
        <w:t>실험중</w:t>
      </w:r>
      <w:proofErr w:type="spellEnd"/>
      <w:r>
        <w:t xml:space="preserve"> 포화 지표가 0%로 유지되어, 본 절의 결과가 포화/</w:t>
      </w:r>
      <w:proofErr w:type="spellStart"/>
      <w:r>
        <w:t>클램핑이</w:t>
      </w:r>
      <w:proofErr w:type="spellEnd"/>
      <w:r>
        <w:t xml:space="preserve"> 아닌 명목(nominal) 구간의 동작을 반영함을 확인하였다.</w:t>
      </w:r>
    </w:p>
    <w:p w14:paraId="667E4ECB" w14:textId="77777777" w:rsidR="00561EF5" w:rsidRDefault="00561EF5" w:rsidP="00561EF5">
      <w:pPr>
        <w:pStyle w:val="a5"/>
      </w:pPr>
    </w:p>
    <w:p w14:paraId="710B8427" w14:textId="2E9D6026" w:rsidR="00C10E4D" w:rsidRDefault="009714F0" w:rsidP="00561EF5">
      <w:pPr>
        <w:pStyle w:val="a5"/>
      </w:pPr>
      <w:r w:rsidRPr="009714F0">
        <w:t xml:space="preserve">본 연구에서 개발한 물리 </w:t>
      </w:r>
      <w:proofErr w:type="spellStart"/>
      <w:r w:rsidRPr="009714F0">
        <w:t>폐루프</w:t>
      </w:r>
      <w:proofErr w:type="spellEnd"/>
      <w:r w:rsidRPr="009714F0">
        <w:t xml:space="preserve"> HILS 플랫폼은 항공기뿐 아니라 재사용우주비행체 등 다양한 비행체의 자세 제어 및 시스템 검증에도 활용될 수 있다.</w:t>
      </w:r>
    </w:p>
    <w:p w14:paraId="45336FBE" w14:textId="77777777" w:rsidR="004E1A6D" w:rsidRDefault="004E1A6D" w:rsidP="00561EF5">
      <w:pPr>
        <w:pStyle w:val="a5"/>
        <w:rPr>
          <w:rFonts w:hint="eastAsia"/>
        </w:rPr>
      </w:pPr>
    </w:p>
    <w:p w14:paraId="5798E127" w14:textId="79C40BF4" w:rsidR="00D471B6" w:rsidRPr="001E7921" w:rsidRDefault="00D471B6" w:rsidP="00242CB6">
      <w:pPr>
        <w:pStyle w:val="a4"/>
      </w:pPr>
      <w:r>
        <w:rPr>
          <w:rFonts w:hint="eastAsia"/>
        </w:rPr>
        <w:t>결 론</w:t>
      </w:r>
    </w:p>
    <w:p w14:paraId="69D10F1B" w14:textId="6B7422B0" w:rsidR="00665234" w:rsidRDefault="00665234" w:rsidP="00665234">
      <w:pPr>
        <w:pStyle w:val="a5"/>
      </w:pPr>
      <w:r w:rsidRPr="00665234">
        <w:t>본 연구에서는 X</w:t>
      </w:r>
      <w:r w:rsidRPr="00665234">
        <w:rPr>
          <w:rFonts w:ascii="Cambria Math" w:hAnsi="Cambria Math" w:cs="Cambria Math"/>
        </w:rPr>
        <w:t>‑</w:t>
      </w:r>
      <w:r w:rsidRPr="00665234">
        <w:t xml:space="preserve">Plane–스튜어트 플랫폼–PX4를 통합한 물리 </w:t>
      </w:r>
      <w:proofErr w:type="spellStart"/>
      <w:r w:rsidRPr="00665234">
        <w:t>폐루프</w:t>
      </w:r>
      <w:proofErr w:type="spellEnd"/>
      <w:r w:rsidRPr="00665234">
        <w:t xml:space="preserve"> HILS 플랫폼을 구축하고, 트림 전이(pitch step) 실험을 통해 추종 오차와 지연을 로그 기반으로 </w:t>
      </w:r>
      <w:proofErr w:type="spellStart"/>
      <w:r w:rsidRPr="00665234">
        <w:t>정량화하였다</w:t>
      </w:r>
      <w:proofErr w:type="spellEnd"/>
      <w:r w:rsidRPr="00665234">
        <w:t xml:space="preserve">. </w:t>
      </w:r>
      <w:r w:rsidR="005046CD">
        <w:rPr>
          <w:rFonts w:hint="eastAsia"/>
        </w:rPr>
        <w:t>모든 실험</w:t>
      </w:r>
      <w:r w:rsidRPr="00665234">
        <w:t xml:space="preserve">은 작업공간 내에서 수행되어 포화 영향이 배제되었으며, 잔여 오차는 </w:t>
      </w:r>
      <w:r w:rsidR="005046CD" w:rsidRPr="00665234">
        <w:rPr>
          <w:rFonts w:hint="eastAsia"/>
        </w:rPr>
        <w:t>준 정적</w:t>
      </w:r>
      <w:r w:rsidRPr="00665234">
        <w:t xml:space="preserve"> 오프셋 성분이 지배적임을 확인하였다. 또한 PX4−플랫폼 명령 포즈로부터 FC 장착 바이어스를 추정·보정한 결과, X</w:t>
      </w:r>
      <w:r w:rsidRPr="00665234">
        <w:rPr>
          <w:rFonts w:ascii="Cambria Math" w:hAnsi="Cambria Math" w:cs="Cambria Math"/>
        </w:rPr>
        <w:t>‑</w:t>
      </w:r>
      <w:r w:rsidRPr="00665234">
        <w:t>Plane 대비 오차의 RMS</w:t>
      </w:r>
      <w:r w:rsidR="000A7BCD" w:rsidRPr="000A7BCD">
        <w:t>(표 1)</w:t>
      </w:r>
      <w:r w:rsidRPr="00665234">
        <w:t>가 유의미하게 감소하여</w:t>
      </w:r>
      <w:r w:rsidR="00D32B56">
        <w:rPr>
          <w:rFonts w:hint="eastAsia"/>
        </w:rPr>
        <w:t xml:space="preserve"> </w:t>
      </w:r>
      <w:r w:rsidRPr="00665234">
        <w:t>오차의 주요 원인이 FC 장착 바이어스임을 뒷받침한다. 향후에는 지연 보상(time alignment)과 반복성/대역폭 평가를 추가하여 플랫폼의 정량 검증 범위를 확장할 계획이다.</w:t>
      </w:r>
    </w:p>
    <w:p w14:paraId="38BBC8C4" w14:textId="77777777" w:rsidR="004E1A6D" w:rsidRDefault="004E1A6D" w:rsidP="00665234">
      <w:pPr>
        <w:pStyle w:val="a5"/>
      </w:pPr>
    </w:p>
    <w:p w14:paraId="151F3A2F" w14:textId="41C97D19" w:rsidR="00035BF2" w:rsidRPr="001E7921" w:rsidRDefault="00C90A2C" w:rsidP="001D628B">
      <w:pPr>
        <w:pStyle w:val="a4"/>
      </w:pPr>
      <w:r w:rsidRPr="001E7921">
        <w:rPr>
          <w:rFonts w:hint="eastAsia"/>
        </w:rPr>
        <w:t>후 기</w:t>
      </w:r>
    </w:p>
    <w:p w14:paraId="6A07DDCF" w14:textId="3CA59F4C" w:rsidR="00DB7504" w:rsidRDefault="00D45DBC" w:rsidP="00214975">
      <w:pPr>
        <w:pStyle w:val="a5"/>
      </w:pPr>
      <w:r w:rsidRPr="00524846">
        <w:rPr>
          <w:rFonts w:hint="eastAsia"/>
        </w:rPr>
        <w:t>이</w:t>
      </w:r>
      <w:r w:rsidRPr="00524846">
        <w:t xml:space="preserve"> </w:t>
      </w:r>
      <w:r w:rsidRPr="00524846">
        <w:rPr>
          <w:rFonts w:hint="eastAsia"/>
        </w:rPr>
        <w:t>논문은</w:t>
      </w:r>
      <w:r w:rsidRPr="00524846">
        <w:t xml:space="preserve"> 2026</w:t>
      </w:r>
      <w:r w:rsidRPr="00524846">
        <w:rPr>
          <w:rFonts w:hint="eastAsia"/>
        </w:rPr>
        <w:t>년도</w:t>
      </w:r>
      <w:r w:rsidRPr="00524846">
        <w:t xml:space="preserve"> 정부</w:t>
      </w:r>
      <w:r w:rsidR="00524846" w:rsidRPr="00524846">
        <w:t>(방위사업청)</w:t>
      </w:r>
      <w:r w:rsidRPr="00524846">
        <w:rPr>
          <w:rFonts w:hint="eastAsia"/>
        </w:rPr>
        <w:t>의</w:t>
      </w:r>
      <w:r w:rsidRPr="00524846">
        <w:t xml:space="preserve"> </w:t>
      </w:r>
      <w:r w:rsidRPr="00524846">
        <w:rPr>
          <w:rFonts w:hint="eastAsia"/>
        </w:rPr>
        <w:t>재원으로</w:t>
      </w:r>
      <w:r w:rsidRPr="00524846">
        <w:t xml:space="preserve"> </w:t>
      </w:r>
      <w:r w:rsidRPr="00524846">
        <w:rPr>
          <w:rFonts w:hint="eastAsia"/>
        </w:rPr>
        <w:t>국방기술진흥연구소의</w:t>
      </w:r>
      <w:r w:rsidRPr="00524846">
        <w:t xml:space="preserve"> 지원을 </w:t>
      </w:r>
      <w:r w:rsidRPr="00524846">
        <w:rPr>
          <w:rFonts w:hint="eastAsia"/>
        </w:rPr>
        <w:t>받아</w:t>
      </w:r>
      <w:r w:rsidRPr="00524846">
        <w:t xml:space="preserve"> </w:t>
      </w:r>
      <w:r w:rsidRPr="00524846">
        <w:rPr>
          <w:rFonts w:hint="eastAsia"/>
        </w:rPr>
        <w:t>수행된</w:t>
      </w:r>
      <w:r w:rsidRPr="00524846">
        <w:t xml:space="preserve"> 연구임</w:t>
      </w:r>
      <w:r>
        <w:rPr>
          <w:rFonts w:hint="eastAsia"/>
        </w:rPr>
        <w:t xml:space="preserve"> </w:t>
      </w:r>
      <w:r w:rsidR="00524846" w:rsidRPr="00524846">
        <w:t>(No. KRIT-CT-22-</w:t>
      </w:r>
      <w:r w:rsidRPr="00524846">
        <w:t>030, 재사용</w:t>
      </w:r>
      <w:r>
        <w:rPr>
          <w:rFonts w:hint="eastAsia"/>
        </w:rPr>
        <w:t xml:space="preserve"> </w:t>
      </w:r>
      <w:r w:rsidR="00524846" w:rsidRPr="00524846">
        <w:t>무인</w:t>
      </w:r>
      <w:r>
        <w:rPr>
          <w:rFonts w:hint="eastAsia"/>
        </w:rPr>
        <w:t xml:space="preserve"> </w:t>
      </w:r>
      <w:r w:rsidR="00524846" w:rsidRPr="00524846">
        <w:t>우주비행체</w:t>
      </w:r>
      <w:r>
        <w:rPr>
          <w:rFonts w:hint="eastAsia"/>
        </w:rPr>
        <w:t xml:space="preserve"> </w:t>
      </w:r>
      <w:r w:rsidRPr="00524846">
        <w:rPr>
          <w:rFonts w:hint="eastAsia"/>
        </w:rPr>
        <w:t>고도화</w:t>
      </w:r>
      <w:r w:rsidRPr="00524846">
        <w:t xml:space="preserve"> 기술</w:t>
      </w:r>
      <w:r>
        <w:rPr>
          <w:rFonts w:hint="eastAsia"/>
        </w:rPr>
        <w:t xml:space="preserve"> </w:t>
      </w:r>
      <w:r w:rsidR="00524846" w:rsidRPr="00524846">
        <w:t>특화연구센터)</w:t>
      </w:r>
    </w:p>
    <w:p w14:paraId="4AD54C01" w14:textId="77777777" w:rsidR="00F7490D" w:rsidRPr="001E7921" w:rsidRDefault="00F7490D" w:rsidP="00214975">
      <w:pPr>
        <w:pStyle w:val="a5"/>
      </w:pPr>
    </w:p>
    <w:p w14:paraId="50BAC0E0" w14:textId="77777777" w:rsidR="00C27D51" w:rsidRPr="00FE0DF5" w:rsidRDefault="00C27D51" w:rsidP="00C27D51">
      <w:pPr>
        <w:pStyle w:val="a4"/>
      </w:pPr>
      <w:r w:rsidRPr="001E7921">
        <w:rPr>
          <w:rFonts w:hint="eastAsia"/>
        </w:rPr>
        <w:t>참고문헌</w:t>
      </w:r>
    </w:p>
    <w:p w14:paraId="27863183" w14:textId="77777777" w:rsidR="00C27D51" w:rsidRPr="00FE0DF5" w:rsidRDefault="00C27D51" w:rsidP="00C27D51">
      <w:pPr>
        <w:pStyle w:val="a8"/>
        <w:rPr>
          <w:sz w:val="18"/>
          <w:szCs w:val="18"/>
        </w:rPr>
      </w:pPr>
      <w:r>
        <w:rPr>
          <w:rFonts w:hint="eastAsia"/>
          <w:sz w:val="18"/>
          <w:szCs w:val="18"/>
        </w:rPr>
        <w:t>1</w:t>
      </w:r>
      <w:r w:rsidRPr="00605BAA">
        <w:rPr>
          <w:sz w:val="18"/>
          <w:szCs w:val="18"/>
        </w:rPr>
        <w:t>)</w:t>
      </w:r>
      <w:r w:rsidRPr="00605BAA">
        <w:rPr>
          <w:sz w:val="18"/>
          <w:szCs w:val="18"/>
        </w:rPr>
        <w:tab/>
      </w:r>
      <w:r w:rsidRPr="00FE0DF5">
        <w:rPr>
          <w:sz w:val="18"/>
          <w:szCs w:val="18"/>
        </w:rPr>
        <w:t>Merlet, J.-P. Parallel Robots (2nd Ed.). Springer, 2006.</w:t>
      </w:r>
    </w:p>
    <w:p w14:paraId="622623CA" w14:textId="77777777" w:rsidR="00C27D51" w:rsidRPr="00FE0DF5" w:rsidRDefault="00C27D51" w:rsidP="00C27D51">
      <w:pPr>
        <w:pStyle w:val="a8"/>
        <w:rPr>
          <w:sz w:val="18"/>
          <w:szCs w:val="18"/>
        </w:rPr>
      </w:pPr>
      <w:r>
        <w:rPr>
          <w:rFonts w:hint="eastAsia"/>
          <w:sz w:val="18"/>
          <w:szCs w:val="18"/>
        </w:rPr>
        <w:t xml:space="preserve">2) </w:t>
      </w:r>
      <w:r w:rsidRPr="00FE0DF5">
        <w:rPr>
          <w:sz w:val="18"/>
          <w:szCs w:val="18"/>
        </w:rPr>
        <w:t>Stewart, D. “A Platform with Six Degrees of Freedom”, Proceedings of the Institution of Mechanical Engineers, Vol. 180, Part 1, No. 15, 1965, pp. 371–386.</w:t>
      </w:r>
    </w:p>
    <w:p w14:paraId="6C37D4DF" w14:textId="77777777" w:rsidR="00C27D51" w:rsidRPr="00FE0DF5" w:rsidRDefault="00C27D51" w:rsidP="00C27D51">
      <w:pPr>
        <w:pStyle w:val="a8"/>
        <w:rPr>
          <w:sz w:val="18"/>
          <w:szCs w:val="18"/>
        </w:rPr>
      </w:pPr>
      <w:r>
        <w:rPr>
          <w:rFonts w:hint="eastAsia"/>
          <w:sz w:val="18"/>
          <w:szCs w:val="18"/>
        </w:rPr>
        <w:t xml:space="preserve">3) </w:t>
      </w:r>
      <w:r w:rsidRPr="00FE0DF5">
        <w:rPr>
          <w:sz w:val="18"/>
          <w:szCs w:val="18"/>
        </w:rPr>
        <w:t xml:space="preserve">Dasgupta, B., and </w:t>
      </w:r>
      <w:proofErr w:type="spellStart"/>
      <w:r w:rsidRPr="00FE0DF5">
        <w:rPr>
          <w:sz w:val="18"/>
          <w:szCs w:val="18"/>
        </w:rPr>
        <w:t>Mruthyunjaya</w:t>
      </w:r>
      <w:proofErr w:type="spellEnd"/>
      <w:r w:rsidRPr="00FE0DF5">
        <w:rPr>
          <w:sz w:val="18"/>
          <w:szCs w:val="18"/>
        </w:rPr>
        <w:t>, T. S. “The Stewart Platform Manipulator: A Review”, Mechanism and Machine Theory, Vol. 35, No. 1, 2000, pp. 15–40.</w:t>
      </w:r>
    </w:p>
    <w:p w14:paraId="3F7E9C23" w14:textId="688B557C" w:rsidR="00D471B6" w:rsidRPr="00A31300" w:rsidRDefault="00C27D51" w:rsidP="00485929">
      <w:pPr>
        <w:pStyle w:val="a8"/>
        <w:rPr>
          <w:sz w:val="18"/>
          <w:szCs w:val="18"/>
        </w:rPr>
      </w:pPr>
      <w:r>
        <w:rPr>
          <w:rFonts w:hint="eastAsia"/>
          <w:sz w:val="18"/>
          <w:szCs w:val="18"/>
        </w:rPr>
        <w:t xml:space="preserve">4) </w:t>
      </w:r>
      <w:proofErr w:type="spellStart"/>
      <w:r w:rsidRPr="00FE0DF5">
        <w:rPr>
          <w:sz w:val="18"/>
          <w:szCs w:val="18"/>
        </w:rPr>
        <w:t>Telban</w:t>
      </w:r>
      <w:proofErr w:type="spellEnd"/>
      <w:r w:rsidRPr="00FE0DF5">
        <w:rPr>
          <w:sz w:val="18"/>
          <w:szCs w:val="18"/>
        </w:rPr>
        <w:t>, R. J., and Cardullo, F. M. “Motion Cueing Algorithm Development: Human-Centered Linear and Nonlinear Approaches”, NASA Contractor Report NASA/CR</w:t>
      </w:r>
      <w:r w:rsidRPr="00FE0DF5">
        <w:rPr>
          <w:rFonts w:ascii="Cambria Math" w:hAnsi="Cambria Math" w:cs="Cambria Math"/>
          <w:sz w:val="18"/>
          <w:szCs w:val="18"/>
        </w:rPr>
        <w:t>‑</w:t>
      </w:r>
      <w:r w:rsidRPr="00FE0DF5">
        <w:rPr>
          <w:sz w:val="18"/>
          <w:szCs w:val="18"/>
        </w:rPr>
        <w:t>2005</w:t>
      </w:r>
      <w:r w:rsidRPr="00FE0DF5">
        <w:rPr>
          <w:rFonts w:ascii="Cambria Math" w:hAnsi="Cambria Math" w:cs="Cambria Math"/>
          <w:sz w:val="18"/>
          <w:szCs w:val="18"/>
        </w:rPr>
        <w:t>‑</w:t>
      </w:r>
      <w:r w:rsidRPr="00FE0DF5">
        <w:rPr>
          <w:sz w:val="18"/>
          <w:szCs w:val="18"/>
        </w:rPr>
        <w:t>213747, 2005.</w:t>
      </w:r>
    </w:p>
    <w:sectPr w:rsidR="00D471B6" w:rsidRPr="00A31300" w:rsidSect="008634AD">
      <w:headerReference w:type="default" r:id="rId12"/>
      <w:endnotePr>
        <w:numFmt w:val="decimal"/>
      </w:endnotePr>
      <w:type w:val="continuous"/>
      <w:pgSz w:w="11906" w:h="16838"/>
      <w:pgMar w:top="1984" w:right="1134" w:bottom="1417" w:left="1134" w:header="1134" w:footer="529"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CA83" w14:textId="77777777" w:rsidR="007D4203" w:rsidRDefault="007D4203">
      <w:pPr>
        <w:spacing w:after="0"/>
      </w:pPr>
      <w:r>
        <w:separator/>
      </w:r>
    </w:p>
  </w:endnote>
  <w:endnote w:type="continuationSeparator" w:id="0">
    <w:p w14:paraId="00803A46" w14:textId="77777777" w:rsidR="007D4203" w:rsidRDefault="007D42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YGothic-Medium">
    <w:altName w:val="HY중고딕"/>
    <w:panose1 w:val="020B0604020202020204"/>
    <w:charset w:val="81"/>
    <w:family w:val="roman"/>
    <w:pitch w:val="variable"/>
    <w:sig w:usb0="900002A7" w:usb1="29D77CF9" w:usb2="00000010"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CBD4" w14:textId="77777777" w:rsidR="008634AD" w:rsidRDefault="008634AD">
    <w:pPr>
      <w:jc w:val="center"/>
    </w:pPr>
  </w:p>
  <w:p w14:paraId="03456B1F" w14:textId="77777777" w:rsidR="008634AD" w:rsidRDefault="008634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5237" w14:textId="77777777" w:rsidR="007D4203" w:rsidRDefault="007D4203">
      <w:pPr>
        <w:spacing w:after="0"/>
      </w:pPr>
      <w:r>
        <w:separator/>
      </w:r>
    </w:p>
  </w:footnote>
  <w:footnote w:type="continuationSeparator" w:id="0">
    <w:p w14:paraId="6B310C13" w14:textId="77777777" w:rsidR="007D4203" w:rsidRDefault="007D42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29"/>
      <w:gridCol w:w="4115"/>
    </w:tblGrid>
    <w:tr w:rsidR="001A522C" w14:paraId="5332C93E" w14:textId="77777777" w:rsidTr="00D02537">
      <w:tc>
        <w:tcPr>
          <w:tcW w:w="5529" w:type="dxa"/>
          <w:vAlign w:val="center"/>
        </w:tcPr>
        <w:p w14:paraId="2B03F264" w14:textId="6CC88167" w:rsidR="001A522C" w:rsidRPr="009E5DF0" w:rsidRDefault="001A522C" w:rsidP="002D35B5">
          <w:pPr>
            <w:rPr>
              <w:rFonts w:ascii="HYGothic-Medium" w:eastAsia="HYGothic-Medium" w:hAnsiTheme="majorHAnsi"/>
              <w:sz w:val="18"/>
              <w:szCs w:val="18"/>
            </w:rPr>
          </w:pPr>
          <w:r w:rsidRPr="009E5DF0">
            <w:rPr>
              <w:rFonts w:ascii="HYGothic-Medium" w:eastAsia="HYGothic-Medium" w:hAnsiTheme="majorHAnsi" w:hint="eastAsia"/>
              <w:sz w:val="18"/>
              <w:szCs w:val="18"/>
            </w:rPr>
            <w:t xml:space="preserve">한국항공우주학회 </w:t>
          </w:r>
          <w:r w:rsidR="00532BA2">
            <w:rPr>
              <w:rFonts w:ascii="HYGothic-Medium" w:eastAsia="HYGothic-Medium" w:hAnsiTheme="majorHAnsi" w:hint="eastAsia"/>
              <w:sz w:val="18"/>
              <w:szCs w:val="18"/>
            </w:rPr>
            <w:t>202</w:t>
          </w:r>
          <w:r w:rsidR="00DE1BA4">
            <w:rPr>
              <w:rFonts w:ascii="HYGothic-Medium" w:eastAsia="HYGothic-Medium" w:hAnsiTheme="majorHAnsi" w:hint="eastAsia"/>
              <w:sz w:val="18"/>
              <w:szCs w:val="18"/>
            </w:rPr>
            <w:t>6</w:t>
          </w:r>
          <w:r w:rsidRPr="009E5DF0">
            <w:rPr>
              <w:rFonts w:ascii="HYGothic-Medium" w:eastAsia="HYGothic-Medium" w:hAnsiTheme="majorHAnsi" w:hint="eastAsia"/>
              <w:sz w:val="18"/>
              <w:szCs w:val="18"/>
            </w:rPr>
            <w:t xml:space="preserve"> </w:t>
          </w:r>
          <w:r w:rsidR="002D35B5">
            <w:rPr>
              <w:rFonts w:ascii="HYGothic-Medium" w:eastAsia="HYGothic-Medium" w:hAnsiTheme="majorHAnsi" w:hint="eastAsia"/>
              <w:sz w:val="18"/>
              <w:szCs w:val="18"/>
            </w:rPr>
            <w:t>춘</w:t>
          </w:r>
          <w:r w:rsidRPr="009E5DF0">
            <w:rPr>
              <w:rFonts w:ascii="HYGothic-Medium" w:eastAsia="HYGothic-Medium" w:hAnsiTheme="majorHAnsi" w:hint="eastAsia"/>
              <w:sz w:val="18"/>
              <w:szCs w:val="18"/>
            </w:rPr>
            <w:t>계학술대회 논문집</w:t>
          </w:r>
        </w:p>
      </w:tc>
      <w:tc>
        <w:tcPr>
          <w:tcW w:w="4115" w:type="dxa"/>
          <w:vAlign w:val="center"/>
        </w:tcPr>
        <w:p w14:paraId="5176BCB8" w14:textId="5BD12A9D" w:rsidR="001A522C" w:rsidRPr="009E5DF0" w:rsidRDefault="001A522C" w:rsidP="002D35B5">
          <w:pPr>
            <w:jc w:val="right"/>
            <w:rPr>
              <w:rFonts w:ascii="HYGothic-Medium" w:eastAsia="HYGothic-Medium" w:hAnsiTheme="majorHAnsi" w:cs="Times New Roman"/>
              <w:sz w:val="18"/>
              <w:szCs w:val="18"/>
            </w:rPr>
          </w:pPr>
          <w:r w:rsidRPr="009E5DF0">
            <w:rPr>
              <w:rFonts w:ascii="HYGothic-Medium" w:eastAsia="HYGothic-Medium" w:hAnsiTheme="majorHAnsi" w:cs="Times New Roman" w:hint="eastAsia"/>
              <w:sz w:val="18"/>
              <w:szCs w:val="18"/>
            </w:rPr>
            <w:t xml:space="preserve">KSAS </w:t>
          </w:r>
          <w:r w:rsidR="00532BA2">
            <w:rPr>
              <w:rFonts w:ascii="HYGothic-Medium" w:eastAsia="HYGothic-Medium" w:hAnsiTheme="majorHAnsi" w:cs="Times New Roman" w:hint="eastAsia"/>
              <w:sz w:val="18"/>
              <w:szCs w:val="18"/>
            </w:rPr>
            <w:t>202</w:t>
          </w:r>
          <w:r w:rsidR="00DE1BA4">
            <w:rPr>
              <w:rFonts w:ascii="HYGothic-Medium" w:eastAsia="HYGothic-Medium" w:hAnsiTheme="majorHAnsi" w:cs="Times New Roman" w:hint="eastAsia"/>
              <w:sz w:val="18"/>
              <w:szCs w:val="18"/>
            </w:rPr>
            <w:t>6</w:t>
          </w:r>
          <w:r w:rsidRPr="009E5DF0">
            <w:rPr>
              <w:rFonts w:ascii="HYGothic-Medium" w:eastAsia="HYGothic-Medium" w:hAnsiTheme="majorHAnsi" w:cs="Times New Roman" w:hint="eastAsia"/>
              <w:sz w:val="18"/>
              <w:szCs w:val="18"/>
            </w:rPr>
            <w:t xml:space="preserve"> </w:t>
          </w:r>
          <w:r w:rsidR="002D35B5">
            <w:rPr>
              <w:rFonts w:ascii="HYGothic-Medium" w:eastAsia="HYGothic-Medium" w:hAnsiTheme="majorHAnsi" w:cs="Times New Roman" w:hint="eastAsia"/>
              <w:sz w:val="18"/>
              <w:szCs w:val="18"/>
            </w:rPr>
            <w:t>Spring</w:t>
          </w:r>
          <w:r w:rsidRPr="009E5DF0">
            <w:rPr>
              <w:rFonts w:ascii="HYGothic-Medium" w:eastAsia="HYGothic-Medium" w:hAnsiTheme="majorHAnsi" w:cs="Times New Roman" w:hint="eastAsia"/>
              <w:sz w:val="18"/>
              <w:szCs w:val="18"/>
            </w:rPr>
            <w:t xml:space="preserve"> Conference</w:t>
          </w:r>
        </w:p>
      </w:tc>
    </w:tr>
  </w:tbl>
  <w:p w14:paraId="5E5F26AA" w14:textId="77777777" w:rsidR="00035BF2" w:rsidRDefault="00035BF2" w:rsidP="00076F95">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29"/>
      <w:gridCol w:w="4115"/>
    </w:tblGrid>
    <w:tr w:rsidR="002D35B5" w14:paraId="7E406C19" w14:textId="77777777" w:rsidTr="00320520">
      <w:tc>
        <w:tcPr>
          <w:tcW w:w="5529" w:type="dxa"/>
          <w:vAlign w:val="center"/>
        </w:tcPr>
        <w:p w14:paraId="29AA2379" w14:textId="054C4F1E" w:rsidR="002D35B5" w:rsidRPr="009E5DF0" w:rsidRDefault="002D35B5" w:rsidP="00320520">
          <w:pPr>
            <w:rPr>
              <w:rFonts w:ascii="HYGothic-Medium" w:eastAsia="HYGothic-Medium" w:hAnsiTheme="majorHAnsi"/>
              <w:sz w:val="18"/>
              <w:szCs w:val="18"/>
            </w:rPr>
          </w:pPr>
          <w:r w:rsidRPr="009E5DF0">
            <w:rPr>
              <w:rFonts w:ascii="HYGothic-Medium" w:eastAsia="HYGothic-Medium" w:hAnsiTheme="majorHAnsi" w:hint="eastAsia"/>
              <w:sz w:val="18"/>
              <w:szCs w:val="18"/>
            </w:rPr>
            <w:t xml:space="preserve">한국항공우주학회 </w:t>
          </w:r>
          <w:r w:rsidR="00532BA2">
            <w:rPr>
              <w:rFonts w:ascii="HYGothic-Medium" w:eastAsia="HYGothic-Medium" w:hAnsiTheme="majorHAnsi" w:hint="eastAsia"/>
              <w:sz w:val="18"/>
              <w:szCs w:val="18"/>
            </w:rPr>
            <w:t>202</w:t>
          </w:r>
          <w:r w:rsidR="00DE1BA4">
            <w:rPr>
              <w:rFonts w:ascii="HYGothic-Medium" w:eastAsia="HYGothic-Medium" w:hAnsiTheme="majorHAnsi" w:hint="eastAsia"/>
              <w:sz w:val="18"/>
              <w:szCs w:val="18"/>
            </w:rPr>
            <w:t>6</w:t>
          </w:r>
          <w:r w:rsidRPr="009E5DF0">
            <w:rPr>
              <w:rFonts w:ascii="HYGothic-Medium" w:eastAsia="HYGothic-Medium" w:hAnsiTheme="majorHAnsi" w:hint="eastAsia"/>
              <w:sz w:val="18"/>
              <w:szCs w:val="18"/>
            </w:rPr>
            <w:t xml:space="preserve"> </w:t>
          </w:r>
          <w:r>
            <w:rPr>
              <w:rFonts w:ascii="HYGothic-Medium" w:eastAsia="HYGothic-Medium" w:hAnsiTheme="majorHAnsi" w:hint="eastAsia"/>
              <w:sz w:val="18"/>
              <w:szCs w:val="18"/>
            </w:rPr>
            <w:t>춘</w:t>
          </w:r>
          <w:r w:rsidRPr="009E5DF0">
            <w:rPr>
              <w:rFonts w:ascii="HYGothic-Medium" w:eastAsia="HYGothic-Medium" w:hAnsiTheme="majorHAnsi" w:hint="eastAsia"/>
              <w:sz w:val="18"/>
              <w:szCs w:val="18"/>
            </w:rPr>
            <w:t>계학술대회 논문집</w:t>
          </w:r>
        </w:p>
      </w:tc>
      <w:tc>
        <w:tcPr>
          <w:tcW w:w="4115" w:type="dxa"/>
          <w:vAlign w:val="center"/>
        </w:tcPr>
        <w:p w14:paraId="7F1FB3C4" w14:textId="6F3137F7" w:rsidR="002D35B5" w:rsidRPr="009E5DF0" w:rsidRDefault="002D35B5" w:rsidP="00320520">
          <w:pPr>
            <w:jc w:val="right"/>
            <w:rPr>
              <w:rFonts w:ascii="HYGothic-Medium" w:eastAsia="HYGothic-Medium" w:hAnsiTheme="majorHAnsi" w:cs="Times New Roman"/>
              <w:sz w:val="18"/>
              <w:szCs w:val="18"/>
            </w:rPr>
          </w:pPr>
          <w:r w:rsidRPr="009E5DF0">
            <w:rPr>
              <w:rFonts w:ascii="HYGothic-Medium" w:eastAsia="HYGothic-Medium" w:hAnsiTheme="majorHAnsi" w:cs="Times New Roman" w:hint="eastAsia"/>
              <w:sz w:val="18"/>
              <w:szCs w:val="18"/>
            </w:rPr>
            <w:t xml:space="preserve">KSAS </w:t>
          </w:r>
          <w:r w:rsidR="00532BA2">
            <w:rPr>
              <w:rFonts w:ascii="HYGothic-Medium" w:eastAsia="HYGothic-Medium" w:hAnsiTheme="majorHAnsi" w:cs="Times New Roman" w:hint="eastAsia"/>
              <w:sz w:val="18"/>
              <w:szCs w:val="18"/>
            </w:rPr>
            <w:t>202</w:t>
          </w:r>
          <w:r w:rsidR="00DE1BA4">
            <w:rPr>
              <w:rFonts w:ascii="HYGothic-Medium" w:eastAsia="HYGothic-Medium" w:hAnsiTheme="majorHAnsi" w:cs="Times New Roman" w:hint="eastAsia"/>
              <w:sz w:val="18"/>
              <w:szCs w:val="18"/>
            </w:rPr>
            <w:t>6</w:t>
          </w:r>
          <w:r w:rsidRPr="009E5DF0">
            <w:rPr>
              <w:rFonts w:ascii="HYGothic-Medium" w:eastAsia="HYGothic-Medium" w:hAnsiTheme="majorHAnsi" w:cs="Times New Roman" w:hint="eastAsia"/>
              <w:sz w:val="18"/>
              <w:szCs w:val="18"/>
            </w:rPr>
            <w:t xml:space="preserve"> </w:t>
          </w:r>
          <w:r>
            <w:rPr>
              <w:rFonts w:ascii="HYGothic-Medium" w:eastAsia="HYGothic-Medium" w:hAnsiTheme="majorHAnsi" w:cs="Times New Roman" w:hint="eastAsia"/>
              <w:sz w:val="18"/>
              <w:szCs w:val="18"/>
            </w:rPr>
            <w:t>Spring</w:t>
          </w:r>
          <w:r w:rsidRPr="009E5DF0">
            <w:rPr>
              <w:rFonts w:ascii="HYGothic-Medium" w:eastAsia="HYGothic-Medium" w:hAnsiTheme="majorHAnsi" w:cs="Times New Roman" w:hint="eastAsia"/>
              <w:sz w:val="18"/>
              <w:szCs w:val="18"/>
            </w:rPr>
            <w:t xml:space="preserve"> Conference</w:t>
          </w:r>
        </w:p>
      </w:tc>
    </w:tr>
  </w:tbl>
  <w:p w14:paraId="087FEBB4" w14:textId="77777777" w:rsidR="00035BF2" w:rsidRDefault="00035BF2">
    <w:pP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F2"/>
    <w:rsid w:val="00002327"/>
    <w:rsid w:val="00011AD2"/>
    <w:rsid w:val="00035BF2"/>
    <w:rsid w:val="0006342C"/>
    <w:rsid w:val="00076F95"/>
    <w:rsid w:val="000963E6"/>
    <w:rsid w:val="000A7BCD"/>
    <w:rsid w:val="000D5F33"/>
    <w:rsid w:val="000F6527"/>
    <w:rsid w:val="000F734F"/>
    <w:rsid w:val="001146C3"/>
    <w:rsid w:val="00115622"/>
    <w:rsid w:val="00137EF3"/>
    <w:rsid w:val="0015041B"/>
    <w:rsid w:val="0019001A"/>
    <w:rsid w:val="001A522C"/>
    <w:rsid w:val="001B2D7D"/>
    <w:rsid w:val="001C202A"/>
    <w:rsid w:val="001D628B"/>
    <w:rsid w:val="001E7921"/>
    <w:rsid w:val="00214975"/>
    <w:rsid w:val="00242CB6"/>
    <w:rsid w:val="00244EB0"/>
    <w:rsid w:val="00265372"/>
    <w:rsid w:val="002708C2"/>
    <w:rsid w:val="0028534E"/>
    <w:rsid w:val="00287B81"/>
    <w:rsid w:val="002B1FF3"/>
    <w:rsid w:val="002B4C6B"/>
    <w:rsid w:val="002B5C5A"/>
    <w:rsid w:val="002C24BB"/>
    <w:rsid w:val="002D35B5"/>
    <w:rsid w:val="00302BC8"/>
    <w:rsid w:val="00307909"/>
    <w:rsid w:val="0032191E"/>
    <w:rsid w:val="00336572"/>
    <w:rsid w:val="00365318"/>
    <w:rsid w:val="003663C0"/>
    <w:rsid w:val="00370339"/>
    <w:rsid w:val="00382128"/>
    <w:rsid w:val="00385B84"/>
    <w:rsid w:val="00396C59"/>
    <w:rsid w:val="003C3972"/>
    <w:rsid w:val="003D286E"/>
    <w:rsid w:val="003D2AA3"/>
    <w:rsid w:val="003E208D"/>
    <w:rsid w:val="00415D79"/>
    <w:rsid w:val="004443EB"/>
    <w:rsid w:val="004653DC"/>
    <w:rsid w:val="00465A6B"/>
    <w:rsid w:val="00476404"/>
    <w:rsid w:val="00485929"/>
    <w:rsid w:val="004C7016"/>
    <w:rsid w:val="004E1A6D"/>
    <w:rsid w:val="005046CD"/>
    <w:rsid w:val="00522A25"/>
    <w:rsid w:val="00524846"/>
    <w:rsid w:val="00532BA2"/>
    <w:rsid w:val="00561EF5"/>
    <w:rsid w:val="005A0927"/>
    <w:rsid w:val="005D33B2"/>
    <w:rsid w:val="00605BAA"/>
    <w:rsid w:val="0061658C"/>
    <w:rsid w:val="00617AAC"/>
    <w:rsid w:val="00654690"/>
    <w:rsid w:val="00665234"/>
    <w:rsid w:val="00692540"/>
    <w:rsid w:val="006A5DF4"/>
    <w:rsid w:val="006B6DD9"/>
    <w:rsid w:val="00701973"/>
    <w:rsid w:val="00702CEE"/>
    <w:rsid w:val="0071411C"/>
    <w:rsid w:val="0073227C"/>
    <w:rsid w:val="007652E3"/>
    <w:rsid w:val="00790B9E"/>
    <w:rsid w:val="007C231E"/>
    <w:rsid w:val="007D4203"/>
    <w:rsid w:val="008214E8"/>
    <w:rsid w:val="00821DB0"/>
    <w:rsid w:val="00845A4D"/>
    <w:rsid w:val="008634AD"/>
    <w:rsid w:val="008640EE"/>
    <w:rsid w:val="0089061D"/>
    <w:rsid w:val="008E0FA6"/>
    <w:rsid w:val="008E2B87"/>
    <w:rsid w:val="008E7387"/>
    <w:rsid w:val="009439F5"/>
    <w:rsid w:val="00946155"/>
    <w:rsid w:val="009622BC"/>
    <w:rsid w:val="009714F0"/>
    <w:rsid w:val="009834AF"/>
    <w:rsid w:val="009C5F48"/>
    <w:rsid w:val="009E5DF0"/>
    <w:rsid w:val="00A11C10"/>
    <w:rsid w:val="00A12153"/>
    <w:rsid w:val="00A31300"/>
    <w:rsid w:val="00A6387F"/>
    <w:rsid w:val="00AA0267"/>
    <w:rsid w:val="00AA0370"/>
    <w:rsid w:val="00AA3195"/>
    <w:rsid w:val="00AB7E47"/>
    <w:rsid w:val="00AC3E34"/>
    <w:rsid w:val="00AF1112"/>
    <w:rsid w:val="00AF46C7"/>
    <w:rsid w:val="00AF6F4C"/>
    <w:rsid w:val="00B45682"/>
    <w:rsid w:val="00B64925"/>
    <w:rsid w:val="00B76A38"/>
    <w:rsid w:val="00B837EB"/>
    <w:rsid w:val="00BB0B4C"/>
    <w:rsid w:val="00BC01E2"/>
    <w:rsid w:val="00BC1E6C"/>
    <w:rsid w:val="00BC3DBC"/>
    <w:rsid w:val="00BC4E12"/>
    <w:rsid w:val="00C01C9F"/>
    <w:rsid w:val="00C10E4D"/>
    <w:rsid w:val="00C27D51"/>
    <w:rsid w:val="00C474CD"/>
    <w:rsid w:val="00C73580"/>
    <w:rsid w:val="00C77A23"/>
    <w:rsid w:val="00C81FAE"/>
    <w:rsid w:val="00C90A2C"/>
    <w:rsid w:val="00CB6EE9"/>
    <w:rsid w:val="00CC5B12"/>
    <w:rsid w:val="00CE04FD"/>
    <w:rsid w:val="00D048B1"/>
    <w:rsid w:val="00D278D7"/>
    <w:rsid w:val="00D32B56"/>
    <w:rsid w:val="00D411C6"/>
    <w:rsid w:val="00D45DBC"/>
    <w:rsid w:val="00D471B6"/>
    <w:rsid w:val="00D52CCA"/>
    <w:rsid w:val="00D6574B"/>
    <w:rsid w:val="00DB7504"/>
    <w:rsid w:val="00DC27F8"/>
    <w:rsid w:val="00DD70EE"/>
    <w:rsid w:val="00DE1BA4"/>
    <w:rsid w:val="00DE2A49"/>
    <w:rsid w:val="00DF7699"/>
    <w:rsid w:val="00E1358F"/>
    <w:rsid w:val="00E17B52"/>
    <w:rsid w:val="00E303AE"/>
    <w:rsid w:val="00E44B4A"/>
    <w:rsid w:val="00E70AD3"/>
    <w:rsid w:val="00E80487"/>
    <w:rsid w:val="00EB16AE"/>
    <w:rsid w:val="00EC7C88"/>
    <w:rsid w:val="00EE3970"/>
    <w:rsid w:val="00F23EEF"/>
    <w:rsid w:val="00F46910"/>
    <w:rsid w:val="00F7490D"/>
    <w:rsid w:val="00F74DAB"/>
    <w:rsid w:val="00F84D79"/>
    <w:rsid w:val="00FF26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27C0"/>
  <w15:docId w15:val="{F00C6F54-BDFA-4A1C-B637-7861D30F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B5"/>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628B"/>
    <w:pPr>
      <w:tabs>
        <w:tab w:val="center" w:pos="4513"/>
        <w:tab w:val="right" w:pos="9026"/>
      </w:tabs>
      <w:snapToGrid w:val="0"/>
    </w:pPr>
  </w:style>
  <w:style w:type="paragraph" w:customStyle="1" w:styleId="a">
    <w:name w:val="세부절 제목"/>
    <w:uiPriority w:val="3"/>
    <w:rsid w:val="001E7921"/>
    <w:pPr>
      <w:widowControl w:val="0"/>
      <w:pBdr>
        <w:top w:val="none" w:sz="2" w:space="0" w:color="000000"/>
        <w:left w:val="none" w:sz="2" w:space="0" w:color="000000"/>
        <w:bottom w:val="none" w:sz="2" w:space="0" w:color="000000"/>
        <w:right w:val="none" w:sz="2" w:space="0" w:color="000000"/>
      </w:pBdr>
      <w:autoSpaceDE w:val="0"/>
      <w:autoSpaceDN w:val="0"/>
      <w:spacing w:before="40" w:after="40" w:line="320" w:lineRule="exact"/>
      <w:textAlignment w:val="baseline"/>
    </w:pPr>
    <w:rPr>
      <w:rFonts w:ascii="HYGothic-Medium" w:eastAsia="HYGothic-Medium" w:hAnsi="Gulim"/>
      <w:b/>
      <w:color w:val="000000"/>
    </w:rPr>
  </w:style>
  <w:style w:type="paragraph" w:customStyle="1" w:styleId="a0">
    <w:name w:val="수식"/>
    <w:uiPriority w:val="3"/>
    <w:rsid w:val="001E7921"/>
    <w:pPr>
      <w:widowControl w:val="0"/>
      <w:pBdr>
        <w:top w:val="none" w:sz="2" w:space="0" w:color="000000"/>
        <w:left w:val="none" w:sz="2" w:space="0" w:color="000000"/>
        <w:bottom w:val="none" w:sz="2" w:space="0" w:color="000000"/>
        <w:right w:val="none" w:sz="2" w:space="0" w:color="000000"/>
      </w:pBdr>
      <w:autoSpaceDE w:val="0"/>
      <w:autoSpaceDN w:val="0"/>
      <w:spacing w:before="100" w:after="100" w:line="240" w:lineRule="auto"/>
      <w:ind w:firstLine="200"/>
      <w:jc w:val="distribute"/>
      <w:textAlignment w:val="baseline"/>
    </w:pPr>
    <w:rPr>
      <w:rFonts w:ascii="Gulim" w:eastAsia="Gulim" w:hAnsi="Gulim"/>
      <w:color w:val="000000"/>
    </w:rPr>
  </w:style>
  <w:style w:type="character" w:customStyle="1" w:styleId="HeaderChar">
    <w:name w:val="Header Char"/>
    <w:basedOn w:val="DefaultParagraphFont"/>
    <w:link w:val="Header"/>
    <w:uiPriority w:val="99"/>
    <w:rsid w:val="001D628B"/>
  </w:style>
  <w:style w:type="paragraph" w:customStyle="1" w:styleId="a1">
    <w:name w:val="논문 한글제목"/>
    <w:rsid w:val="001E792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Gothic-Medium" w:eastAsia="HYGothic-Medium"/>
      <w:b/>
      <w:color w:val="000000"/>
      <w:sz w:val="24"/>
    </w:rPr>
  </w:style>
  <w:style w:type="paragraph" w:customStyle="1" w:styleId="a2">
    <w:name w:val="논문 영문제목"/>
    <w:uiPriority w:val="1"/>
    <w:rsid w:val="00DB750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baseline"/>
    </w:pPr>
    <w:rPr>
      <w:rFonts w:ascii="Arial" w:eastAsia="Arial Unicode MS" w:hAnsi="Arial" w:cs="Arial"/>
      <w:b/>
      <w:color w:val="000000"/>
      <w:sz w:val="24"/>
      <w:szCs w:val="24"/>
    </w:rPr>
  </w:style>
  <w:style w:type="paragraph" w:customStyle="1" w:styleId="a3">
    <w:name w:val="저자이름"/>
    <w:uiPriority w:val="1"/>
    <w:rsid w:val="001E7921"/>
    <w:pPr>
      <w:widowControl w:val="0"/>
      <w:pBdr>
        <w:top w:val="none" w:sz="2" w:space="0" w:color="000000"/>
        <w:left w:val="none" w:sz="2" w:space="0" w:color="000000"/>
        <w:bottom w:val="none" w:sz="2" w:space="0" w:color="000000"/>
        <w:right w:val="none" w:sz="2" w:space="0" w:color="000000"/>
      </w:pBdr>
      <w:autoSpaceDE w:val="0"/>
      <w:autoSpaceDN w:val="0"/>
      <w:snapToGrid w:val="0"/>
      <w:spacing w:after="0"/>
      <w:jc w:val="center"/>
      <w:textAlignment w:val="baseline"/>
    </w:pPr>
    <w:rPr>
      <w:rFonts w:ascii="Gulim" w:eastAsia="Gulim" w:hAnsi="Gulim"/>
      <w:color w:val="000000"/>
    </w:rPr>
  </w:style>
  <w:style w:type="paragraph" w:styleId="Footer">
    <w:name w:val="footer"/>
    <w:basedOn w:val="Normal"/>
    <w:link w:val="FooterChar"/>
    <w:uiPriority w:val="99"/>
    <w:unhideWhenUsed/>
    <w:rsid w:val="001D628B"/>
    <w:pPr>
      <w:tabs>
        <w:tab w:val="center" w:pos="4513"/>
        <w:tab w:val="right" w:pos="9026"/>
      </w:tabs>
      <w:snapToGrid w:val="0"/>
    </w:pPr>
  </w:style>
  <w:style w:type="paragraph" w:customStyle="1" w:styleId="a4">
    <w:name w:val="소제목"/>
    <w:rsid w:val="001D628B"/>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center"/>
      <w:textAlignment w:val="baseline"/>
    </w:pPr>
    <w:rPr>
      <w:rFonts w:ascii="HYGothic-Medium" w:eastAsia="HYGothic-Medium" w:hAnsi="Gulim"/>
      <w:b/>
      <w:color w:val="000000"/>
      <w:sz w:val="22"/>
    </w:rPr>
  </w:style>
  <w:style w:type="paragraph" w:customStyle="1" w:styleId="a5">
    <w:name w:val="초록 및 본문 내용"/>
    <w:uiPriority w:val="9"/>
    <w:rsid w:val="00214975"/>
    <w:pPr>
      <w:widowControl w:val="0"/>
      <w:pBdr>
        <w:top w:val="none" w:sz="2" w:space="0" w:color="000000"/>
        <w:left w:val="none" w:sz="2" w:space="0" w:color="000000"/>
        <w:bottom w:val="none" w:sz="2" w:space="0" w:color="000000"/>
        <w:right w:val="none" w:sz="2" w:space="0" w:color="000000"/>
      </w:pBdr>
      <w:autoSpaceDE w:val="0"/>
      <w:autoSpaceDN w:val="0"/>
      <w:spacing w:before="40" w:after="40" w:line="260" w:lineRule="exact"/>
      <w:ind w:firstLine="198"/>
      <w:textAlignment w:val="baseline"/>
    </w:pPr>
    <w:rPr>
      <w:rFonts w:ascii="Gulim" w:eastAsia="Gulim" w:hAnsi="Gulim"/>
      <w:color w:val="000000"/>
      <w:sz w:val="18"/>
      <w:szCs w:val="18"/>
    </w:rPr>
  </w:style>
  <w:style w:type="paragraph" w:customStyle="1" w:styleId="a6">
    <w:name w:val="핵심어"/>
    <w:uiPriority w:val="10"/>
    <w:rsid w:val="00D048B1"/>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before="224" w:after="480" w:line="240" w:lineRule="auto"/>
      <w:textAlignment w:val="baseline"/>
    </w:pPr>
    <w:rPr>
      <w:rFonts w:ascii="Gulim" w:eastAsia="Gulim" w:hAnsi="Gulim"/>
      <w:color w:val="000000"/>
      <w:spacing w:val="4"/>
      <w:sz w:val="18"/>
      <w:szCs w:val="18"/>
    </w:rPr>
  </w:style>
  <w:style w:type="paragraph" w:customStyle="1" w:styleId="a7">
    <w:name w:val="그림표캡션"/>
    <w:uiPriority w:val="11"/>
    <w:rsid w:val="001E7921"/>
    <w:pPr>
      <w:widowControl w:val="0"/>
      <w:pBdr>
        <w:top w:val="none" w:sz="2" w:space="0" w:color="000000"/>
        <w:left w:val="none" w:sz="2" w:space="0" w:color="000000"/>
        <w:bottom w:val="none" w:sz="2" w:space="0" w:color="000000"/>
        <w:right w:val="none" w:sz="2" w:space="0" w:color="000000"/>
      </w:pBdr>
      <w:autoSpaceDE w:val="0"/>
      <w:autoSpaceDN w:val="0"/>
      <w:snapToGrid w:val="0"/>
      <w:spacing w:before="60" w:after="30" w:line="240" w:lineRule="auto"/>
      <w:jc w:val="center"/>
      <w:textAlignment w:val="baseline"/>
    </w:pPr>
    <w:rPr>
      <w:rFonts w:ascii="HYGothic-Medium" w:eastAsia="HYGothic-Medium" w:hAnsi="Gulim"/>
      <w:b/>
      <w:color w:val="000000"/>
    </w:rPr>
  </w:style>
  <w:style w:type="paragraph" w:customStyle="1" w:styleId="a8">
    <w:name w:val="참고문헌"/>
    <w:uiPriority w:val="12"/>
    <w:rsid w:val="001D628B"/>
    <w:pPr>
      <w:widowControl w:val="0"/>
      <w:pBdr>
        <w:top w:val="none" w:sz="2" w:space="0" w:color="000000"/>
        <w:left w:val="none" w:sz="2" w:space="0" w:color="000000"/>
        <w:bottom w:val="none" w:sz="2" w:space="0" w:color="000000"/>
        <w:right w:val="none" w:sz="2" w:space="0" w:color="000000"/>
      </w:pBdr>
      <w:tabs>
        <w:tab w:val="left" w:pos="480"/>
      </w:tabs>
      <w:autoSpaceDE w:val="0"/>
      <w:autoSpaceDN w:val="0"/>
      <w:spacing w:before="40" w:after="40" w:line="260" w:lineRule="exact"/>
      <w:ind w:firstLine="198"/>
      <w:textAlignment w:val="baseline"/>
    </w:pPr>
    <w:rPr>
      <w:rFonts w:ascii="Gulim" w:eastAsia="Gulim" w:hAnsi="Gulim"/>
      <w:color w:val="000000"/>
      <w:kern w:val="1"/>
    </w:rPr>
  </w:style>
  <w:style w:type="paragraph" w:styleId="BalloonText">
    <w:name w:val="Balloon Text"/>
    <w:basedOn w:val="Normal"/>
    <w:link w:val="BalloonTextChar"/>
    <w:uiPriority w:val="99"/>
    <w:semiHidden/>
    <w:unhideWhenUsed/>
    <w:rsid w:val="00702CEE"/>
    <w:pPr>
      <w:spacing w:after="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702CEE"/>
    <w:rPr>
      <w:rFonts w:asciiTheme="majorHAnsi" w:eastAsiaTheme="majorEastAsia" w:hAnsiTheme="majorHAnsi" w:cstheme="majorBidi"/>
      <w:sz w:val="18"/>
      <w:szCs w:val="18"/>
    </w:rPr>
  </w:style>
  <w:style w:type="character" w:customStyle="1" w:styleId="FooterChar">
    <w:name w:val="Footer Char"/>
    <w:basedOn w:val="DefaultParagraphFont"/>
    <w:link w:val="Footer"/>
    <w:uiPriority w:val="99"/>
    <w:rsid w:val="001D628B"/>
  </w:style>
  <w:style w:type="table" w:styleId="TableGrid">
    <w:name w:val="Table Grid"/>
    <w:basedOn w:val="TableNormal"/>
    <w:uiPriority w:val="59"/>
    <w:rsid w:val="00702C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76404"/>
    <w:rPr>
      <w:rFonts w:ascii="Courier New" w:eastAsia="Times New Roman" w:hAnsi="Courier New" w:cs="Courier New"/>
      <w:sz w:val="20"/>
      <w:szCs w:val="20"/>
    </w:rPr>
  </w:style>
  <w:style w:type="character" w:styleId="PlaceholderText">
    <w:name w:val="Placeholder Text"/>
    <w:basedOn w:val="DefaultParagraphFont"/>
    <w:uiPriority w:val="99"/>
    <w:semiHidden/>
    <w:rsid w:val="00A638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157616">
      <w:bodyDiv w:val="1"/>
      <w:marLeft w:val="0"/>
      <w:marRight w:val="0"/>
      <w:marTop w:val="0"/>
      <w:marBottom w:val="0"/>
      <w:divBdr>
        <w:top w:val="none" w:sz="0" w:space="0" w:color="auto"/>
        <w:left w:val="none" w:sz="0" w:space="0" w:color="auto"/>
        <w:bottom w:val="none" w:sz="0" w:space="0" w:color="auto"/>
        <w:right w:val="none" w:sz="0" w:space="0" w:color="auto"/>
      </w:divBdr>
    </w:div>
    <w:div w:id="1570312596">
      <w:bodyDiv w:val="1"/>
      <w:marLeft w:val="0"/>
      <w:marRight w:val="0"/>
      <w:marTop w:val="0"/>
      <w:marBottom w:val="0"/>
      <w:divBdr>
        <w:top w:val="none" w:sz="0" w:space="0" w:color="auto"/>
        <w:left w:val="none" w:sz="0" w:space="0" w:color="auto"/>
        <w:bottom w:val="none" w:sz="0" w:space="0" w:color="auto"/>
        <w:right w:val="none" w:sz="0" w:space="0" w:color="auto"/>
      </w:divBdr>
    </w:div>
    <w:div w:id="1695308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9B900-CE2C-46EE-A417-FFBB659B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545</Words>
  <Characters>3110</Characters>
  <Application>Microsoft Office Word</Application>
  <DocSecurity>0</DocSecurity>
  <Lines>25</Lines>
  <Paragraphs>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한글제목 한글제목 한글제목 한글제목</vt:lpstr>
      <vt:lpstr>한글제목 한글제목 한글제목 한글제목</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한글제목 한글제목 한글제목 한글제목</dc:title>
  <dc:creator>cjy</dc:creator>
  <cp:lastModifiedBy>현용 정</cp:lastModifiedBy>
  <cp:revision>4</cp:revision>
  <cp:lastPrinted>2026-02-12T12:56:00Z</cp:lastPrinted>
  <dcterms:created xsi:type="dcterms:W3CDTF">2026-02-12T12:56:00Z</dcterms:created>
  <dcterms:modified xsi:type="dcterms:W3CDTF">2026-02-12T12:57:00Z</dcterms:modified>
</cp:coreProperties>
</file>