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Remote Work Policy Guidelines</w:t>
      </w:r>
    </w:p>
    <w:p>
      <w:pPr>
        <w:pStyle w:val="Heading2"/>
      </w:pPr>
      <w:r>
        <w:t>Purpose</w:t>
      </w:r>
    </w:p>
    <w:p>
      <w:r>
        <w:t>This policy establishes guidelines for remote work arrangements to ensure productivity, security, and work-life balance for all employees. Applies to full-time, part-time, and contract workers.</w:t>
      </w:r>
    </w:p>
    <w:p>
      <w:pPr>
        <w:pStyle w:val="Heading2"/>
      </w:pPr>
      <w:r>
        <w:t>Eligibility</w:t>
      </w:r>
    </w:p>
    <w:p>
      <w:r>
        <w:t>Employees may request remote work if: (1) Role responsibilities can be performed remotely, (2) Performance meets or exceeds expectations, (3) Home workspace meets ergonomic and security requirements.</w:t>
      </w:r>
    </w:p>
    <w:p>
      <w:pPr>
        <w:pStyle w:val="Heading2"/>
      </w:pPr>
      <w:r>
        <w:t>Requirements</w:t>
      </w:r>
    </w:p>
    <w:p>
      <w:r>
        <w:t>Equipment: Company-issued laptop with encrypted storage. Connectivity: Minimum 25 Mbps internet connection. Security: Use of VPN for all company system access. Availability: Core hours 10 AM - 3 PM local time for team collaboration.</w:t>
      </w:r>
    </w:p>
    <w:p>
      <w:pPr>
        <w:pStyle w:val="Heading2"/>
      </w:pPr>
      <w:r>
        <w:t>Approval Process</w:t>
      </w:r>
    </w:p>
    <w:p>
      <w:r>
        <w:t>Submit remote work request to manager with completed workspace assessment form. Manager approval required within 5 business days. IT department conducts security review before access granted.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