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Reimbursement Procedure</w:t>
      </w:r>
    </w:p>
    <w:p>
      <w:pPr>
        <w:pStyle w:val="Heading2"/>
      </w:pPr>
      <w:r>
        <w:t>Overview</w:t>
      </w:r>
    </w:p>
    <w:p>
      <w:r>
        <w:t>Employees may seek reimbursement for approved business expenses incurred in the course of their duties. This procedure outlines submission requirements and processing timelines.</w:t>
      </w:r>
    </w:p>
    <w:p>
      <w:pPr>
        <w:pStyle w:val="Heading2"/>
      </w:pPr>
      <w:r>
        <w:t>Eligible Expenses</w:t>
      </w:r>
    </w:p>
    <w:p>
      <w:r>
        <w:t>Travel: Airfare, lodging, ground transportation (excluding first-class upgrades). Meals: Up to $75 per day while traveling on business. Supplies: Office supplies and materials for business use. Client Entertainment: Reasonable meals and activities with prior approval.</w:t>
      </w:r>
    </w:p>
    <w:p>
      <w:pPr>
        <w:pStyle w:val="Heading2"/>
      </w:pPr>
      <w:r>
        <w:t>Submission Requirements</w:t>
      </w:r>
    </w:p>
    <w:p>
      <w:r>
        <w:t>1. Complete expense report form within 30 days of expense date. 2. Attach original itemized receipts (required for expenses over $25). 3. Include business purpose and attendees for meals/entertainment. 4. Obtain manager approval signature before submitting to Finance.</w:t>
      </w:r>
    </w:p>
    <w:p>
      <w:pPr>
        <w:pStyle w:val="Heading2"/>
      </w:pPr>
      <w:r>
        <w:t>Processing Timeline</w:t>
      </w:r>
    </w:p>
    <w:p>
      <w:r>
        <w:t>Finance reviews submissions within 5 business days. Approved reimbursements processed with next bi-weekly payroll. Incomplete submissions returned to employee with explanation. Questions directed to finance@example.com.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