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System Modernization Initiative</w:t>
      </w:r>
    </w:p>
    <w:p>
      <w:pPr>
        <w:pStyle w:val="Heading2"/>
      </w:pPr>
      <w:r>
        <w:t>Project Charter</w:t>
      </w:r>
    </w:p>
    <w:p>
      <w:r>
        <w:t>Project Name: Core Systems Modernization. Sponsor: CIO Rebecca Chen. Duration: 18 months (January 2025 - June 2026). Budget: $2.4M capital, $800K operational.</w:t>
      </w:r>
    </w:p>
    <w:p>
      <w:pPr>
        <w:pStyle w:val="Heading2"/>
      </w:pPr>
      <w:r>
        <w:t>Objectives</w:t>
      </w:r>
    </w:p>
    <w:p>
      <w:r>
        <w:t>1. Replace legacy ERP system with cloud-based solution. 2. Implement modern CRM with customer portal. 3. Migrate on-premise infrastructure to hybrid cloud. 4. Establish automated backup and disaster recovery.</w:t>
      </w:r>
    </w:p>
    <w:p>
      <w:pPr>
        <w:pStyle w:val="Heading2"/>
      </w:pPr>
      <w:r>
        <w:t>Key Milestones</w:t>
      </w:r>
    </w:p>
    <w:p>
      <w:r>
        <w:t>Phase 1 (Q1 2025): Requirements gathering and vendor selection. Phase 2 (Q2-Q3 2025): ERP implementation and data migration. Phase 3 (Q4 2025): CRM deployment and user training. Phase 4 (Q1-Q2 2026): Cloud migration and final testing.</w:t>
      </w:r>
    </w:p>
    <w:p>
      <w:pPr>
        <w:pStyle w:val="Heading2"/>
      </w:pPr>
      <w:r>
        <w:t>Success Metrics</w:t>
      </w:r>
    </w:p>
    <w:p>
      <w:r>
        <w:t>System uptime: 99.9% availability. User adoption: 95% active usage within 90 days of go-live. Performance: 50% reduction in report generation time. Cost: Total cost of ownership reduction of 30% over 3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