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παρουσιάζονται οι οδηγίες σε σχέση με το υπό ανάπτυξη σχέδιο συλλογής αναλυτικών στοιχείων από επενδυτικούς οργανισμούς από την Τράπεζα της Ελλάδος.</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"_f92f3405e33b59a0d222cc4e3ccef6f5" \h \z \u </w:instrText>
          </w:r>
          <w:r>
            <w:fldChar w:fldCharType="separate"/>
          </w:r>
          <w:hyperlink w:anchor="_c552cb8718cde5cb792e181f78f5fde1" w:history="1">
            <w:r>
              <w:t>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Υποβολή αρχείων</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3f14f6767c31cb4a1d22c13c18cc6fc3" w:history="1">
            <w:r>
              <w:t>Δομή Δεδομένων</w:t>
            </w:r>
            <w:r>
              <w:rPr>
                <w:webHidden/>
              </w:rPr>
              <w:tab/>
            </w:r>
            <w:r>
              <w:fldChar w:fldCharType="begin"/>
            </w:r>
            <w:r>
              <w:rPr>
                <w:webHidden/>
              </w:rPr>
              <w:instrText xml:space="preserve"> PAGEREF _3f14f6767c31cb4a1d22c13c18cc6fc3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785a4d6876e26b57458d75c8a567a4d" w:history="1">
            <w:r>
              <w:t>Κατηγορίες Δεδομένων</w:t>
            </w:r>
            <w:r>
              <w:rPr>
                <w:webHidden/>
              </w:rPr>
              <w:tab/>
            </w:r>
            <w:r>
              <w:fldChar w:fldCharType="begin"/>
            </w:r>
            <w:r>
              <w:rPr>
                <w:webHidden/>
              </w:rPr>
              <w:instrText xml:space="preserve"> PAGEREF _5785a4d6876e26b57458d75c8a567a4d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Επικύρωση</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κωδικοί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03cd726c601b96c034fcfe957a2734de" w:history="1">
            <w:r>
              <w:t>Μονάδες Παροχής Στοιχείων</w:t>
            </w:r>
            <w:r>
              <w:rPr>
                <w:webHidden/>
              </w:rPr>
              <w:tab/>
            </w:r>
            <w:r>
              <w:fldChar w:fldCharType="begin"/>
            </w:r>
            <w:r>
              <w:rPr>
                <w:webHidden/>
              </w:rPr>
              <w:instrText xml:space="preserve"> PAGEREF _03cd726c601b96c034fcfe957a2734de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f92f3405e33b59a0d222cc4e3ccef6f5"/>
    <w:bookmarkStart w:id="5" w:name="_c552cb8718cde5cb792e181f78f5fde1"/>
    <w:bookmarkStart w:id="6" w:name="_6ff42c5f4161f16e00dcb4959252e38d"/>
    <w:p>
      <w:pPr>
        <w:pStyle w:val="Heading3"/>
        <w:keepNext/>
      </w:pPr>
      <w:r>
        <w:t>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Οδηγίες IFDat σε PDF</w:t>
      </w:r>
    </w:p>
    <w:p>
      <w:pPr>
        <w:pStyle w:val="ListBullet"/>
        <w:numPr>
          <w:ilvl w:val="0"/>
          <w:numId w:val="2"/>
        </w:numPr>
        <w:ind w:leftChars="0" w:left="480" w:right="0"/>
      </w:pPr>
      <w:r>
        <w:rPr>
          <w:rFonts w:ascii="Consolas" w:eastAsia="ＭＳ ゴシック" w:hansitheme="majorhansi"/>
          <w:color w:val="E74C3C"/>
          <w:sz w:val="20"/>
          <w:szCs w:val="20"/>
          <w:noProof/>
        </w:rPr>
        <w:t>Οδηγίες IFDat σε DOCX</w:t>
      </w:r>
    </w:p>
    <w:bookmarkEnd w:id="6"/>
    <w:bookmarkEnd w:id="5"/>
    <w:bookmarkStart w:id="7" w:name="_07b8a4f47b749e0388e01a5dbfdebd75"/>
    <w:bookmarkStart w:id="8" w:name="_ba6823de279d560928e433c9f15fb63d"/>
    <w:p>
      <w:pPr>
        <w:pStyle w:val="Heading3"/>
        <w:keepNext/>
      </w:pPr>
      <w:r>
        <w:t>Κανονισμός</w:t>
      </w:r>
    </w:p>
    <w:bookmarkStart w:id="9" w:name="_c5217d9a7d82e5c1ea8df56b898fc01d"/>
    <w:p>
      <w:pPr>
        <w:pStyle w:val="Heading4"/>
        <w:keepNext/>
      </w:pPr>
      <w:r>
        <w:t>Άρθρο 1: Πεδίο εφαρμογής - πληθυσμός παροχής στοιχείων</w:t>
      </w:r>
    </w:p>
    <w:p>
      <w:pPr>
        <w:pStyle w:val="Body Text"/>
        <w:ind w:leftChars="0" w:left="0" w:right="0"/>
      </w:pPr>
      <w:r>
        <w:t>Στην έννοια του Επενδυτικού Οργανισμού εμπίπτουν:</w:t>
      </w:r>
    </w:p>
    <w:p>
      <w:pPr>
        <w:pStyle w:val="ListNumber"/>
        <w:numPr>
          <w:ilvl w:val="0"/>
          <w:numId w:val="4"/>
        </w:numPr>
        <w:ind w:leftChars="0" w:left="480" w:right="0"/>
      </w:pPr>
      <w:r>
        <w:t>Οι οργανισμοί συλλογικών επενδύσεων σε κινητές αξίες (ΟΣΕΚΑ) με κράτος - μέλος καταγωγής την Ελλάδα (ν. 4099/2012).</w:t>
      </w:r>
    </w:p>
    <w:p>
      <w:pPr>
        <w:pStyle w:val="ListNumber"/>
        <w:numPr>
          <w:ilvl w:val="0"/>
          <w:numId w:val="4"/>
        </w:numPr>
        <w:ind w:leftChars="0" w:left="480" w:right="0"/>
      </w:pPr>
      <w:r>
        <w:t>Οι οργανισμοί εναλλακτικών επενδύσεων (ΟΕΕ) με κράτος - μέλος καταγωγής την Ελλάδα (ν. 4209/2013).</w:t>
      </w:r>
    </w:p>
    <w:p>
      <w:pPr>
        <w:pStyle w:val="ListNumber"/>
        <w:numPr>
          <w:ilvl w:val="0"/>
          <w:numId w:val="4"/>
        </w:numPr>
        <w:ind w:leftChars="0" w:left="480" w:right="0"/>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Number"/>
        <w:numPr>
          <w:ilvl w:val="0"/>
          <w:numId w:val="4"/>
        </w:numPr>
        <w:ind w:leftChars="0" w:left="480" w:right="0"/>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pPr>
        <w:pStyle w:val="Body Text"/>
        <w:ind w:leftChars="0" w:left="0" w:right="0"/>
      </w:pPr>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ή/και πληροφοριακά στοιχεία για την ίδια που επίσης περιγράφονται στο Άρθρο 3. Η ΜΠΣ της κάθε ΠΜ είναι είτε η ΠΜ, είτε η διαχειρίστρια εταιρεία της.</w:t>
      </w:r>
    </w:p>
    <w:bookmarkEnd w:id="9"/>
    <w:bookmarkStart w:id="10" w:name="_a5c83e45dde6f727f783aa767f4702c3"/>
    <w:p>
      <w:pPr>
        <w:pStyle w:val="Heading4"/>
        <w:keepNext/>
      </w:pPr>
      <w:r>
        <w:t>Άρθρο 2: Παροχή στοιχείων ανά επενδυτικό οργανισμό</w:t>
      </w:r>
    </w:p>
    <w:p>
      <w:pPr>
        <w:pStyle w:val="Body Text"/>
        <w:ind w:leftChars="0" w:left="0" w:right="0"/>
      </w:pPr>
      <w:r>
        <w:t>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rPr>
          <w:rFonts w:ascii="Consolas" w:eastAsia="ＭＳ ゴシック" w:hansitheme="majorhansi"/>
          <w:color w:val="E74C3C"/>
          <w:sz w:val="20"/>
          <w:szCs w:val="20"/>
          <w:noProof/>
        </w:rP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bookmarkEnd w:id="10"/>
    <w:bookmarkStart w:id="11" w:name="_27f91881eecd1026f7ecfe0cceb95016"/>
    <w:p>
      <w:pPr>
        <w:pStyle w:val="Heading4"/>
        <w:keepNext/>
      </w:pPr>
      <w:r>
        <w:t>Άρθρο 3: Παρεχόμενα στοιχεία και προθεσμίες υποβολής τους</w:t>
      </w:r>
    </w:p>
    <w:p>
      <w:pPr>
        <w:pStyle w:val="Body Text"/>
        <w:ind w:leftChars="0" w:left="0" w:right="0"/>
      </w:pPr>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δύο:</w:t>
      </w:r>
    </w:p>
    <w:bookmarkStart w:id="12" w:name="_b36a01243e2946a16050139d60bf852a"/>
    <w:p>
      <w:pPr>
        <w:pStyle w:val="Heading5"/>
        <w:keepNext/>
      </w:pPr>
      <w:r>
        <w:t>Στοιχεία Αναφοράς (REF)</w:t>
      </w:r>
    </w:p>
    <w:p>
      <w:pPr>
        <w:pStyle w:val="Body Text"/>
        <w:ind w:leftChars="0" w:left="0" w:right="0"/>
      </w:pPr>
      <w:r>
        <w:t>Παρέχονται στοιχεία αναφοράς σε σχέση με τις ΠΜ, τις ΜΠΣ, τα προσώπα επικοινωνίας, τους τίτλους που εκδίδουν οι ΠΜ, τα στοιχεία που διακρατούνε στο χαρτοφυλάκιο τους.</w:t>
      </w:r>
    </w:p>
    <w:bookmarkEnd w:id="12"/>
    <w:bookmarkStart w:id="13" w:name="_7fb1a5adaddd29d2940d309402ad0ffb"/>
    <w:p>
      <w:pPr>
        <w:pStyle w:val="Heading5"/>
        <w:keepNext/>
      </w:pPr>
      <w:r>
        <w:t>Λογιστικά Στοιχεία (ACC)</w:t>
      </w:r>
    </w:p>
    <w:p>
      <w:pPr>
        <w:pStyle w:val="Body Text"/>
        <w:ind w:leftChars="0" w:left="0" w:right="0"/>
      </w:pPr>
      <w:r>
        <w:t>Παρέχονται αναλυτικά λογιστικά στοιχεία των ΠΜ.</w:t>
      </w:r>
    </w:p>
    <w:bookmarkEnd w:id="13"/>
    <w:bookmarkEnd w:id="11"/>
    <w:bookmarkStart w:id="14" w:name="_ddb86cb24e250101d7c177f467cfca43"/>
    <w:p>
      <w:pPr>
        <w:pStyle w:val="Heading4"/>
        <w:keepNext/>
      </w:pPr>
      <w:r>
        <w:t>Άρθρο 4: Ημερομηνίες υποβολλής στοιχείων</w:t>
      </w:r>
    </w:p>
    <w:p>
      <w:pPr>
        <w:pStyle w:val="Body Text"/>
        <w:ind w:leftChars="0" w:left="0" w:right="0"/>
      </w:pPr>
      <w:r>
        <w:t>Τα στοιχεία που αφορούν ΠΜ που είναι ΟΣΕΚΑ αποστέλλονται μηνιαία μέχρι και δέκα εργάσιμες μέρες του επόμενου από τη διαθεσιμότητα των στοιχείων μήνα.  Τα στοιχεία που αφορούν ΠΜ που δεν είναι ΟΣΕΚΑ αποστέλλονται τριμηνιαία μέχρι και την τελευταία εργάσιμη μέρα του μήνα που ακολουθεί το τρίμηνο όπου τα στοιχεία στοιχεία υποβάλλονται.  Για την κατηγορία στοιχείων REF πέρα από την αρχική υποβολή όπου συμπληρώνονται τα πλήρη στοιχεία, αρχεία αποστέλλονται μόνο όταν προκύπτουν νέα στοιχεία, μεταβολές ή διορθώσεις.  Για την κατηγορία στοιχείων BSI σε περίπτωση συγχώνευσης μίας ΠΜ με μία άλλη οντότητα η περίοδος αναφοράς των τελικών στοιχείων της ΠΜ που συγχωνεύτηκε είναι η ημερομηνία συγχώνευσης. Για την κατηγορία στοιχείων BSI σε περίπτωση αναταξινόμησης του θεσμικού τομέα της ΠΜ από ή προς επενδυτικό οργανισμό ή σε περίπτωση αλλαγής του είδους του επενδυτικού οργανισμού τα στοιχεία παρέχονται τόσο με τελική ημερομηνία της περιόδου αναφοράς το τέλος του μήνα ή του τριμήνου αντίστοιχα αλλά και την ημερομηνία αναταξινόμησης ή την ημερομηνία αλλαγής κατηγορίας. Σε κάθε αποστολή δύναται η διόρθωση προηγούμενων στοιχείων ή ο εμπλουτισμός με ιστορικά στοιχεία.  Ένας νέος επενδυτικός οργανισμός έχει έως και έξι μήνες περιθώριο να ξεκινήσει την αποστολή στοιχείων IFDat.</w:t>
      </w:r>
    </w:p>
    <w:bookmarkEnd w:id="14"/>
    <w:bookmarkStart w:id="15" w:name="_93a5e0db39fc6328f8e93219db4f8b3a"/>
    <w:p>
      <w:pPr>
        <w:pStyle w:val="Heading4"/>
        <w:keepNext/>
      </w:pPr>
      <w:r>
        <w:t>Άρθρο 5: Σχήμα αναγγελίας και αναλυτικές οδηγίες</w:t>
      </w:r>
    </w:p>
    <w:p>
      <w:pPr>
        <w:pStyle w:val="Body Text"/>
        <w:ind w:leftChars="0" w:left="0" w:right="0"/>
      </w:pPr>
      <w:r>
        <w:t xml:space="preserve">Το σχήμα αναγγελίας και οι οδηγίες του βρίσκονται στον σύνδεσμο </w:t>
      </w:r>
      <w:hyperlink xmlns:r="http://schemas.openxmlformats.org/officeDocument/2006/relationships" r:id="rId17">
        <w:r>
          <w:rPr>
            <w:rStyle w:val="Hyperlink"/>
          </w:rPr>
          <w:t>αυτό</w:t>
        </w:r>
      </w:hyperlink>
      <w:r>
        <w:t xml:space="preserve">.  Το ιστορικό του σχήματος αναγγελίας και των οδηγιών περιγράφεται </w:t>
      </w:r>
      <w:hyperlink xmlns:r="http://schemas.openxmlformats.org/officeDocument/2006/relationships" r:id="rId18">
        <w:r>
          <w:rPr>
            <w:rStyle w:val="Hyperlink"/>
          </w:rPr>
          <w:t>εδώ</w:t>
        </w:r>
      </w:hyperlink>
      <w:r>
        <w:t>.</w:t>
      </w:r>
    </w:p>
    <w:bookmarkEnd w:id="15"/>
    <w:bookmarkStart w:id="16" w:name="_38b2b945def1cde34d50ac09f0ca166f"/>
    <w:p>
      <w:pPr>
        <w:pStyle w:val="Heading4"/>
        <w:keepNext/>
      </w:pPr>
      <w:r>
        <w:t>Άρθρο 6: Ημερομηνία εφαρμογής</w:t>
      </w:r>
    </w:p>
    <w:p>
      <w:pPr>
        <w:pStyle w:val="Body Text"/>
        <w:ind w:leftChars="0" w:left="0" w:right="0"/>
      </w:pPr>
      <w:r>
        <w:t xml:space="preserve">Η πρώτη υποβολή στοιχείων θα ξεκινήσει τον ΧΧΧ. Παρέχεται όμως η δυνατότητα σε οποιαδήποτε </w:t>
      </w:r>
      <w:r>
        <w:rPr>
          <w:rFonts w:ascii="Consolas" w:eastAsia="ＭＳ ゴシック" w:hansitheme="majorhansi"/>
          <w:color w:val="E74C3C"/>
          <w:sz w:val="20"/>
          <w:szCs w:val="20"/>
          <w:noProof/>
        </w:rP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χρόνο.  Οι αλλαγές θα δημοσιεύονται έως τις 30/6 κάθε έτους </w:t>
      </w:r>
      <w:hyperlink xmlns:r="http://schemas.openxmlformats.org/officeDocument/2006/relationships" r:id="rId18">
        <w:r>
          <w:rPr>
            <w:rStyle w:val="Hyperlink"/>
          </w:rPr>
          <w:t>εδώ</w:t>
        </w:r>
      </w:hyperlink>
      <w:r>
        <w:t xml:space="preserve"> με εφαρμογή για την περίοδο αναφοράς του ερχόμενου Δεκεμβρίου και πρώτη αναγγελία εντός τον Ιανουάριο του επόμενου έτους.</w:t>
      </w:r>
    </w:p>
    <w:bookmarkEnd w:id="16"/>
    <w:bookmarkStart w:id="17" w:name="_e4011442d0c5a9307f2b89b36689dfdb"/>
    <w:p>
      <w:pPr>
        <w:pStyle w:val="Heading4"/>
        <w:keepNext/>
      </w:pPr>
      <w:r>
        <w:t>Άρθρο 7: Κυρώσεις</w:t>
      </w:r>
    </w:p>
    <w:p>
      <w:pPr>
        <w:pStyle w:val="Body Text"/>
        <w:ind w:leftChars="0" w:left="0" w:right="0"/>
      </w:pPr>
      <w:r>
        <w:t>Σε περίπτωση ελλιπούς, εσφαλμένης ή εκπρόθεσμης υποβολής των ως άνω στοιχείων εφαρμόζονται οι περί κυρώσεων σχετικές διατάξεις ΧΧΧ.</w:t>
      </w:r>
    </w:p>
    <w:bookmarkStart w:id="18" w:name="_4adea93039c33796e1e88577e6a8b2f0"/>
    <w:bookmarkEnd w:id="18"/>
    <w:bookmarkStart w:id="19" w:name="_cac0cc4611e7e6391a7b459032b90eb9"/>
    <w:bookmarkEnd w:id="19"/>
    <w:bookmarkEnd w:id="17"/>
    <w:bookmarkEnd w:id="8"/>
    <w:bookmarkEnd w:id="7"/>
    <w:bookmarkStart w:id="20" w:name="_d071b0acb4e85cd66e9a7ae0a8aece91"/>
    <w:bookmarkStart w:id="21" w:name="_3c23df77d37f58c2f2bb65e2eb6adf4a"/>
    <w:p>
      <w:pPr>
        <w:pStyle w:val="Heading3"/>
        <w:keepNext/>
      </w:pPr>
      <w:r>
        <w:t>Υποβολή αρχείων</w:t>
      </w:r>
    </w:p>
    <w:p>
      <w:pPr>
        <w:pStyle w:val="Body Text"/>
        <w:ind w:leftChars="0" w:left="0" w:right="0"/>
      </w:pPr>
      <w:r>
        <w:t xml:space="preserve">Τα αρχεία υποβάλλονται μέσω του πληροφοριακού συστήματος </w:t>
      </w:r>
      <w:r>
        <w:rPr>
          <w:b/>
          <w:bCs/>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rPr>
          <w:rFonts w:ascii="Consolas" w:eastAsia="ＭＳ ゴシック" w:hansitheme="majorhansi"/>
          <w:color w:val="E74C3C"/>
          <w:sz w:val="20"/>
          <w:szCs w:val="20"/>
          <w:noProof/>
        </w:rP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F0000000005_aloumiotis_data_submission.xlsx</w:t>
      </w:r>
      <w:r>
        <w:t>.</w:t>
      </w:r>
    </w:p>
    <w:p>
      <w:pPr>
        <w:pStyle w:val="Body Text"/>
        <w:ind w:leftChars="0" w:left="0" w:right="0"/>
      </w:pPr>
      <w:r>
        <w:t>Τα αρχεία πρέπει να έχουν μία από τις παρακάτω μορφές:</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.json</w:t>
      </w:r>
      <w:r>
        <w:t xml:space="preserve">.  Το αρχείο θα πρέπει να δομείται σύμφωνα με το αντίστοιχο </w:t>
      </w:r>
      <w:r>
        <w:rPr>
          <w:b/>
          <w:bCs/>
        </w:rPr>
        <w:t>json schema</w:t>
      </w:r>
      <w:r>
        <w:t>.</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.xlsx</w:t>
      </w:r>
      <w:r>
        <w:t>.  Συμπληρώνετε χρησιμοποιώντας τα παρεχόμενα υποδείγματα για κάθε κατηγορία στοιχείων.</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.zip</w:t>
      </w:r>
      <w:r>
        <w:t>.  Συμπιεσμένο τύπου αρχείο που θα πρέπει να περιλαμβάνει στο αρχικό του φάκελο ένα αρχείο των προηγούμενων κατηγοριών.  Οποιοδήποτε άλλο αρχείο δεν θα επεξεργάζεται.</w:t>
      </w:r>
    </w:p>
    <w:p>
      <w:pPr>
        <w:pStyle w:val="Body Text"/>
        <w:ind w:leftChars="0" w:left="0" w:right="0"/>
      </w:pPr>
      <w:r>
        <w:t>Σε περίπτωση που το υποβαλλόμενο αρχείο δεν έχουν μία από τις παραπάνω μορφές τότε ο χρήσητης θα παραλαμβάνει απαντητικό ότι η μορφή του υποβαλλόμενου αρχείου είναι λανθασμένη.</w:t>
      </w:r>
    </w:p>
    <w:bookmarkEnd w:id="21"/>
    <w:bookmarkEnd w:id="20"/>
    <w:bookmarkStart w:id="22" w:name="_3f14f6767c31cb4a1d22c13c18cc6fc3"/>
    <w:bookmarkStart w:id="23" w:name="_c3b3e392b279e50ee5b94cce53965592"/>
    <w:p>
      <w:pPr>
        <w:pStyle w:val="Heading3"/>
        <w:keepNext/>
      </w:pPr>
      <w:r>
        <w:t>Δομή Δεδομένων</w:t>
      </w:r>
    </w:p>
    <w:p>
      <w:pPr>
        <w:pStyle w:val="Body Text"/>
        <w:ind w:leftChars="0" w:left="0" w:right="0"/>
      </w:pPr>
      <w:r>
        <w:t xml:space="preserve">Κάθε κατηγορία δεδομένων του </w:t>
      </w:r>
      <w:r>
        <w:rPr>
          <w:b/>
          <w:bCs/>
        </w:rPr>
        <w:t>IFDat</w:t>
      </w:r>
      <w:r>
        <w:t xml:space="preserve">  αποτελείται από </w:t>
      </w:r>
      <w:r>
        <w:rPr>
          <w:b/>
          <w:bCs/>
        </w:rPr>
        <w:t>πίνακες δεδομένων</w:t>
      </w:r>
      <w:r>
        <w:t xml:space="preserve"> και η δομή του κάθε πίνακα δεδομένων περιγράφεται από τον </w:t>
      </w:r>
      <w:r>
        <w:rPr>
          <w:b/>
          <w:bCs/>
        </w:rPr>
        <w:t>Ορισμό Δομής Δεδομένων</w:t>
      </w:r>
      <w:r>
        <w:t xml:space="preserve"> (</w:t>
      </w:r>
      <w:r>
        <w:rPr>
          <w:b/>
          <w:bCs/>
        </w:rPr>
        <w:t>Data Structure Definition</w:t>
      </w:r>
      <w:r>
        <w:t xml:space="preserve">) που ακολουθεί τις βασικές αρχές του πρότυπο πληροφοριών </w:t>
      </w:r>
      <w:r>
        <w:rPr>
          <w:rFonts w:ascii="Consolas" w:eastAsia="ＭＳ ゴシック" w:hansitheme="majorhansi"/>
          <w:color w:val="E74C3C"/>
          <w:sz w:val="20"/>
          <w:szCs w:val="20"/>
          <w:noProof/>
        </w:rPr>
        <w:t>SDMX</w:t>
      </w:r>
      <w:r>
        <w:t>.</w:t>
      </w:r>
    </w:p>
    <w:p>
      <w:pPr>
        <w:pStyle w:val="Body Text"/>
        <w:ind w:leftChars="0" w:left="0" w:right="0"/>
      </w:pPr>
      <w:r>
        <w:t xml:space="preserve">Συνοπτικά κάθε πίνακας αποτελείται από </w:t>
      </w:r>
      <w:r>
        <w:rPr>
          <w:rFonts w:ascii="Consolas" w:eastAsia="ＭＳ ゴシック" w:hansitheme="majorhansi"/>
          <w:color w:val="E74C3C"/>
          <w:sz w:val="20"/>
          <w:szCs w:val="20"/>
          <w:noProof/>
        </w:rPr>
        <w:t>παρατηρήσεις</w:t>
      </w:r>
      <w:r>
        <w:t xml:space="preserve"> και κάθε παρατήρηση αποτελείται από </w:t>
      </w:r>
      <w:r>
        <w:rPr>
          <w:rFonts w:ascii="Consolas" w:eastAsia="ＭＳ ゴシック" w:hansitheme="majorhansi"/>
          <w:color w:val="E74C3C"/>
          <w:sz w:val="20"/>
          <w:szCs w:val="20"/>
          <w:noProof/>
        </w:rPr>
        <w:t>τιμές</w:t>
      </w:r>
      <w:r>
        <w:t xml:space="preserve"> για μερικές ή όλες τις </w:t>
      </w:r>
      <w:r>
        <w:rPr>
          <w:rFonts w:ascii="Consolas" w:eastAsia="ＭＳ ゴシック" w:hansitheme="majorhansi"/>
          <w:color w:val="E74C3C"/>
          <w:sz w:val="20"/>
          <w:szCs w:val="20"/>
          <w:noProof/>
        </w:rPr>
        <w:t>διαστάσεις</w:t>
      </w:r>
      <w:r>
        <w:t xml:space="preserve"> και για μερικές ή όλες τις </w:t>
      </w:r>
      <w:r>
        <w:rPr>
          <w:rFonts w:ascii="Consolas" w:eastAsia="ＭＳ ゴシック" w:hansitheme="majorhansi"/>
          <w:color w:val="E74C3C"/>
          <w:sz w:val="20"/>
          <w:szCs w:val="20"/>
          <w:noProof/>
        </w:rPr>
        <w:t>μεταβλητές</w:t>
      </w:r>
      <w:r>
        <w:t xml:space="preserve"> ανάλογα με την υποχρεωτικότητα τους.</w:t>
      </w:r>
    </w:p>
    <w:p>
      <w:pPr>
        <w:pStyle w:val="Body Text"/>
        <w:ind w:leftChars="0" w:left="0" w:right="0"/>
      </w:pPr>
      <w:r>
        <w:t xml:space="preserve">Οι τιμές των διαστάσεων ορίζουν το </w:t>
      </w:r>
      <w:r>
        <w:rPr>
          <w:rFonts w:ascii="Consolas" w:eastAsia="ＭＳ ゴシック" w:hansitheme="majorhansi"/>
          <w:color w:val="E74C3C"/>
          <w:sz w:val="20"/>
          <w:szCs w:val="20"/>
          <w:noProof/>
        </w:rPr>
        <w:t>κλειδί</w:t>
      </w:r>
      <w:r>
        <w:t xml:space="preserve"> της παρατήρησης και οι τιμές των μεταβλητών περιγράφουν το </w:t>
      </w:r>
      <w:r>
        <w:rPr>
          <w:rFonts w:ascii="Consolas" w:eastAsia="ＭＳ ゴシック" w:hansitheme="majorhansi"/>
          <w:color w:val="E74C3C"/>
          <w:sz w:val="20"/>
          <w:szCs w:val="20"/>
          <w:noProof/>
        </w:rPr>
        <w:t>κλειδί</w:t>
      </w:r>
      <w:r>
        <w:t>.  Οι τιμές των χαρακτηριστικών περιγράφουν τις τιμές των μεταβλητών με τις οποίες είναι συνδεδεμένες.</w:t>
      </w:r>
    </w:p>
    <w:p>
      <w:pPr>
        <w:pStyle w:val="Body Text"/>
        <w:ind w:leftChars="0" w:left="0" w:right="0"/>
      </w:pPr>
      <w:r>
        <w:t xml:space="preserve">Η δομή του IFDat περιγράφεται συνολικά από ένα αρχείο </w:t>
      </w:r>
      <w:r>
        <w:rPr>
          <w:b/>
          <w:bCs/>
        </w:rPr>
        <w:t>Excel</w:t>
      </w:r>
      <w:r>
        <w:t xml:space="preserve"> με ονομασία </w:t>
      </w:r>
      <w:r>
        <w:rPr>
          <w:b/>
          <w:bCs/>
        </w:rPr>
        <w:t>IFDAT_DATAMODEL.xlsx</w:t>
      </w:r>
      <w:r>
        <w:t xml:space="preserve"> και θα αποκαλείται ως το </w:t>
      </w:r>
      <w:r>
        <w:rPr>
          <w:b/>
          <w:bCs/>
        </w:rPr>
        <w:t>DATA MODEL</w:t>
      </w:r>
      <w:r>
        <w:t>.</w:t>
      </w:r>
    </w:p>
    <w:p>
      <w:pPr>
        <w:pStyle w:val="Body Text"/>
        <w:ind w:leftChars="0" w:left="0" w:right="0"/>
      </w:pPr>
      <w:r>
        <w:t xml:space="preserve">Παρακάτω δίνεται σύνδεσμος για την περιγραφή των φύλλων που περιέχονται στο </w:t>
      </w:r>
      <w:r>
        <w:rPr>
          <w:b/>
          <w:bCs/>
        </w:rPr>
        <w:t>DATA MODEL</w:t>
      </w:r>
      <w:r>
        <w:t>:</w:t>
      </w:r>
    </w:p>
    <w:p>
      <w:pPr>
        <w:pStyle w:val="Body Text"/>
        <w:ind w:leftChars="0" w:left="0" w:right="0"/>
      </w:pPr>
      <w:r>
        <w:t xml:space="preserve">Στο σύνδεσμο </w:t>
      </w:r>
      <w:hyperlink w:anchor="_3abca5a1d3f6467418013130de4b0a1f">
        <w:r>
          <w:rPr>
            <w:rStyle w:val="Hyperlink"/>
          </w:rPr>
          <w:t>DSDS</w:t>
        </w:r>
      </w:hyperlink>
      <w:r>
        <w:t xml:space="preserve"> περιγράφεται το φύλλο </w:t>
      </w:r>
      <w:r>
        <w:rPr>
          <w:b/>
          <w:bCs/>
        </w:rPr>
        <w:t>DSDS</w:t>
      </w:r>
    </w:p>
    <w:p>
      <w:pPr>
        <w:pStyle w:val="Body Text"/>
        <w:ind w:leftChars="0" w:left="0" w:right="0"/>
      </w:pPr>
      <w:r>
        <w:t xml:space="preserve">Στο σύνδεσμο </w:t>
      </w:r>
      <w:hyperlink w:anchor="_59f617e6d6f1224a6768a9b839f23aa5">
        <w:r>
          <w:rPr>
            <w:rStyle w:val="Hyperlink"/>
          </w:rPr>
          <w:t>DIMS</w:t>
        </w:r>
      </w:hyperlink>
      <w:r>
        <w:t xml:space="preserve"> περιγράφεται το φύλλο </w:t>
      </w:r>
      <w:r>
        <w:rPr>
          <w:b/>
          <w:bCs/>
        </w:rPr>
        <w:t>DIMS</w:t>
      </w:r>
    </w:p>
    <w:p>
      <w:pPr>
        <w:pStyle w:val="Body Text"/>
        <w:ind w:leftChars="0" w:left="0" w:right="0"/>
      </w:pPr>
      <w:r>
        <w:t xml:space="preserve">Στο σύνδεσμο </w:t>
      </w:r>
      <w:hyperlink w:anchor="_01b8c60712fc67b3df2bf7decff5d09f">
        <w:r>
          <w:rPr>
            <w:rStyle w:val="Hyperlink"/>
          </w:rPr>
          <w:t>MEASURES</w:t>
        </w:r>
      </w:hyperlink>
      <w:r>
        <w:t xml:space="preserve"> περιγράφεται το φύλλο </w:t>
      </w:r>
      <w:r>
        <w:rPr>
          <w:b/>
          <w:bCs/>
        </w:rPr>
        <w:t>MEASURES</w:t>
      </w:r>
    </w:p>
    <w:p>
      <w:pPr>
        <w:pStyle w:val="Body Text"/>
        <w:ind w:leftChars="0" w:left="0" w:right="0"/>
      </w:pPr>
      <w:r>
        <w:t xml:space="preserve">Στο σύνδεσμο </w:t>
      </w:r>
      <w:hyperlink w:anchor="_45140c98a7df1c21966ea43c0a1bf23e">
        <w:r>
          <w:rPr>
            <w:rStyle w:val="Hyperlink"/>
          </w:rPr>
          <w:t>TYPES</w:t>
        </w:r>
      </w:hyperlink>
      <w:r>
        <w:t xml:space="preserve"> περιγράφονται οι μορφότυποι των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"_d6c0cac5f8eda84a0ab33a40a9f3ec74" \h \z \u </w:instrText>
          </w:r>
          <w:r>
            <w:fldChar w:fldCharType="separate"/>
          </w:r>
          <w:hyperlink w:anchor="_3abca5a1d3f6467418013130de4b0a1f" w:history="1">
            <w:r>
              <w:t>DSDS</w:t>
            </w:r>
            <w:r>
              <w:rPr>
                <w:webHidden/>
              </w:rPr>
              <w:tab/>
            </w:r>
            <w:r>
              <w:fldChar w:fldCharType="begin"/>
            </w:r>
            <w:r>
              <w:rPr>
                <w:webHidden/>
              </w:rPr>
              <w:instrText xml:space="preserve"> PAGEREF _3abca5a1d3f6467418013130de4b0a1f \h </w:instrText>
            </w:r>
            <w:r>
              <w:fldChar w:fldCharType="separate"/>
            </w:r>
            <w:r>
              <w:rPr>
                <w:webHidden/>
              </w:rPr>
              <w:t>X</w:t>
            </w:r>
            <w:r>
              <w:fldChar w:fldCharType="end"/>
            </w:r>
          </w:hyperlink>
        </w:p>
        <w:p>
          <w:pPr>
            <w:pStyle w:val="toc 1"/>
            <w:tabs>
              <w:tab w:val="right" w:leader="dot" w:pos="8488"/>
            </w:tabs>
            <w:rPr>
              <w:b w:val="0"/>
              <w:noProof/>
            </w:rPr>
          </w:pPr>
          <w:hyperlink w:anchor="_59f617e6d6f1224a6768a9b839f23aa5" w:history="1">
            <w:r>
              <w:t>DIMS</w:t>
            </w:r>
            <w:r>
              <w:rPr>
                <w:webHidden/>
              </w:rPr>
              <w:tab/>
            </w:r>
            <w:r>
              <w:fldChar w:fldCharType="begin"/>
            </w:r>
            <w:r>
              <w:rPr>
                <w:webHidden/>
              </w:rPr>
              <w:instrText xml:space="preserve"> PAGEREF _59f617e6d6f1224a6768a9b839f23aa5 \h </w:instrText>
            </w:r>
            <w:r>
              <w:fldChar w:fldCharType="separate"/>
            </w:r>
            <w:r>
              <w:rPr>
                <w:webHidden/>
              </w:rPr>
              <w:t>X</w:t>
            </w:r>
            <w:r>
              <w:fldChar w:fldCharType="end"/>
            </w:r>
          </w:hyperlink>
        </w:p>
        <w:p>
          <w:pPr>
            <w:pStyle w:val="toc 1"/>
            <w:tabs>
              <w:tab w:val="right" w:leader="dot" w:pos="8488"/>
            </w:tabs>
            <w:rPr>
              <w:b w:val="0"/>
              <w:noProof/>
            </w:rPr>
          </w:pPr>
          <w:hyperlink w:anchor="_01b8c60712fc67b3df2bf7decff5d09f" w:history="1">
            <w:r>
              <w:t>MEASURES</w:t>
            </w:r>
            <w:r>
              <w:rPr>
                <w:webHidden/>
              </w:rPr>
              <w:tab/>
            </w:r>
            <w:r>
              <w:fldChar w:fldCharType="begin"/>
            </w:r>
            <w:r>
              <w:rPr>
                <w:webHidden/>
              </w:rPr>
              <w:instrText xml:space="preserve"> PAGEREF _01b8c60712fc67b3df2bf7decff5d09f \h </w:instrText>
            </w:r>
            <w:r>
              <w:fldChar w:fldCharType="separate"/>
            </w:r>
            <w:r>
              <w:rPr>
                <w:webHidden/>
              </w:rPr>
              <w:t>X</w:t>
            </w:r>
            <w:r>
              <w:fldChar w:fldCharType="end"/>
            </w:r>
          </w:hyperlink>
        </w:p>
        <w:p>
          <w:pPr>
            <w:pStyle w:val="toc 1"/>
            <w:tabs>
              <w:tab w:val="right" w:leader="dot" w:pos="8488"/>
            </w:tabs>
            <w:rPr>
              <w:b w:val="0"/>
              <w:noProof/>
            </w:rPr>
          </w:pPr>
          <w:hyperlink w:anchor="_ff48d87ccca7437a913d3eb4ae2a4807" w:history="1">
            <w:r>
              <w:t>ATTRS</w:t>
            </w:r>
            <w:r>
              <w:rPr>
                <w:webHidden/>
              </w:rPr>
              <w:tab/>
            </w:r>
            <w:r>
              <w:fldChar w:fldCharType="begin"/>
            </w:r>
            <w:r>
              <w:rPr>
                <w:webHidden/>
              </w:rPr>
              <w:instrText xml:space="preserve"> PAGEREF _ff48d87ccca7437a913d3eb4ae2a4807 \h </w:instrText>
            </w:r>
            <w:r>
              <w:fldChar w:fldCharType="separate"/>
            </w:r>
            <w:r>
              <w:rPr>
                <w:webHidden/>
              </w:rPr>
              <w:t>X</w:t>
            </w:r>
            <w:r>
              <w:fldChar w:fldCharType="end"/>
            </w:r>
          </w:hyperlink>
        </w:p>
        <w:p>
          <w:pPr>
            <w:pStyle w:val="toc 1"/>
            <w:tabs>
              <w:tab w:val="right" w:leader="dot" w:pos="8488"/>
            </w:tabs>
            <w:rPr>
              <w:b w:val="0"/>
              <w:noProof/>
            </w:rPr>
          </w:pPr>
          <w:hyperlink w:anchor="_45140c98a7df1c21966ea43c0a1bf23e" w:history="1">
            <w:r>
              <w:t>TYPES</w:t>
            </w:r>
            <w:r>
              <w:rPr>
                <w:webHidden/>
              </w:rPr>
              <w:tab/>
            </w:r>
            <w:r>
              <w:fldChar w:fldCharType="begin"/>
            </w:r>
            <w:r>
              <w:rPr>
                <w:webHidden/>
              </w:rPr>
              <w:instrText xml:space="preserve"> PAGEREF _45140c98a7df1c21966ea43c0a1bf23e \h </w:instrText>
            </w:r>
            <w:r>
              <w:fldChar w:fldCharType="separate"/>
            </w:r>
            <w:r>
              <w:rPr>
                <w:webHidden/>
              </w:rPr>
              <w:t>X</w:t>
            </w:r>
            <w:r>
              <w:fldChar w:fldCharType="end"/>
            </w:r>
          </w:hyperlink>
        </w:p>
        <w:p>
          <w:r>
            <w:fldChar w:fldCharType="end"/>
          </w:r>
        </w:p>
      </w:sdtContent>
    </w:sdt>
    <w:bookmarkStart w:id="24" w:name="_d6c0cac5f8eda84a0ab33a40a9f3ec74"/>
    <w:bookmarkStart w:id="25" w:name="_3abca5a1d3f6467418013130de4b0a1f"/>
    <w:bookmarkStart w:id="26" w:name="_3cc49aa84284e5b620ad094d9c0b651b"/>
    <w:p>
      <w:pPr>
        <w:pStyle w:val="Heading4"/>
        <w:keepNext/>
      </w:pPr>
      <w:r>
        <w:t>DSDS</w:t>
      </w:r>
    </w:p>
    <w:p>
      <w:pPr>
        <w:pStyle w:val="Body Text"/>
        <w:ind w:leftChars="0" w:left="0" w:right="0"/>
      </w:pPr>
      <w:r>
        <w:t xml:space="preserve">Το φύλλο </w:t>
      </w:r>
      <w:r>
        <w:rPr>
          <w:rFonts w:ascii="Consolas" w:eastAsia="ＭＳ ゴシック" w:hansitheme="majorhansi"/>
          <w:color w:val="E74C3C"/>
          <w:sz w:val="20"/>
          <w:szCs w:val="20"/>
          <w:noProof/>
        </w:rP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ονομασία του πίνακα·</w:t>
      </w:r>
    </w:p>
    <w:p>
      <w:pPr>
        <w:pStyle w:val="DefinitionTerm"/>
        <w:ind w:leftChars="0" w:left="0" w:right="0"/>
        <w:keepNext/>
      </w:pPr>
      <w:r>
        <w:t>DIMS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DIMS</w:t>
      </w:r>
      <w:r>
        <w:t xml:space="preserve"> που περιγράφεται στο </w:t>
      </w:r>
      <w:hyperlink w:anchor="_59f617e6d6f1224a6768a9b839f23aa5">
        <w:r>
          <w:rPr>
            <w:rStyle w:val="Hyperlink"/>
          </w:rPr>
          <w:t>DIMS</w:t>
        </w:r>
      </w:hyperlink>
      <w:r>
        <w:t xml:space="preserve"> και δίνει τις διαστάσεις κάθε πίνακα·</w:t>
      </w:r>
    </w:p>
    <w:p>
      <w:pPr>
        <w:pStyle w:val="DefinitionTerm"/>
        <w:ind w:leftChars="0" w:left="0" w:right="0"/>
        <w:keepNext/>
      </w:pPr>
      <w:r>
        <w:t>MEASURES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MEASURES</w:t>
      </w:r>
      <w:r>
        <w:t xml:space="preserve"> που περιγράφεται στο </w:t>
      </w:r>
      <w:hyperlink w:anchor="_01b8c60712fc67b3df2bf7decff5d09f">
        <w:r>
          <w:rPr>
            <w:rStyle w:val="Hyperlink"/>
          </w:rPr>
          <w:t>MEASURES</w:t>
        </w:r>
      </w:hyperlink>
      <w:r>
        <w:t xml:space="preserve"> και δίνει τις μεταβλητές κάθε πίνακα·</w:t>
      </w:r>
    </w:p>
    <w:p>
      <w:pPr>
        <w:pStyle w:val="DefinitionTerm"/>
        <w:ind w:leftChars="0" w:left="0" w:right="0"/>
        <w:keepNext/>
      </w:pPr>
      <w:r>
        <w:t>ATTRS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ATTRS</w:t>
      </w:r>
      <w:r>
        <w:t xml:space="preserve"> που περιγράφεται στο </w:t>
      </w:r>
      <w:hyperlink w:anchor="_ff48d87ccca7437a913d3eb4ae2a4807">
        <w:r>
          <w:rPr>
            <w:rStyle w:val="Hyperlink"/>
          </w:rPr>
          <w:t>ATTRS</w:t>
        </w:r>
      </w:hyperlink>
      <w:r>
        <w:t xml:space="preserve"> και δίνει τα χαρακτηριστικά κάθε μεταβλητής του κάθε πίνακα.</w:t>
      </w:r>
    </w:p>
    <w:bookmarkEnd w:id="26"/>
    <w:bookmarkEnd w:id="25"/>
    <w:bookmarkStart w:id="27" w:name="_59f617e6d6f1224a6768a9b839f23aa5"/>
    <w:bookmarkStart w:id="28" w:name="_a3dbca59fd78343d1f0f7085d70ac763"/>
    <w:p>
      <w:pPr>
        <w:pStyle w:val="Heading4"/>
        <w:keepNext/>
      </w:pPr>
      <w:r>
        <w:t>DIMS</w:t>
      </w:r>
    </w:p>
    <w:p>
      <w:pPr>
        <w:pStyle w:val="Body Text"/>
        <w:ind w:leftChars="0" w:left="0" w:right="0"/>
      </w:pPr>
      <w:r>
        <w:t xml:space="preserve">Το φύλλο </w:t>
      </w:r>
      <w:r>
        <w:rPr>
          <w:rFonts w:ascii="Consolas" w:eastAsia="ＭＳ ゴシック" w:hansitheme="majorhansi"/>
          <w:color w:val="E74C3C"/>
          <w:sz w:val="20"/>
          <w:szCs w:val="20"/>
          <w:noProof/>
        </w:rPr>
        <w:t>DIMS</w:t>
      </w:r>
      <w:r>
        <w:t xml:space="preserve"> περιγράφει τις διαστάσεις του κάθε πίνακα.  Για κάθε διάσταση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διάστασης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DIMENSION</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28"/>
    <w:bookmarkEnd w:id="27"/>
    <w:bookmarkStart w:id="29" w:name="_01b8c60712fc67b3df2bf7decff5d09f"/>
    <w:bookmarkStart w:id="30" w:name="_c94fd2eec763f2ff297a115fb6bdf180"/>
    <w:p>
      <w:pPr>
        <w:pStyle w:val="Heading4"/>
        <w:keepNext/>
      </w:pPr>
      <w:r>
        <w:t>MEASURES</w:t>
      </w:r>
    </w:p>
    <w:p>
      <w:pPr>
        <w:pStyle w:val="Body Text"/>
        <w:ind w:leftChars="0" w:left="0" w:right="0"/>
      </w:pPr>
      <w:r>
        <w:t xml:space="preserve">Το φύλλο </w:t>
      </w:r>
      <w:r>
        <w:rPr>
          <w:rFonts w:ascii="Consolas" w:eastAsia="ＭＳ ゴシック" w:hansitheme="majorhansi"/>
          <w:color w:val="E74C3C"/>
          <w:sz w:val="20"/>
          <w:szCs w:val="20"/>
          <w:noProof/>
        </w:rPr>
        <w:t>MEASURES</w:t>
      </w:r>
      <w:r>
        <w:t xml:space="preserve"> περιγράφει τις μεταβλητές του κάθε πίνακα.  Για κάθε μεταβλητή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30"/>
    <w:bookmarkEnd w:id="29"/>
    <w:bookmarkStart w:id="31" w:name="_ff48d87ccca7437a913d3eb4ae2a4807"/>
    <w:bookmarkStart w:id="32" w:name="_90214f7ebaf504ab04f873bf9cb022bb"/>
    <w:p>
      <w:pPr>
        <w:pStyle w:val="Heading4"/>
        <w:keepNext/>
      </w:pPr>
      <w:r>
        <w:t>ATTRS</w:t>
      </w:r>
    </w:p>
    <w:p>
      <w:pPr>
        <w:pStyle w:val="Body Text"/>
        <w:ind w:leftChars="0" w:left="0" w:right="0"/>
      </w:pPr>
      <w:r>
        <w:t xml:space="preserve">Το φύλλο </w:t>
      </w:r>
      <w:r>
        <w:rPr>
          <w:rFonts w:ascii="Consolas" w:eastAsia="ＭＳ ゴシック" w:hansitheme="majorhansi"/>
          <w:color w:val="E74C3C"/>
          <w:sz w:val="20"/>
          <w:szCs w:val="20"/>
          <w:noProof/>
        </w:rPr>
        <w:t>ATTRS</w:t>
      </w:r>
      <w:r>
        <w:t xml:space="preserve"> περιγράφει τις ιδιότητες που περιγράφουν τις τιμές των μεταβλητών του κάθε πίνακα.  Για κάθε ιδιότητα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μεταβλητής που τις τιμές του περιγράφει η ιδιότητα·</w:t>
      </w:r>
    </w:p>
    <w:p>
      <w:pPr>
        <w:pStyle w:val="DefinitionTerm"/>
        <w:ind w:leftChars="0" w:left="0" w:right="0"/>
        <w:keepNext/>
      </w:pPr>
      <w:r>
        <w:t>ATTRIBUTE</w:t>
      </w:r>
    </w:p>
    <w:p>
      <w:pPr>
        <w:pStyle w:val="Definition"/>
        <w:ind w:leftChars="0" w:left="480" w:right="0"/>
      </w:pPr>
      <w:r>
        <w:t>Ονομασία της ιδιότητας·</w:t>
      </w:r>
    </w:p>
    <w:p>
      <w:pPr>
        <w:pStyle w:val="DefinitionTerm"/>
        <w:ind w:leftChars="0" w:left="0" w:right="0"/>
        <w:keepNext/>
      </w:pPr>
      <w:r>
        <w:t>TYPE</w:t>
      </w:r>
    </w:p>
    <w:p>
      <w:pPr>
        <w:pStyle w:val="Definition"/>
        <w:ind w:leftChars="0" w:left="480" w:right="0"/>
      </w:pPr>
      <w:r>
        <w:t>Σύνδεσμος με την περιγραφή του μορφότυπου της ιδιότητας.</w:t>
      </w:r>
    </w:p>
    <w:p>
      <w:pPr>
        <w:pStyle w:val="DefinitionTerm"/>
        <w:ind w:leftChars="0" w:left="0" w:right="0"/>
        <w:keepNext/>
      </w:pPr>
      <w:r>
        <w:t>DEFAULT</w:t>
      </w:r>
    </w:p>
    <w:p>
      <w:pPr>
        <w:pStyle w:val="Definition"/>
        <w:ind w:leftChars="0" w:left="480" w:right="0"/>
      </w:pPr>
      <w:r>
        <w:t>Προκαθορισμένη τιμή της ιδιότητας σε περίπτωση που δεν συμπληρώνεται τιμή.</w:t>
      </w:r>
    </w:p>
    <w:bookmarkEnd w:id="32"/>
    <w:bookmarkEnd w:id="31"/>
    <w:bookmarkStart w:id="33" w:name="_45140c98a7df1c21966ea43c0a1bf23e"/>
    <w:bookmarkStart w:id="34" w:name="_fad9710e2f647f79a7a2beff1063e0fc"/>
    <w:p>
      <w:pPr>
        <w:pStyle w:val="Heading4"/>
        <w:keepNext/>
      </w:pPr>
      <w:r>
        <w:t>TYPES</w:t>
      </w:r>
    </w:p>
    <w:p>
      <w:pPr>
        <w:pStyle w:val="Body Text"/>
        <w:ind w:leftChars="0" w:left="0" w:right="0"/>
      </w:pPr>
      <w:r>
        <w:t xml:space="preserve">Ο μορφότυπος μίας </w:t>
      </w:r>
      <w:r>
        <w:rPr>
          <w:b/>
          <w:bCs/>
        </w:rPr>
        <w:t>Διάστασης</w:t>
      </w:r>
      <w:r>
        <w:t xml:space="preserve">, μίας </w:t>
      </w:r>
      <w:r>
        <w:rPr>
          <w:b/>
          <w:bCs/>
        </w:rPr>
        <w:t>Μεταβλητής</w:t>
      </w:r>
      <w:r>
        <w:t xml:space="preserve"> ή ενός </w:t>
      </w:r>
      <w:r>
        <w:rPr>
          <w:b/>
          <w:bCs/>
        </w:rPr>
        <w:t>Χαρακτηριστικού</w:t>
      </w:r>
      <w:r>
        <w:t xml:space="preserve"> περιγράφεται στην στήλη </w:t>
      </w:r>
      <w:r>
        <w:rPr>
          <w:b/>
          <w:bCs/>
        </w:rPr>
        <w:t>TYPE</w:t>
      </w:r>
      <w:r>
        <w:t xml:space="preserve"> στα φύλλα </w:t>
      </w:r>
      <w:r>
        <w:rPr>
          <w:b/>
          <w:bCs/>
        </w:rPr>
        <w:t>DIMS</w:t>
      </w:r>
      <w:r>
        <w:t xml:space="preserve">, </w:t>
      </w:r>
      <w:r>
        <w:rPr>
          <w:b/>
          <w:bCs/>
        </w:rPr>
        <w:t>MEASURES</w:t>
      </w:r>
      <w:r>
        <w:t xml:space="preserve"> και </w:t>
      </w:r>
      <w:r>
        <w:rPr>
          <w:b/>
          <w:bCs/>
        </w:rPr>
        <w:t>ATTRS</w:t>
      </w:r>
      <w:r>
        <w:t xml:space="preserve"> αντίστοιχα όπου δίδεται σύνδεσμος στο αντίστοιχο φύλλο που περιγράφει του μορφότυπου.</w:t>
      </w:r>
    </w:p>
    <w:p>
      <w:pPr>
        <w:pStyle w:val="Body Text"/>
        <w:ind w:leftChars="0" w:left="0" w:right="0"/>
      </w:pPr>
      <w:r>
        <w:t xml:space="preserve">Περαιτέρω περιγραφή των μορφότυπων ORG, DEP, SFT, LON, DBT, SHR, EDR, ODR, RRE, CRE θα βρείτε στο κεφάλαιο </w:t>
      </w:r>
      <w:hyperlink w:anchor="_1286127b186296dde5352963dc0e24ae">
        <w:r>
          <w:rPr>
            <w:rStyle w:val="Hyperlink"/>
          </w:rPr>
          <w:t>Αναγνωριστικοί κωδικοί</w:t>
        </w:r>
      </w:hyperlink>
      <w:r>
        <w:t>.</w:t>
      </w:r>
    </w:p>
    <w:bookmarkEnd w:id="34"/>
    <w:bookmarkEnd w:id="33"/>
    <w:bookmarkEnd w:id="24"/>
    <w:bookmarkEnd w:id="23"/>
    <w:bookmarkEnd w:id="22"/>
    <w:bookmarkStart w:id="35" w:name="_6646d5d5edc224bb18b97caffb429c3d"/>
    <w:bookmarkStart w:id="36" w:name="_24247cf401219d9d15aaa67ba9c6a8c2"/>
    <w:p>
      <w:pPr>
        <w:pStyle w:val="Heading3"/>
        <w:keepNext/>
      </w:pPr>
      <w:r>
        <w:t>Γενικές Οδηγίες</w:t>
      </w:r>
    </w:p>
    <w:bookmarkStart w:id="37" w:name="_d34956c2f00eba286d2ae7c19af8ee37"/>
    <w:bookmarkStart w:id="38" w:name="_c1b538f0a9bd11cf75a0e35b79ec474c"/>
    <w:p>
      <w:pPr>
        <w:pStyle w:val="Heading4"/>
        <w:keepNext/>
      </w:pPr>
      <w:r>
        <w:t>Αλφαριθμητικές τιμές</w:t>
      </w:r>
    </w:p>
    <w:p>
      <w:pPr>
        <w:pStyle w:val="Body Text"/>
        <w:ind w:leftChars="0" w:left="0" w:right="0"/>
      </w:pPr>
      <w:r>
        <w:t xml:space="preserve">Για την μορφοποίηση μίας αλφαριθμητικής τιμής χρησιμοποιείται το </w:t>
      </w:r>
      <w:r>
        <w:rPr>
          <w:rFonts w:ascii="Consolas" w:eastAsia="ＭＳ ゴシック" w:hansitheme="majorhansi"/>
          <w:color w:val="E74C3C"/>
          <w:sz w:val="20"/>
          <w:szCs w:val="20"/>
          <w:noProof/>
        </w:rPr>
        <w:t>{x}</w:t>
      </w:r>
      <w:r>
        <w:t xml:space="preserve">, όπου </w:t>
      </w:r>
      <w:r>
        <w:rPr>
          <w:rFonts w:ascii="Consolas" w:eastAsia="ＭＳ ゴシック" w:hansitheme="majorhansi"/>
          <w:color w:val="E74C3C"/>
          <w:sz w:val="20"/>
          <w:szCs w:val="20"/>
          <w:noProof/>
        </w:rPr>
        <w:t>x</w:t>
      </w:r>
      <w:r>
        <w:t xml:space="preserve"> είναι η ονομασία μιας θέσης που αντικαθίσταται μαζί με τις αγκύλες όταν διαμορφώνεται η τελική τιμή.</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{YYYY}-{MM}-{DD}</w:t>
      </w:r>
      <w:r>
        <w:t xml:space="preserve"> έχει τρεις θέσεις: </w:t>
      </w:r>
      <w:r>
        <w:rPr>
          <w:rFonts w:ascii="Consolas" w:eastAsia="ＭＳ ゴシック" w:hansitheme="majorhansi"/>
          <w:color w:val="E74C3C"/>
          <w:sz w:val="20"/>
          <w:szCs w:val="20"/>
          <w:noProof/>
        </w:rPr>
        <w:t>ΥΥΥΥ</w:t>
      </w:r>
      <w:r>
        <w:t xml:space="preserve"> για το έτος, </w:t>
      </w:r>
      <w:r>
        <w:rPr>
          <w:rFonts w:ascii="Consolas" w:eastAsia="ＭＳ ゴシック" w:hansitheme="majorhansi"/>
          <w:color w:val="E74C3C"/>
          <w:sz w:val="20"/>
          <w:szCs w:val="20"/>
          <w:noProof/>
        </w:rPr>
        <w:t>MM</w:t>
      </w:r>
      <w:r>
        <w:t xml:space="preserve"> για τον μήνα και </w:t>
      </w:r>
      <w:r>
        <w:rPr>
          <w:rFonts w:ascii="Consolas" w:eastAsia="ＭＳ ゴシック" w:hansitheme="majorhansi"/>
          <w:color w:val="E74C3C"/>
          <w:sz w:val="20"/>
          <w:szCs w:val="20"/>
          <w:noProof/>
        </w:rPr>
        <w:t>DD</w:t>
      </w:r>
      <w:r>
        <w:t xml:space="preserve"> για την ημέρα.  Αν </w:t>
      </w:r>
      <w:r>
        <w:rPr>
          <w:rFonts w:ascii="Consolas" w:eastAsia="ＭＳ ゴシック" w:hansitheme="majorhansi"/>
          <w:color w:val="E74C3C"/>
          <w:sz w:val="20"/>
          <w:szCs w:val="20"/>
          <w:noProof/>
        </w:rPr>
        <w:t>YYYY=2022</w:t>
      </w:r>
      <w:r>
        <w:t xml:space="preserve">, </w:t>
      </w:r>
      <w:r>
        <w:rPr>
          <w:rFonts w:ascii="Consolas" w:eastAsia="ＭＳ ゴシック" w:hansitheme="majorhansi"/>
          <w:color w:val="E74C3C"/>
          <w:sz w:val="20"/>
          <w:szCs w:val="20"/>
          <w:noProof/>
        </w:rPr>
        <w:t>MM=03</w:t>
      </w:r>
      <w:r>
        <w:t xml:space="preserve"> και </w:t>
      </w:r>
      <w:r>
        <w:rPr>
          <w:rFonts w:ascii="Consolas" w:eastAsia="ＭＳ ゴシック" w:hansitheme="majorhansi"/>
          <w:color w:val="E74C3C"/>
          <w:sz w:val="20"/>
          <w:szCs w:val="20"/>
          <w:noProof/>
        </w:rPr>
        <w:t>DD=25</w:t>
      </w:r>
      <w:r>
        <w:t xml:space="preserve"> τότε το αλφαριθμητικό είναι ίσο με </w:t>
      </w:r>
      <w:r>
        <w:rPr>
          <w:rFonts w:ascii="Consolas" w:eastAsia="ＭＳ ゴシック" w:hansitheme="majorhansi"/>
          <w:color w:val="E74C3C"/>
          <w:sz w:val="20"/>
          <w:szCs w:val="20"/>
          <w:noProof/>
        </w:rPr>
        <w:t>2022-03-25</w:t>
      </w:r>
      <w:r>
        <w:t>.</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Γεια σου {name}</w:t>
      </w:r>
      <w:r>
        <w:t xml:space="preserve"> έχει μια θέση: </w:t>
      </w:r>
      <w:r>
        <w:rPr>
          <w:rFonts w:ascii="Consolas" w:eastAsia="ＭＳ ゴシック" w:hansitheme="majorhansi"/>
          <w:color w:val="E74C3C"/>
          <w:sz w:val="20"/>
          <w:szCs w:val="20"/>
          <w:noProof/>
        </w:rPr>
        <w:t>name</w:t>
      </w:r>
      <w:r>
        <w:t xml:space="preserve"> για το όνομα.  Αν το </w:t>
      </w:r>
      <w:r>
        <w:rPr>
          <w:rFonts w:ascii="Consolas" w:eastAsia="ＭＳ ゴシック" w:hansitheme="majorhansi"/>
          <w:color w:val="E74C3C"/>
          <w:sz w:val="20"/>
          <w:szCs w:val="20"/>
          <w:noProof/>
        </w:rPr>
        <w:t>name=Άννα</w:t>
      </w:r>
      <w:r>
        <w:t xml:space="preserve"> τότε το αλφαριθμητικό είναι ίσο με </w:t>
      </w:r>
      <w:r>
        <w:rPr>
          <w:rFonts w:ascii="Consolas" w:eastAsia="ＭＳ ゴシック" w:hansitheme="majorhansi"/>
          <w:color w:val="E74C3C"/>
          <w:sz w:val="20"/>
          <w:szCs w:val="20"/>
          <w:noProof/>
        </w:rPr>
        <w:t>Γεια σου Άννα</w:t>
      </w:r>
      <w:r>
        <w:t>.</w:t>
      </w:r>
    </w:p>
    <w:bookmarkEnd w:id="37"/>
    <w:bookmarkEnd w:id="38"/>
    <w:bookmarkStart w:id="39" w:name="_02cb3139cc11d75551695dc543e432a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40" w:name="_f05df0e0c3f254c024ae869ad2c68490"/>
      <w:bookmarkEnd w:id="40"/>
    </w:p>
    <w:bookmarkEnd w:id="39"/>
    <w:bookmarkStart w:id="41" w:name="_724da01e821c7bac5a7bb1e920eeeb40"/>
    <w:p>
      <w:pPr>
        <w:pStyle w:val="Heading4"/>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rFonts w:ascii="Consolas" w:eastAsia="ＭＳ ゴシック" w:hansitheme="majorhansi"/>
          <w:color w:val="E74C3C"/>
          <w:sz w:val="20"/>
          <w:szCs w:val="20"/>
          <w:noProof/>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rFonts w:ascii="Consolas" w:eastAsia="ＭＳ ゴシック" w:hansitheme="majorhansi"/>
          <w:color w:val="E74C3C"/>
          <w:sz w:val="20"/>
          <w:szCs w:val="20"/>
          <w:noProof/>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bookmarkEnd w:id="41"/>
    <w:bookmarkStart w:id="42" w:name="_0317989598ac1dbb884aa13ea23f16e6"/>
    <w:p>
      <w:pPr>
        <w:pStyle w:val="Heading4"/>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43" w:name="_53f778a363a6095eb8c486de5a8610b5"/>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FREQUENCY</w:t>
      </w:r>
      <w:r>
        <w:t xml:space="preserve">.  Όταν </w:t>
      </w:r>
      <w:r>
        <w:rPr>
          <w:rFonts w:ascii="Consolas" w:eastAsia="ＭＳ ゴシック" w:hansitheme="majorhansi"/>
          <w:color w:val="E74C3C"/>
          <w:sz w:val="20"/>
          <w:szCs w:val="20"/>
          <w:noProof/>
        </w:rPr>
        <w:t>FREQUENCY=M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43"/>
    <w:bookmarkStart w:id="44" w:name="_43470bfed19e711c1a617160ec2a9f72"/>
    <w:p>
      <w:pPr>
        <w:pStyle w:val="Heading5"/>
        <w:keepNext/>
      </w:pPr>
      <w:r>
        <w:t>Παραδείγματα μεταβλητών υπολοίπων</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44"/>
    <w:bookmarkStart w:id="45" w:name="_f77d825e96bde5c4ce794c23fd055b14"/>
    <w:p>
      <w:pPr>
        <w:pStyle w:val="Heading5"/>
        <w:keepNext/>
      </w:pPr>
      <w:r>
        <w:t>Παραδείγματα μεταβλητών ροών</w:t>
      </w:r>
    </w:p>
    <w:p>
      <w:pPr>
        <w:pStyle w:val="ListNumber"/>
        <w:numPr>
          <w:ilvl w:val="0"/>
          <w:numId w:val="7"/>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7"/>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7"/>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7"/>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45"/>
    <w:bookmarkEnd w:id="42"/>
    <w:bookmarkStart w:id="46" w:name="_8689d95aaa3f3784166d0ab320b90b4a"/>
    <w:p>
      <w:pPr>
        <w:pStyle w:val="Heading4"/>
        <w:keepNext/>
      </w:pPr>
      <w:r>
        <w:t>Συνδυασμός διαστάσεων VALID FROM και VALID TO</w:t>
      </w:r>
    </w:p>
    <w:p>
      <w:pPr>
        <w:pStyle w:val="Body Text"/>
        <w:ind w:leftChars="0" w:left="0" w:right="0"/>
      </w:pPr>
      <w:r>
        <w:t xml:space="preserve">Οι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rFonts w:ascii="Consolas" w:eastAsia="ＭＳ ゴシック" w:hansitheme="majorhansi"/>
          <w:color w:val="E74C3C"/>
          <w:sz w:val="20"/>
          <w:szCs w:val="20"/>
          <w:noProof/>
        </w:rPr>
        <w:t>VALID FROM=2022-01-10</w:t>
      </w:r>
      <w:r>
        <w:t xml:space="preserve"> και </w:t>
      </w:r>
      <w:r>
        <w:rPr>
          <w:rFonts w:ascii="Consolas" w:eastAsia="ＭＳ ゴシック" w:hansitheme="majorhansi"/>
          <w:color w:val="E74C3C"/>
          <w:sz w:val="20"/>
          <w:szCs w:val="20"/>
          <w:noProof/>
        </w:rPr>
        <w:t>VALID TO=2022-02-17</w:t>
      </w:r>
      <w:r>
        <w:t xml:space="preserve"> τότε το διάστημα είναι το </w:t>
      </w:r>
      <w:r>
        <w:rPr>
          <w:rFonts w:ascii="Consolas" w:eastAsia="ＭＳ ゴシック" w:hansitheme="majorhansi"/>
          <w:color w:val="E74C3C"/>
          <w:sz w:val="20"/>
          <w:szCs w:val="20"/>
          <w:noProof/>
        </w:rPr>
        <w:t>[2022-01-10 00:00:000, 2022-02-17 00:00:000)</w:t>
      </w:r>
      <w:r>
        <w:t>.</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bookmarkEnd w:id="46"/>
    <w:bookmarkStart w:id="47" w:name="_f4186395fd74a87b041bb8ceb85f8f3d"/>
    <w:p>
      <w:pPr>
        <w:pStyle w:val="Heading4"/>
        <w:keepNext/>
      </w:pPr>
      <w:r>
        <w:t>Αλληλοεπικαλυπτόμενες Παρατηρήσεις</w:t>
      </w:r>
    </w:p>
    <w:bookmarkStart w:id="48" w:name="_e0c1d9549580968c92d86f0cf6c98430"/>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bookmarkStart w:id="49" w:name="_2b63e8d4117724e5e6cdbc8bdd683eea"/>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VALID FROM</w:t>
      </w:r>
      <w:r>
        <w:t xml:space="preserve">, </w:t>
      </w:r>
      <w:r>
        <w:rPr>
          <w:rFonts w:ascii="Consolas" w:eastAsia="ＭＳ ゴシック" w:hansitheme="majorhansi"/>
          <w:color w:val="E74C3C"/>
          <w:sz w:val="20"/>
          <w:szCs w:val="20"/>
          <w:noProof/>
        </w:rPr>
        <w:t>VALID TO</w:t>
      </w:r>
      <w:r>
        <w:t xml:space="preserve"> και οι μεταβλητές οι: </w:t>
      </w:r>
      <w:r>
        <w:rPr>
          <w:rFonts w:ascii="Consolas" w:eastAsia="ＭＳ ゴシック" w:hansitheme="majorhansi"/>
          <w:color w:val="E74C3C"/>
          <w:sz w:val="20"/>
          <w:szCs w:val="20"/>
          <w:noProof/>
        </w:rPr>
        <w:t>NAME</w:t>
      </w:r>
      <w:r>
        <w:t xml:space="preserve">, </w:t>
      </w:r>
      <w:r>
        <w:rPr>
          <w:rFonts w:ascii="Consolas" w:eastAsia="ＭＳ ゴシック" w:hansitheme="majorhansi"/>
          <w:color w:val="E74C3C"/>
          <w:sz w:val="20"/>
          <w:szCs w:val="20"/>
          <w:noProof/>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45"/>
        <w:gridCol w:w="2317"/>
        <w:gridCol w:w="1931"/>
        <w:gridCol w:w="1158"/>
        <w:gridCol w:w="1545"/>
      </w:tblGrid>
      <w:tr>
        <w:trPr>
          <w:cnfStyle w:evenHBand="false" w:oddHBand="true" w:firstRow="true"/>
        </w:trPr>
        <w:tc>
          <w:tcPr>
            <w:cnfStyle w:evenVBand="false" w:oddVBand="true" w:firstColumn="false"/>
            <w:tcW w:w="18.181818%" w:type="pct"/>
          </w:tcPr>
          <w:p>
            <w:pPr>
              <w:ind w:leftChars="0" w:left="0" w:right="0"/>
              <w:keepNext/>
            </w:pPr>
            <w:r>
              <w:t>ID</w:t>
            </w:r>
          </w:p>
        </w:tc>
        <w:tc>
          <w:tcPr>
            <w:cnfStyle w:evenVBand="true" w:oddVBand="false" w:firstColumn="false"/>
            <w:tcW w:w="27.272727%" w:type="pct"/>
          </w:tcPr>
          <w:p>
            <w:pPr>
              <w:ind w:leftChars="0" w:left="0" w:right="0"/>
              <w:keepNext/>
            </w:pPr>
            <w:r>
              <w:t>VALID FROM</w:t>
            </w:r>
          </w:p>
        </w:tc>
        <w:tc>
          <w:tcPr>
            <w:cnfStyle w:evenVBand="false" w:oddVBand="true" w:firstColumn="false"/>
            <w:tcW w:w="22.727273%" w:type="pct"/>
          </w:tcPr>
          <w:p>
            <w:pPr>
              <w:ind w:leftChars="0" w:left="0" w:right="0"/>
              <w:keepNext/>
            </w:pPr>
            <w:r>
              <w:t>VALID TO</w:t>
            </w:r>
          </w:p>
        </w:tc>
        <w:tc>
          <w:tcPr>
            <w:cnfStyle w:evenVBand="true" w:oddVBand="false" w:firstColumn="false"/>
            <w:tcW w:w="13.636364%" w:type="pct"/>
          </w:tcPr>
          <w:p>
            <w:pPr>
              <w:ind w:leftChars="0" w:left="0" w:right="0"/>
              <w:keepNext/>
            </w:pPr>
            <w:r>
              <w:t>NAME</w:t>
            </w:r>
          </w:p>
        </w:tc>
        <w:tc>
          <w:tcPr>
            <w:cnfStyle w:evenVBand="false" w:oddVBand="true" w:firstColumn="false"/>
            <w:tcW w:w="18.181818%" w:type="pct"/>
          </w:tcPr>
          <w:p>
            <w:pPr>
              <w:ind w:leftChars="0" w:left="0" w:right="0"/>
              <w:keepNext/>
            </w:pPr>
            <w:r>
              <w:t>SECTOR</w:t>
            </w:r>
          </w:p>
        </w:tc>
      </w:tr>
      <w:tr>
        <w:trPr>
          <w:cnfStyle w:evenHBand="false" w:oddHBand="true" w:firstRow="false"/>
        </w:trPr>
        <w:tc>
          <w:tcPr>
            <w:cnfStyle w:evenVBand="false" w:oddVBand="true" w:firstColumn="false"/>
            <w:tcW w:w="18.181818%" w:type="pct"/>
          </w:tcPr>
          <w:p>
            <w:pPr>
              <w:ind w:leftChars="0" w:left="0" w:right="0"/>
            </w:pPr>
            <w:r>
              <w:t>EGRFOO</w:t>
            </w:r>
          </w:p>
        </w:tc>
        <w:tc>
          <w:tcPr>
            <w:cnfStyle w:evenVBand="true" w:oddVBand="false" w:firstColumn="false"/>
            <w:tcW w:w="27.272727%" w:type="pct"/>
          </w:tcPr>
          <w:p>
            <w:pPr/>
          </w:p>
        </w:tc>
        <w:tc>
          <w:tcPr>
            <w:cnfStyle w:evenVBand="false" w:oddVBand="true" w:firstColumn="false"/>
            <w:tcW w:w="22.727273%" w:type="pct"/>
          </w:tcPr>
          <w:p>
            <w:pPr/>
          </w:p>
        </w:tc>
        <w:tc>
          <w:tcPr>
            <w:cnfStyle w:evenVBand="true" w:oddVBand="false" w:firstColumn="false"/>
            <w:tcW w:w="13.636364%" w:type="pct"/>
          </w:tcPr>
          <w:p>
            <w:pPr>
              <w:ind w:leftChars="0" w:left="0" w:right="0"/>
            </w:pPr>
            <w:r>
              <w:t>FOO</w:t>
            </w:r>
          </w:p>
        </w:tc>
        <w:tc>
          <w:tcPr>
            <w:cnfStyle w:evenVBand="false" w:oddVBand="true" w:firstColumn="false"/>
            <w:tcW w:w="18.181818%"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2010-11-24</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ind w:leftChars="0" w:left="0" w:right="0"/>
            </w:pPr>
            <w:r>
              <w:t>S11</w:t>
            </w: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bookmarkEnd w:id="49"/>
    <w:bookmarkEnd w:id="48"/>
    <w:bookmarkStart w:id="50" w:name="_df42d8c56aa057f3c667d0d61f85309e"/>
    <w:p>
      <w:pPr>
        <w:pStyle w:val="Heading5"/>
        <w:keepNext/>
      </w:pPr>
      <w:r>
        <w:t>Περίπτωση Β</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bookmarkStart w:id="51" w:name="_9766d655179d24e6633bdc0fa8708b52"/>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DATE</w:t>
      </w:r>
      <w:r>
        <w:t xml:space="preserve">, </w:t>
      </w:r>
      <w:r>
        <w:rPr>
          <w:rFonts w:ascii="Consolas" w:eastAsia="ＭＳ ゴシック" w:hansitheme="majorhansi"/>
          <w:color w:val="E74C3C"/>
          <w:sz w:val="20"/>
          <w:szCs w:val="20"/>
          <w:noProof/>
        </w:rPr>
        <w:t>FREQUENCY</w:t>
      </w:r>
      <w:r>
        <w:t xml:space="preserve"> και οι μεταβλητές οι: </w:t>
      </w:r>
      <w:r>
        <w:rPr>
          <w:rFonts w:ascii="Consolas" w:eastAsia="ＭＳ ゴシック" w:hansitheme="majorhansi"/>
          <w:color w:val="E74C3C"/>
          <w:sz w:val="20"/>
          <w:szCs w:val="20"/>
          <w:noProof/>
        </w:rPr>
        <w:t>PRICE</w:t>
      </w:r>
      <w:r>
        <w:t xml:space="preserve">, </w:t>
      </w:r>
      <w:r>
        <w:rPr>
          <w:rFonts w:ascii="Consolas" w:eastAsia="ＭＳ ゴシック" w:hansitheme="majorhansi"/>
          <w:color w:val="E74C3C"/>
          <w:sz w:val="20"/>
          <w:szCs w:val="20"/>
          <w:noProof/>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r>
        <w:trPr>
          <w:cnfStyle w:evenHBand="true" w:oddHBand="fals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bookmarkEnd w:id="51"/>
    <w:bookmarkEnd w:id="50"/>
    <w:bookmarkEnd w:id="47"/>
    <w:bookmarkStart w:id="52" w:name="_101b45ba8e0ffaa84c95524146888335"/>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ή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bookmarkStart w:id="53" w:name="_ac92866b8931439ee72addaf4b4be6fd"/>
    <w:p>
      <w:pPr>
        <w:pStyle w:val="Heading5"/>
        <w:keepNext/>
      </w:pPr>
      <w:r>
        <w:t>Υποθετικό παράδειγμα</w:t>
      </w:r>
    </w:p>
    <w:p>
      <w:pPr>
        <w:pStyle w:val="Body Text"/>
        <w:ind w:leftChars="0" w:left="0" w:right="0"/>
      </w:pPr>
      <w:r>
        <w:t xml:space="preserve">Στο παρόν παράδειγμα </w:t>
      </w:r>
      <w:r>
        <w:rPr>
          <w:rFonts w:ascii="Consolas" w:eastAsia="ＭＳ ゴシック" w:hansitheme="majorhansi"/>
          <w:color w:val="E74C3C"/>
          <w:sz w:val="20"/>
          <w:szCs w:val="20"/>
          <w:noProof/>
        </w:rPr>
        <w:t>ID</w:t>
      </w:r>
      <w:r>
        <w:t xml:space="preserve"> είναι η διάσταση, και οι μεταβλητές είναι οι: </w:t>
      </w:r>
      <w:r>
        <w:rPr>
          <w:rFonts w:ascii="Consolas" w:eastAsia="ＭＳ ゴシック" w:hansitheme="majorhansi"/>
          <w:color w:val="E74C3C"/>
          <w:sz w:val="20"/>
          <w:szCs w:val="20"/>
          <w:noProof/>
        </w:rPr>
        <w:t>BIRTH</w:t>
      </w:r>
      <w:r>
        <w:t xml:space="preserve">, </w:t>
      </w:r>
      <w:r>
        <w:rPr>
          <w:rFonts w:ascii="Consolas" w:eastAsia="ＭＳ ゴシック" w:hansitheme="majorhansi"/>
          <w:color w:val="E74C3C"/>
          <w:sz w:val="20"/>
          <w:szCs w:val="20"/>
          <w:noProof/>
        </w:rPr>
        <w:t>CLOSE</w:t>
      </w:r>
      <w:r>
        <w:t xml:space="preserve">, </w:t>
      </w:r>
      <w:r>
        <w:rPr>
          <w:rFonts w:ascii="Consolas" w:eastAsia="ＭＳ ゴシック" w:hansitheme="majorhansi"/>
          <w:color w:val="E74C3C"/>
          <w:sz w:val="20"/>
          <w:szCs w:val="20"/>
          <w:noProof/>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10"/>
        <w:gridCol w:w="2266"/>
        <w:gridCol w:w="1321"/>
        <w:gridCol w:w="3399"/>
      </w:tblGrid>
      <w:tr>
        <w:trPr>
          <w:cnfStyle w:evenHBand="false" w:oddHBand="true" w:firstRow="true"/>
        </w:trPr>
        <w:tc>
          <w:tcPr>
            <w:cnfStyle w:evenVBand="false" w:oddVBand="true" w:firstColumn="false"/>
            <w:tcW w:w="17.777778%" w:type="pct"/>
          </w:tcPr>
          <w:p>
            <w:pPr>
              <w:ind w:leftChars="0" w:left="0" w:right="0"/>
              <w:keepNext/>
            </w:pPr>
            <w:r>
              <w:t>ID</w:t>
            </w:r>
          </w:p>
        </w:tc>
        <w:tc>
          <w:tcPr>
            <w:cnfStyle w:evenVBand="true" w:oddVBand="false" w:firstColumn="false"/>
            <w:tcW w:w="26.666667%" w:type="pct"/>
          </w:tcPr>
          <w:p>
            <w:pPr>
              <w:ind w:leftChars="0" w:left="0" w:right="0"/>
              <w:keepNext/>
            </w:pPr>
            <w:r>
              <w:t>BIRTH</w:t>
            </w:r>
          </w:p>
        </w:tc>
        <w:tc>
          <w:tcPr>
            <w:cnfStyle w:evenVBand="false" w:oddVBand="true" w:firstColumn="false"/>
            <w:tcW w:w="15.555556%" w:type="pct"/>
          </w:tcPr>
          <w:p>
            <w:pPr>
              <w:ind w:leftChars="0" w:left="0" w:right="0"/>
              <w:keepNext/>
            </w:pPr>
            <w:r>
              <w:t>CLOSE</w:t>
            </w:r>
          </w:p>
        </w:tc>
        <w:tc>
          <w:tcPr>
            <w:cnfStyle w:evenVBand="true" w:oddVBand="false" w:firstColumn="false"/>
            <w:tcW w:w="40.000000%" w:type="pct"/>
          </w:tcPr>
          <w:p>
            <w:pPr>
              <w:ind w:leftChars="0" w:left="0" w:right="0"/>
              <w:keepNext/>
            </w:pPr>
            <w:r>
              <w:t>COUNTRY OF BIRTH</w:t>
            </w:r>
          </w:p>
        </w:tc>
      </w:tr>
      <w:tr>
        <w:trPr>
          <w:cnfStyle w:evenHBand="false" w:oddHBand="true" w:firstRow="false"/>
        </w:trPr>
        <w:tc>
          <w:tcPr>
            <w:cnfStyle w:evenVBand="false" w:oddVBand="true" w:firstColumn="false"/>
            <w:tcW w:w="17.777778%" w:type="pct"/>
          </w:tcPr>
          <w:p>
            <w:pPr>
              <w:ind w:leftChars="0" w:left="0" w:right="0"/>
            </w:pPr>
            <w:r>
              <w:t>EGRFOO</w:t>
            </w:r>
          </w:p>
        </w:tc>
        <w:tc>
          <w:tcPr>
            <w:cnfStyle w:evenVBand="true" w:oddVBand="false" w:firstColumn="false"/>
            <w:tcW w:w="26.666667%" w:type="pct"/>
          </w:tcPr>
          <w:p>
            <w:pPr>
              <w:ind w:leftChars="0" w:left="0" w:right="0"/>
            </w:pPr>
            <w:r>
              <w:t>1985-01-17</w:t>
            </w:r>
          </w:p>
        </w:tc>
        <w:tc>
          <w:tcPr>
            <w:cnfStyle w:evenVBand="false" w:oddVBand="true" w:firstColumn="false"/>
            <w:tcW w:w="15.555556%" w:type="pct"/>
          </w:tcPr>
          <w:p>
            <w:pPr/>
          </w:p>
        </w:tc>
        <w:tc>
          <w:tcPr>
            <w:cnfStyle w:evenVBand="true" w:oddVBand="false" w:firstColumn="false"/>
            <w:tcW w:w="40.000000%"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1985-01-01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bookmarkEnd w:id="53"/>
    <w:bookmarkEnd w:id="52"/>
    <w:bookmarkEnd w:id="36"/>
    <w:bookmarkEnd w:id="35"/>
    <w:bookmarkStart w:id="54" w:name="_5785a4d6876e26b57458d75c8a567a4d"/>
    <w:bookmarkStart w:id="55" w:name="_c36a2904fd2973b96dc879bae3e04782"/>
    <w:p>
      <w:pPr>
        <w:pStyle w:val="Heading3"/>
        <w:keepNext/>
      </w:pPr>
      <w:r>
        <w:t>Κατηγορίες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"_8018d2e9652c3a80e05cff126ab86cf6" \h \z \u </w:instrText>
          </w:r>
          <w:r>
            <w:fldChar w:fldCharType="separate"/>
          </w:r>
          <w:hyperlink w:anchor="_e3c16d00277f5b843702da2abb4e3fba" w:history="1">
            <w:r>
              <w:t>Στοιχεία Αναφοράς (REF)</w:t>
            </w:r>
            <w:r>
              <w:rPr>
                <w:webHidden/>
              </w:rPr>
              <w:tab/>
            </w:r>
            <w:r>
              <w:fldChar w:fldCharType="begin"/>
            </w:r>
            <w:r>
              <w:rPr>
                <w:webHidden/>
              </w:rPr>
              <w:instrText xml:space="preserve"> PAGEREF _e3c16d00277f5b843702da2abb4e3fba \h </w:instrText>
            </w:r>
            <w:r>
              <w:fldChar w:fldCharType="separate"/>
            </w:r>
            <w:r>
              <w:rPr>
                <w:webHidden/>
              </w:rPr>
              <w:t>X</w:t>
            </w:r>
            <w:r>
              <w:fldChar w:fldCharType="end"/>
            </w:r>
          </w:hyperlink>
        </w:p>
        <w:p>
          <w:pPr>
            <w:pStyle w:val="toc 1"/>
            <w:tabs>
              <w:tab w:val="right" w:leader="dot" w:pos="8488"/>
            </w:tabs>
            <w:rPr>
              <w:b w:val="0"/>
              <w:noProof/>
            </w:rPr>
          </w:pPr>
          <w:hyperlink w:anchor="_2e9e470f35b83b221f56a2a065aadd07" w:history="1">
            <w:r>
              <w:t>Λογιστικά Στοιχεία (ACC)</w:t>
            </w:r>
            <w:r>
              <w:rPr>
                <w:webHidden/>
              </w:rPr>
              <w:tab/>
            </w:r>
            <w:r>
              <w:fldChar w:fldCharType="begin"/>
            </w:r>
            <w:r>
              <w:rPr>
                <w:webHidden/>
              </w:rPr>
              <w:instrText xml:space="preserve"> PAGEREF _2e9e470f35b83b221f56a2a065aadd07 \h </w:instrText>
            </w:r>
            <w:r>
              <w:fldChar w:fldCharType="separate"/>
            </w:r>
            <w:r>
              <w:rPr>
                <w:webHidden/>
              </w:rPr>
              <w:t>X</w:t>
            </w:r>
            <w:r>
              <w:fldChar w:fldCharType="end"/>
            </w:r>
          </w:hyperlink>
        </w:p>
        <w:p>
          <w:r>
            <w:fldChar w:fldCharType="end"/>
          </w:r>
        </w:p>
      </w:sdtContent>
    </w:sdt>
    <w:bookmarkStart w:id="56" w:name="_8018d2e9652c3a80e05cff126ab86cf6"/>
    <w:bookmarkStart w:id="57" w:name="_e3c16d00277f5b843702da2abb4e3fba"/>
    <w:bookmarkStart w:id="58" w:name="_54d13b3782c57639db7f4353a42dc70d"/>
    <w:p>
      <w:pPr>
        <w:pStyle w:val="Heading4"/>
        <w:keepNext/>
      </w:pPr>
      <w:r>
        <w:t>Στοιχεία Αναφοράς (REF)</w:t>
      </w:r>
    </w:p>
    <w:p>
      <w:pPr>
        <w:pStyle w:val="Body Text"/>
        <w:ind w:leftChars="0" w:left="0" w:right="0"/>
      </w:pPr>
      <w:r>
        <w:t>Τα στοιχεία αναφοράς αναγγέλλονται μόνο όταν υπάρχουν νέα στοιχεία που δεν έχουν υποβληθεί στο παρελθόν καθώς και όταν δημιουργείται ανάγκη για μεταβολής ή διόρθωσης στοιχείων που έχουν υποβληθεί στο παρελθόν.</w:t>
      </w:r>
    </w:p>
    <w:p>
      <w:pPr>
        <w:pStyle w:val="Body Text"/>
        <w:ind w:leftChars="0" w:left="0" w:right="0"/>
      </w:pPr>
      <w:r>
        <w:t>Η κατηγορία REF περιλαμβάνει τους ακόλουθους πίνακες:</w:t>
      </w:r>
    </w:p>
    <w:p>
      <w:pPr>
        <w:pStyle w:val="Body Text"/>
        <w:ind w:leftChars="0" w:left="0" w:right="0"/>
      </w:pPr>
      <w:hyperlink w:anchor="_9405a19fdf560eab6d486c6936fbe511">
        <w:r>
          <w:rPr>
            <w:rStyle w:val="Hyperlink"/>
          </w:rPr>
          <w:t>Πίνακας Στοιχείων Αναφοράς ΠΜ (FND)</w:t>
        </w:r>
      </w:hyperlink>
    </w:p>
    <w:p>
      <w:pPr>
        <w:pStyle w:val="Body Text"/>
        <w:ind w:leftChars="0" w:left="0" w:right="0"/>
      </w:pPr>
      <w:hyperlink w:anchor="_592ee15635aff31761024738846b8dc7">
        <w:r>
          <w:rPr>
            <w:rStyle w:val="Hyperlink"/>
          </w:rPr>
          <w:t>Πίνακας Μεταβλητών Στοιχείων Αναφοράς ΠΜ (FND_DYNMC)</w:t>
        </w:r>
      </w:hyperlink>
    </w:p>
    <w:p>
      <w:pPr>
        <w:pStyle w:val="Body Text"/>
        <w:ind w:leftChars="0" w:left="0" w:right="0"/>
      </w:pPr>
      <w:hyperlink w:anchor="_462fa10809dc80432756f22e82100d73">
        <w:r>
          <w:rPr>
            <w:rStyle w:val="Hyperlink"/>
          </w:rPr>
          <w:t>Πίνακας Στοιχείων Αναφοράς Χρεογράφων Εκδοθέντων από τις ΠΜ (SELF_DBT)</w:t>
        </w:r>
      </w:hyperlink>
    </w:p>
    <w:p>
      <w:pPr>
        <w:pStyle w:val="Body Text"/>
        <w:ind w:leftChars="0" w:left="0" w:right="0"/>
      </w:pPr>
      <w:hyperlink w:anchor="_0414231d7d54bd2e1c4256f9ea13b5ba">
        <w:r>
          <w:rPr>
            <w:rStyle w:val="Hyperlink"/>
          </w:rPr>
          <w:t>Πίνακας Μεταβλητών Στοιχείων Αναφοράς Χρεογράφων Εκδοθέντων από τις ΠΜ (SELF_DBT_DYNMC)</w:t>
        </w:r>
      </w:hyperlink>
    </w:p>
    <w:p>
      <w:pPr>
        <w:pStyle w:val="Body Text"/>
        <w:ind w:leftChars="0" w:left="0" w:right="0"/>
      </w:pPr>
      <w:hyperlink w:anchor="_1af097156447d1aa334801254dccac34">
        <w:r>
          <w:rPr>
            <w:rStyle w:val="Hyperlink"/>
          </w:rPr>
          <w:t>Πίνακας μεταβολής της εναπομείνουσας αξίας χρεογράφων εκδοθέντων από τις ΠΜ (SELF_DBT_OUTSTNDNG_CNG)</w:t>
        </w:r>
      </w:hyperlink>
    </w:p>
    <w:p>
      <w:pPr>
        <w:pStyle w:val="Body Text"/>
        <w:ind w:leftChars="0" w:left="0" w:right="0"/>
      </w:pPr>
      <w:hyperlink w:anchor="_bafdd4e19bdc478c38dddbe68727ecc6">
        <w:r>
          <w:rPr>
            <w:rStyle w:val="Hyperlink"/>
          </w:rPr>
          <w:t>Πίνακας Στοιχείων Τοκομεριδίων Χρεογράφων Εκδοθέντων από τις ΠΜ (SELF_DBT_CPN)</w:t>
        </w:r>
      </w:hyperlink>
    </w:p>
    <w:p>
      <w:pPr>
        <w:pStyle w:val="Body Text"/>
        <w:ind w:leftChars="0" w:left="0" w:right="0"/>
      </w:pPr>
      <w:hyperlink w:anchor="_5bff7b080b6d8cd24b7455887f1e8654">
        <w:r>
          <w:rPr>
            <w:rStyle w:val="Hyperlink"/>
          </w:rPr>
          <w:t>Στοιχεία Αναφοράς Συμμετοχικών Τίτλων Εκδοθέντοι από τις ΠΜ (SELF_SHR)</w:t>
        </w:r>
      </w:hyperlink>
    </w:p>
    <w:p>
      <w:pPr>
        <w:pStyle w:val="Body Text"/>
        <w:ind w:leftChars="0" w:left="0" w:right="0"/>
      </w:pPr>
      <w:hyperlink w:anchor="_6853b2c42125ae137cbbe4b4883f43e1">
        <w:r>
          <w:rPr>
            <w:rStyle w:val="Hyperlink"/>
          </w:rPr>
          <w:t>Πίνακας Μεταβλητών Στοιχείων Αναφοράς Συμμετοχικών Τίτλων Εκδοθέντων από τις ΠΜ (SELF_SHR_DYNMC)</w:t>
        </w:r>
      </w:hyperlink>
    </w:p>
    <w:p>
      <w:pPr>
        <w:pStyle w:val="Body Text"/>
        <w:ind w:leftChars="0" w:left="0" w:right="0"/>
      </w:pPr>
      <w:hyperlink w:anchor="_6859a225481a02d0ba2cd3e9c9c18a08">
        <w:r>
          <w:rPr>
            <w:rStyle w:val="Hyperlink"/>
          </w:rPr>
          <w:t>Πίνακας Μερισμάτων Συμμετοχικών Τίτλων Εκδοθέντα από τις ΠΜ (SELF_SHR_DVDND)</w:t>
        </w:r>
      </w:hyperlink>
    </w:p>
    <w:p>
      <w:pPr>
        <w:pStyle w:val="Body Text"/>
        <w:ind w:leftChars="0" w:left="0" w:right="0"/>
      </w:pPr>
      <w:hyperlink w:anchor="_9fd6fe32713d0a20760687ca1c4d8e47">
        <w:r>
          <w:rPr>
            <w:rStyle w:val="Hyperlink"/>
          </w:rPr>
          <w:t>Πίνακας Διασπάσεων/Συμπτήξεων των Συμμετωχικών Τίτλων Εκδοθέντων από τις ΠΜ (SELF_SHR_SPLT)</w:t>
        </w:r>
      </w:hyperlink>
    </w:p>
    <w:p>
      <w:pPr>
        <w:pStyle w:val="Body Text"/>
        <w:ind w:leftChars="0" w:left="0" w:right="0"/>
      </w:pPr>
      <w:hyperlink w:anchor="_a8ac320c80b25b197568d92ec203bc3e">
        <w:r>
          <w:rPr>
            <w:rStyle w:val="Hyperlink"/>
          </w:rPr>
          <w:t>Πίνακας Στοιχείων Αναφοράς Διαχειρίστριας Εταιρείας (MNGMNT)</w:t>
        </w:r>
      </w:hyperlink>
    </w:p>
    <w:p>
      <w:pPr>
        <w:pStyle w:val="Body Text"/>
        <w:ind w:leftChars="0" w:left="0" w:right="0"/>
      </w:pPr>
      <w:hyperlink w:anchor="_7c67e353666e547513fb7bb111db49d9">
        <w:r>
          <w:rPr>
            <w:rStyle w:val="Hyperlink"/>
          </w:rPr>
          <w:t>Πίνακας Μεταβλητών Στοιχείων Αναφοράς Διαχειρίστριας Εταιρείας (MNGMNT)</w:t>
        </w:r>
      </w:hyperlink>
    </w:p>
    <w:p>
      <w:pPr>
        <w:pStyle w:val="Body Text"/>
        <w:ind w:leftChars="0" w:left="0" w:right="0"/>
      </w:pPr>
      <w:hyperlink w:anchor="_874ad79093b0edbf7ef661ffc479e479">
        <w:r>
          <w:rPr>
            <w:rStyle w:val="Hyperlink"/>
          </w:rPr>
          <w:t>Πίνακας Στοιχείων Αναφοράς IFDat Προσώπων Επικοινωνίας  (CNTCT)</w:t>
        </w:r>
      </w:hyperlink>
    </w:p>
    <w:p>
      <w:pPr>
        <w:pStyle w:val="Body Text"/>
        <w:ind w:leftChars="0" w:left="0" w:right="0"/>
      </w:pPr>
      <w:hyperlink w:anchor="_9a34b82d8b4b71924cfc4916e2aaa6ef">
        <w:r>
          <w:rPr>
            <w:rStyle w:val="Hyperlink"/>
          </w:rPr>
          <w:t>Πίνακας Δεσμών των Προσώπων Επικοινωνίας με τις ΜΠΣ (CNTCT_T_RA)</w:t>
        </w:r>
      </w:hyperlink>
    </w:p>
    <w:p>
      <w:pPr>
        <w:pStyle w:val="Body Text"/>
        <w:ind w:leftChars="0" w:left="0" w:right="0"/>
      </w:pPr>
      <w:hyperlink w:anchor="_fc1fb1111d2eb9b26f350130803422db">
        <w:r>
          <w:rPr>
            <w:rStyle w:val="Hyperlink"/>
          </w:rPr>
          <w:t>Πίνακας Στοιχείων Αντισυμβαλλόμενων με Εσωτερικό Κωδικό (CNTRPRTY)</w:t>
        </w:r>
      </w:hyperlink>
    </w:p>
    <w:p>
      <w:pPr>
        <w:pStyle w:val="Body Text"/>
        <w:ind w:leftChars="0" w:left="0" w:right="0"/>
      </w:pPr>
      <w:hyperlink w:anchor="_afb46d8695152ec87c3c78e4b38f94fb">
        <w:r>
          <w:rPr>
            <w:rStyle w:val="Hyperlink"/>
          </w:rPr>
          <w:t>Πίνακας Στοιχείων Αναφοράς Καταθετικών Λογαριασμών των ΠΜ (DPST)</w:t>
        </w:r>
      </w:hyperlink>
    </w:p>
    <w:p>
      <w:pPr>
        <w:pStyle w:val="Body Text"/>
        <w:ind w:leftChars="0" w:left="0" w:right="0"/>
      </w:pPr>
      <w:hyperlink w:anchor="_f215b304123d5ad58dd99583f44ac43e">
        <w:r>
          <w:rPr>
            <w:rStyle w:val="Hyperlink"/>
          </w:rPr>
          <w:t>Πίνακας Στοιχείων Αναφοράς Πράξεων Χρηματοδότησης Χρεογράφων (SFΤ)</w:t>
        </w:r>
      </w:hyperlink>
    </w:p>
    <w:p>
      <w:pPr>
        <w:pStyle w:val="Body Text"/>
        <w:ind w:leftChars="0" w:left="0" w:right="0"/>
      </w:pPr>
      <w:hyperlink w:anchor="_3f15379b28224812e084b5fe40bfc2af">
        <w:r>
          <w:rPr>
            <w:rStyle w:val="Hyperlink"/>
          </w:rPr>
          <w:t>Πίνακας Στοιχείων Αναφοράς Χρεογράφων Δίχως ISIN που Κατέχουν οι ΠΜ (DBT)</w:t>
        </w:r>
      </w:hyperlink>
    </w:p>
    <w:p>
      <w:pPr>
        <w:pStyle w:val="Body Text"/>
        <w:ind w:leftChars="0" w:left="0" w:right="0"/>
      </w:pPr>
      <w:hyperlink w:anchor="_79b0f11a4feee30f5205bb39c2eb91c7">
        <w:r>
          <w:rPr>
            <w:rStyle w:val="Hyperlink"/>
          </w:rPr>
          <w:t>Πίνακας Στοιχείων Αναφοράς Δανείων (LN)</w:t>
        </w:r>
      </w:hyperlink>
    </w:p>
    <w:p>
      <w:pPr>
        <w:pStyle w:val="Body Text"/>
        <w:ind w:leftChars="0" w:left="0" w:right="0"/>
      </w:pPr>
      <w:hyperlink w:anchor="_14ee6f42d27e580139e87599e1b61d0f">
        <w:r>
          <w:rPr>
            <w:rStyle w:val="Hyperlink"/>
          </w:rPr>
          <w:t>Πίνακας Στοιχείων Αναφοράς Συμμετοχικών Τίτλων χωρίς ISIN που Κατέχουν οι ΠΜ (SHR)</w:t>
        </w:r>
      </w:hyperlink>
    </w:p>
    <w:p>
      <w:pPr>
        <w:pStyle w:val="Body Text"/>
        <w:ind w:leftChars="0" w:left="0" w:right="0"/>
      </w:pPr>
      <w:hyperlink w:anchor="_98255bccbe0f0726b6ff4bd93c37b5d8">
        <w:r>
          <w:rPr>
            <w:rStyle w:val="Hyperlink"/>
          </w:rPr>
          <w:t>Πίνακας Στοιχείων Αναφοράς ΔΧΠ που συναλλάσονται οι ΠΜ (EDR)</w:t>
        </w:r>
      </w:hyperlink>
    </w:p>
    <w:p>
      <w:pPr>
        <w:pStyle w:val="Body Text"/>
        <w:ind w:leftChars="0" w:left="0" w:right="0"/>
      </w:pPr>
      <w:hyperlink w:anchor="_53c63ada28ac69067ae18216d55c0735">
        <w:r>
          <w:rPr>
            <w:rStyle w:val="Hyperlink"/>
          </w:rPr>
          <w:t>Πίνακας Στοιχείων Αναφοράς EΧΠ που συναλλάσονται οι ΠΜ (ODR)</w:t>
        </w:r>
      </w:hyperlink>
    </w:p>
    <w:bookmarkStart w:id="59" w:name="_b12465aec3b0ec627174775337bd1d22"/>
    <w:bookmarkStart w:id="60" w:name="_9405a19fdf560eab6d486c6936fbe511"/>
    <w:bookmarkStart w:id="61" w:name="_022fc727b13cc1c1b1f05b4ed9b0f807"/>
    <w:p>
      <w:pPr>
        <w:pStyle w:val="Heading5"/>
        <w:keepNext/>
      </w:pPr>
      <w:r>
        <w:t>Πίνακας Στοιχείων Αναφοράς ΠΜ (FND)</w:t>
      </w:r>
    </w:p>
    <w:p>
      <w:pPr>
        <w:pStyle w:val="Body Text"/>
        <w:ind w:leftChars="0" w:left="0" w:right="0"/>
      </w:pPr>
      <w:r>
        <w:t>Χρησιμοποιείται για την παροχή στοιχείων αναφοράς της ΠΜ (των ΠΜ) και περιλαμβάνει μεταβλητές που μπορούν να λάβουν έως και μία ξεχωριστή τιμή κατά τη διάρκεια του κύκλου ζωής της ΠΜ.</w:t>
      </w:r>
    </w:p>
    <w:bookmarkStart w:id="62" w:name="_196d4c16340584568cac252066a4d9a1"/>
    <w:p>
      <w:pPr>
        <w:pStyle w:val="Heading 6"/>
        <w:keepNext/>
      </w:pPr>
      <w:r>
        <w:t>ΔΙΑΣΤΑΣH</w:t>
      </w:r>
    </w:p>
    <w:p>
      <w:pPr>
        <w:pStyle w:val="DefinitionTerm"/>
        <w:ind w:leftChars="0" w:left="0" w:right="0"/>
        <w:keepNext/>
      </w:pPr>
      <w:r>
        <w:t>Αναγνωριστικός Κωδικός ΠΜ (ID)</w:t>
      </w:r>
    </w:p>
    <w:p>
      <w:pPr>
        <w:pStyle w:val="Definition"/>
        <w:ind w:leftChars="0" w:left="480" w:right="0"/>
      </w:pPr>
      <w:r>
        <w:t>Επιλέγεται από τον πίνακα των ΠΜ ο αναγνωριστικός κωδικός ID της ΠΜ</w:t>
      </w:r>
    </w:p>
    <w:bookmarkEnd w:id="62"/>
    <w:bookmarkStart w:id="63" w:name="_490c7c81a353459a18fc5a67f8eab37a"/>
    <w:p>
      <w:pPr>
        <w:pStyle w:val="Heading 6"/>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ΠΜ ή ημερομηνία αρχικοποίησης της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της ΠΜ.</w:t>
      </w:r>
    </w:p>
    <w:p>
      <w:pPr>
        <w:pStyle w:val="Definition"/>
        <w:ind w:leftChars="0" w:left="480" w:right="0"/>
      </w:pPr>
      <w:r>
        <w:t>Τιμή συμπληρώνεται μόνο στην περίπτωση που κλείσει ο ΕΟ.</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ΠΜ.</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ΠΜ.</w:t>
      </w:r>
    </w:p>
    <w:p>
      <w:pPr>
        <w:pStyle w:val="Definition"/>
        <w:ind w:leftChars="0" w:left="480" w:right="0"/>
      </w:pPr>
      <w:r>
        <w:t>Συμπληρώνεται μόνο στην περίπτωση που η ΠΜ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ο ΕΟ συγχωνεύτηκε.</w:t>
      </w:r>
    </w:p>
    <w:p>
      <w:pPr>
        <w:pStyle w:val="Definition"/>
        <w:ind w:leftChars="0" w:left="480" w:right="0"/>
      </w:pPr>
      <w:r>
        <w:t>Συμπληρώνεται μόνο στην περίπτωση που ο ΕΟ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63"/>
    <w:bookmarkEnd w:id="61"/>
    <w:bookmarkEnd w:id="60"/>
    <w:bookmarkStart w:id="64" w:name="_592ee15635aff31761024738846b8dc7"/>
    <w:bookmarkStart w:id="65" w:name="_c1068c52f18035b98076cf8906a40d85"/>
    <w:p>
      <w:pPr>
        <w:pStyle w:val="Heading5"/>
        <w:keepNext/>
      </w:pPr>
      <w:r>
        <w:t>Πίνακας Μεταβλητών Στοιχείων Αναφοράς ΠΜ (FND_DYNMC)</w:t>
      </w:r>
    </w:p>
    <w:p>
      <w:pPr>
        <w:pStyle w:val="Body Text"/>
        <w:ind w:leftChars="0" w:left="0" w:right="0"/>
      </w:pPr>
      <w:r>
        <w:t>Χρησιμοποιείται για την παροχή στοιχείων αναφοράς της ΠΜ (των ΠΜ) και περιλαμβάνει μεταβλητές που οι τιμές τους δύναται να μεταβληθούν κατά τη διάρκεια του κύκλου ζωής της κάθε ΠΜ.</w:t>
      </w:r>
    </w:p>
    <w:bookmarkStart w:id="66" w:name="_6eb333f06087731085e6f4a4f5e98e21"/>
    <w:p>
      <w:pPr>
        <w:pStyle w:val="Heading 6"/>
        <w:keepNext/>
      </w:pPr>
      <w:r>
        <w:t>ΔΙΑΣΤΑΣΕΙΣ</w:t>
      </w:r>
    </w:p>
    <w:p>
      <w:pPr>
        <w:pStyle w:val="DefinitionTerm"/>
        <w:ind w:leftChars="0" w:left="0" w:right="0"/>
        <w:keepNext/>
      </w:pPr>
      <w:r>
        <w:t>Αναγνωριστικός Κωδικός ΠΜ (ID)</w:t>
      </w:r>
    </w:p>
    <w:p>
      <w:pPr>
        <w:pStyle w:val="Definition"/>
        <w:ind w:leftChars="0" w:left="480" w:right="0"/>
      </w:pPr>
      <w:r>
        <w:t>Από τον πίνακα επιλέγεται ο αναγνωριστικός κωδικός ID της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66"/>
    <w:bookmarkStart w:id="67" w:name="_b05010e0491e65fa804a5a00099febf1"/>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ΠΜ</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ΠΜ.</w:t>
      </w:r>
    </w:p>
    <w:p>
      <w:pPr>
        <w:pStyle w:val="Definition"/>
        <w:ind w:leftChars="0" w:left="480" w:right="0"/>
      </w:pPr>
      <w:r>
        <w:t>Συμπληρώνεται μόνο αν υπάρχει τέτοια ονομασία για την ΠΜ.</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ΠΜ.</w:t>
      </w:r>
    </w:p>
    <w:p>
      <w:pPr>
        <w:pStyle w:val="Definition"/>
        <w:ind w:leftChars="0" w:left="480" w:right="0"/>
      </w:pPr>
      <w:r>
        <w:t>Συμπληρώνεται μόνο αν υπάρχει τέτοια διεύθυνση που παρέχει πληροφορίες της ΠΜ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ΠΜ.</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ΠΜ Εισηγμένη σε Οργανωμένη Αγορά (IS_LSTD)</w:t>
      </w:r>
    </w:p>
    <w:p>
      <w:pPr>
        <w:pStyle w:val="Definition"/>
        <w:ind w:leftChars="0" w:left="480" w:right="0"/>
      </w:pPr>
      <w:r>
        <w:t>Ένδειξη για το αν τουλάχιστον ένας συμμετοχικός τίτλος της ΠΜ διαπραγματεύεται σε οργανωμένη αγορά.</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Κατάσταση Αδράνειας (IS_INCTV)</w:t>
      </w:r>
    </w:p>
    <w:p>
      <w:pPr>
        <w:pStyle w:val="Definition"/>
        <w:ind w:leftChars="0" w:left="480" w:right="0"/>
      </w:pPr>
      <w:r>
        <w:t>Ένδειξη ότι η ΠΜ βρίσκετα σε κατάστασης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Καθεστώς Ρευστοποίησης (IS_UNDR_LQDTN)</w:t>
      </w:r>
    </w:p>
    <w:p>
      <w:pPr>
        <w:pStyle w:val="Definition"/>
        <w:ind w:leftChars="0" w:left="480" w:right="0"/>
      </w:pPr>
      <w:r>
        <w:t>Ένδειξη ότι η ΠΜ βρίσκετα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της ΠΜ (INSTTTNL_SCTR_CNTRL)</w:t>
      </w:r>
    </w:p>
    <w:p>
      <w:pPr>
        <w:pStyle w:val="Definition"/>
        <w:ind w:leftChars="0" w:left="480" w:right="0"/>
      </w:pPr>
      <w:r>
        <w:t>Είδος θεσμικού ελέγχου που ασκούνε οι μετόχοι/μεριδιούχοι στον ΕΟ.</w:t>
      </w:r>
    </w:p>
    <w:p>
      <w:pPr>
        <w:pStyle w:val="Definition"/>
        <w:ind w:leftChars="0" w:left="480" w:right="0"/>
      </w:pPr>
      <w:r>
        <w:t>Για την έννοια του θεσμικού ελέγχου δείτε το Κεφάλαιο 2 τους ΕΣΛ2010.</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ORG_INSTTTNL_SCTR_CNTRL_ENUM</w:t>
        </w:r>
      </w:hyperlink>
    </w:p>
    <w:p>
      <w:pPr>
        <w:pStyle w:val="DefinitionTerm"/>
        <w:ind w:leftChars="0" w:left="0" w:right="0"/>
        <w:keepNext/>
      </w:pPr>
      <w:r>
        <w:t>Διαχειρίστρια Εταιρεία ΕΟ (MNGD_BY)</w:t>
      </w:r>
    </w:p>
    <w:p>
      <w:pPr>
        <w:pStyle w:val="Definition"/>
        <w:ind w:leftChars="0" w:left="480" w:right="0"/>
      </w:pPr>
      <w:r>
        <w:t>Αναγνωριστικός κωδικός της διαχειρίστριας εταιρείας</w:t>
      </w:r>
    </w:p>
    <w:p>
      <w:pPr>
        <w:pStyle w:val="Definition"/>
        <w:ind w:leftChars="0" w:left="480" w:right="0"/>
      </w:pPr>
      <w:r>
        <w:t>Η μεταβλητή συμπληρώνεται μόνο για τους ΕΟ που λειτουργούν ως αμοιβαία κεφάλαια</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ΠΜ που ανήκει σε άλλο ΕΟ τύπου «μανδύα» (UNDR_UMBRLL_BY)</w:t>
      </w:r>
    </w:p>
    <w:p>
      <w:pPr>
        <w:pStyle w:val="Definition"/>
        <w:ind w:leftChars="0" w:left="480" w:right="0"/>
      </w:pPr>
      <w:r>
        <w:t>Ο αναγνωριστικός κωδικός του ΕΟ τύπου μανδύα (umbrella fund) στο οποίο ανήκει η ΠΜ</w:t>
      </w:r>
    </w:p>
    <w:p>
      <w:pPr>
        <w:pStyle w:val="Definition"/>
        <w:ind w:leftChars="0" w:left="480" w:right="0"/>
      </w:pPr>
      <w:r>
        <w:t>Η μεταβλητή συμπληρώνεται μόνο για τις ΠΜ που είναι μέλη άλλων ΕΟ που έχουν τη μορφή του μανδύα (umbrell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Μορφή (TYP)</w:t>
      </w:r>
    </w:p>
    <w:p>
      <w:pPr>
        <w:pStyle w:val="Definition"/>
        <w:ind w:leftChars="0" w:left="480" w:right="0"/>
      </w:pPr>
      <w:r>
        <w:t>Μορφή της ΠΜ.</w:t>
      </w:r>
    </w:p>
    <w:p>
      <w:pPr>
        <w:pStyle w:val="Definition"/>
        <w:ind w:leftChars="0" w:left="480" w:right="0"/>
      </w:pPr>
      <w:r>
        <w:t xml:space="preserve">Η τιμή επιλέγεται από τη λίστα τιμών </w:t>
      </w:r>
      <w:hyperlink w:anchor="_a4e65f0ce3c161ac71ef9de006a2de37">
        <w:r>
          <w:rPr>
            <w:rStyle w:val="Hyperlink"/>
          </w:rPr>
          <w:t>FND_TYP_ENUM</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της ΠΜ</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FND_INVSTMNT_PLCY_ENUM</w:t>
        </w:r>
      </w:hyperlink>
    </w:p>
    <w:p>
      <w:pPr>
        <w:pStyle w:val="DefinitionTerm"/>
        <w:ind w:leftChars="0" w:left="0" w:right="0"/>
        <w:keepNext/>
      </w:pPr>
      <w:r>
        <w:t>Δευτορογενή Μορφή (SBTYP)</w:t>
      </w:r>
    </w:p>
    <w:p>
      <w:pPr>
        <w:pStyle w:val="Definition"/>
        <w:ind w:leftChars="0" w:left="480" w:right="0"/>
      </w:pPr>
      <w:r>
        <w:t>Δευτερογενή μορφή της ΠΜ.</w:t>
      </w:r>
    </w:p>
    <w:p>
      <w:pPr>
        <w:pStyle w:val="Definition"/>
        <w:ind w:leftChars="0" w:left="480" w:right="0"/>
      </w:pPr>
      <w:r>
        <w:t xml:space="preserve">Η τιμή επιλέγεται από τη λίστα τιμών </w:t>
      </w:r>
      <w:hyperlink w:anchor="_aef5441683807acfe80d718ef6a56e7f">
        <w:r>
          <w:rPr>
            <w:rStyle w:val="Hyperlink"/>
          </w:rPr>
          <w:t>FND_SBTYP_ENUM</w:t>
        </w:r>
      </w:hyperlink>
    </w:p>
    <w:p>
      <w:pPr>
        <w:pStyle w:val="DefinitionTerm"/>
        <w:ind w:leftChars="0" w:left="0" w:right="0"/>
        <w:keepNext/>
      </w:pPr>
      <w:r>
        <w:t>Τρόπος Διανομής Μερίσματος (DSTRBTN_TYP)</w:t>
      </w:r>
    </w:p>
    <w:p>
      <w:pPr>
        <w:pStyle w:val="Definition"/>
        <w:ind w:leftChars="0" w:left="480" w:right="0"/>
      </w:pPr>
      <w:r>
        <w:t>Μερισματική πολιτική της ΠΜ.</w:t>
      </w:r>
    </w:p>
    <w:p>
      <w:pPr>
        <w:pStyle w:val="Definition"/>
        <w:ind w:leftChars="0" w:left="480" w:right="0"/>
      </w:pPr>
      <w:r>
        <w:t xml:space="preserve">Η τιμή επιλέγεται από τη λίστα τιμών </w:t>
      </w:r>
      <w:hyperlink w:anchor="_65016d0bbca70b27e630da90d53bc327">
        <w:r>
          <w:rPr>
            <w:rStyle w:val="Hyperlink"/>
          </w:rPr>
          <w:t>FND_DSTRBTN_TYP_ENUM</w:t>
        </w:r>
      </w:hyperlink>
    </w:p>
    <w:p>
      <w:pPr>
        <w:pStyle w:val="DefinitionTerm"/>
        <w:ind w:leftChars="0" w:left="0" w:right="0"/>
        <w:keepNext/>
      </w:pPr>
      <w:r>
        <w:t>Είδος Μεριδιούχων (INVSTR_TYP)</w:t>
      </w:r>
    </w:p>
    <w:p>
      <w:pPr>
        <w:pStyle w:val="Definition"/>
        <w:ind w:leftChars="0" w:left="480" w:right="0"/>
      </w:pPr>
      <w:r>
        <w:t>Είδος μετόχων/μεριδιούχων.</w:t>
      </w:r>
    </w:p>
    <w:p>
      <w:pPr>
        <w:pStyle w:val="Definition"/>
        <w:ind w:leftChars="0" w:left="480" w:right="0"/>
      </w:pPr>
      <w:r>
        <w:t xml:space="preserve">Η τιμή επιλέγεται από τη λίστα τιμών </w:t>
      </w:r>
      <w:hyperlink w:anchor="_a25bcfd2b94cf464c514b3093dd11033">
        <w:r>
          <w:rPr>
            <w:rStyle w:val="Hyperlink"/>
          </w:rPr>
          <w:t>FND_INVSTR_TYP_ENUM</w:t>
        </w:r>
      </w:hyperlink>
    </w:p>
    <w:p>
      <w:pPr>
        <w:pStyle w:val="DefinitionTerm"/>
        <w:ind w:leftChars="0" w:left="0" w:right="0"/>
        <w:keepNext/>
      </w:pPr>
      <w:r>
        <w:t>Είδος Πράσινου ΕΟ (GRN_TYP)</w:t>
      </w:r>
    </w:p>
    <w:p>
      <w:pPr>
        <w:pStyle w:val="Definition"/>
        <w:ind w:leftChars="0" w:left="480" w:right="0"/>
      </w:pPr>
      <w:r>
        <w:t>Πράσινη κατηγορία που ανήκει η ΠΜ.</w:t>
      </w:r>
    </w:p>
    <w:p>
      <w:pPr>
        <w:pStyle w:val="Definition"/>
        <w:ind w:leftChars="0" w:left="480" w:right="0"/>
      </w:pPr>
      <w:r>
        <w:t>Η μεταβλητή συμπληρώνεται μόνο από «πράσινους» ΠΜ.</w:t>
      </w:r>
    </w:p>
    <w:p>
      <w:pPr>
        <w:pStyle w:val="Definition"/>
        <w:ind w:leftChars="0" w:left="480" w:right="0"/>
      </w:pPr>
      <w:r>
        <w:t xml:space="preserve">Η τιμή επιλέγεται από τη λίστα τιμών </w:t>
      </w:r>
      <w:hyperlink w:anchor="_5f78fc9f0b12cb68b4485020940bf044">
        <w:r>
          <w:rPr>
            <w:rStyle w:val="Hyperlink"/>
          </w:rPr>
          <w:t>FND_GRN_TYP_ENUM</w:t>
        </w:r>
      </w:hyperlink>
    </w:p>
    <w:p>
      <w:pPr>
        <w:pStyle w:val="DefinitionTerm"/>
        <w:ind w:leftChars="0" w:left="0" w:right="0"/>
        <w:keepNext/>
      </w:pPr>
      <w:r>
        <w:t>Επενδυτική Στρατηγική (STRTGY)</w:t>
      </w:r>
    </w:p>
    <w:p>
      <w:pPr>
        <w:pStyle w:val="Definition"/>
        <w:ind w:leftChars="0" w:left="480" w:right="0"/>
      </w:pPr>
      <w:r>
        <w:t>Επενδυτική στρατηγική της ΠΜ.</w:t>
      </w:r>
    </w:p>
    <w:p>
      <w:pPr>
        <w:pStyle w:val="Definition"/>
        <w:ind w:leftChars="0" w:left="480" w:right="0"/>
      </w:pPr>
      <w:r>
        <w:t xml:space="preserve">Η τιμή επιλέγεται από τη λίστα τιμών </w:t>
      </w:r>
      <w:hyperlink w:anchor="_4d24309c58d333234b758df903ceb0a8">
        <w:r>
          <w:rPr>
            <w:rStyle w:val="Hyperlink"/>
          </w:rPr>
          <w:t>FND_STRTGY_ENUM</w:t>
        </w:r>
      </w:hyperlink>
    </w:p>
    <w:p>
      <w:pPr>
        <w:pStyle w:val="DefinitionTerm"/>
        <w:ind w:leftChars="0" w:left="0" w:right="0"/>
        <w:keepNext/>
      </w:pPr>
      <w:r>
        <w:t>Γεωγραφικός Προσδιορισμός (GGPHCL_FCS)</w:t>
      </w:r>
    </w:p>
    <w:p>
      <w:pPr>
        <w:pStyle w:val="Definition"/>
        <w:ind w:leftChars="0" w:left="480" w:right="0"/>
      </w:pPr>
      <w:r>
        <w:t>Γεωγραφικός προσδιορισμός της πλειοψηφίας των περιουσιακών στοιχείων της ΠΜ</w:t>
      </w:r>
    </w:p>
    <w:p>
      <w:pPr>
        <w:pStyle w:val="Definition"/>
        <w:ind w:leftChars="0" w:left="480" w:right="0"/>
      </w:pPr>
      <w:r>
        <w:t xml:space="preserve">Η τιμή επιλέγεται από τη λίστα τιμών </w:t>
      </w:r>
      <w:hyperlink w:anchor="_19a3682718afa1abfef6b6ad94ba0897">
        <w:r>
          <w:rPr>
            <w:rStyle w:val="Hyperlink"/>
          </w:rPr>
          <w:t>FND_GGRPHCL_FCS_ENUM</w:t>
        </w:r>
      </w:hyperlink>
    </w:p>
    <w:p>
      <w:pPr>
        <w:pStyle w:val="DefinitionTerm"/>
        <w:ind w:leftChars="0" w:left="0" w:right="0"/>
        <w:keepNext/>
      </w:pPr>
      <w:r>
        <w:t>Επενδυτικός Προσδιορισμός των Ομολογιακών ΠΜ (BND_FCS)</w:t>
      </w:r>
    </w:p>
    <w:p>
      <w:pPr>
        <w:pStyle w:val="Definition"/>
        <w:ind w:leftChars="0" w:left="480" w:right="0"/>
      </w:pPr>
      <w:r>
        <w:t>Προσδιορισμός της πλειοψηφίας των επενδύσεων των Ομολογιακών ΠΜ.</w:t>
      </w:r>
    </w:p>
    <w:p>
      <w:pPr>
        <w:pStyle w:val="Definition"/>
        <w:ind w:leftChars="0" w:left="480" w:right="0"/>
      </w:pPr>
      <w:r>
        <w:t xml:space="preserve">Τιμή συμπληρώνεται μόνο όταν η μεταβλητή </w:t>
      </w:r>
      <w:r>
        <w:rPr>
          <w:i/>
          <w:iCs/>
        </w:rPr>
        <w:t>INVSTMNT_PLCY</w:t>
      </w:r>
      <w:r>
        <w:t xml:space="preserve"> έχει την τιμή </w:t>
      </w:r>
      <w:r>
        <w:rPr>
          <w:i/>
          <w:iCs/>
        </w:rPr>
        <w:t>BON</w:t>
      </w:r>
      <w:r>
        <w:t>.</w:t>
      </w:r>
    </w:p>
    <w:p>
      <w:pPr>
        <w:pStyle w:val="Definition"/>
        <w:ind w:leftChars="0" w:left="480" w:right="0"/>
      </w:pPr>
      <w:r>
        <w:t xml:space="preserve">Η τιμή επιλέγεται από τη λίστα τιμών </w:t>
      </w:r>
      <w:hyperlink w:anchor="_6d9338b7305c3e1f15e50d3c4423448b">
        <w:r>
          <w:rPr>
            <w:rStyle w:val="Hyperlink"/>
          </w:rPr>
          <w:t>FND_BND_FCS_ENUM</w:t>
        </w:r>
      </w:hyperlink>
    </w:p>
    <w:p>
      <w:pPr>
        <w:pStyle w:val="DefinitionTerm"/>
        <w:ind w:leftChars="0" w:left="0" w:right="0"/>
        <w:keepNext/>
      </w:pPr>
      <w:r>
        <w:t>Επενδυτικός Προσδιορισμός των ΠΜ που επενδύουν σε Ακίνητη Περιουσία (RL_ESTT_TYP)</w:t>
      </w:r>
    </w:p>
    <w:p>
      <w:pPr>
        <w:pStyle w:val="Definition"/>
        <w:ind w:leftChars="0" w:left="480" w:right="0"/>
      </w:pPr>
      <w:r>
        <w:t>Προσδιορισμός της πλειοψηφίας των επενδύσεων των ΠΜ που επενδύουν σε ακίνητη περιουσία.</w:t>
      </w:r>
    </w:p>
    <w:p>
      <w:pPr>
        <w:pStyle w:val="Definition"/>
        <w:ind w:leftChars="0" w:left="480" w:right="0"/>
      </w:pPr>
      <w:r>
        <w:t xml:space="preserve">Τιμή συμπληρώνεται μόνο όταν η μεταβλητή </w:t>
      </w:r>
      <w:r>
        <w:rPr>
          <w:i/>
          <w:iCs/>
        </w:rPr>
        <w:t>INVSTMNT_PLCY</w:t>
      </w:r>
      <w:r>
        <w:t xml:space="preserve"> έχει την </w:t>
      </w:r>
      <w:r>
        <w:rPr>
          <w:i/>
          <w:iCs/>
        </w:rPr>
        <w:t>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FND_RL_ESTT_TYP_ENUM</w:t>
        </w:r>
      </w:hyperlink>
    </w:p>
    <w:p>
      <w:pPr>
        <w:pStyle w:val="DefinitionTerm"/>
        <w:ind w:leftChars="0" w:left="0" w:right="0"/>
        <w:keepNext/>
      </w:pPr>
      <w:r>
        <w:t>Ένδειξη επενδύσεων της ΠΜ σε άλλους ΕΟ (IS_FOF)</w:t>
      </w:r>
    </w:p>
    <w:p>
      <w:pPr>
        <w:pStyle w:val="Definition"/>
        <w:ind w:leftChars="0" w:left="480" w:right="0"/>
      </w:pPr>
      <w:r>
        <w:t>Ένδειξη περί επενδύσεων της ΠΜ κυρίως σε άλλους ΕΟ</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διαπραγματεύσιμης ΠΜ (IS_ETF)</w:t>
      </w:r>
    </w:p>
    <w:p>
      <w:pPr>
        <w:pStyle w:val="Definition"/>
        <w:ind w:leftChars="0" w:left="480" w:right="0"/>
      </w:pPr>
      <w:r>
        <w:t>Ένδειξη ότι η ΠΜ αποτελεί διαπραγματεύσιμο αμοιβαίο κεφάλαιο.</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η ΠΜ αποτελεί έχει τη μορφή ιδιωτικού επενδυτικού κεφαλαίου.</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68" w:name="_cfa54404dc1d2eda88c38cb76724c600"/>
    <w:p>
      <w:pPr>
        <w:pStyle w:val="DefinitionTerm"/>
        <w:ind w:leftChars="0" w:left="0" w:right="0"/>
        <w:keepNext/>
      </w:pPr>
      <w:r>
        <w:t>Νόμισμα Αποτίμησης της ΠΜ (VLTN_CRRNCY)</w:t>
      </w:r>
    </w:p>
    <w:p>
      <w:pPr>
        <w:pStyle w:val="Definition"/>
        <w:ind w:leftChars="0" w:left="480" w:right="0"/>
      </w:pPr>
      <w:r>
        <w:t>Νόμισμα βάση του οποίου γίνεται η απότιμηση της ΠΜ.</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bookmarkEnd w:id="68"/>
    <w:bookmarkEnd w:id="67"/>
    <w:bookmarkEnd w:id="65"/>
    <w:bookmarkEnd w:id="64"/>
    <w:bookmarkStart w:id="69" w:name="_462fa10809dc80432756f22e82100d73"/>
    <w:bookmarkStart w:id="70" w:name="_a524976f02f560d307a1892365feb877"/>
    <w:p>
      <w:pPr>
        <w:pStyle w:val="Heading5"/>
        <w:keepNext/>
      </w:pPr>
      <w:r>
        <w:t>Πίνακας Στοιχείων Αναφοράς Χρεογράφων Εκδοθέντων από τις ΠΜ (SELF_DBT)</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μπορούν να λάβουν έως και μία ξεχωριστή τιμή κατά τη διάρκεια του κύκλου ζωής του κάθε χρεογράφου.</w:t>
      </w:r>
    </w:p>
    <w:bookmarkStart w:id="71" w:name="_2de3df1fa22d8aea15dcf39528004043"/>
    <w:p>
      <w:pPr>
        <w:pStyle w:val="Heading 6"/>
        <w:keepNext/>
      </w:pPr>
      <w:r>
        <w:t>ΔΙΑΣΤΑΣH</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bookmarkStart w:id="72" w:name="_6387da64149c5d94d412caa998b28c89"/>
    <w:p>
      <w:pPr>
        <w:pStyle w:val="Heading 7"/>
        <w:keepNext/>
      </w:pPr>
      <w:r>
        <w:t>ΜΕΤΑΒΛΗΤΕΣ</w:t>
      </w:r>
    </w:p>
    <w:bookmarkStart w:id="73" w:name="_ced138560a196352d89bf6634a7c544e"/>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3"/>
    <w:bookmarkStart w:id="74" w:name="_bc104d65a80d4d287274dd57d5d65a23"/>
    <w:p>
      <w:pPr>
        <w:pStyle w:val="DefinitionTerm"/>
        <w:ind w:leftChars="0" w:left="0" w:right="0"/>
        <w:keepNext/>
      </w:pPr>
      <w:r>
        <w:t>Νόμισμα Έκδοσης (CRRNCY)</w:t>
      </w:r>
    </w:p>
    <w:p>
      <w:pPr>
        <w:pStyle w:val="Definition"/>
        <w:ind w:leftChars="0" w:left="480" w:right="0"/>
      </w:pPr>
      <w:r>
        <w:t>Το νόμισμα έκδοσης του ομολόγου.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ομολόγου</w:t>
      </w:r>
    </w:p>
    <w:p>
      <w:pPr>
        <w:pStyle w:val="Definition"/>
        <w:ind w:leftChars="0" w:left="480" w:right="0"/>
      </w:pPr>
      <w:r>
        <w:t xml:space="preserve">Η τιμή επιλέγεται από τη λίστα τιμών </w:t>
      </w:r>
      <w:hyperlink w:anchor="_2305bf33ee3e6331a08d24367b51cca8">
        <w:r>
          <w:rPr>
            <w:rStyle w:val="Hyperlink"/>
          </w:rPr>
          <w:t>DBT_PRMRY_CLSS_ENUM</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DBT_GRNT_LVL_ENUM</w:t>
        </w:r>
      </w:hyperlink>
    </w:p>
    <w:p>
      <w:pPr>
        <w:pStyle w:val="DefinitionTerm"/>
        <w:ind w:leftChars="0" w:left="0" w:right="0"/>
        <w:keepNext/>
      </w:pPr>
      <w:r>
        <w:t>Ταξινόμηση (RNK_LVL)</w:t>
      </w:r>
    </w:p>
    <w:p>
      <w:pPr>
        <w:pStyle w:val="Definition"/>
        <w:ind w:leftChars="0" w:left="480" w:right="0"/>
      </w:pPr>
      <w:r>
        <w:t>Ταξινόμηση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DBT_RNK_LVL_ENUM</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DBT_SCRTY_LVL_ENUM</w:t>
        </w:r>
      </w:hyperlink>
    </w:p>
    <w:p>
      <w:pPr>
        <w:pStyle w:val="DefinitionTerm"/>
        <w:ind w:leftChars="0" w:left="0" w:right="0"/>
        <w:keepNext/>
      </w:pPr>
      <w:r>
        <w:t>Ένδειξη Τιτλοποίησης (IS_SCRTZTN)</w:t>
      </w:r>
    </w:p>
    <w:p>
      <w:pPr>
        <w:pStyle w:val="Definition"/>
        <w:ind w:leftChars="0" w:left="480" w:right="0"/>
      </w:pPr>
      <w:r>
        <w:t>Ένδειξη ότι το ομόλογο είναι προιον τιτλοποίησης.</w:t>
      </w:r>
    </w:p>
    <w:p>
      <w:pPr>
        <w:pStyle w:val="Definition"/>
        <w:ind w:leftChars="0" w:left="480" w:right="0"/>
      </w:pPr>
      <w:r>
        <w:t>Για περισσότερες πληροφορίες δείτε την ΕΚΤ/2015/15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Τιτλοποίησης (SCRTZTN_TYP)</w:t>
      </w:r>
    </w:p>
    <w:p>
      <w:pPr>
        <w:pStyle w:val="Definition"/>
        <w:ind w:leftChars="0" w:left="480" w:right="0"/>
      </w:pPr>
      <w:r>
        <w:t>Είδος τιτλοποίησης.</w:t>
      </w:r>
    </w:p>
    <w:p>
      <w:pPr>
        <w:pStyle w:val="Definition"/>
        <w:ind w:leftChars="0" w:left="480" w:right="0"/>
      </w:pPr>
      <w:r>
        <w:t xml:space="preserve">Συμπληρώνεται μόνο στην περίπτωση που ισχύει ότι </w:t>
      </w:r>
      <w:r>
        <w:rPr>
          <w:i/>
          <w:iCs/>
        </w:rPr>
        <w:t>IS_SCRTZTN=TRUE</w:t>
      </w:r>
    </w:p>
    <w:p>
      <w:pPr>
        <w:pStyle w:val="Definition"/>
        <w:ind w:leftChars="0" w:left="480" w:right="0"/>
      </w:pPr>
      <w:r>
        <w:t xml:space="preserve">Η τιμή επιλέγεται από τη λίστα τιμών </w:t>
      </w:r>
      <w:hyperlink w:anchor="_a080d7976d588eeb11b4c92eea322bd0">
        <w:r>
          <w:rPr>
            <w:rStyle w:val="Hyperlink"/>
          </w:rPr>
          <w:t>DBT_SCRTZN_TYP_ENUM</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Καλλυμένης Ομολογίας (CVRD_TYP)</w:t>
      </w:r>
    </w:p>
    <w:p>
      <w:pPr>
        <w:pStyle w:val="Definition"/>
        <w:ind w:leftChars="0" w:left="480" w:right="0"/>
      </w:pPr>
      <w:r>
        <w:t>Είδος καλυμμένης ομολογίας.</w:t>
      </w:r>
    </w:p>
    <w:p>
      <w:pPr>
        <w:pStyle w:val="Definition"/>
        <w:ind w:leftChars="0" w:left="480" w:right="0"/>
      </w:pPr>
      <w:r>
        <w:t xml:space="preserve">Συμπληρώνεται μόνο στην περίπτωση που ισχύει ότι </w:t>
      </w:r>
      <w:r>
        <w:rPr>
          <w:i/>
          <w:iCs/>
        </w:rPr>
        <w:t>IS_CVRD=TRUE</w:t>
      </w:r>
    </w:p>
    <w:p>
      <w:pPr>
        <w:pStyle w:val="Definition"/>
        <w:ind w:leftChars="0" w:left="480" w:right="0"/>
      </w:pPr>
      <w:r>
        <w:t xml:space="preserve">Η τιμή επιλέγεται από τη λίστα τιμών </w:t>
      </w:r>
      <w:hyperlink w:anchor="_2dc9f14ce407dfc26f24a12f0cd3ffa3">
        <w:r>
          <w:rPr>
            <w:rStyle w:val="Hyperlink"/>
          </w:rPr>
          <w:t>DBT_CVRD_TYP_ENUM</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DBT_CPN_TYP_ENUM</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Συχνότητα Εισοδηματικής Ροής (CPN_FRQNCY)</w:t>
      </w:r>
    </w:p>
    <w:p>
      <w:pPr>
        <w:pStyle w:val="Definition"/>
        <w:ind w:leftChars="0" w:left="480" w:right="0"/>
      </w:pPr>
      <w:r>
        <w:t>Συχνότητα εισοδηματικής ροής με πληρωμή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DBT_CPN_FRQNCY_ENUM</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επιτόκιου των τοκομεριδίων.  Για παράδειγμα ένα κυμαινόμενο τοκομερίδιο με επιτόκιο 3 φορές το εξαμηνιαίο EURIBOR συν 20 μονάδες βάσης ο πολλαπλασιαστής είναι ο 3</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(CPN_CP)</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Καταβολής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Ημερομηνία Καταβολής Τελευταίου Τοκομεριδίου (FRST_CPN_DT)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Προιον Βάσης (UNDRLYNG)</w:t>
      </w:r>
    </w:p>
    <w:p>
      <w:pPr>
        <w:pStyle w:val="Definition"/>
        <w:ind w:leftChars="0" w:left="480" w:right="0"/>
      </w:pPr>
      <w:r>
        <w:t>Προιόν βάση του οποίου καθορίζεται το κυμαινόμενο τοκομερίδιο.</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χρεογράφου καθώς και η </w:t>
      </w:r>
      <w:r>
        <w:rPr>
          <w:i/>
          <w:iCs/>
        </w:rPr>
        <w:t>REF:SELF_DEBT:DT_CLS</w:t>
      </w:r>
      <w:r>
        <w:t xml:space="preserve">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74"/>
    <w:bookmarkEnd w:id="72"/>
    <w:bookmarkEnd w:id="71"/>
    <w:bookmarkEnd w:id="70"/>
    <w:bookmarkEnd w:id="69"/>
    <w:bookmarkStart w:id="75" w:name="_0414231d7d54bd2e1c4256f9ea13b5ba"/>
    <w:bookmarkStart w:id="76" w:name="_7c120aab86fc888956af8a69f41b2260"/>
    <w:p>
      <w:pPr>
        <w:pStyle w:val="Heading5"/>
        <w:keepNext/>
      </w:pPr>
      <w:r>
        <w:t>Πίνακας Μεταβλητών Στοιχείων Αναφοράς Χρεογράφων Εκδοθέντων από τις ΠΜ (SELF_DBT_DYNMC)</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οι τιμές τους δύναται να μεταβληθούν κατά τη διάρκεια του κύκλου ζωής του κάθε χρεογράφου.</w:t>
      </w:r>
    </w:p>
    <w:bookmarkStart w:id="77" w:name="_6ab3615cd066ce440f4fe3cbf5c37fe1"/>
    <w:p>
      <w:pPr>
        <w:pStyle w:val="Heading 6"/>
        <w:keepNext/>
      </w:pPr>
      <w:r>
        <w:t>ΔΙΑΣΤΑΣΕΙΣ</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7"/>
    <w:bookmarkStart w:id="78" w:name="_91193c775d33e3dd786716cfb70714bc"/>
    <w:p>
      <w:pPr>
        <w:pStyle w:val="Heading 6"/>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χρεόγραφου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χρεόγραφου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χρεόγραφου</w:t>
      </w:r>
    </w:p>
    <w:p>
      <w:pPr>
        <w:pStyle w:val="Definition"/>
        <w:ind w:leftChars="0" w:left="480" w:right="0"/>
      </w:pPr>
      <w:r>
        <w:t xml:space="preserve">Η τιμή επιλέγεται από τη λίστα τιμών </w:t>
      </w:r>
      <w:hyperlink w:anchor="_a7e806ed3242420b3accb4afb5ccf664">
        <w:r>
          <w:rPr>
            <w:rStyle w:val="Hyperlink"/>
          </w:rPr>
          <w:t>DBT_STTS_ENUM</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χρεόγραφο.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78"/>
    <w:bookmarkEnd w:id="76"/>
    <w:bookmarkEnd w:id="75"/>
    <w:bookmarkStart w:id="79" w:name="_1af097156447d1aa334801254dccac34"/>
    <w:bookmarkStart w:id="80" w:name="_7fa707c98af4968f33adc4ab78043ce5"/>
    <w:p>
      <w:pPr>
        <w:pStyle w:val="Heading5"/>
        <w:keepNext/>
      </w:pPr>
      <w:r>
        <w:t>Πίνακας μεταβολής της εναπομείνουσας αξίας χρεογράφων εκδοθέντων από τις ΠΜ (SELF_DBT_OUTSTNDNG_CNG)</w:t>
      </w:r>
    </w:p>
    <w:p>
      <w:pPr>
        <w:pStyle w:val="Body Text"/>
        <w:ind w:leftChars="0" w:left="0" w:right="0"/>
      </w:pPr>
      <w:r>
        <w:t>Χρησιμοποιείται για την παροχή στοιχείων μεταβολής της εναπομένουσας αξίας χρεογράφων εκδοθέντων από τις ΠΜ.</w:t>
      </w:r>
    </w:p>
    <w:bookmarkStart w:id="81" w:name="_4a3f7ddc62ee315741cf4529790374c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RSN (Λόγος αλλαγής)</w:t>
      </w:r>
    </w:p>
    <w:p>
      <w:pPr>
        <w:pStyle w:val="Definition"/>
        <w:ind w:leftChars="0" w:left="480" w:right="0"/>
      </w:pPr>
      <w:r>
        <w:t xml:space="preserve">Λόγος αλλαγής με επιλογή από </w:t>
      </w:r>
      <w:r>
        <w:t>../../types/codelists/dbt_chng_rsn</w:t>
      </w:r>
    </w:p>
    <w:p>
      <w:pPr>
        <w:pStyle w:val="DefinitionTerm"/>
        <w:ind w:leftChars="0" w:left="0" w:right="0"/>
        <w:keepNext/>
      </w:pPr>
      <w:r>
        <w:t>DATE (DT)</w:t>
      </w:r>
    </w:p>
    <w:p>
      <w:pPr>
        <w:pStyle w:val="Definition"/>
        <w:ind w:leftChars="0" w:left="480" w:right="0"/>
      </w:pPr>
      <w:r>
        <w:t>Ημερομηνία αλλαγής.</w:t>
      </w:r>
    </w:p>
    <w:bookmarkEnd w:id="81"/>
    <w:bookmarkStart w:id="82" w:name="_fb1c54a3878a2d7d6c5e8a63d92d2a5a"/>
    <w:p>
      <w:pPr>
        <w:pStyle w:val="Heading 6"/>
        <w:keepNext/>
      </w:pPr>
      <w:r>
        <w:t>ΜΕΤΑΒΛΗΤΕΣ</w:t>
      </w:r>
    </w:p>
    <w:p>
      <w:pPr>
        <w:pStyle w:val="DefinitionTerm"/>
        <w:ind w:leftChars="0" w:left="0" w:right="0"/>
        <w:keepNext/>
      </w:pPr>
      <w:r>
        <w:t>AMOUNT (AMT)</w:t>
      </w:r>
    </w:p>
    <w:p>
      <w:pPr>
        <w:pStyle w:val="Definition"/>
        <w:ind w:leftChars="0" w:left="480" w:right="0"/>
      </w:pPr>
      <w:r>
        <w:t>Ονομαστική αξία της αλλαγής στην εναπομένουσα αξία.  Εξοφλήσεις συμπληρώνονται με αρνητικό πρόσημο.</w:t>
      </w:r>
    </w:p>
    <w:p>
      <w:pPr>
        <w:pStyle w:val="DefinitionTerm"/>
        <w:ind w:leftChars="0" w:left="0" w:right="0"/>
        <w:keepNext/>
      </w:pPr>
      <w:r>
        <w:t>PRICE (PRC)</w:t>
      </w:r>
    </w:p>
    <w:p>
      <w:pPr>
        <w:pStyle w:val="Definition"/>
        <w:ind w:leftChars="0" w:left="480" w:right="0"/>
      </w:pPr>
      <w:r>
        <w:t>Τιμή με την οποία η συναλλαγή της αλλαγής στην εναπομένουσα αξία πραγματοποιήθηκε. Δίδεται ως ποσοστό της απόλυτης τιμής της μεταβλητής AMT.</w:t>
      </w:r>
    </w:p>
    <w:bookmarkEnd w:id="82"/>
    <w:bookmarkEnd w:id="80"/>
    <w:bookmarkEnd w:id="79"/>
    <w:bookmarkStart w:id="83" w:name="_bafdd4e19bdc478c38dddbe68727ecc6"/>
    <w:bookmarkStart w:id="84" w:name="_6bc01139b29d91d044873ac3c4d9d4a8"/>
    <w:p>
      <w:pPr>
        <w:pStyle w:val="Heading5"/>
        <w:keepNext/>
      </w:pPr>
      <w:r>
        <w:t>Πίνακας Στοιχείων Τοκομεριδίων Χρεογράφων Εκδοθέντων από τις ΠΜ (SELF_DBT_CPN)</w:t>
      </w:r>
    </w:p>
    <w:p>
      <w:pPr>
        <w:pStyle w:val="Body Text"/>
        <w:ind w:leftChars="0" w:left="0" w:right="0"/>
      </w:pPr>
      <w:r>
        <w:t>Χρησιμοποιείται για την παροχή στοιχείων επιτοκίων τοκομεριδίων (coupon rates) των ομολόγων της ΠΜ (των ΠΜ).</w:t>
      </w:r>
    </w:p>
    <w:bookmarkStart w:id="85" w:name="_856460caae58b00c13959c96ead7b69f"/>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DATE (DT)</w:t>
      </w:r>
    </w:p>
    <w:p>
      <w:pPr>
        <w:pStyle w:val="Definition"/>
        <w:ind w:leftChars="0" w:left="480" w:right="0"/>
      </w:pPr>
      <w:r>
        <w:t>Ημερομηνία πληρωμής τοκομεριδίου.</w:t>
      </w:r>
    </w:p>
    <w:bookmarkEnd w:id="85"/>
    <w:bookmarkStart w:id="86" w:name="_d2085caae710dbed0c945515f3036d6e"/>
    <w:p>
      <w:pPr>
        <w:pStyle w:val="Heading 6"/>
        <w:keepNext/>
      </w:pPr>
      <w:r>
        <w:t>ΜΕΤΑΒΛΗΤΕΣ</w:t>
      </w:r>
    </w:p>
    <w:p>
      <w:pPr>
        <w:pStyle w:val="DefinitionTerm"/>
        <w:ind w:leftChars="0" w:left="0" w:right="0"/>
        <w:keepNext/>
      </w:pPr>
      <w:r>
        <w:t>RATE (RT)</w:t>
      </w:r>
    </w:p>
    <w:p>
      <w:pPr>
        <w:pStyle w:val="Definition"/>
        <w:ind w:leftChars="0" w:left="480" w:right="0"/>
      </w:pPr>
      <w:r>
        <w:t>Επιτόκιο τοκομεριδίου σε ετησιοποιημένη βάση (annualized rate).</w:t>
      </w:r>
    </w:p>
    <w:bookmarkEnd w:id="86"/>
    <w:bookmarkEnd w:id="84"/>
    <w:bookmarkEnd w:id="83"/>
    <w:bookmarkStart w:id="87" w:name="_5bff7b080b6d8cd24b7455887f1e8654"/>
    <w:bookmarkStart w:id="88" w:name="_f3665628e51f8ae802919013d9aa10f0"/>
    <w:p>
      <w:pPr>
        <w:pStyle w:val="Heading5"/>
        <w:keepNext/>
      </w:pPr>
      <w:r>
        <w:t>Στοιχεία Αναφοράς Συμμετοχικών Τίτλων Εκδοθέντοι από τις ΠΜ (SELF_SHR)</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μπορούν να λάβουν έως και μία ξεχωριστή τιμή κατά τη διάρκεια του κύκλου ζωής του κάθε συμμετοχικού τίτλου.</w:t>
      </w:r>
    </w:p>
    <w:bookmarkStart w:id="89" w:name="_a2aceeeb35185a9f6a39b99cc94b54c9"/>
    <w:p>
      <w:pPr>
        <w:pStyle w:val="Heading 6"/>
        <w:keepNext/>
      </w:pPr>
      <w:r>
        <w:t>ΔΙΑΣΤΑΣH</w:t>
      </w:r>
    </w:p>
    <w:p>
      <w:pPr>
        <w:pStyle w:val="DefinitionTerm"/>
        <w:ind w:leftChars="0" w:left="0" w:right="0"/>
        <w:keepNext/>
      </w:pPr>
      <w:r>
        <w:t>Αναγνωριστικός Κωδικός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bookmarkEnd w:id="89"/>
    <w:bookmarkStart w:id="90" w:name="_dc4b9f932bb5e17eac09eedfddb710af"/>
    <w:p>
      <w:pPr>
        <w:pStyle w:val="Heading 6"/>
        <w:keepNext/>
      </w:pP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1" w:name="_84596d3ba2b697052fe449b0ec9ebdaf"/>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91"/>
    <w:bookmarkStart w:id="92" w:name="_742463b31322076cb3c3383186c0653d"/>
    <w:p>
      <w:pPr>
        <w:pStyle w:val="DefinitionTerm"/>
        <w:ind w:leftChars="0" w:left="0" w:right="0"/>
        <w:keepNext/>
      </w:pPr>
      <w:r>
        <w:t>Νόμισμα Έκδοσης (CRRNCY)</w:t>
      </w:r>
    </w:p>
    <w:p>
      <w:pPr>
        <w:pStyle w:val="Definition"/>
        <w:ind w:leftChars="0" w:left="480" w:right="0"/>
      </w:pPr>
      <w:r>
        <w:t>Το νόμισμα έκδοσης του συμμετοχικόυ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84596d3ba2b697052fe449b0ec9ebdaf">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92"/>
    <w:bookmarkEnd w:id="90"/>
    <w:bookmarkEnd w:id="88"/>
    <w:bookmarkEnd w:id="87"/>
    <w:bookmarkStart w:id="93" w:name="_6853b2c42125ae137cbbe4b4883f43e1"/>
    <w:bookmarkStart w:id="94" w:name="_f0b7e4d0b19a36e47ee6db918ae2e974"/>
    <w:p>
      <w:pPr>
        <w:pStyle w:val="Heading5"/>
        <w:keepNext/>
      </w:pPr>
      <w:r>
        <w:t>Πίνακας Μεταβλητών Στοιχείων Αναφοράς Συμμετοχικών Τίτλων Εκδοθέντων από τις ΠΜ (SELF_SHR_DYNMC)</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οι τιμές τους δύναται να μεταβληθούν κατά τη διάρκεια του κύκλου ζωής του κάθε συμμετοχικού τίτλου.</w:t>
      </w:r>
    </w:p>
    <w:bookmarkStart w:id="95" w:name="_6e890eeb030323548dbcd174acaac19b"/>
    <w:p>
      <w:pPr>
        <w:pStyle w:val="Heading 6"/>
        <w:keepNext/>
      </w:pP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6" w:name="_3b748e53073bb45e7a664543ab12c76e"/>
    <w:p>
      <w:pPr>
        <w:pStyle w:val="Heading 7"/>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συμμετοχικού τίτλου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συμμετοχικού τίτλου ή το FISN του συμμετοχικού τίτλου.</w:t>
      </w:r>
    </w:p>
    <w:p>
      <w:pPr>
        <w:pStyle w:val="Definition"/>
        <w:ind w:leftChars="0" w:left="480" w:right="0"/>
      </w:pPr>
      <w:r>
        <w:t>Συμπληρώνεται μόνο αν υπάρχει τέτοια ονομασία για το συμμετοχικό τίτλο.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συμμετοχικό τίτλο.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Ονομαστική τιμή(NMNL_PRC)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συμμετοχικού τίτλου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εξαγοράς (RDMPTN_FRQNCY)</w:t>
      </w:r>
    </w:p>
    <w:p>
      <w:pPr>
        <w:pStyle w:val="Definition"/>
        <w:ind w:leftChars="0" w:left="480" w:right="0"/>
      </w:pPr>
      <w:r>
        <w:t>Επιτρεπτή συχνότητα εξαγοράς των συμμετοχικών τίτλων.</w:t>
      </w:r>
    </w:p>
    <w:p>
      <w:pPr>
        <w:pStyle w:val="Definition"/>
        <w:ind w:leftChars="0" w:left="480" w:right="0"/>
      </w:pPr>
      <w:r>
        <w:t xml:space="preserve">Η τιμή επιλέγεται από τη λίστα τιμών </w:t>
      </w:r>
      <w:hyperlink w:anchor="_ae6f94f750d094f77d3996e19e91af54">
        <w:r>
          <w:rPr>
            <w:rStyle w:val="Hyperlink"/>
          </w:rPr>
          <w:t>SHR_FND_RDMPTN_FRQNCY_ENUM</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συμμετοχικού τίτλου</w:t>
      </w:r>
    </w:p>
    <w:p>
      <w:pPr>
        <w:pStyle w:val="Definition"/>
        <w:ind w:leftChars="0" w:left="480" w:right="0"/>
      </w:pPr>
      <w:r>
        <w:t xml:space="preserve">Η τιμή επιλέγεται από τη λίστα τιμών </w:t>
      </w:r>
      <w:hyperlink w:anchor="_0da51549fcb2927eb3f3bab401e71863">
        <w:r>
          <w:rPr>
            <w:rStyle w:val="Hyperlink"/>
          </w:rPr>
          <w:t>SHR_PRMRY_CLSS_ENUM</w:t>
        </w:r>
      </w:hyperlink>
      <w:r>
        <w:t>.</w:t>
      </w:r>
    </w:p>
    <w:bookmarkEnd w:id="96"/>
    <w:bookmarkEnd w:id="95"/>
    <w:bookmarkEnd w:id="94"/>
    <w:bookmarkEnd w:id="93"/>
    <w:bookmarkStart w:id="97" w:name="_6859a225481a02d0ba2cd3e9c9c18a08"/>
    <w:bookmarkStart w:id="98" w:name="_5408c7644dc5d04b0cec535e2f3d82a5"/>
    <w:p>
      <w:pPr>
        <w:pStyle w:val="Heading5"/>
        <w:keepNext/>
      </w:pPr>
      <w:r>
        <w:t>Πίνακας Μερισμάτων Συμμετοχικών Τίτλων Εκδοθέντα από τις ΠΜ (SELF_SHR_DVDND)</w:t>
      </w:r>
    </w:p>
    <w:p>
      <w:pPr>
        <w:pStyle w:val="Body Text"/>
        <w:ind w:leftChars="0" w:left="0" w:right="0"/>
      </w:pPr>
      <w:r>
        <w:t>Χρησιμοποιείται για την παροχή στοιχείων μερισμάτων (dividends) του συμμετοχικού τίτλου (των συμμετοχικών τίτλων) της ΠΜ (των ΠΜ).</w:t>
      </w:r>
    </w:p>
    <w:bookmarkStart w:id="99" w:name="_77911f0a15a5db049c182335b321ada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 xml:space="preserve">Ημερομηνία καταγραφής που η </w:t>
      </w:r>
      <w:r>
        <w:rPr>
          <w:rFonts w:ascii="Consolas" w:eastAsia="ＭＳ ゴシック" w:hansitheme="majorhansi"/>
          <w:color w:val="E74C3C"/>
          <w:sz w:val="20"/>
          <w:szCs w:val="20"/>
          <w:noProof/>
        </w:rPr>
        <w:t>ΠΜ</w:t>
      </w:r>
      <w:r>
        <w:t xml:space="preserve"> ελέγχει τα βιβλία του για να εντοπίσει τους κατόχους του συμμετοχικού τίτλου.  Ένας κάτοχος πρέπει να είναι δηλωμένος τη συγκεκριμένη ημερομηνία για να είναι δικαιούχος του μερίσματος.</w:t>
      </w:r>
    </w:p>
    <w:bookmarkEnd w:id="99"/>
    <w:bookmarkStart w:id="100" w:name="_fe82712ead756500efd1e3045a501ed7"/>
    <w:p>
      <w:pPr>
        <w:pStyle w:val="Heading 6"/>
        <w:keepNext/>
      </w:pPr>
      <w:r>
        <w:t>ΜΕΤΑΒΛΗΤΕΣ</w:t>
      </w:r>
    </w:p>
    <w:p>
      <w:pPr>
        <w:pStyle w:val="DefinitionTerm"/>
        <w:ind w:leftChars="0" w:left="0" w:right="0"/>
        <w:keepNext/>
      </w:pPr>
      <w:r>
        <w:t>EX DATE (EX_DT)</w:t>
      </w:r>
    </w:p>
    <w:p>
      <w:pPr>
        <w:pStyle w:val="Definition"/>
        <w:ind w:leftChars="0" w:left="480" w:right="0"/>
      </w:pPr>
      <w:r>
        <w:t>Ημερομηνία από την οποία το μέρισμα δεν οφείλεται σε νέους κατόχους των μετοχών/μεριδίων·</w:t>
      </w:r>
    </w:p>
    <w:p>
      <w:pPr>
        <w:pStyle w:val="DefinitionTerm"/>
        <w:ind w:leftChars="0" w:left="0" w:right="0"/>
        <w:keepNext/>
      </w:pPr>
      <w:r>
        <w:t>DECLARATION DATE (DCLRTN_DT)</w:t>
      </w:r>
    </w:p>
    <w:p>
      <w:pPr>
        <w:pStyle w:val="Definition"/>
        <w:ind w:leftChars="0" w:left="480" w:right="0"/>
      </w:pPr>
      <w:r>
        <w:t>Ημερομηνία αναγγελίας·</w:t>
      </w:r>
    </w:p>
    <w:p>
      <w:pPr>
        <w:pStyle w:val="DefinitionTerm"/>
        <w:ind w:leftChars="0" w:left="0" w:right="0"/>
        <w:keepNext/>
      </w:pPr>
      <w:r>
        <w:t>PAYMENT DATE (PMNT_DT)</w:t>
      </w:r>
    </w:p>
    <w:p>
      <w:pPr>
        <w:pStyle w:val="Definition"/>
        <w:ind w:leftChars="0" w:left="480" w:right="0"/>
      </w:pPr>
      <w:r>
        <w:t>Ημερομηνία πληρωμής·</w:t>
      </w:r>
    </w:p>
    <w:p>
      <w:pPr>
        <w:pStyle w:val="DefinitionTerm"/>
        <w:ind w:leftChars="0" w:left="0" w:right="0"/>
        <w:keepNext/>
      </w:pPr>
      <w:r>
        <w:t>FREQUENCY (FRQNCY)</w:t>
      </w:r>
    </w:p>
    <w:p>
      <w:pPr>
        <w:pStyle w:val="Definition"/>
        <w:ind w:leftChars="0" w:left="480" w:right="0"/>
      </w:pPr>
      <w:r>
        <w:t xml:space="preserve">Συχνότητα διανομής μεριδίου με επιλογή από τη λίστα τιμών </w:t>
      </w:r>
      <w:hyperlink w:anchor="_d3e077cc87713b10306e66d9d7407e77">
        <w:r>
          <w:rPr>
            <w:rStyle w:val="Hyperlink"/>
          </w:rPr>
          <w:t>DVDND_CSTM_FRQNCY_ENUM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2552303d50c2907dda403d423b6555fa">
        <w:r>
          <w:rPr>
            <w:rStyle w:val="Hyperlink"/>
          </w:rPr>
          <w:t>DVDND_TYP_ENUM</w:t>
        </w:r>
      </w:hyperlink>
    </w:p>
    <w:bookmarkStart w:id="101" w:name="_c6aaf600cb05ff37e7a4d89d288f2ffd"/>
    <w:p>
      <w:pPr>
        <w:pStyle w:val="DefinitionTerm"/>
        <w:ind w:leftChars="0" w:left="0" w:right="0"/>
        <w:keepNext/>
      </w:pPr>
      <w:r>
        <w:t>CRRNCY (CURRENCY)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AMOUNT (AMNT)</w:t>
      </w:r>
    </w:p>
    <w:p>
      <w:pPr>
        <w:pStyle w:val="Definition"/>
        <w:ind w:leftChars="0" w:left="480" w:right="0"/>
      </w:pPr>
      <w:r>
        <w:t xml:space="preserve">Πόσο εκφραζόμενο σε </w:t>
      </w:r>
      <w:hyperlink w:anchor="_c6aaf600cb05ff37e7a4d89d288f2ffd">
        <w:r>
          <w:rPr>
            <w:rStyle w:val="Hyperlink"/>
          </w:rPr>
          <w:t>currency_div</w:t>
        </w:r>
      </w:hyperlink>
      <w:r>
        <w:t xml:space="preserve"> αν η πληρωμή γίνεται σε νόμισμα·</w:t>
      </w:r>
    </w:p>
    <w:bookmarkEnd w:id="101"/>
    <w:bookmarkEnd w:id="100"/>
    <w:bookmarkEnd w:id="98"/>
    <w:bookmarkEnd w:id="97"/>
    <w:bookmarkStart w:id="102" w:name="_9fd6fe32713d0a20760687ca1c4d8e47"/>
    <w:bookmarkStart w:id="103" w:name="_c10dee77a1bb6000e757ebbd0b20bd21"/>
    <w:p>
      <w:pPr>
        <w:pStyle w:val="Heading5"/>
        <w:keepNext/>
      </w:pPr>
      <w:r>
        <w:t>Πίνακας Διασπάσεων/Συμπτήξεων των Συμμετωχικών Τίτλων Εκδοθέντων από τις ΠΜ (SELF_SHR_SPLT)</w:t>
      </w:r>
    </w:p>
    <w:p>
      <w:pPr>
        <w:pStyle w:val="Body Text"/>
        <w:ind w:leftChars="0" w:left="0" w:right="0"/>
      </w:pPr>
      <w:r>
        <w:t>Χρησιμοποιείται για την παροχή στοιχείων διάσπασης/σύμπτυξης συμμετοχικών τίτλων (splits/reverse splits) της ΠΜ (των ΠΜ).</w:t>
      </w:r>
    </w:p>
    <w:bookmarkStart w:id="104" w:name="_07fac1990dd83e31b3ed8aad9ef42aa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Ημερομηνία διάσπασης/σύμπτυξης μετοχών/μεριδίων.</w:t>
      </w:r>
    </w:p>
    <w:bookmarkEnd w:id="104"/>
    <w:bookmarkStart w:id="105" w:name="_f5abc73e9c735109c29af9ebe8b3e903"/>
    <w:p>
      <w:pPr>
        <w:pStyle w:val="Heading 6"/>
        <w:keepNext/>
      </w:pPr>
      <w:r>
        <w:t>ΜΕΤΑΒΛΗΤΕΣ</w:t>
      </w:r>
    </w:p>
    <w:p>
      <w:pPr>
        <w:pStyle w:val="DefinitionTerm"/>
        <w:ind w:leftChars="0" w:left="0" w:right="0"/>
        <w:keepNext/>
      </w:pPr>
      <w:r>
        <w:t>FACTOR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bookmarkEnd w:id="105"/>
    <w:bookmarkEnd w:id="103"/>
    <w:bookmarkEnd w:id="102"/>
    <w:bookmarkStart w:id="106" w:name="_a8ac320c80b25b197568d92ec203bc3e"/>
    <w:bookmarkStart w:id="107" w:name="_5a287546fb6a4a316918ee730f9b46fa"/>
    <w:p>
      <w:pPr>
        <w:pStyle w:val="Heading5"/>
        <w:keepNext/>
      </w:pPr>
      <w:r>
        <w:t>Πίνακας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διαχειριστριών εταιρειών που διαχειρίζονται επενδυτικούς οργανισμούς με χώρα/μέλος καταγωγής την Ελλάδα.</w:t>
      </w:r>
    </w:p>
    <w:bookmarkStart w:id="108" w:name="_f71bf590b3d38e88a0ca753491bda262"/>
    <w:p>
      <w:pPr>
        <w:pStyle w:val="Heading 6"/>
        <w:keepNext/>
      </w:pPr>
      <w:r>
        <w:t>ΔΙΑΣΤΑΣH</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bookmarkStart w:id="109" w:name="_c91b4c9f291e583b9535f854eb2e7028"/>
    <w:p>
      <w:pPr>
        <w:pStyle w:val="Heading 7"/>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109"/>
    <w:bookmarkEnd w:id="108"/>
    <w:bookmarkEnd w:id="107"/>
    <w:bookmarkEnd w:id="106"/>
    <w:bookmarkStart w:id="110" w:name="_7c67e353666e547513fb7bb111db49d9"/>
    <w:bookmarkStart w:id="111" w:name="_6daef2537c3f19efbd1ace3cdb688fbe"/>
    <w:p>
      <w:pPr>
        <w:pStyle w:val="Heading5"/>
        <w:keepNext/>
      </w:pPr>
      <w:r>
        <w:t>Πίνακας Μεταβλητών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οι τιμές τους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διαχειρίστριων εταιρειών που διαχειρίζονται επενδυτικούς οργανισμούς με χώρα καταγωγής την Ελλάδα.</w:t>
      </w:r>
    </w:p>
    <w:bookmarkStart w:id="112" w:name="_5c800cad59f010918012464b7b4b4b61"/>
    <w:p>
      <w:pPr>
        <w:pStyle w:val="Heading 6"/>
        <w:keepNext/>
      </w:pPr>
      <w:r>
        <w:t>ΔΙΑΣΤΑΣΕΙΣ</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12"/>
    <w:bookmarkStart w:id="113" w:name="_0135efca1722a4567884e50c108fb29a"/>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διαχειρίστριας.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bookmarkEnd w:id="113"/>
    <w:bookmarkEnd w:id="111"/>
    <w:bookmarkEnd w:id="110"/>
    <w:bookmarkStart w:id="114" w:name="_874ad79093b0edbf7ef661ffc479e479"/>
    <w:bookmarkStart w:id="115" w:name="_c8bd51360bbc04466aeaa2c6c1ddcf8e"/>
    <w:p>
      <w:pPr>
        <w:pStyle w:val="Heading5"/>
        <w:keepNext/>
      </w:pPr>
      <w:r>
        <w:t>Πίνακας Στοιχείων Αναφοράς IFDat Προσώπων Επικοινωνίας  (CNTCT)</w:t>
      </w:r>
    </w:p>
    <w:p>
      <w:pPr>
        <w:pStyle w:val="Body Text"/>
        <w:ind w:leftChars="0" w:left="0" w:right="0"/>
      </w:pPr>
      <w:r>
        <w:t>Χρησιμοποιείται για την παροχή στοιχείων αναφοράς των προσώπων επικοινωνίας που παρέχουν στοιχεία εκ μέρους της ΜΠΣ σε σχέση με το IFDat.</w:t>
      </w:r>
    </w:p>
    <w:bookmarkStart w:id="116" w:name="_7e6fa5b7033f61707b27403feaa638f0"/>
    <w:p>
      <w:pPr>
        <w:pStyle w:val="Heading 6"/>
        <w:keepNext/>
      </w:pPr>
      <w:r>
        <w:t>ΔΙΑΣΤΑΣH</w:t>
      </w:r>
    </w:p>
    <w:p>
      <w:pPr>
        <w:pStyle w:val="DefinitionTerm"/>
        <w:ind w:leftChars="0" w:left="0" w:right="0"/>
        <w:keepNext/>
      </w:pPr>
      <w:r>
        <w:t>Αναγνωριστικός Κωδικός Προσώπου Επικοινωνίας (ID)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bookmarkEnd w:id="116"/>
    <w:bookmarkStart w:id="117" w:name="_e0c680c87d320db680fb52deaade9a65"/>
    <w:p>
      <w:pPr>
        <w:pStyle w:val="Heading 6"/>
        <w:keepNext/>
      </w:pPr>
      <w:r>
        <w:t>ΜΕΤΑΒΛΗΤΕΣ</w:t>
      </w:r>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 του προσώπου επικοινωνίας.</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Όνομα (FRST)</w:t>
      </w:r>
    </w:p>
    <w:p>
      <w:pPr>
        <w:pStyle w:val="Definition"/>
        <w:ind w:leftChars="0" w:left="480" w:right="0"/>
      </w:pPr>
      <w:r>
        <w:t>Το όνομα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Επώνυμο (LST)</w:t>
      </w:r>
    </w:p>
    <w:p>
      <w:pPr>
        <w:pStyle w:val="Definition"/>
        <w:ind w:leftChars="0" w:left="480" w:right="0"/>
      </w:pPr>
      <w:r>
        <w:t>Το επώνυμο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Τηλέφωνο (PHN)</w:t>
      </w:r>
    </w:p>
    <w:p>
      <w:pPr>
        <w:pStyle w:val="Definition"/>
        <w:ind w:leftChars="0" w:left="480" w:right="0"/>
      </w:pPr>
      <w:r>
        <w:t>Το τηλέφωνο του προσώπου επικοινωνίας.</w:t>
      </w:r>
    </w:p>
    <w:p>
      <w:pPr>
        <w:pStyle w:val="Definition"/>
        <w:ind w:leftChars="0" w:left="480" w:right="0"/>
      </w:pPr>
      <w:r>
        <w:t xml:space="preserve">Το είδος της τιμής είναι </w:t>
      </w:r>
      <w:hyperlink w:anchor="_acf77be8a1d1f1b63ded6137bcad6fff">
        <w:r>
          <w:rPr>
            <w:rStyle w:val="Hyperlink"/>
          </w:rPr>
          <w:t>ASCII 32</w:t>
        </w:r>
      </w:hyperlink>
    </w:p>
    <w:bookmarkEnd w:id="117"/>
    <w:bookmarkEnd w:id="115"/>
    <w:bookmarkEnd w:id="114"/>
    <w:bookmarkStart w:id="118" w:name="_9a34b82d8b4b71924cfc4916e2aaa6ef"/>
    <w:bookmarkStart w:id="119" w:name="_0cefa6527381a01511a0091910fd5b9e"/>
    <w:p>
      <w:pPr>
        <w:pStyle w:val="Heading5"/>
        <w:keepNext/>
      </w:pPr>
      <w:r>
        <w:t>Πίνακας Δεσμών των Προσώπων Επικοινωνίας με τις ΜΠΣ (CNTCT_T_RA)</w:t>
      </w:r>
    </w:p>
    <w:p>
      <w:pPr>
        <w:pStyle w:val="Body Text"/>
        <w:ind w:leftChars="0" w:left="0" w:right="0"/>
      </w:pPr>
      <w:r>
        <w:t>Χρησιμοποιείται για την παροχή των δεσμών μεταξύ των προσώπων επικοινωνίας και των ΜΠΣ.</w:t>
      </w:r>
    </w:p>
    <w:bookmarkStart w:id="120" w:name="_af3f08a6ab8d5952741aaea001299a66"/>
    <w:p>
      <w:pPr>
        <w:pStyle w:val="Heading 6"/>
        <w:keepNext/>
      </w:pPr>
      <w:r>
        <w:t>ΔΙΑΣΤΑΣΕΙΣ</w:t>
      </w:r>
    </w:p>
    <w:p>
      <w:pPr>
        <w:pStyle w:val="DefinitionTerm"/>
        <w:ind w:leftChars="0" w:left="0" w:right="0"/>
        <w:keepNext/>
      </w:pPr>
      <w:r>
        <w:t>Αναγνωριστικός Κωδικός Προσώπου Επικοινωνίας (LID)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p>
      <w:pPr>
        <w:pStyle w:val="DefinitionTerm"/>
        <w:ind w:leftChars="0" w:left="0" w:right="0"/>
        <w:keepNext/>
      </w:pPr>
      <w:r>
        <w:t>Αναγνωριστικός Κωδικός ΜΠΣ (RID)</w:t>
      </w:r>
    </w:p>
    <w:p>
      <w:pPr>
        <w:pStyle w:val="Definition"/>
        <w:ind w:leftChars="0" w:left="480" w:right="0"/>
      </w:pPr>
      <w:r>
        <w:t>Επιλέγεται από τον πίνακα των ΜΠΣ ο αναγνωριστικός κωδικός ID της ΜΠΣ.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20"/>
    <w:bookmarkStart w:id="121" w:name="_6c6636553d6def1347b2f1c3e1508b2b"/>
    <w:p>
      <w:pPr>
        <w:pStyle w:val="Heading 6"/>
        <w:keepNext/>
      </w:pPr>
      <w:r>
        <w:t>ΜΕΤΑΒΛΗΤΕΣ</w:t>
      </w:r>
    </w:p>
    <w:p>
      <w:pPr>
        <w:pStyle w:val="DefinitionTerm"/>
        <w:ind w:leftChars="0" w:left="0" w:right="0"/>
        <w:keepNext/>
      </w:pPr>
      <w:r>
        <w:t>Εργασιακός Δεσμός (ASSCTD_WTH)</w:t>
      </w:r>
    </w:p>
    <w:p>
      <w:pPr>
        <w:pStyle w:val="Definition"/>
        <w:ind w:leftChars="0" w:left="480" w:right="0"/>
      </w:pPr>
      <w:r>
        <w:t>Ένδειξη περί εργασιακού δεσμού</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Μισθωτός (IS_EMPLY_OF)</w:t>
      </w:r>
    </w:p>
    <w:p>
      <w:pPr>
        <w:pStyle w:val="Definition"/>
        <w:ind w:leftChars="0" w:left="480" w:right="0"/>
      </w:pPr>
      <w:r>
        <w:t>Ένδειξη περί μισθωτού εργαζόμενου·</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Εξωτερικός Συνεργάτης (IS_CNTRCTR_OF)</w:t>
      </w:r>
    </w:p>
    <w:p>
      <w:pPr>
        <w:pStyle w:val="Definition"/>
        <w:ind w:leftChars="0" w:left="480" w:right="0"/>
      </w:pPr>
      <w:r>
        <w:t>Ένδειξη περί εξωτερικού συνεργάτη.</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Διεύθυνση Εργασίας (WRKS_FR)</w:t>
      </w:r>
    </w:p>
    <w:p>
      <w:pPr>
        <w:pStyle w:val="Definition"/>
        <w:ind w:leftChars="0" w:left="480" w:right="0"/>
      </w:pPr>
      <w:r>
        <w:t>Διεύθυνση στην ΜΠΣ που σχετίζεται το πρόσωπο επικοινωνίας.</w:t>
      </w:r>
    </w:p>
    <w:p>
      <w:pPr>
        <w:pStyle w:val="Definition"/>
        <w:ind w:leftChars="0" w:left="480" w:right="0"/>
      </w:pPr>
      <w:r>
        <w:t xml:space="preserve">Η τιμή επιλέγεται από τη λίστα τιμών </w:t>
      </w:r>
      <w:hyperlink w:anchor="_cb676eaf8759f20172fc9bb0fbfcfaf9">
        <w:r>
          <w:rPr>
            <w:rStyle w:val="Hyperlink"/>
          </w:rPr>
          <w:t>DPRTMNT_ENUM</w:t>
        </w:r>
      </w:hyperlink>
    </w:p>
    <w:p>
      <w:pPr>
        <w:pStyle w:val="DefinitionTerm"/>
        <w:ind w:leftChars="0" w:left="0" w:right="0"/>
        <w:keepNext/>
      </w:pPr>
      <w:r>
        <w:t>Υπεύθυνος για στοιχεία IFDat (RSPNSBL_FR_IFDAT)</w:t>
      </w:r>
    </w:p>
    <w:p>
      <w:pPr>
        <w:pStyle w:val="Definition"/>
        <w:ind w:leftChars="0" w:left="480" w:right="0"/>
      </w:pPr>
      <w:r>
        <w:t xml:space="preserve">Υπεύθυνος για τα στοιχεία </w:t>
      </w:r>
      <w:r>
        <w:rPr>
          <w:rFonts w:ascii="Consolas" w:eastAsia="ＭＳ ゴシック" w:hansitheme="majorhansi"/>
          <w:color w:val="E74C3C"/>
          <w:sz w:val="20"/>
          <w:szCs w:val="20"/>
          <w:noProof/>
        </w:rPr>
        <w:t>IFDAT</w:t>
      </w:r>
      <w:r>
        <w:t xml:space="preserve"> της </w:t>
      </w:r>
      <w:r>
        <w:rPr>
          <w:rFonts w:ascii="Consolas" w:eastAsia="ＭＳ ゴシック" w:hansitheme="majorhansi"/>
          <w:color w:val="E74C3C"/>
          <w:sz w:val="20"/>
          <w:szCs w:val="20"/>
          <w:noProof/>
        </w:rPr>
        <w:t>ΜΠΣ</w:t>
      </w:r>
      <w:r>
        <w:t>.</w:t>
      </w:r>
    </w:p>
    <w:p>
      <w:pPr>
        <w:pStyle w:val="Definition"/>
        <w:ind w:leftChars="0" w:left="480" w:right="0"/>
      </w:pPr>
      <w:r>
        <w:t xml:space="preserve">Το είδος της τιμής είναι </w:t>
      </w:r>
      <w:hyperlink w:anchor="_61475e06de6a7be1f8dfa817f566b5a6">
        <w:r>
          <w:rPr>
            <w:rStyle w:val="Hyperlink"/>
          </w:rPr>
          <w:t>BOOLEAN</w:t>
        </w:r>
      </w:hyperlink>
    </w:p>
    <w:bookmarkEnd w:id="121"/>
    <w:bookmarkEnd w:id="119"/>
    <w:bookmarkEnd w:id="118"/>
    <w:bookmarkStart w:id="122" w:name="_fc1fb1111d2eb9b26f350130803422db"/>
    <w:bookmarkStart w:id="123" w:name="_d2509f5046f786236b753dc204687c83"/>
    <w:p>
      <w:pPr>
        <w:pStyle w:val="Heading5"/>
        <w:keepNext/>
      </w:pPr>
      <w:r>
        <w:t>Πίνακας Στοιχείων Αντισυμβαλλόμενων με Εσωτερικό Κωδικό (CNTRPRTY)</w:t>
      </w:r>
    </w:p>
    <w:p>
      <w:pPr>
        <w:pStyle w:val="Body Text"/>
        <w:ind w:leftChars="0" w:left="0" w:right="0"/>
      </w:pPr>
      <w:r>
        <w:t xml:space="preserve">Χρησιμοποιείται για την παροχή στοιχείων αναφοράς των αντισυμβαλλόμενων των χρηματοοικονομικών περιουσιακών στοιχείων που κατέχει η ΠΜ για τις περιπτώσεις όπου για την ταυτοποίηση του εκδότη επιλέγεται ο εσωτερικός κωδικός, δηλαδή όταν ο κωδικός του αντισυμβαλλόμενου </w:t>
      </w:r>
      <w:hyperlink w:anchor="_99f2ef9e87f68849087a15b72cb02467">
        <w:r>
          <w:rPr>
            <w:rStyle w:val="Hyperlink"/>
          </w:rPr>
          <w:t>ORG</w:t>
        </w:r>
      </w:hyperlink>
      <w:r>
        <w:t xml:space="preserve"> ξεκινάει με το πρόθεμα P.</w:t>
      </w:r>
    </w:p>
    <w:bookmarkStart w:id="124" w:name="_7ff5d5f6425ea99a432de531d561bdc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εκδότη.</w:t>
      </w:r>
    </w:p>
    <w:bookmarkEnd w:id="124"/>
    <w:bookmarkStart w:id="125" w:name="_6a4cfc4f38da2aa57e1fe8162bc5060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σύστασης (αν υπάρχει η πληροφόρηση).</w:t>
      </w:r>
    </w:p>
    <w:p>
      <w:pPr>
        <w:pStyle w:val="DefinitionTerm"/>
        <w:ind w:leftChars="0" w:left="0" w:right="0"/>
        <w:keepNext/>
      </w:pPr>
      <w:r>
        <w:t>CLOSEDATE (DT_CLS)</w:t>
      </w:r>
    </w:p>
    <w:p>
      <w:pPr>
        <w:pStyle w:val="Definition"/>
        <w:ind w:leftChars="0" w:left="480" w:right="0"/>
      </w:pPr>
      <w:r>
        <w:t>Ημερομηνία λύσης (κατά περίπτωση και αν υπάρχει η πληροφόρηση).</w:t>
      </w:r>
    </w:p>
    <w:p>
      <w:pPr>
        <w:pStyle w:val="DefinitionTerm"/>
        <w:ind w:leftChars="0" w:left="0" w:right="0"/>
        <w:keepNext/>
      </w:pPr>
      <w:r>
        <w:t>NAME (NM)</w:t>
      </w:r>
    </w:p>
    <w:p>
      <w:pPr>
        <w:pStyle w:val="Definition"/>
        <w:ind w:leftChars="0" w:left="480" w:right="0"/>
      </w:pPr>
      <w:r>
        <w:t>Επωνυμία με λατινικούς χαρακτήρες.</w:t>
      </w:r>
    </w:p>
    <w:p>
      <w:pPr>
        <w:pStyle w:val="DefinitionTerm"/>
        <w:ind w:leftChars="0" w:left="0" w:right="0"/>
        <w:keepNext/>
      </w:pPr>
      <w:r>
        <w:t>COUNTRY OF RESIDENCE (CNTRY_RSDNC)</w:t>
      </w:r>
    </w:p>
    <w:p>
      <w:pPr>
        <w:pStyle w:val="Definition"/>
        <w:ind w:leftChars="0" w:left="480" w:right="0"/>
      </w:pPr>
      <w:r>
        <w:t xml:space="preserve">Χώρα κατοικίας με επιλογή από τη λίστα τιμών </w:t>
      </w:r>
      <w:hyperlink w:anchor="_b522beb4dd0139763983b90986b32a65">
        <w:r>
          <w:rPr>
            <w:rStyle w:val="Hyperlink"/>
          </w:rPr>
          <w:t>GEN_CNTRY_ENUM</w:t>
        </w:r>
      </w:hyperlink>
    </w:p>
    <w:p>
      <w:pPr>
        <w:pStyle w:val="DefinitionTerm"/>
        <w:ind w:leftChars="0" w:left="0" w:right="0"/>
        <w:keepNext/>
      </w:pPr>
      <w:r>
        <w:t>INSTITUTIONAL SECTOR (INSTTTNL_SCTR)</w:t>
      </w:r>
    </w:p>
    <w:p>
      <w:pPr>
        <w:pStyle w:val="Definition"/>
        <w:ind w:leftChars="0" w:left="480" w:right="0"/>
      </w:pPr>
      <w:r>
        <w:t xml:space="preserve">Θεσμικός τομέας με επιλογή από τη λίστα τιμών </w:t>
      </w:r>
      <w:hyperlink w:anchor="_85c0e59de3bd296a5181e3dedc44a80b">
        <w:r>
          <w:rPr>
            <w:rStyle w:val="Hyperlink"/>
          </w:rPr>
          <w:t>ORG_INSTTTNL_SCTR_ENUM</w:t>
        </w:r>
      </w:hyperlink>
      <w:r>
        <w:t xml:space="preserve"> που ορίζεται στον ESA2010</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99f2ef9e87f68849087a15b72cb02467">
        <w:r>
          <w:rPr>
            <w:rStyle w:val="Hyperlink"/>
          </w:rPr>
          <w:t>ORG</w:t>
        </w:r>
      </w:hyperlink>
      <w:r>
        <w:t xml:space="preserve"> των εκδοτών σε περίπτωση αλλαγής της ΜΠΣ ή σε περίπτωση εταιρικής πράξης.</w:t>
      </w:r>
    </w:p>
    <w:bookmarkEnd w:id="125"/>
    <w:bookmarkEnd w:id="123"/>
    <w:bookmarkEnd w:id="122"/>
    <w:bookmarkStart w:id="126" w:name="_afb46d8695152ec87c3c78e4b38f94fb"/>
    <w:bookmarkStart w:id="127" w:name="_20e0e23c64759905ec8bc510a63d9acb"/>
    <w:p>
      <w:pPr>
        <w:pStyle w:val="Heading5"/>
        <w:keepNext/>
      </w:pPr>
      <w:r>
        <w:t>Πίνακας Στοιχείων Αναφοράς Καταθετικών Λογαριασμών των ΠΜ (DPST)</w:t>
      </w:r>
    </w:p>
    <w:p>
      <w:pPr>
        <w:pStyle w:val="Body Text"/>
        <w:ind w:leftChars="0" w:left="0" w:right="0"/>
      </w:pPr>
      <w:r>
        <w:t>Χρησιμοποιείται για την παροχή στοιχείων αναφοράς των καταθετικών λογαριασμών που κατέχει η ΠΜ.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bookmarkStart w:id="128" w:name="_f469794fc739b3a9ead7290f403dbc66"/>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128"/>
    <w:bookmarkStart w:id="129" w:name="_fb9dab1a1d59d55737c6b3b33ecd4c88"/>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bookmarkStart w:id="130" w:name="_999547b5edd47696dbb14214092381f3"/>
    <w:p>
      <w:pPr>
        <w:pStyle w:val="DefinitionTerm"/>
        <w:ind w:leftChars="0" w:left="0" w:right="0"/>
        <w:keepNext/>
      </w:pPr>
      <w:r>
        <w:t>CLOSEDATE (DT_CLS)</w:t>
      </w:r>
    </w:p>
    <w:p>
      <w:pPr>
        <w:pStyle w:val="Definition"/>
        <w:ind w:leftChars="0" w:left="480" w:right="0"/>
      </w:pPr>
      <w:r>
        <w:t>Ημερομηνία λύσης (κατά περίπτωση)·</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e5b2df0da0ffe83d867c791b98596d83">
        <w:r>
          <w:rPr>
            <w:rStyle w:val="Hyperlink"/>
          </w:rPr>
          <w:t>DEP_TYP_ENUM</w:t>
        </w:r>
      </w:hyperlink>
    </w:p>
    <w:p>
      <w:pPr>
        <w:pStyle w:val="DefinitionTerm"/>
        <w:ind w:leftChars="0" w:left="0" w:right="0"/>
        <w:keepNext/>
      </w:pPr>
      <w:r>
        <w:t>PERIOD OF NOTICE (NTC)</w:t>
      </w:r>
    </w:p>
    <w:p>
      <w:pPr>
        <w:pStyle w:val="Definition"/>
        <w:ind w:leftChars="0" w:left="480" w:right="0"/>
      </w:pPr>
      <w:r>
        <w:t xml:space="preserve">Περίοδος προειδοποίησης με επιλογή από τη λίστα τιμών </w:t>
      </w:r>
      <w:hyperlink w:anchor="_f746396d7e26e610aa285f51a4f0abc8">
        <w:r>
          <w:rPr>
            <w:rStyle w:val="Hyperlink"/>
          </w:rPr>
          <w:t>DEP_NTC_ENUM</w:t>
        </w:r>
      </w:hyperlink>
    </w:p>
    <w:bookmarkEnd w:id="130"/>
    <w:bookmarkStart w:id="131" w:name="_16e8a103f0acaf16c86086f82349da8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IS TRANSFERABLE (IS_TRNSFRBL)</w:t>
      </w:r>
    </w:p>
    <w:p>
      <w:pPr>
        <w:pStyle w:val="Definition"/>
        <w:ind w:leftChars="0" w:left="480" w:right="0"/>
      </w:pPr>
      <w:r>
        <w:t>Ένδειξη περί μεταβιβάσιμου·</w:t>
      </w:r>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πιστωτικού ιδρύματος που έχει ανοιχτεί ο καταθετικός λογαριασμός.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ανοίξει τον καταθετικό λογαριασμό.</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f011dce9af42168b667edbf06a1ecd71">
        <w:r>
          <w:rPr>
            <w:rStyle w:val="Hyperlink"/>
          </w:rPr>
          <w:t>DEP</w:t>
        </w:r>
      </w:hyperlink>
      <w:r>
        <w:t xml:space="preserve"> σε περίπτωση αλλαγής της ΜΠΣ ή σε περίπτωση εταιρικής πράξης της ΜΠΣ.</w:t>
      </w:r>
    </w:p>
    <w:bookmarkEnd w:id="131"/>
    <w:bookmarkEnd w:id="129"/>
    <w:bookmarkEnd w:id="127"/>
    <w:bookmarkEnd w:id="126"/>
    <w:bookmarkStart w:id="132" w:name="_f215b304123d5ad58dd99583f44ac43e"/>
    <w:bookmarkStart w:id="133" w:name="_1c35df0236eb8f19de6f8df1360cd750"/>
    <w:p>
      <w:pPr>
        <w:pStyle w:val="Heading5"/>
        <w:keepNext/>
      </w:pPr>
      <w:r>
        <w:t>Πίνακας Στοιχείων Αναφοράς Πράξεων Χρηματοδότησης Χρεογράφων (SFΤ)</w:t>
      </w:r>
    </w:p>
    <w:p>
      <w:pPr>
        <w:pStyle w:val="Body Text"/>
        <w:ind w:leftChars="0" w:left="0" w:right="0"/>
      </w:pPr>
      <w:r>
        <w:t>Χρησιμοποιείται για την παροχή στοιχείων αναφοράς των πράξεων χρηματοδότησης αξιόγραφων που συναλλάσσεται η ΠΜ και όπου τουλάχιστον ένα σκέλος της πράξης αφορά χρηματικά διαθέσιμα.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34" w:name="_72a1f09264eebf1506901b4444d274e4"/>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χρεογράφων.</w:t>
      </w:r>
    </w:p>
    <w:bookmarkEnd w:id="134"/>
    <w:bookmarkStart w:id="135" w:name="_36d0fe5636f81c20e2601740071af177"/>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δημιουργίας.</w:t>
      </w:r>
    </w:p>
    <w:bookmarkStart w:id="136" w:name="_99eb878db65916b1593bef32a830e649"/>
    <w:p>
      <w:pPr>
        <w:pStyle w:val="DefinitionTerm"/>
        <w:ind w:leftChars="0" w:left="0" w:right="0"/>
        <w:keepNext/>
      </w:pPr>
      <w:r>
        <w:t>CLOSEDATE (DT_CLS)</w:t>
      </w:r>
    </w:p>
    <w:p>
      <w:pPr>
        <w:pStyle w:val="Definition"/>
        <w:ind w:leftChars="0" w:left="480" w:right="0"/>
      </w:pPr>
      <w:r>
        <w:t>Ημερομηνία λύσης.</w:t>
      </w:r>
    </w:p>
    <w:bookmarkEnd w:id="136"/>
    <w:bookmarkStart w:id="137" w:name="_af60a476570ec5e0079e1ba1dd57477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r>
        <w:rPr>
          <w:rFonts w:ascii="Consolas" w:eastAsia="ＭＳ ゴシック" w:hansitheme="majorhansi"/>
          <w:color w:val="E74C3C"/>
          <w:sz w:val="20"/>
          <w:szCs w:val="20"/>
          <w:noProof/>
        </w:rPr>
        <w:t>GEN_CRRNCY_ENUM</w:t>
      </w:r>
      <w:r>
        <w:t xml:space="preserve"> (κατά περίπτωση που το ένα μέρος της πράξης αφορά χρηματικά διαθέσιμα)·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d10ece965cdeb848fb53e8d0e05c042f">
        <w:r>
          <w:rPr>
            <w:rStyle w:val="Hyperlink"/>
          </w:rPr>
          <w:t>SFT_TYP_ENUM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δανείσει αξιόγραφα και έχει δανειστεί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δανειστεί αξιόγραφα και έχει δανείσει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75073282425b3fd460b0b9977667b851">
        <w:r>
          <w:rPr>
            <w:rStyle w:val="Hyperlink"/>
          </w:rPr>
          <w:t>SFT</w:t>
        </w:r>
      </w:hyperlink>
      <w:r>
        <w:t xml:space="preserve"> σε περίπτωση αλλαγής της ΜΠΣ ή σε περίπτωση εταιρικής πράξης της ΜΠΣ.</w:t>
      </w:r>
    </w:p>
    <w:bookmarkEnd w:id="137"/>
    <w:bookmarkEnd w:id="135"/>
    <w:bookmarkEnd w:id="133"/>
    <w:bookmarkEnd w:id="132"/>
    <w:bookmarkStart w:id="138" w:name="_3f15379b28224812e084b5fe40bfc2af"/>
    <w:bookmarkStart w:id="139" w:name="_4a98368a277ec9dccd981996d0080521"/>
    <w:p>
      <w:pPr>
        <w:pStyle w:val="Heading5"/>
        <w:keepNext/>
      </w:pPr>
      <w:r>
        <w:t>Πίνακας Στοιχείων Αναφοράς Χρεογράφων Δίχως ISIN που Κατέχουν οι ΠΜ (DBT)</w:t>
      </w:r>
    </w:p>
    <w:p>
      <w:pPr>
        <w:pStyle w:val="Body Text"/>
        <w:ind w:leftChars="0" w:left="0" w:right="0"/>
      </w:pPr>
      <w:r>
        <w:t>Χρησιμοποιείται για την παροχή στοιχείων αναφοράς χρεογράφων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40" w:name="_84601f4f8d45835c83dc7396da2f682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w:t>
      </w:r>
    </w:p>
    <w:bookmarkEnd w:id="140"/>
    <w:bookmarkStart w:id="141" w:name="_a644d0514cf6a5526e0713dc31de107d"/>
    <w:p>
      <w:pPr>
        <w:pStyle w:val="Heading 6"/>
        <w:keepNext/>
      </w:pPr>
      <w:r>
        <w:t>ΜΕΤΑΒΛΗΤΕΣ</w:t>
      </w:r>
    </w:p>
    <w:bookmarkStart w:id="142" w:name="_71d592cc3fd04995314157ccafa126ca"/>
    <w:p>
      <w:pPr>
        <w:pStyle w:val="DefinitionTerm"/>
        <w:ind w:leftChars="0" w:left="0" w:right="0"/>
        <w:keepNext/>
      </w:pPr>
      <w:r>
        <w:t>BIRTHDATE (DT_BRTH)</w:t>
      </w:r>
    </w:p>
    <w:p>
      <w:pPr>
        <w:pStyle w:val="Definition"/>
        <w:ind w:leftChars="0" w:left="480" w:right="0"/>
      </w:pPr>
      <w:r>
        <w:t>Ημερομηνία έκδοσης·</w:t>
      </w:r>
    </w:p>
    <w:bookmarkEnd w:id="142"/>
    <w:bookmarkStart w:id="143" w:name="_fe56cd0cca1415b7fac052db6542388c"/>
    <w:p>
      <w:pPr>
        <w:pStyle w:val="DefinitionTerm"/>
        <w:ind w:leftChars="0" w:left="0" w:right="0"/>
        <w:keepNext/>
      </w:pPr>
      <w:r>
        <w:t>CLOSEDATE (DT_CLS)</w:t>
      </w:r>
    </w:p>
    <w:p>
      <w:pPr>
        <w:pStyle w:val="Definition"/>
        <w:ind w:leftChars="0" w:left="480" w:right="0"/>
      </w:pPr>
      <w:r>
        <w:t>Ημερομηνία λήξης/ολικής εξόφλησης (κατά περίπτωση)·</w:t>
      </w:r>
    </w:p>
    <w:bookmarkEnd w:id="143"/>
    <w:bookmarkStart w:id="144" w:name="_7f34ac25deca5a2aa861f0f3cc3ad5ce"/>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PRIMARY CLASS (PRMRY_CLSS)</w:t>
      </w:r>
    </w:p>
    <w:p>
      <w:pPr>
        <w:pStyle w:val="Definition"/>
        <w:ind w:leftChars="0" w:left="480" w:right="0"/>
      </w:pPr>
      <w:r>
        <w:t xml:space="preserve">Κατηγοριοποίηση με επιλογή από τη λίστα τιμών </w:t>
      </w:r>
      <w:hyperlink w:anchor="_2305bf33ee3e6331a08d24367b51cca8">
        <w:r>
          <w:rPr>
            <w:rStyle w:val="Hyperlink"/>
          </w:rPr>
          <w:t>DBT_PRMRY_CLSS_ENUM</w:t>
        </w:r>
      </w:hyperlink>
    </w:p>
    <w:p>
      <w:pPr>
        <w:pStyle w:val="DefinitionTerm"/>
        <w:ind w:leftChars="0" w:left="0" w:right="0"/>
        <w:keepNext/>
      </w:pPr>
      <w:r>
        <w:t>ISSUED BY (ISSD_BY)</w:t>
      </w:r>
    </w:p>
    <w:p>
      <w:pPr>
        <w:pStyle w:val="Definition"/>
        <w:ind w:leftChars="0" w:left="480" w:right="0"/>
      </w:pPr>
      <w:r>
        <w:t>Αναγνωριστικός κωδικός του εκδότη (</w:t>
      </w:r>
      <w:hyperlink w:anchor="_99f2ef9e87f68849087a15b72cb02467">
        <w:r>
          <w:rPr>
            <w:rStyle w:val="Hyperlink"/>
          </w:rPr>
          <w:t>ORG (Αναγνωριστικός κωδικός Θεσμικής μονάδας)</w:t>
        </w:r>
      </w:hyperlink>
      <w:r>
        <w:t>).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3a74f84a5b8871c9761e529a9f2ecea1">
        <w:r>
          <w:rPr>
            <w:rStyle w:val="Hyperlink"/>
          </w:rPr>
          <w:t>DBT</w:t>
        </w:r>
      </w:hyperlink>
      <w:r>
        <w:t xml:space="preserve"> σε περίπτωση αλλαγής της ΜΠΣ ή σε περίπτωση εταιρικής πράξης της ΜΠΣ.</w:t>
      </w:r>
    </w:p>
    <w:bookmarkEnd w:id="144"/>
    <w:bookmarkEnd w:id="141"/>
    <w:bookmarkEnd w:id="139"/>
    <w:bookmarkEnd w:id="138"/>
    <w:bookmarkStart w:id="145" w:name="_79b0f11a4feee30f5205bb39c2eb91c7"/>
    <w:bookmarkStart w:id="146" w:name="_095a95dd5e665ab904999131a648622e"/>
    <w:p>
      <w:pPr>
        <w:pStyle w:val="Heading5"/>
        <w:keepNext/>
      </w:pPr>
      <w:r>
        <w:t>Πίνακας Στοιχείων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η ΠΜ (οι ΠΜ).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47" w:name="_c3ab0ebc302ea40e31919f4d9f3b35be"/>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δανείου (</w:t>
      </w:r>
      <w:hyperlink w:anchor="_bc42454f9e0a26f44eecad8a8c695cfa">
        <w:r>
          <w:rPr>
            <w:rStyle w:val="Hyperlink"/>
          </w:rPr>
          <w:t>LON (δάνειο)</w:t>
        </w:r>
      </w:hyperlink>
      <w:r>
        <w:t>).</w:t>
      </w:r>
    </w:p>
    <w:bookmarkEnd w:id="147"/>
    <w:bookmarkStart w:id="148" w:name="_efacd49a3fdf0103c978561559e5a56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bookmarkStart w:id="149" w:name="_543cb04bfab6bc2351632c5951723bb1"/>
    <w:p>
      <w:pPr>
        <w:pStyle w:val="DefinitionTerm"/>
        <w:ind w:leftChars="0" w:left="0" w:right="0"/>
        <w:keepNext/>
      </w:pPr>
      <w:r>
        <w:t>CLOSEDATE (DT_CLS)</w:t>
      </w:r>
    </w:p>
    <w:p>
      <w:pPr>
        <w:pStyle w:val="Definition"/>
        <w:ind w:leftChars="0" w:left="480" w:right="0"/>
      </w:pPr>
      <w:r>
        <w:t>Καταληκτική ημερομηνία λήξης ή εξόφλησης·</w:t>
      </w:r>
    </w:p>
    <w:bookmarkEnd w:id="149"/>
    <w:bookmarkStart w:id="150" w:name="_6023814bcc259e41bcbed724db0ac70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4403f97d0fd046389a0f222521885c9">
        <w:r>
          <w:rPr>
            <w:rStyle w:val="Hyperlink"/>
          </w:rPr>
          <w:t>LON_TYP_ENUM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λάβει το δάνειο.</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πιστωτή.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bc42454f9e0a26f44eecad8a8c695cfa">
        <w:r>
          <w:rPr>
            <w:rStyle w:val="Hyperlink"/>
          </w:rPr>
          <w:t>LON</w:t>
        </w:r>
      </w:hyperlink>
      <w:r>
        <w:t xml:space="preserve"> σε περίπτωση αλλαγής της ΜΠΣ ή σε περίπτωση εταιρικής πράξης της ΜΠΣ.</w:t>
      </w:r>
    </w:p>
    <w:bookmarkEnd w:id="150"/>
    <w:bookmarkEnd w:id="148"/>
    <w:bookmarkEnd w:id="146"/>
    <w:bookmarkEnd w:id="145"/>
    <w:bookmarkStart w:id="151" w:name="_14ee6f42d27e580139e87599e1b61d0f"/>
    <w:bookmarkStart w:id="152" w:name="_44930729a79abcefd959ddaa64eaa338"/>
    <w:p>
      <w:pPr>
        <w:pStyle w:val="Heading5"/>
        <w:keepNext/>
      </w:pPr>
      <w:r>
        <w:t>Πίνακας Στοιχείων Αναφοράς Συμμετοχικών Τίτλων χωρίς ISIN που Κατέχουν οι ΠΜ (SHR)</w:t>
      </w:r>
    </w:p>
    <w:p>
      <w:pPr>
        <w:pStyle w:val="Body Text"/>
        <w:ind w:leftChars="0" w:left="0" w:right="0"/>
      </w:pPr>
      <w:r>
        <w:t>Χρησιμοποιείται για την παροχή πληροφοριακών στοιχείων των συμμετοχικών τίτλων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53" w:name="_428a6a5280cdef81cd51f599f23a024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153"/>
    <w:bookmarkStart w:id="154" w:name="_5ce66d70a5062a606d47fe8ee8dbaa2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λύσης (κατά περίπτωση)·</w:t>
      </w:r>
    </w:p>
    <w:bookmarkStart w:id="155" w:name="_56724767ebc2635337b58f1ce0a50f95"/>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c38da8c814d270a51a92be278efc7d9e">
        <w:r>
          <w:rPr>
            <w:rStyle w:val="Hyperlink"/>
          </w:rPr>
          <w:t>SHR_TYP_ENUM</w:t>
        </w:r>
      </w:hyperlink>
    </w:p>
    <w:p>
      <w:pPr>
        <w:pStyle w:val="DefinitionTerm"/>
        <w:ind w:leftChars="0" w:left="0" w:right="0"/>
        <w:keepNext/>
      </w:pPr>
      <w:r>
        <w:t>ISSUED BY (ISSD_BY)</w:t>
      </w:r>
    </w:p>
    <w:p>
      <w:pPr>
        <w:pStyle w:val="Definition"/>
        <w:ind w:leftChars="0" w:left="480" w:right="0"/>
      </w:pPr>
      <w:r>
        <w:t xml:space="preserve">Αναγνωριστικός κωδικός </w:t>
      </w:r>
      <w:hyperlink w:anchor="_99f2ef9e87f68849087a15b72cb02467">
        <w:r>
          <w:rPr>
            <w:rStyle w:val="Hyperlink"/>
          </w:rPr>
          <w:t>ORG</w:t>
        </w:r>
      </w:hyperlink>
      <w:r>
        <w:t>) του εκδότη.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a0d8623fb6a23229781ffb1843de537">
        <w:r>
          <w:rPr>
            <w:rStyle w:val="Hyperlink"/>
          </w:rPr>
          <w:t>SHR</w:t>
        </w:r>
      </w:hyperlink>
      <w:r>
        <w:t xml:space="preserve"> σε περίπτωση αλλαγής της ΜΠΣ ή σε περίπτωση εταιρικής πράξης της ΜΠΣ.</w:t>
      </w:r>
    </w:p>
    <w:bookmarkEnd w:id="155"/>
    <w:bookmarkEnd w:id="154"/>
    <w:bookmarkEnd w:id="152"/>
    <w:bookmarkEnd w:id="151"/>
    <w:bookmarkStart w:id="156" w:name="_98255bccbe0f0726b6ff4bd93c37b5d8"/>
    <w:bookmarkStart w:id="157" w:name="_1d36a58e36c924728370c8a0d5f3cc57"/>
    <w:p>
      <w:pPr>
        <w:pStyle w:val="Heading5"/>
        <w:keepNext/>
      </w:pPr>
      <w:r>
        <w:t>Πίνακας Στοιχείων Αναφοράς ΔΧΠ που συναλλάσονται οι ΠΜ (EDR)</w:t>
      </w:r>
    </w:p>
    <w:p>
      <w:pPr>
        <w:pStyle w:val="Body Text"/>
        <w:ind w:leftChars="0" w:left="0" w:right="0"/>
      </w:pPr>
      <w:r>
        <w:t>Χρησιμοποιείται για την παροχή πληροφοριακών στοιχείων των διαπραγματεύσιμων χρηματοοικονομικών παραγώγων που κατέχει η ΠΜ (οι ΠΜ).</w:t>
      </w:r>
    </w:p>
    <w:bookmarkStart w:id="158" w:name="_8d1cec098d2ae085fd4d36a6560df35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παράγωγου.</w:t>
      </w:r>
    </w:p>
    <w:bookmarkEnd w:id="158"/>
    <w:bookmarkStart w:id="159" w:name="_d8a0630710320a141f9e7cfe724bd461"/>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TICKER (TCKR)</w:t>
      </w:r>
    </w:p>
    <w:p>
      <w:pPr>
        <w:pStyle w:val="Definition"/>
        <w:ind w:leftChars="0" w:left="480" w:right="0"/>
      </w:pPr>
      <w:r>
        <w:t>Το σύμβολο του παραγώγου όπως αποδίδεται από τη χρηματιστηριακή αγορά.</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0" w:name="_de89fc2ff8f87327b01603f39f86f190"/>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κεντρικός αντισυμβαλλόμενος του διαπραγματεύσιμου παραγώγου με επιλογή από τη λίστα τιμών </w:t>
      </w:r>
      <w:hyperlink w:anchor="_1f3ab44fbbf40a94fc70cb3a0da5c28d">
        <w:r>
          <w:rPr>
            <w:rStyle w:val="Hyperlink"/>
          </w:rPr>
          <w:t>GEN_MRKT_ENUM</w:t>
        </w:r>
      </w:hyperlink>
      <w:r>
        <w:t xml:space="preserve"> που προκύπτει από το πρότυπο ISO-10383.</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654f7d58e88dd0ca4342249b093e0cd8">
        <w:r>
          <w:rPr>
            <w:rStyle w:val="Hyperlink"/>
          </w:rPr>
          <w:t>EDR</w:t>
        </w:r>
      </w:hyperlink>
      <w:r>
        <w:t xml:space="preserve"> σε περίπτωση αλλαγής της ΜΠΣ ή σε περίπτωση εταιρικής πράξης της ΜΠΣ.</w:t>
      </w:r>
    </w:p>
    <w:bookmarkEnd w:id="160"/>
    <w:bookmarkEnd w:id="159"/>
    <w:bookmarkEnd w:id="157"/>
    <w:bookmarkEnd w:id="156"/>
    <w:bookmarkStart w:id="161" w:name="_53c63ada28ac69067ae18216d55c0735"/>
    <w:bookmarkStart w:id="162" w:name="_bfc305d00f882190c888f9a1e833ff8d"/>
    <w:p>
      <w:pPr>
        <w:pStyle w:val="Heading5"/>
        <w:keepNext/>
      </w:pPr>
      <w:r>
        <w:t>Πίνακας Στοιχείων Αναφοράς EΧΠ που συναλλάσονται οι ΠΜ (ODR)</w:t>
      </w:r>
    </w:p>
    <w:p>
      <w:pPr>
        <w:pStyle w:val="Body Text"/>
        <w:ind w:leftChars="0" w:left="0" w:right="0"/>
      </w:pPr>
      <w:r>
        <w:t>Χρησιμοποιείται για την παροχή πληροφοριακών στοιχείων εξωχρηματιστηριακών χρηματοοικονομικών παραγώγων που κατέχει η ΠΜ (οι ΠΜ).</w:t>
      </w:r>
    </w:p>
    <w:bookmarkStart w:id="163" w:name="_010759180a011bd6ec3574aed0f6429d"/>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εξωχρηματιστηριακού παραγώγου (</w:t>
      </w:r>
      <w:hyperlink w:anchor="_e974c245f7976e7b433c66886a1df68c">
        <w:r>
          <w:rPr>
            <w:rStyle w:val="Hyperlink"/>
          </w:rPr>
          <w:t>ODR (εξωχρηματιστηριακό χρηματοοικονομικό παράγωγο)</w:t>
        </w:r>
      </w:hyperlink>
      <w:r>
        <w:t>).</w:t>
      </w:r>
    </w:p>
    <w:bookmarkEnd w:id="163"/>
    <w:bookmarkStart w:id="164" w:name="_e514a21ee38b6e79e4f66b7cdd7cdd3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5" w:name="_0b4d8d4e89253198a6b7d9b68ac52e49"/>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εκδίδει και πωλεί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BUYER (BYR)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αγοράζει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974c245f7976e7b433c66886a1df68c">
        <w:r>
          <w:rPr>
            <w:rStyle w:val="Hyperlink"/>
          </w:rPr>
          <w:t>ODR</w:t>
        </w:r>
      </w:hyperlink>
      <w:r>
        <w:t xml:space="preserve"> σε περίπτωση αλλαγής της ΜΠΣ ή σε περίπτωση εταιρικής πράξης της ΜΠΣ.</w:t>
      </w:r>
    </w:p>
    <w:bookmarkEnd w:id="165"/>
    <w:bookmarkEnd w:id="164"/>
    <w:bookmarkEnd w:id="162"/>
    <w:bookmarkEnd w:id="161"/>
    <w:bookmarkEnd w:id="59"/>
    <w:bookmarkEnd w:id="58"/>
    <w:bookmarkEnd w:id="57"/>
    <w:bookmarkStart w:id="166" w:name="_2e9e470f35b83b221f56a2a065aadd07"/>
    <w:bookmarkStart w:id="167" w:name="_925ff21567d033dc0a26673cdc4584aa"/>
    <w:p>
      <w:pPr>
        <w:pStyle w:val="Heading4"/>
        <w:keepNext/>
      </w:pPr>
      <w:r>
        <w:t>Λογιστικά Στοιχεία (ACC)</w:t>
      </w:r>
    </w:p>
    <w:p>
      <w:pPr>
        <w:pStyle w:val="Body Text"/>
        <w:ind w:leftChars="0" w:left="0" w:right="0"/>
      </w:pPr>
      <w:r>
        <w:t xml:space="preserve">Χρησιμοποιείται για την υποβολλή λογιστικών στοιχείων.  Όλες οι νομισματικές μεταβλητές αναγγέλονται σε Ευρώ εκτός και αν αναφερέται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συναλλάγμα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Body Text"/>
        <w:ind w:leftChars="0" w:left="0" w:right="0"/>
      </w:pPr>
      <w:r>
        <w:t>Η κατηγορία ACC περιλαμβάνει τους ακόλουθους πίνακες:</w:t>
      </w:r>
    </w:p>
    <w:p>
      <w:pPr>
        <w:pStyle w:val="ListNumber"/>
        <w:numPr>
          <w:ilvl w:val="0"/>
          <w:numId w:val="8"/>
        </w:numPr>
        <w:ind w:leftChars="0" w:left="480" w:right="0"/>
      </w:pPr>
      <w:hyperlink w:anchor="_56d1ee915bc4e1560b8c099718d6f919">
        <w:r>
          <w:rPr>
            <w:rStyle w:val="Hyperlink"/>
          </w:rPr>
          <w:t>ΔΙΑΘΕΣΙΜΑ ΣΕ ΤΡΑΠΕΖΟΓΡΑΜΜΑΤΙΑ ΚΑΙ ΚΕΡΜΑΤΑ (CSH)</w:t>
        </w:r>
      </w:hyperlink>
    </w:p>
    <w:p>
      <w:pPr>
        <w:pStyle w:val="ListNumber"/>
        <w:numPr>
          <w:ilvl w:val="0"/>
          <w:numId w:val="8"/>
        </w:numPr>
        <w:ind w:leftChars="0" w:left="480" w:right="0"/>
      </w:pPr>
      <w:hyperlink w:anchor="_0b0a1558318eed1e4b7f6b3462bf2af6">
        <w:r>
          <w:rPr>
            <w:rStyle w:val="Hyperlink"/>
          </w:rPr>
          <w:t>ΚΑΤΑΘΕΣΕΙΣ (DPST)</w:t>
        </w:r>
      </w:hyperlink>
    </w:p>
    <w:p>
      <w:pPr>
        <w:pStyle w:val="ListNumber"/>
        <w:numPr>
          <w:ilvl w:val="0"/>
          <w:numId w:val="8"/>
        </w:numPr>
        <w:ind w:leftChars="0" w:left="480" w:right="0"/>
      </w:pPr>
      <w:hyperlink w:anchor="_65871d04ff1423639808af3e593a86cd">
        <w:r>
          <w:rPr>
            <w:rStyle w:val="Hyperlink"/>
          </w:rPr>
          <w:t>ΠΡAΞΕΙΣ ΧΡΗΜΑΤΟΔΌΤΗΣΗΣ ΤΊΤΛΩΝ ΕΝΕΡΓΗΤΙΚΟΎ (ASST_SFT)</w:t>
        </w:r>
      </w:hyperlink>
    </w:p>
    <w:p>
      <w:pPr>
        <w:pStyle w:val="ListNumber"/>
        <w:numPr>
          <w:ilvl w:val="0"/>
          <w:numId w:val="8"/>
        </w:numPr>
        <w:ind w:leftChars="0" w:left="480" w:right="0"/>
      </w:pPr>
      <w:hyperlink w:anchor="_969a6aac4c642f3193fdee94561847ab">
        <w:r>
          <w:rPr>
            <w:rStyle w:val="Hyperlink"/>
          </w:rPr>
          <w:t>ΧΡΕΟΓΡΑΦΑ ΕΝΕΡΓΗΤΙΚΟΥ (ASST_DBT)</w:t>
        </w:r>
      </w:hyperlink>
    </w:p>
    <w:p>
      <w:pPr>
        <w:pStyle w:val="ListNumber"/>
        <w:numPr>
          <w:ilvl w:val="0"/>
          <w:numId w:val="8"/>
        </w:numPr>
        <w:ind w:leftChars="0" w:left="480" w:right="0"/>
      </w:pPr>
      <w:hyperlink w:anchor="_5ede042b8d58ea687afffcb2b5214105">
        <w:r>
          <w:rPr>
            <w:rStyle w:val="Hyperlink"/>
          </w:rPr>
          <w:t>ASSET_LOAN</w:t>
        </w:r>
      </w:hyperlink>
    </w:p>
    <w:p>
      <w:pPr>
        <w:pStyle w:val="ListNumber"/>
        <w:numPr>
          <w:ilvl w:val="0"/>
          <w:numId w:val="8"/>
        </w:numPr>
        <w:ind w:leftChars="0" w:left="480" w:right="0"/>
      </w:pPr>
      <w:hyperlink w:anchor="_17c321882dde1b0366b67dc51b3f71ed">
        <w:r>
          <w:rPr>
            <w:rStyle w:val="Hyperlink"/>
          </w:rPr>
          <w:t>SHARE</w:t>
        </w:r>
      </w:hyperlink>
    </w:p>
    <w:p>
      <w:pPr>
        <w:pStyle w:val="ListNumber"/>
        <w:numPr>
          <w:ilvl w:val="0"/>
          <w:numId w:val="8"/>
        </w:numPr>
        <w:ind w:leftChars="0" w:left="480" w:right="0"/>
      </w:pPr>
      <w:hyperlink w:anchor="_8fabe67ebcf170d78a04322265647cd7">
        <w:r>
          <w:rPr>
            <w:rStyle w:val="Hyperlink"/>
          </w:rPr>
          <w:t>EXT_DERIVATIVE</w:t>
        </w:r>
      </w:hyperlink>
    </w:p>
    <w:p>
      <w:pPr>
        <w:pStyle w:val="ListNumber"/>
        <w:numPr>
          <w:ilvl w:val="0"/>
          <w:numId w:val="8"/>
        </w:numPr>
        <w:ind w:leftChars="0" w:left="480" w:right="0"/>
      </w:pPr>
      <w:hyperlink w:anchor="_47fc159c23d6c8f0339a25334530a6a0">
        <w:r>
          <w:rPr>
            <w:rStyle w:val="Hyperlink"/>
          </w:rPr>
          <w:t>OTC_DERIVATIVE</w:t>
        </w:r>
      </w:hyperlink>
    </w:p>
    <w:p>
      <w:pPr>
        <w:pStyle w:val="ListNumber"/>
        <w:numPr>
          <w:ilvl w:val="0"/>
          <w:numId w:val="8"/>
        </w:numPr>
        <w:ind w:leftChars="0" w:left="480" w:right="0"/>
      </w:pPr>
      <w:hyperlink w:anchor="_4e4a6d46bbbd3d9c2e71dfc7c8937494">
        <w:r>
          <w:rPr>
            <w:rStyle w:val="Hyperlink"/>
          </w:rPr>
          <w:t>ASSET_NON_FINANCIAL</w:t>
        </w:r>
      </w:hyperlink>
    </w:p>
    <w:p>
      <w:pPr>
        <w:pStyle w:val="ListNumber"/>
        <w:numPr>
          <w:ilvl w:val="0"/>
          <w:numId w:val="8"/>
        </w:numPr>
        <w:ind w:leftChars="0" w:left="480" w:right="0"/>
      </w:pPr>
      <w:hyperlink w:anchor="_d86dfc825562f40fc2c8aa7e430813fb">
        <w:r>
          <w:rPr>
            <w:rStyle w:val="Hyperlink"/>
          </w:rPr>
          <w:t>ASSET_REM</w:t>
        </w:r>
      </w:hyperlink>
    </w:p>
    <w:p>
      <w:pPr>
        <w:pStyle w:val="ListNumber"/>
        <w:numPr>
          <w:ilvl w:val="0"/>
          <w:numId w:val="8"/>
        </w:numPr>
        <w:ind w:leftChars="0" w:left="480" w:right="0"/>
      </w:pPr>
      <w:hyperlink w:anchor="_44975666b1f5519be76c3b3acebfcd7d">
        <w:r>
          <w:rPr>
            <w:rStyle w:val="Hyperlink"/>
          </w:rPr>
          <w:t>LIAB_SFT</w:t>
        </w:r>
      </w:hyperlink>
    </w:p>
    <w:p>
      <w:pPr>
        <w:pStyle w:val="ListNumber"/>
        <w:numPr>
          <w:ilvl w:val="0"/>
          <w:numId w:val="8"/>
        </w:numPr>
        <w:ind w:leftChars="0" w:left="480" w:right="0"/>
      </w:pPr>
      <w:hyperlink w:anchor="_d9cb78eb0a17aa58c41658fa09026831">
        <w:r>
          <w:rPr>
            <w:rStyle w:val="Hyperlink"/>
          </w:rPr>
          <w:t>LIAB_DEBT</w:t>
        </w:r>
      </w:hyperlink>
    </w:p>
    <w:p>
      <w:pPr>
        <w:pStyle w:val="ListNumber"/>
        <w:numPr>
          <w:ilvl w:val="0"/>
          <w:numId w:val="8"/>
        </w:numPr>
        <w:ind w:leftChars="0" w:left="480" w:right="0"/>
      </w:pPr>
      <w:hyperlink w:anchor="_78c8f363e4e622bc829cdff724cd2858">
        <w:r>
          <w:rPr>
            <w:rStyle w:val="Hyperlink"/>
          </w:rPr>
          <w:t>LIAB_LOAN</w:t>
        </w:r>
      </w:hyperlink>
    </w:p>
    <w:p>
      <w:pPr>
        <w:pStyle w:val="ListNumber"/>
        <w:numPr>
          <w:ilvl w:val="0"/>
          <w:numId w:val="8"/>
        </w:numPr>
        <w:ind w:leftChars="0" w:left="480" w:right="0"/>
      </w:pPr>
      <w:hyperlink w:anchor="_cfd9052d9226445fe4034dd5c019827e">
        <w:r>
          <w:rPr>
            <w:rStyle w:val="Hyperlink"/>
          </w:rPr>
          <w:t>LIAB_REM</w:t>
        </w:r>
      </w:hyperlink>
    </w:p>
    <w:p>
      <w:pPr>
        <w:pStyle w:val="ListNumber"/>
        <w:numPr>
          <w:ilvl w:val="0"/>
          <w:numId w:val="8"/>
        </w:numPr>
        <w:ind w:leftChars="0" w:left="480" w:right="0"/>
      </w:pPr>
      <w:hyperlink w:anchor="_fcb3badc5fe63606f52aef8783219ee4">
        <w:r>
          <w:rPr>
            <w:rStyle w:val="Hyperlink"/>
          </w:rPr>
          <w:t>HOLDER</w:t>
        </w:r>
      </w:hyperlink>
    </w:p>
    <w:p>
      <w:pPr>
        <w:pStyle w:val="ListNumber"/>
        <w:numPr>
          <w:ilvl w:val="0"/>
          <w:numId w:val="8"/>
        </w:numPr>
        <w:ind w:leftChars="0" w:left="480" w:right="0"/>
      </w:pPr>
      <w:hyperlink w:anchor="_aa5e4137d49fdc20b4f53677a6efcaa2">
        <w:r>
          <w:rPr>
            <w:rStyle w:val="Hyperlink"/>
          </w:rPr>
          <w:t>REVENUE</w:t>
        </w:r>
      </w:hyperlink>
    </w:p>
    <w:p>
      <w:pPr>
        <w:pStyle w:val="ListNumber"/>
        <w:numPr>
          <w:ilvl w:val="0"/>
          <w:numId w:val="8"/>
        </w:numPr>
        <w:ind w:leftChars="0" w:left="480" w:right="0"/>
      </w:pPr>
      <w:hyperlink w:anchor="_214d6f383c3488c292314a4d4c0f96e8">
        <w:r>
          <w:rPr>
            <w:rStyle w:val="Hyperlink"/>
          </w:rPr>
          <w:t>EXPENSE</w:t>
        </w:r>
      </w:hyperlink>
    </w:p>
    <w:p>
      <w:pPr>
        <w:pStyle w:val="ListNumber"/>
        <w:numPr>
          <w:ilvl w:val="0"/>
          <w:numId w:val="8"/>
        </w:numPr>
        <w:ind w:leftChars="0" w:left="480" w:right="0"/>
      </w:pPr>
      <w:hyperlink w:anchor="_721197f2c5b23fe96b8dd7f2e6a3b026">
        <w:r>
          <w:rPr>
            <w:rStyle w:val="Hyperlink"/>
          </w:rPr>
          <w:t>Συγκεντρωτικά Στοιχεία</w:t>
        </w:r>
      </w:hyperlink>
    </w:p>
    <w:bookmarkStart w:id="168" w:name="_004f20de27b47c1e4ac309b822824dfb"/>
    <w:bookmarkStart w:id="169" w:name="_56d1ee915bc4e1560b8c099718d6f919"/>
    <w:bookmarkStart w:id="170" w:name="_7535ab66cb7e316e8d4d300c48cbea2c"/>
    <w:p>
      <w:pPr>
        <w:pStyle w:val="Heading5"/>
        <w:keepNext/>
      </w:pPr>
      <w:r>
        <w:t xml:space="preserve">1 </w:t>
      </w:r>
      <w:r>
        <w:t>ΔΙΑΘΕΣΙΜΑ ΣΕ ΤΡΑΠΕΖΟΓΡΑΜΜΑΤΙΑ ΚΑΙ ΚΕΡΜΑΤΑ (CSH)</w:t>
      </w:r>
    </w:p>
    <w:p>
      <w:pPr>
        <w:pStyle w:val="Body Text"/>
        <w:ind w:leftChars="0" w:left="0" w:right="0"/>
      </w:pPr>
      <w:r>
        <w:t>Χρησιμοποιείται για την παροχή λογιστικών στοιχείων των χρηματικών διαθέσιμων της ΠΜ.</w:t>
      </w:r>
    </w:p>
    <w:bookmarkStart w:id="171" w:name="_1de4787a7c220b72cce1030f4dd5ded1"/>
    <w:p>
      <w:pPr>
        <w:pStyle w:val="Heading 6"/>
        <w:keepNext/>
      </w:pPr>
      <w:r>
        <w:t xml:space="preserve">1.1 </w:t>
      </w:r>
      <w:r>
        <w:t>ΔΙΑΣΤΑΣΕΙΣ</w:t>
      </w:r>
    </w:p>
    <w:p>
      <w:pPr>
        <w:pStyle w:val="DefinitionTerm"/>
        <w:ind w:leftChars="0" w:left="0" w:right="0"/>
        <w:keepNext/>
      </w:pPr>
      <w:r>
        <w:t>CURRENCY (CRRNCY)</w:t>
      </w:r>
    </w:p>
    <w:p>
      <w:pPr>
        <w:pStyle w:val="Definition"/>
        <w:ind w:leftChars="0" w:left="480" w:right="0"/>
      </w:pPr>
      <w:r>
        <w:t xml:space="preserve">Το νόμισμα επιλέγοντας από τη λίστα τιμών </w:t>
      </w:r>
      <w:hyperlink w:anchor="_6201aa4d7e76fbd6b080361f324d593c">
        <w:r>
          <w:rPr>
            <w:rStyle w:val="Hyperlink"/>
          </w:rPr>
          <w:t>GEN_CRRNCY_ENUM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1"/>
    <w:bookmarkStart w:id="172" w:name="_5dc1cf6513fafb702f9a2fa2e47b8a66"/>
    <w:p>
      <w:pPr>
        <w:pStyle w:val="Heading 6"/>
        <w:keepNext/>
      </w:pPr>
      <w:r>
        <w:t xml:space="preserve">1.2 </w:t>
      </w:r>
      <w:r>
        <w:t>ΜΕΤΑΒΛΗΤΕΣ</w:t>
      </w:r>
    </w:p>
    <w:p>
      <w:pPr>
        <w:pStyle w:val="DefinitionTerm"/>
        <w:ind w:leftChars="0" w:left="0" w:right="0"/>
        <w:keepNext/>
      </w:pPr>
      <w:r>
        <w:t>STOCK (STCK)</w:t>
      </w:r>
    </w:p>
    <w:p>
      <w:pPr>
        <w:pStyle w:val="Definition"/>
        <w:ind w:leftChars="0" w:left="480" w:right="0"/>
      </w:pPr>
      <w:r>
        <w:t>Ονομαστική αξία υπολοίπου.</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72"/>
    <w:bookmarkEnd w:id="170"/>
    <w:bookmarkEnd w:id="169"/>
    <w:bookmarkStart w:id="173" w:name="_0b0a1558318eed1e4b7f6b3462bf2af6"/>
    <w:bookmarkStart w:id="174" w:name="_e4feb5687d161b12b6f94b5a17965281"/>
    <w:p>
      <w:pPr>
        <w:pStyle w:val="Heading5"/>
        <w:keepNext/>
      </w:pPr>
      <w:r>
        <w:t xml:space="preserve">2 </w:t>
      </w:r>
      <w:r>
        <w:t>ΚΑΤΑΘΕΣΕΙΣ (DPST)</w:t>
      </w:r>
    </w:p>
    <w:p>
      <w:pPr>
        <w:pStyle w:val="Body Text"/>
        <w:ind w:leftChars="0" w:left="0" w:right="0"/>
      </w:pPr>
      <w:r>
        <w:t xml:space="preserve">Χρησιμοποιείται για την παροχή λογιστικών στοιχείων των καταθέσεων της ΠΜ. Για τον ορισμό της κατάθεσης δείτε </w:t>
      </w:r>
      <w:hyperlink w:anchor="_f011dce9af42168b667edbf06a1ecd71">
        <w:r>
          <w:rPr>
            <w:rStyle w:val="Hyperlink"/>
          </w:rPr>
          <w:t>εδώ</w:t>
        </w:r>
      </w:hyperlink>
      <w:r>
        <w:t>.</w:t>
      </w:r>
    </w:p>
    <w:bookmarkStart w:id="175" w:name="_11e4e67247f577f7a63ea64e3f64b40e"/>
    <w:p>
      <w:pPr>
        <w:pStyle w:val="Heading 6"/>
        <w:keepNext/>
      </w:pPr>
      <w:r>
        <w:t xml:space="preserve">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5"/>
    <w:bookmarkStart w:id="176" w:name="_b37ee48c66f5409b9d7a7bfd355dcbd0"/>
    <w:p>
      <w:pPr>
        <w:pStyle w:val="Heading 6"/>
        <w:keepNext/>
      </w:pPr>
      <w:r>
        <w:t xml:space="preserve">2.2 </w:t>
      </w:r>
      <w:r>
        <w:t>ΜΕΤΑΒΛΗΤΕΣ</w:t>
      </w:r>
    </w:p>
    <w:p>
      <w:pPr>
        <w:pStyle w:val="DefinitionTerm"/>
        <w:ind w:leftChars="0" w:left="0" w:right="0"/>
        <w:keepNext/>
      </w:pPr>
      <w:r>
        <w:t>STOCK (STCK)</w:t>
      </w:r>
    </w:p>
    <w:p>
      <w:pPr>
        <w:pStyle w:val="Definition"/>
        <w:ind w:leftChars="0" w:left="480" w:right="0"/>
      </w:pPr>
      <w:r>
        <w:t>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bookmarkEnd w:id="176"/>
    <w:bookmarkEnd w:id="174"/>
    <w:bookmarkEnd w:id="173"/>
    <w:bookmarkStart w:id="177" w:name="_65871d04ff1423639808af3e593a86cd"/>
    <w:bookmarkStart w:id="178" w:name="_c299c1f63436820f6863aaf2784967fd"/>
    <w:p>
      <w:pPr>
        <w:pStyle w:val="Heading5"/>
        <w:keepNext/>
      </w:pPr>
      <w:r>
        <w:t xml:space="preserve">3 </w:t>
      </w:r>
      <w:r>
        <w:t>ΠΡAΞΕΙΣ ΧΡΗΜΑΤΟΔΌΤΗΣΗΣ ΤΊΤΛΩΝ ΕΝΕΡΓΗΤΙΚΟΎ (ASST_SFT)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δανείσει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179" w:name="_223a2ab8b718e4e234d5ec89075c3e41"/>
    <w:p>
      <w:pPr>
        <w:pStyle w:val="Heading 6"/>
        <w:keepNext/>
      </w:pPr>
      <w:r>
        <w:t xml:space="preserve">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9"/>
    <w:bookmarkStart w:id="180" w:name="_06590a241a025247d7bff710000cea43"/>
    <w:p>
      <w:pPr>
        <w:pStyle w:val="Heading 6"/>
        <w:keepNext/>
      </w:pPr>
      <w:r>
        <w:t xml:space="preserve">3.2 </w:t>
      </w:r>
      <w:r>
        <w:t>ΜΕΤΑΒΛΗΤΕΣ</w:t>
      </w:r>
    </w:p>
    <w:p>
      <w:pPr>
        <w:pStyle w:val="DefinitionTerm"/>
        <w:ind w:leftChars="0" w:left="0" w:right="0"/>
        <w:keepNext/>
      </w:pPr>
      <w:r>
        <w:t>STOCK (STCK)</w:t>
      </w:r>
    </w:p>
    <w:p>
      <w:pPr>
        <w:pStyle w:val="Definition"/>
        <w:ind w:leftChars="0" w:left="480" w:right="0"/>
      </w:pPr>
      <w:r>
        <w:t>Συμπληρώνεται η απαίτηση από πράξεις χρηματοδότησης χρεογράφων που η ΠΜ έχει δανείσει χρηματικά διαθέσιμα.</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80"/>
    <w:bookmarkEnd w:id="178"/>
    <w:bookmarkEnd w:id="177"/>
    <w:bookmarkStart w:id="181" w:name="_969a6aac4c642f3193fdee94561847ab"/>
    <w:bookmarkStart w:id="182" w:name="_d59a4656ee77229787cc289cf96a937e"/>
    <w:p>
      <w:pPr>
        <w:pStyle w:val="Heading5"/>
        <w:keepNext/>
      </w:pPr>
      <w:r>
        <w:t xml:space="preserve">4 </w:t>
      </w:r>
      <w:r>
        <w:t>ΧΡΕΟΓΡΑΦΑ ΕΝΕΡΓΗΤΙΚΟΥ (ASST_DBT)</w:t>
      </w:r>
    </w:p>
    <w:p>
      <w:pPr>
        <w:pStyle w:val="Body Text"/>
        <w:ind w:leftChars="0" w:left="0" w:right="0"/>
      </w:pPr>
      <w:r>
        <w:t xml:space="preserve">Χρησιμοποιείται για την παροχή λογιστικών στοιχείων των χρεογράφων που κατέχει η ΠΜ. Για τον ορισμό του χρεογράφου δείτε </w:t>
      </w:r>
      <w:hyperlink w:anchor="_3a74f84a5b8871c9761e529a9f2ecea1">
        <w:r>
          <w:rPr>
            <w:rStyle w:val="Hyperlink"/>
          </w:rPr>
          <w:t>εδώ</w:t>
        </w:r>
      </w:hyperlink>
      <w:r>
        <w:t>.</w:t>
      </w:r>
    </w:p>
    <w:bookmarkStart w:id="183" w:name="_b496297f696e8f7f3dcd06cdd79faf5e"/>
    <w:p>
      <w:pPr>
        <w:pStyle w:val="Heading 6"/>
        <w:keepNext/>
      </w:pPr>
      <w:r>
        <w:t xml:space="preserve">4.1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η </w:t>
      </w:r>
      <w:r>
        <w:rPr>
          <w:rFonts w:ascii="Consolas" w:eastAsia="ＭＳ ゴシック" w:hansitheme="majorhansi"/>
          <w:color w:val="E74C3C"/>
          <w:sz w:val="20"/>
          <w:szCs w:val="20"/>
          <w:noProof/>
        </w:rPr>
        <w:t>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LND_FR_SFT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3"/>
    <w:bookmarkStart w:id="184" w:name="_47aed0dfee5c246872d2f22c4d7223dd"/>
    <w:p>
      <w:pPr>
        <w:pStyle w:val="Heading 6"/>
        <w:keepNext/>
      </w:pPr>
      <w:r>
        <w:t xml:space="preserve">4.2 </w:t>
      </w:r>
      <w:r>
        <w:t>ΜΕΤΑΒΛΗΤΕΣ</w:t>
      </w:r>
    </w:p>
    <w:p>
      <w:pPr>
        <w:pStyle w:val="DefinitionTerm"/>
        <w:ind w:leftChars="0" w:left="0" w:right="0"/>
        <w:keepNext/>
      </w:pPr>
      <w:r>
        <w:t>STOCK (STCK)</w:t>
      </w:r>
    </w:p>
    <w:p>
      <w:pPr>
        <w:pStyle w:val="Definition"/>
        <w:ind w:leftChars="0" w:left="480" w:right="0"/>
      </w:pPr>
      <w:r>
        <w:t>Αγοραία 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bookmarkStart w:id="185" w:name="_f14b291fe43aa062d4c47537d7204609"/>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LOANED FOR SFT (LND_FR_SFT)</w:t>
      </w:r>
    </w:p>
    <w:p>
      <w:pPr>
        <w:pStyle w:val="Definition"/>
        <w:ind w:leftChars="0" w:left="480" w:right="0"/>
      </w:pPr>
      <w:r>
        <w:t xml:space="preserve">Ποσό του </w:t>
      </w:r>
      <w:hyperlink w:anchor="_f14b291fe43aa062d4c47537d7204609">
        <w:r>
          <w:rPr>
            <w:rStyle w:val="Hyperlink"/>
          </w:rPr>
          <w:t>debt_nominal</w:t>
        </w:r>
      </w:hyperlink>
      <w:r>
        <w:t xml:space="preserve"> που έχει δανείσει η ΠΜ σε συναλλαγές χρηματοδότησης αξιόγραφων.</w:t>
      </w:r>
    </w:p>
    <w:p>
      <w:pPr>
        <w:pStyle w:val="DefinitionTerm"/>
        <w:ind w:leftChars="0" w:left="0" w:right="0"/>
        <w:keepNext/>
      </w:pPr>
      <w:r>
        <w:t>ACCRUALS (ACCRLS)</w:t>
      </w:r>
    </w:p>
    <w:p>
      <w:pPr>
        <w:pStyle w:val="Definition"/>
        <w:ind w:leftChars="0" w:left="480" w:right="0"/>
      </w:pPr>
      <w:r>
        <w:t>Δεδουλευμένοι τόκοι.</w:t>
      </w:r>
    </w:p>
    <w:bookmarkEnd w:id="185"/>
    <w:bookmarkEnd w:id="184"/>
    <w:bookmarkEnd w:id="182"/>
    <w:bookmarkEnd w:id="181"/>
    <w:bookmarkStart w:id="186" w:name="_5ede042b8d58ea687afffcb2b5214105"/>
    <w:bookmarkStart w:id="187" w:name="_f058ad937ab1f68351317a3f646df641"/>
    <w:p>
      <w:pPr>
        <w:pStyle w:val="Heading5"/>
        <w:keepNext/>
      </w:pPr>
      <w:r>
        <w:t xml:space="preserve">5 </w:t>
      </w:r>
      <w:r>
        <w:t>ASSET_LOAN</w:t>
      </w:r>
    </w:p>
    <w:p>
      <w:pPr>
        <w:pStyle w:val="Body Text"/>
        <w:ind w:leftChars="0" w:left="0" w:right="0"/>
      </w:pPr>
      <w:r>
        <w:t xml:space="preserve">Χρησιμοποιείται για την παροχή λογιστικών στοιχείων δανείων που έχει δώσει η ΠΜ. Για τον ορισμό του δανείου δείτε </w:t>
      </w:r>
      <w:hyperlink w:anchor="_bc42454f9e0a26f44eecad8a8c695cfa">
        <w:r>
          <w:rPr>
            <w:rStyle w:val="Hyperlink"/>
          </w:rPr>
          <w:t>εδώ</w:t>
        </w:r>
      </w:hyperlink>
      <w:r>
        <w:t>.</w:t>
      </w:r>
    </w:p>
    <w:bookmarkStart w:id="188" w:name="_b04c1ce618a80951eaa6f42f0ccebcc8"/>
    <w:p>
      <w:pPr>
        <w:pStyle w:val="Heading 6"/>
        <w:keepNext/>
      </w:pPr>
      <w:r>
        <w:t xml:space="preserve">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δώσει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8"/>
    <w:bookmarkStart w:id="189" w:name="_ea9509170d6e3c7439371b7078f7935c"/>
    <w:p>
      <w:pPr>
        <w:pStyle w:val="Heading 6"/>
        <w:keepNext/>
      </w:pPr>
      <w:r>
        <w:t xml:space="preserve">5.2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προς θεσμική μονάδα που ανήκει στον ίδιο όμιλο με τον πιστωτή.</w:t>
      </w:r>
    </w:p>
    <w:bookmarkEnd w:id="189"/>
    <w:bookmarkEnd w:id="187"/>
    <w:bookmarkEnd w:id="186"/>
    <w:bookmarkStart w:id="190" w:name="_17c321882dde1b0366b67dc51b3f71ed"/>
    <w:bookmarkStart w:id="191" w:name="_8338f261b348961f86d73a00c0c06a56"/>
    <w:p>
      <w:pPr>
        <w:pStyle w:val="Heading5"/>
        <w:keepNext/>
      </w:pPr>
      <w:r>
        <w:t xml:space="preserve">6 </w:t>
      </w:r>
      <w:r>
        <w:t>SHARE</w:t>
      </w:r>
    </w:p>
    <w:p>
      <w:pPr>
        <w:pStyle w:val="Body Text"/>
        <w:ind w:leftChars="0" w:left="0" w:right="0"/>
      </w:pPr>
      <w:r>
        <w:t xml:space="preserve">Χρησιμοποιείται για την παροχή λογιστικών στοιχείων των συμμετοχικών τίτλων ή/και μετοχές/μερίδια επενδυτικών οργανισμών που κατέχει η ΠΜ. Για τον ορισμό των παραπάνω τίτλων δείτε </w:t>
      </w:r>
      <w:hyperlink w:anchor="_ea0d8623fb6a23229781ffb1843de537">
        <w:r>
          <w:rPr>
            <w:rStyle w:val="Hyperlink"/>
          </w:rPr>
          <w:t>εδώ</w:t>
        </w:r>
      </w:hyperlink>
      <w:r>
        <w:t>.  Οι τιμές των νομισματικών μεταβλητών δίνονται σε Ευρώ.</w:t>
      </w:r>
    </w:p>
    <w:bookmarkStart w:id="192" w:name="_e1dbf5887271c51cfd5863a88d8fa486"/>
    <w:p>
      <w:pPr>
        <w:pStyle w:val="Heading 6"/>
        <w:keepNext/>
      </w:pPr>
      <w:r>
        <w:t xml:space="preserve">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η ΠΜ.</w:t>
      </w:r>
    </w:p>
    <w:p>
      <w:pPr>
        <w:pStyle w:val="DefinitionTerm"/>
        <w:ind w:leftChars="0" w:left="0" w:right="0"/>
        <w:keepNext/>
      </w:pPr>
      <w:r>
        <w:t>ID</w:t>
      </w:r>
    </w:p>
    <w:p>
      <w:pPr>
        <w:pStyle w:val="Definition"/>
        <w:ind w:leftChars="0" w:left="480" w:right="0"/>
      </w:pPr>
      <w:r>
        <w:t>Ο αναγνωριστικός κωδικός της ΠΜ (</w:t>
      </w:r>
      <w:hyperlink w:anchor="_99f2ef9e87f68849087a15b72cb02467">
        <w:r>
          <w:rPr>
            <w:rStyle w:val="Hyperlink"/>
          </w:rPr>
          <w:t>ORG (Αναγνωριστικός κωδικός Θεσμικής μονάδας)</w:t>
        </w:r>
      </w:hyperlink>
      <w:r>
        <w:t>).</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QNTTY, LND_FR_SFT και IS_DRCT_INVSTMNT.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2"/>
    <w:bookmarkStart w:id="193" w:name="_a66bcfb819e841f3e0b308fb8cc733e1"/>
    <w:p>
      <w:pPr>
        <w:pStyle w:val="Heading 6"/>
        <w:keepNext/>
      </w:pPr>
      <w:r>
        <w:t xml:space="preserve">6.2 </w:t>
      </w:r>
      <w:r>
        <w:t>ΜΕΤΑΒΛΗΤΕΣ</w:t>
      </w:r>
    </w:p>
    <w:bookmarkStart w:id="194" w:name="_03793e69b824730864fba4ac1b6fda20"/>
    <w:p>
      <w:pPr>
        <w:pStyle w:val="DefinitionTerm"/>
        <w:ind w:leftChars="0" w:left="0" w:right="0"/>
        <w:keepNext/>
      </w:pPr>
      <w:r>
        <w:t>STOCK (STCK)</w:t>
      </w:r>
    </w:p>
    <w:p>
      <w:pPr>
        <w:pStyle w:val="Definition"/>
        <w:ind w:leftChars="0" w:left="480" w:right="0"/>
      </w:pPr>
      <w:r>
        <w:t>Αγοραία αξία για διαπραγματεύσιμα αξιόγραφα, αξία εξαγοράς για μη διαπραγματεύσιμα μερίδια αμοιβαίων κεφαλαίων, ή εύλογη αξία για τα υπόλοιπα.  Η εύλογη αξία εκτιμάται με έναν από τους ακόλουθους τρόπους:</w:t>
      </w:r>
    </w:p>
    <w:p>
      <w:pPr>
        <w:pStyle w:val="ListBullet"/>
        <w:numPr>
          <w:ilvl w:val="0"/>
          <w:numId w:val="2"/>
        </w:numPr>
        <w:ind w:leftChars="0" w:left="960" w:right="0"/>
      </w:pPr>
      <w:r>
        <w:t>βάση την αξία των εισηγμένων μετοχών κατά περίπτωση·</w:t>
      </w:r>
    </w:p>
    <w:p>
      <w:pPr>
        <w:pStyle w:val="ListBullet"/>
        <w:numPr>
          <w:ilvl w:val="0"/>
          <w:numId w:val="2"/>
        </w:numPr>
        <w:ind w:leftChars="0" w:left="960" w:right="0"/>
      </w:pPr>
      <w:r>
        <w:t>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αγοραίας τιμής / κερδών στα εξομαλυμένα πρόσφατα κέρδη.</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94"/>
    <w:bookmarkStart w:id="195" w:name="_310cb52db436883a7b29d00c0fcb37f8"/>
    <w:p>
      <w:pPr>
        <w:pStyle w:val="DefinitionTerm"/>
        <w:ind w:leftChars="0" w:left="0" w:right="0"/>
        <w:keepNext/>
      </w:pPr>
      <w:r>
        <w:t>QUANTITY (QNTTY)</w:t>
      </w:r>
    </w:p>
    <w:p>
      <w:pPr>
        <w:pStyle w:val="Definition"/>
        <w:ind w:leftChars="0" w:left="480" w:right="0"/>
      </w:pPr>
      <w:r>
        <w:t>Αριθμός μονάδων</w:t>
      </w:r>
    </w:p>
    <w:p>
      <w:pPr>
        <w:pStyle w:val="DefinitionTerm"/>
        <w:ind w:leftChars="0" w:left="0" w:right="0"/>
        <w:keepNext/>
      </w:pPr>
      <w:r>
        <w:t>LOANED FOR SFT (LND_FR_SFT)</w:t>
      </w:r>
    </w:p>
    <w:p>
      <w:pPr>
        <w:pStyle w:val="Definition"/>
        <w:ind w:leftChars="0" w:left="480" w:right="0"/>
      </w:pPr>
      <w:r>
        <w:t xml:space="preserve">Αριθμός μονάδων του </w:t>
      </w:r>
      <w:hyperlink w:anchor="_310cb52db436883a7b29d00c0fcb37f8">
        <w:r>
          <w:rPr>
            <w:rStyle w:val="Hyperlink"/>
          </w:rPr>
          <w:t>share_nominal</w:t>
        </w:r>
      </w:hyperlink>
      <w:r>
        <w:t xml:space="preserve"> που έχει δανείσει η ΠΜ σε συναλλαγές χρηματοδότησης αξιογράφων</w:t>
      </w:r>
    </w:p>
    <w:p>
      <w:pPr>
        <w:pStyle w:val="DefinitionTerm"/>
        <w:ind w:leftChars="0" w:left="0" w:right="0"/>
        <w:keepNext/>
      </w:pPr>
      <w:r>
        <w:t>DIRECT INVESTMENT (IS_DRCT_INVSTMNT)</w:t>
      </w:r>
    </w:p>
    <w:p>
      <w:pPr>
        <w:pStyle w:val="Definition"/>
        <w:ind w:leftChars="0" w:left="480" w:right="0"/>
      </w:pPr>
      <w:r>
        <w:t>Ένδειξη για άμεση σχέση (&gt;10%).</w:t>
      </w:r>
    </w:p>
    <w:bookmarkEnd w:id="195"/>
    <w:bookmarkEnd w:id="193"/>
    <w:bookmarkEnd w:id="191"/>
    <w:bookmarkEnd w:id="190"/>
    <w:bookmarkStart w:id="196" w:name="_8fabe67ebcf170d78a04322265647cd7"/>
    <w:bookmarkStart w:id="197" w:name="_4529da1889da79d0a0170db00edde7e0"/>
    <w:p>
      <w:pPr>
        <w:pStyle w:val="Heading5"/>
        <w:keepNext/>
      </w:pPr>
      <w:r>
        <w:t xml:space="preserve">7 </w:t>
      </w:r>
      <w:r>
        <w:t>EXT_DERIVATIVE</w:t>
      </w:r>
    </w:p>
    <w:p>
      <w:pPr>
        <w:pStyle w:val="Body Text"/>
        <w:ind w:leftChars="0" w:left="0" w:right="0"/>
      </w:pPr>
      <w:r>
        <w:t xml:space="preserve">Χρησιμοποιείται για την παροχή λογιστικών στοιχείων διαπραγματεύσιμων χρηματοοικονομικών παραγώγων που κατέχει η ΠΜ. Για τον ορισμό των παραγώγων δείτε </w:t>
      </w:r>
      <w:hyperlink w:anchor="_654f7d58e88dd0ca4342249b093e0cd8">
        <w:r>
          <w:rPr>
            <w:rStyle w:val="Hyperlink"/>
          </w:rPr>
          <w:t>εδώ</w:t>
        </w:r>
      </w:hyperlink>
      <w:r>
        <w:t>.</w:t>
      </w:r>
    </w:p>
    <w:bookmarkStart w:id="198" w:name="_29ffd59ceac6f9d33f8154443ab51d0c"/>
    <w:p>
      <w:pPr>
        <w:pStyle w:val="Heading 6"/>
        <w:keepNext/>
      </w:pPr>
      <w:r>
        <w:t xml:space="preserve">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χρηματοοικονομικού παραγώγου</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8"/>
    <w:bookmarkStart w:id="199" w:name="_4b0e68916ab086281940a31d02274d19"/>
    <w:p>
      <w:pPr>
        <w:pStyle w:val="Heading 6"/>
        <w:keepNext/>
      </w:pPr>
      <w:r>
        <w:t xml:space="preserve">7.2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(EUR_FLS)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Term"/>
        <w:ind w:leftChars="0" w:left="0" w:right="0"/>
        <w:keepNext/>
      </w:pPr>
      <w:r>
        <w:t>QUANTITY (QNTTY)</w:t>
      </w:r>
    </w:p>
    <w:p>
      <w:pPr>
        <w:pStyle w:val="Definition"/>
        <w:ind w:leftChars="0" w:left="480" w:right="0"/>
      </w:pPr>
      <w:r>
        <w:t>Αριθμός μονάδων του παραγώγου.</w:t>
      </w:r>
    </w:p>
    <w:bookmarkEnd w:id="199"/>
    <w:bookmarkEnd w:id="197"/>
    <w:bookmarkEnd w:id="196"/>
    <w:bookmarkStart w:id="200" w:name="_47fc159c23d6c8f0339a25334530a6a0"/>
    <w:bookmarkStart w:id="201" w:name="_91aa85b8b8ae4fb825c9270ae52f09c0"/>
    <w:p>
      <w:pPr>
        <w:pStyle w:val="Heading5"/>
        <w:keepNext/>
      </w:pPr>
      <w:r>
        <w:t xml:space="preserve">8 </w:t>
      </w:r>
      <w:r>
        <w:t>OTC_DERIVATIVE</w:t>
      </w:r>
    </w:p>
    <w:p>
      <w:pPr>
        <w:pStyle w:val="Body Text"/>
        <w:ind w:leftChars="0" w:left="0" w:right="0"/>
      </w:pPr>
      <w:r>
        <w:t xml:space="preserve">Χρησιμοποιείται για την παροχή λογιστικών στοιχείων εξωχρηματιστηριακών  χρηματοοικονομικών παραγώγων που κατέχει η ΠΜ. Για τον ορισμό των παραγώγων δείτε </w:t>
      </w:r>
      <w:hyperlink w:anchor="_e974c245f7976e7b433c66886a1df68c">
        <w:r>
          <w:rPr>
            <w:rStyle w:val="Hyperlink"/>
          </w:rPr>
          <w:t>εδώ</w:t>
        </w:r>
      </w:hyperlink>
      <w:r>
        <w:t>.</w:t>
      </w:r>
    </w:p>
    <w:bookmarkStart w:id="202" w:name="_3c5a81e72f1cfdace8fda64eb42dcbe3"/>
    <w:p>
      <w:pPr>
        <w:pStyle w:val="Heading 6"/>
        <w:keepNext/>
      </w:pPr>
      <w:r>
        <w:t xml:space="preserve">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974c245f7976e7b433c66886a1df68c">
        <w:r>
          <w:rPr>
            <w:rStyle w:val="Hyperlink"/>
          </w:rPr>
          <w:t>ODR</w:t>
        </w:r>
      </w:hyperlink>
      <w:r>
        <w:t xml:space="preserve"> του εξωχρηματιστηριακού χρηματοοικονομικού παραγώγου</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2"/>
    <w:bookmarkStart w:id="203" w:name="_aa50a19848f0de8d6c5faa28aa2e8025"/>
    <w:p>
      <w:pPr>
        <w:pStyle w:val="Heading 6"/>
        <w:keepNext/>
      </w:pPr>
      <w:r>
        <w:t xml:space="preserve">8.2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bookmarkEnd w:id="203"/>
    <w:bookmarkEnd w:id="201"/>
    <w:bookmarkEnd w:id="200"/>
    <w:bookmarkStart w:id="204" w:name="_4e4a6d46bbbd3d9c2e71dfc7c8937494"/>
    <w:bookmarkStart w:id="205" w:name="_a86cf542a9201e196ef1afb349394aaa"/>
    <w:p>
      <w:pPr>
        <w:pStyle w:val="Heading5"/>
        <w:keepNext/>
      </w:pPr>
      <w:r>
        <w:t xml:space="preserve">9 </w:t>
      </w:r>
      <w:r>
        <w:t>ASSET_NON_FINANCIAL</w:t>
      </w:r>
    </w:p>
    <w:p>
      <w:pPr>
        <w:pStyle w:val="Body Text"/>
        <w:ind w:leftChars="0" w:left="0" w:right="0"/>
      </w:pPr>
      <w:r>
        <w:t>Χρησιμοποιείται για την παροχή μη χρηματοοικονομικών περιουσιακών στοιχείων της ΠΜ.</w:t>
      </w:r>
    </w:p>
    <w:bookmarkStart w:id="206" w:name="_4320e31dd6a7de662feb1d2a196c5fcf"/>
    <w:p>
      <w:pPr>
        <w:pStyle w:val="Heading 6"/>
        <w:keepNext/>
      </w:pPr>
      <w:r>
        <w:t xml:space="preserve">9.1 </w:t>
      </w:r>
      <w:r>
        <w:t>ΔΙΑΣΤΑΣΕΙΣ</w:t>
      </w:r>
    </w:p>
    <w:p>
      <w:pPr>
        <w:pStyle w:val="DefinitionTerm"/>
        <w:ind w:leftChars="0" w:left="0" w:right="0"/>
        <w:keepNext/>
      </w:pPr>
      <w:r>
        <w:t>TYPE (TYP)</w:t>
      </w:r>
    </w:p>
    <w:p>
      <w:pPr>
        <w:pStyle w:val="Definition"/>
        <w:ind w:leftChars="0" w:left="480" w:right="0"/>
      </w:pPr>
      <w:r>
        <w:t xml:space="preserve">Είδος μη χρηματοοικονομικού περιουσιακού στοιχείου με επιλογή από τη λίστα τιμών </w:t>
      </w:r>
      <w:hyperlink w:anchor="_490ddd2d50d5f6326fb99977c95548f9">
        <w:r>
          <w:rPr>
            <w:rStyle w:val="Hyperlink"/>
          </w:rPr>
          <w:t>ASST_NN_FNNCL_ENUM</w:t>
        </w:r>
      </w:hyperlink>
    </w:p>
    <w:p>
      <w:pPr>
        <w:pStyle w:val="DefinitionTerm"/>
        <w:ind w:leftChars="0" w:left="0" w:right="0"/>
        <w:keepNext/>
      </w:pPr>
      <w:r>
        <w:t>COUNTRY (CNTRY)</w:t>
      </w:r>
    </w:p>
    <w:p>
      <w:pPr>
        <w:pStyle w:val="Definition"/>
        <w:ind w:leftChars="0" w:left="480" w:right="0"/>
      </w:pPr>
      <w:r>
        <w:t xml:space="preserve">Χώρα τοποθεσίας του περιουσιακού στοιχείου με επιλογή από τη λίστα τιμών </w:t>
      </w:r>
      <w:hyperlink w:anchor="_b522beb4dd0139763983b90986b32a65">
        <w:r>
          <w:rPr>
            <w:rStyle w:val="Hyperlink"/>
          </w:rPr>
          <w:t>GEN_CNTRY_ENUM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6"/>
    <w:bookmarkStart w:id="207" w:name="_ce8f2adcca5912522148230e499a5aa8"/>
    <w:p>
      <w:pPr>
        <w:pStyle w:val="Heading 6"/>
        <w:keepNext/>
      </w:pPr>
      <w:r>
        <w:t xml:space="preserve">9.2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 (αγοροπωλησίες, ανακαινίσεις, βελτιώσεις) μικτές από προμήθειες/φόρους των συναλλαγών κατά τη διάρκεια της περιόδου αναφοράς.</w:t>
      </w:r>
    </w:p>
    <w:p>
      <w:pPr>
        <w:pStyle w:val="DefinitionTerm"/>
        <w:ind w:leftChars="0" w:left="0" w:right="0"/>
        <w:keepNext/>
      </w:pPr>
      <w:r>
        <w:t>ACCRUALS (ACCRLS)</w:t>
      </w:r>
    </w:p>
    <w:p>
      <w:pPr>
        <w:pStyle w:val="Definition"/>
        <w:ind w:leftChars="0" w:left="480" w:right="0"/>
      </w:pPr>
      <w:r>
        <w:t>Δεδουλευμένα μισθώματα.</w:t>
      </w:r>
    </w:p>
    <w:bookmarkEnd w:id="207"/>
    <w:bookmarkEnd w:id="205"/>
    <w:bookmarkEnd w:id="204"/>
    <w:bookmarkStart w:id="208" w:name="_d86dfc825562f40fc2c8aa7e430813fb"/>
    <w:bookmarkStart w:id="209" w:name="_bf7036475de7a0850382c2ff7c763081"/>
    <w:p>
      <w:pPr>
        <w:pStyle w:val="Heading5"/>
        <w:keepNext/>
      </w:pPr>
      <w:r>
        <w:t xml:space="preserve">10 </w:t>
      </w:r>
      <w:r>
        <w:t>ASSET_REM</w:t>
      </w:r>
    </w:p>
    <w:p>
      <w:pPr>
        <w:pStyle w:val="Body Text"/>
        <w:ind w:leftChars="0" w:left="0" w:right="0"/>
      </w:pPr>
      <w:r>
        <w:t>Χρησιμοποιείται για την παροχή στοιχείων του ενεργητικού της ΠΜ που δεν περιλαμβάνονται αλλού.</w:t>
      </w:r>
    </w:p>
    <w:bookmarkStart w:id="210" w:name="_4e1eed95eca17f908c5ec226b9db74fb"/>
    <w:p>
      <w:pPr>
        <w:pStyle w:val="Heading 6"/>
        <w:keepNext/>
      </w:pPr>
      <w:r>
        <w:t xml:space="preserve">10.1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2ab02e31c1110b606a3786b6ee14e2d1">
        <w:r>
          <w:rPr>
            <w:rStyle w:val="Hyperlink"/>
          </w:rPr>
          <w:t>REM_ASSET_ENUM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0"/>
    <w:bookmarkStart w:id="211" w:name="_fefaba94dc1111f3a709b15914445f5f"/>
    <w:p>
      <w:pPr>
        <w:pStyle w:val="Heading 6"/>
        <w:keepNext/>
      </w:pPr>
      <w:r>
        <w:t xml:space="preserve">10.2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11"/>
    <w:bookmarkEnd w:id="209"/>
    <w:bookmarkEnd w:id="208"/>
    <w:bookmarkStart w:id="212" w:name="_44975666b1f5519be76c3b3acebfcd7d"/>
    <w:bookmarkStart w:id="213" w:name="_5c07992ce361ef7d1c29afa3fcbb5549"/>
    <w:p>
      <w:pPr>
        <w:pStyle w:val="Heading5"/>
        <w:keepNext/>
      </w:pPr>
      <w:r>
        <w:t xml:space="preserve">11 </w:t>
      </w:r>
      <w:r>
        <w:t>LIAB_SFT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δανειστεί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214" w:name="_afc4a0a66f517e6b9829f393891b4d2d"/>
    <w:p>
      <w:pPr>
        <w:pStyle w:val="Heading 6"/>
        <w:keepNext/>
      </w:pPr>
      <w:r>
        <w:t xml:space="preserve">11.1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4"/>
    <w:bookmarkStart w:id="215" w:name="_4f485ca051f2e5f2e569f75c6ccd7415"/>
    <w:p>
      <w:pPr>
        <w:pStyle w:val="Heading 6"/>
        <w:keepNext/>
      </w:pPr>
      <w:r>
        <w:t xml:space="preserve">11.2 </w:t>
      </w:r>
      <w:r>
        <w:t>ΜΕΤΑΒΛΗΤΕΣ</w:t>
      </w:r>
    </w:p>
    <w:p>
      <w:pPr>
        <w:pStyle w:val="DefinitionTerm"/>
        <w:ind w:leftChars="0" w:left="0" w:right="0"/>
        <w:keepNext/>
      </w:pPr>
      <w:r>
        <w:t>STOCK (STCK)</w:t>
      </w:r>
    </w:p>
    <w:p>
      <w:pPr>
        <w:pStyle w:val="Definition"/>
        <w:ind w:leftChars="0" w:left="480" w:right="0"/>
      </w:pPr>
      <w:r>
        <w:t>Συμπληρώνεται η υποχρέωση από πράξεις χρηματοδότησης χρεογράφων που η ΠΜ έχει δανειστεί χρηματικά διαθέσιμα.</w:t>
      </w:r>
    </w:p>
    <w:p>
      <w:pPr>
        <w:pStyle w:val="DefinitionTerm"/>
        <w:ind w:leftChars="0" w:left="0" w:right="0"/>
        <w:keepNext/>
      </w:pPr>
      <w:r>
        <w:t>FLOWS IN EURO (EUR_FLS)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215"/>
    <w:bookmarkEnd w:id="213"/>
    <w:bookmarkEnd w:id="212"/>
    <w:bookmarkStart w:id="216" w:name="_d9cb78eb0a17aa58c41658fa09026831"/>
    <w:bookmarkStart w:id="217" w:name="_1623c63d66fa8c4741b820ee35c98cd4"/>
    <w:p>
      <w:pPr>
        <w:pStyle w:val="Heading5"/>
        <w:keepNext/>
      </w:pPr>
      <w:r>
        <w:t xml:space="preserve">12 </w:t>
      </w:r>
      <w:r>
        <w:t>LIAB_DEBT</w:t>
      </w:r>
    </w:p>
    <w:p>
      <w:pPr>
        <w:pStyle w:val="Body Text"/>
        <w:ind w:leftChars="0" w:left="0" w:right="0"/>
      </w:pPr>
      <w:r>
        <w:t xml:space="preserve">Χρησιμοποιείται για την παροχή λογιστικών στοιχείων των χρεογράφων που έχει εκδώσει η ΠΜ. Για τον ορισμό του χρεογράφου δείτε </w:t>
      </w:r>
      <w:hyperlink w:anchor="_3a74f84a5b8871c9761e529a9f2ecea1">
        <w:r>
          <w:rPr>
            <w:rStyle w:val="Hyperlink"/>
          </w:rPr>
          <w:t>εδώ</w:t>
        </w:r>
      </w:hyperlink>
      <w:r>
        <w:t>.</w:t>
      </w:r>
    </w:p>
    <w:bookmarkStart w:id="218" w:name="_6a48e0d5e3ee21f50062374664351294"/>
    <w:p>
      <w:pPr>
        <w:pStyle w:val="Heading 6"/>
        <w:keepNext/>
      </w:pPr>
      <w:r>
        <w:t xml:space="preserve">12.1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8"/>
    <w:bookmarkStart w:id="219" w:name="_2da10849ac9d3fea7b035baaec449323"/>
    <w:p>
      <w:pPr>
        <w:pStyle w:val="Heading 6"/>
        <w:keepNext/>
      </w:pPr>
      <w:r>
        <w:t xml:space="preserve">12.2 </w:t>
      </w:r>
      <w:r>
        <w:t>ΜΕΤΑΒΛΗΤΕΣ</w:t>
      </w:r>
    </w:p>
    <w:p>
      <w:pPr>
        <w:pStyle w:val="DefinitionTerm"/>
        <w:ind w:leftChars="0" w:left="0" w:right="0"/>
        <w:keepNext/>
      </w:pPr>
      <w:r>
        <w:t>STOCK (STCK)</w:t>
      </w:r>
    </w:p>
    <w:p>
      <w:pPr>
        <w:pStyle w:val="Definition"/>
        <w:ind w:leftChars="0" w:left="480" w:right="0"/>
      </w:pPr>
      <w:r>
        <w:t>Αγοραία αξία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ACCRUALS (ACCRLS)</w:t>
      </w:r>
    </w:p>
    <w:p>
      <w:pPr>
        <w:pStyle w:val="Definition"/>
        <w:ind w:leftChars="0" w:left="480" w:right="0"/>
      </w:pPr>
      <w:r>
        <w:t xml:space="preserve">Δεδουλευμένοι τόκοι.  Οι τόκοι σε ξένο νόμισμα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στο τέλος της περιόδου αναφοράς.</w:t>
      </w:r>
    </w:p>
    <w:bookmarkEnd w:id="219"/>
    <w:bookmarkEnd w:id="217"/>
    <w:bookmarkEnd w:id="216"/>
    <w:bookmarkStart w:id="220" w:name="_78c8f363e4e622bc829cdff724cd2858"/>
    <w:bookmarkStart w:id="221" w:name="_5463dd5c8bef5176ec55678c7202086c"/>
    <w:p>
      <w:pPr>
        <w:pStyle w:val="Heading5"/>
        <w:keepNext/>
      </w:pPr>
      <w:r>
        <w:t xml:space="preserve">13 </w:t>
      </w:r>
      <w:r>
        <w:t>LIAB_LOAN</w:t>
      </w:r>
    </w:p>
    <w:p>
      <w:pPr>
        <w:pStyle w:val="Body Text"/>
        <w:ind w:leftChars="0" w:left="0" w:right="0"/>
      </w:pPr>
      <w:r>
        <w:t xml:space="preserve">Χρησιμοποιείται για την παροχή λογιστικών στοιχείων των δανείων που έχει λάβει η ΠΜ. Για τον ορισμό του δανείου δείτε </w:t>
      </w:r>
      <w:hyperlink w:anchor="_bc42454f9e0a26f44eecad8a8c695cfa">
        <w:r>
          <w:rPr>
            <w:rStyle w:val="Hyperlink"/>
          </w:rPr>
          <w:t>εδώ</w:t>
        </w:r>
      </w:hyperlink>
      <w:r>
        <w:t>.</w:t>
      </w:r>
    </w:p>
    <w:bookmarkStart w:id="222" w:name="_21a97966e69f10faf7f68b1a746c4c76"/>
    <w:p>
      <w:pPr>
        <w:pStyle w:val="Heading 6"/>
        <w:keepNext/>
      </w:pPr>
      <w:r>
        <w:t xml:space="preserve">13.1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λάβει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2"/>
    <w:bookmarkStart w:id="223" w:name="_18b845b61039e089ffde5879b38249f7"/>
    <w:p>
      <w:pPr>
        <w:pStyle w:val="Heading 6"/>
        <w:keepNext/>
      </w:pPr>
      <w:r>
        <w:t xml:space="preserve">13.2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από θεσμική μονάδα του ίδιου ομίλου.</w:t>
      </w:r>
    </w:p>
    <w:bookmarkEnd w:id="223"/>
    <w:bookmarkEnd w:id="221"/>
    <w:bookmarkEnd w:id="220"/>
    <w:bookmarkStart w:id="224" w:name="_cfd9052d9226445fe4034dd5c019827e"/>
    <w:bookmarkStart w:id="225" w:name="_4b9ce7ace5804ad1106c9d14518674a9"/>
    <w:p>
      <w:pPr>
        <w:pStyle w:val="Heading5"/>
        <w:keepNext/>
      </w:pPr>
      <w:r>
        <w:t xml:space="preserve">14 </w:t>
      </w:r>
      <w:r>
        <w:t>LIAB_REM</w:t>
      </w:r>
    </w:p>
    <w:p>
      <w:pPr>
        <w:pStyle w:val="Body Text"/>
        <w:ind w:leftChars="0" w:left="0" w:right="0"/>
      </w:pPr>
      <w:r>
        <w:t>Χρησιμοποιείται για την παροχή στοιχείων του παθητικού της ΠΜ που δεν περιλαμβάνονται αλλού.</w:t>
      </w:r>
    </w:p>
    <w:bookmarkStart w:id="226" w:name="_ca2bef2d63d59014d38ebb766c78d3fd"/>
    <w:p>
      <w:pPr>
        <w:pStyle w:val="Heading 6"/>
        <w:keepNext/>
      </w:pPr>
      <w:r>
        <w:t xml:space="preserve">14.1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c2f9f7c8df59a49b999605620d9ef24a">
        <w:r>
          <w:rPr>
            <w:rStyle w:val="Hyperlink"/>
          </w:rPr>
          <w:t>REM_LIAB_ENUM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6"/>
    <w:bookmarkStart w:id="227" w:name="_a5aa2ea8edd5fea738de9ea95a9912a5"/>
    <w:p>
      <w:pPr>
        <w:pStyle w:val="Heading 6"/>
        <w:keepNext/>
      </w:pPr>
      <w:r>
        <w:t xml:space="preserve">14.2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27"/>
    <w:bookmarkEnd w:id="225"/>
    <w:bookmarkEnd w:id="224"/>
    <w:bookmarkStart w:id="228" w:name="_fcb3badc5fe63606f52aef8783219ee4"/>
    <w:bookmarkStart w:id="229" w:name="_cf306bfed247a1569d70b14939e2fd54"/>
    <w:p>
      <w:pPr>
        <w:pStyle w:val="Heading5"/>
        <w:keepNext/>
      </w:pPr>
      <w:r>
        <w:t xml:space="preserve">15 </w:t>
      </w:r>
      <w:r>
        <w:t>HOLDER</w:t>
      </w:r>
    </w:p>
    <w:p>
      <w:pPr>
        <w:pStyle w:val="Body Text"/>
        <w:ind w:leftChars="0" w:left="0" w:right="0"/>
      </w:pPr>
      <w:r>
        <w:t>Χρησιμοποιείται για την παροχή λογιστικών στοιχείων των μετοχών/μεριδίων που που έχει εκδώσει η ΠΜ.</w:t>
      </w:r>
    </w:p>
    <w:bookmarkStart w:id="230" w:name="_9d9d6686391916fda0d9c368fbc1e7ae"/>
    <w:p>
      <w:pPr>
        <w:pStyle w:val="Heading 6"/>
        <w:keepNext/>
      </w:pPr>
      <w:r>
        <w:t xml:space="preserve">15.1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SBSCRPTNS, SBSCRPTNS_CHRGS, RDMPTNS, RDMPTNS_CHRGS.  Περισσότερες πληροφορίες στις </w:t>
      </w:r>
      <w:hyperlink w:anchor="_6646d5d5edc224bb18b97caffb429c3d">
        <w:r>
          <w:rPr>
            <w:rStyle w:val="Hyperlink"/>
          </w:rPr>
          <w:t>Γενικές Οδηγίες</w:t>
        </w:r>
      </w:hyperlink>
      <w:r>
        <w:t>.</w:t>
      </w:r>
    </w:p>
    <w:bookmarkEnd w:id="230"/>
    <w:bookmarkStart w:id="231" w:name="_c985c050b097734e0f3d401b156ff813"/>
    <w:p>
      <w:pPr>
        <w:pStyle w:val="Heading 6"/>
        <w:keepNext/>
      </w:pPr>
      <w:r>
        <w:t xml:space="preserve">15.2 </w:t>
      </w:r>
      <w:r>
        <w:t>ΜΕΤΑΒΛΗΤΕΣ</w:t>
      </w:r>
    </w:p>
    <w:p>
      <w:pPr>
        <w:pStyle w:val="DefinitionTerm"/>
        <w:ind w:leftChars="0" w:left="0" w:right="0"/>
        <w:keepNext/>
      </w:pPr>
      <w:r>
        <w:t>QUANTITY (QNTTY)</w:t>
      </w:r>
    </w:p>
    <w:p>
      <w:pPr>
        <w:pStyle w:val="Definition"/>
        <w:ind w:leftChars="0" w:left="480" w:right="0"/>
      </w:pPr>
      <w:r>
        <w:t>Αριθμός μονάδων (μετοχών/μεριδίων)·</w:t>
      </w:r>
    </w:p>
    <w:p>
      <w:pPr>
        <w:pStyle w:val="DefinitionTerm"/>
        <w:ind w:leftChars="0" w:left="0" w:right="0"/>
        <w:keepNext/>
      </w:pPr>
      <w:r>
        <w:t>SUBSCRIPTIONS (SBSCRPTNS)</w:t>
      </w:r>
    </w:p>
    <w:p>
      <w:pPr>
        <w:pStyle w:val="Definition"/>
        <w:ind w:leftChars="0" w:left="480" w:right="0"/>
      </w:pPr>
      <w:r>
        <w:t>Συμμετοχές σε νέα μερίδια ή σε αυξήσεις μετοχικού κεφαλαίου.  Στο ποσό περιλαμβάνονται και οι προμήθειες συμμετοχής (διάθεσης).</w:t>
      </w:r>
    </w:p>
    <w:p>
      <w:pPr>
        <w:pStyle w:val="DefinitionTerm"/>
        <w:ind w:leftChars="0" w:left="0" w:right="0"/>
        <w:keepNext/>
      </w:pPr>
      <w:r>
        <w:t>SUBSCRIPTION CHARGES (SBSCRPTNS_CHRGS)</w:t>
      </w:r>
    </w:p>
    <w:p>
      <w:pPr>
        <w:pStyle w:val="Definition"/>
        <w:ind w:leftChars="0" w:left="480" w:right="0"/>
      </w:pPr>
      <w:r>
        <w:t>Προμήθειες συμμετοχών (διάθεσης).</w:t>
      </w:r>
    </w:p>
    <w:p>
      <w:pPr>
        <w:pStyle w:val="DefinitionTerm"/>
        <w:ind w:leftChars="0" w:left="0" w:right="0"/>
        <w:keepNext/>
      </w:pPr>
      <w:r>
        <w:t>REDEMPTIONS (RDMPTNS)</w:t>
      </w:r>
    </w:p>
    <w:p>
      <w:pPr>
        <w:pStyle w:val="Definition"/>
        <w:ind w:leftChars="0" w:left="480" w:right="0"/>
      </w:pPr>
      <w:r>
        <w:t>Εξαγορές μεριδίων ή μείωση μετοχικού κεφαλαίου.  Από το ποσό αφαιρούνται οι προμήθειες εξαγοράς.</w:t>
      </w:r>
    </w:p>
    <w:p>
      <w:pPr>
        <w:pStyle w:val="DefinitionTerm"/>
        <w:ind w:leftChars="0" w:left="0" w:right="0"/>
        <w:keepNext/>
      </w:pPr>
      <w:r>
        <w:t>REDEMPTION CHARGES(RDMPTNS_CHRGS)</w:t>
      </w:r>
    </w:p>
    <w:p>
      <w:pPr>
        <w:pStyle w:val="Definition"/>
        <w:ind w:leftChars="0" w:left="480" w:right="0"/>
      </w:pPr>
      <w:r>
        <w:t>Προμήθειες εξαγορών.</w:t>
      </w:r>
    </w:p>
    <w:bookmarkEnd w:id="231"/>
    <w:bookmarkEnd w:id="229"/>
    <w:bookmarkEnd w:id="228"/>
    <w:bookmarkStart w:id="232" w:name="_aa5e4137d49fdc20b4f53677a6efcaa2"/>
    <w:bookmarkStart w:id="233" w:name="_846ed755bed1d249499b462e659c6004"/>
    <w:p>
      <w:pPr>
        <w:pStyle w:val="Heading5"/>
        <w:keepNext/>
      </w:pPr>
      <w:r>
        <w:t xml:space="preserve">16 </w:t>
      </w:r>
      <w:r>
        <w:t>REVENUE</w:t>
      </w:r>
    </w:p>
    <w:p>
      <w:pPr>
        <w:pStyle w:val="Body Text"/>
        <w:ind w:leftChars="0" w:left="0" w:right="0"/>
      </w:pPr>
      <w:r>
        <w:t>Χρησιμοποιείται για την υποβολή στοιχείων εσόδων ανα μετοχή/μερίδιο/κατηγορία μεριδίου σε δεδουλευμένη βάση όπου είναι εφικτό.</w:t>
      </w:r>
    </w:p>
    <w:bookmarkStart w:id="234" w:name="_e78ede4be92bc689a555bb3e29e0ef64"/>
    <w:p>
      <w:pPr>
        <w:pStyle w:val="Heading 6"/>
        <w:keepNext/>
      </w:pPr>
      <w:r>
        <w:t xml:space="preserve">16.1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εσόδων επιλέγοντας από τη λίστα τιμών </w:t>
      </w:r>
      <w:hyperlink w:anchor="_8b5ff941b8ed3b17c5dea2d58493cfb4">
        <w:r>
          <w:rPr>
            <w:rStyle w:val="Hyperlink"/>
          </w:rPr>
          <w:t>INCM_RVN_ENUM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4"/>
    <w:bookmarkStart w:id="235" w:name="_694910c38c4e881a2030929f28985337"/>
    <w:p>
      <w:pPr>
        <w:pStyle w:val="Heading 6"/>
        <w:keepNext/>
      </w:pPr>
      <w:r>
        <w:t xml:space="preserve">16.2 </w:t>
      </w:r>
      <w:r>
        <w:t>ΜΕΤΑΒΛΗΤΕΣ</w:t>
      </w:r>
    </w:p>
    <w:bookmarkStart w:id="236" w:name="_c4729dd29682a47e9491ed0990f554b8"/>
    <w:p>
      <w:pPr>
        <w:pStyle w:val="DefinitionTerm"/>
        <w:ind w:leftChars="0" w:left="0" w:right="0"/>
        <w:keepNext/>
      </w:pPr>
      <w:r>
        <w:t>AMOUNT IN EURO (EUR_AMNT)</w:t>
      </w:r>
    </w:p>
    <w:p>
      <w:pPr>
        <w:pStyle w:val="Definition"/>
        <w:ind w:leftChars="0" w:left="480" w:right="0"/>
      </w:pPr>
      <w:r>
        <w:t>Έσοδα ανά μετοχή/μερίδιο σε ευρώ</w:t>
      </w:r>
    </w:p>
    <w:bookmarkEnd w:id="236"/>
    <w:bookmarkEnd w:id="235"/>
    <w:bookmarkEnd w:id="233"/>
    <w:bookmarkEnd w:id="232"/>
    <w:bookmarkStart w:id="237" w:name="_214d6f383c3488c292314a4d4c0f96e8"/>
    <w:bookmarkStart w:id="238" w:name="_cce83bd2dac802e707b117e376667c5e"/>
    <w:p>
      <w:pPr>
        <w:pStyle w:val="Heading5"/>
        <w:keepNext/>
      </w:pPr>
      <w:r>
        <w:t xml:space="preserve">17 </w:t>
      </w:r>
      <w:r>
        <w:t>EXPENSE</w:t>
      </w:r>
    </w:p>
    <w:p>
      <w:pPr>
        <w:pStyle w:val="Body Text"/>
        <w:ind w:leftChars="0" w:left="0" w:right="0"/>
      </w:pPr>
      <w:r>
        <w:t>Χρησιμοποιείται για την υποβολή στοιχείων εξόδων ανα μετοχή/μερίδιο/κατηγορία μεριδίου σε δεδουλευμένη βάση όπου είναι εφικτό.</w:t>
      </w:r>
    </w:p>
    <w:bookmarkStart w:id="239" w:name="_986cf409f519bd3fa9114ca1034cf8cc"/>
    <w:p>
      <w:pPr>
        <w:pStyle w:val="Heading 6"/>
        <w:keepNext/>
      </w:pPr>
      <w:r>
        <w:t xml:space="preserve">17.1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εξόδων επιλέγοντας από τη λίστα τιμών  </w:t>
      </w:r>
      <w:hyperlink w:anchor="_36e17b49a2a54e7cbe2ad2670c904e82">
        <w:r>
          <w:rPr>
            <w:rStyle w:val="Hyperlink"/>
          </w:rPr>
          <w:t>INCM_EXPNS_ENUM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9"/>
    <w:bookmarkStart w:id="240" w:name="_f75dccdc62e023a86dd422568697d616"/>
    <w:p>
      <w:pPr>
        <w:pStyle w:val="Heading 6"/>
        <w:keepNext/>
      </w:pPr>
      <w:r>
        <w:t xml:space="preserve">17.2 </w:t>
      </w:r>
      <w:r>
        <w:t>ΜΕΤΑΒΛΗΤΕΣ</w:t>
      </w:r>
    </w:p>
    <w:bookmarkStart w:id="241" w:name="_612adeccc2b6130d081f558807581485"/>
    <w:p>
      <w:pPr>
        <w:pStyle w:val="DefinitionTerm"/>
        <w:ind w:leftChars="0" w:left="0" w:right="0"/>
        <w:keepNext/>
      </w:pPr>
      <w:r>
        <w:t>AMOUNT IN EURO (EUR_AMNT)</w:t>
      </w:r>
    </w:p>
    <w:p>
      <w:pPr>
        <w:pStyle w:val="Definition"/>
        <w:ind w:leftChars="0" w:left="480" w:right="0"/>
      </w:pPr>
      <w:r>
        <w:t>Έξοδα ανά μετοχή/μερίδιο σε ευρώ.</w:t>
      </w:r>
    </w:p>
    <w:bookmarkEnd w:id="241"/>
    <w:bookmarkEnd w:id="240"/>
    <w:bookmarkEnd w:id="238"/>
    <w:bookmarkEnd w:id="237"/>
    <w:bookmarkStart w:id="242" w:name="_721197f2c5b23fe96b8dd7f2e6a3b026"/>
    <w:bookmarkStart w:id="243" w:name="_517b139452793bd8f540c57494ef2d52"/>
    <w:p>
      <w:pPr>
        <w:pStyle w:val="Heading5"/>
        <w:keepNext/>
      </w:pPr>
      <w:r>
        <w:t xml:space="preserve">18 </w:t>
      </w:r>
      <w:r>
        <w:t>Συγκεντρωτικά Στοιχεία</w:t>
      </w:r>
    </w:p>
    <w:p>
      <w:pPr>
        <w:pStyle w:val="Body Text"/>
        <w:ind w:leftChars="0" w:left="0" w:right="0"/>
      </w:pPr>
      <w:r>
        <w:t>Χρησιμοποιείται για την παροχή συγκεντρωτικών στοιχείων ανά μετοχή/μερίδιο/κατηγορία μεριδίου με βάση τα οποία θα γίνεται ο έλεγχος ότι τα αναλυτικά στοιχεία που δίνονται στους προηγούμενους πίνακες αντιστοιχούν με τα συγκεντρωτικά που παρέχονται σε αυτό τον πίνακα.</w:t>
      </w:r>
    </w:p>
    <w:bookmarkStart w:id="244" w:name="_ed4b732d856451cbfc1c3084154acb02"/>
    <w:p>
      <w:pPr>
        <w:pStyle w:val="Heading 6"/>
        <w:keepNext/>
      </w:pPr>
      <w:r>
        <w:t xml:space="preserve">18.1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BK_PRC.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PERIOD (PRD)</w:t>
      </w:r>
    </w:p>
    <w:p>
      <w:pPr>
        <w:pStyle w:val="Definition"/>
        <w:ind w:leftChars="0" w:left="480" w:right="0"/>
      </w:pPr>
      <w:r>
        <w:t xml:space="preserve">Σε συνδυασμό με τη διάσταση DT ορίζει τη χρονική περίοδο που ισχύει η τιμή της μεταβλητής INCM.  Περισσότερες πληροφορίες στις </w:t>
      </w:r>
      <w:hyperlink w:anchor="_6646d5d5edc224bb18b97caffb429c3d">
        <w:r>
          <w:rPr>
            <w:rStyle w:val="Hyperlink"/>
          </w:rPr>
          <w:t>Γενικές Οδηγίες</w:t>
        </w:r>
      </w:hyperlink>
      <w:r>
        <w:t>.</w:t>
      </w:r>
    </w:p>
    <w:bookmarkEnd w:id="244"/>
    <w:bookmarkStart w:id="245" w:name="_a3261166b06fba2fdc9d6c0f1c32d95b"/>
    <w:p>
      <w:pPr>
        <w:pStyle w:val="Heading 6"/>
        <w:keepNext/>
      </w:pPr>
      <w:r>
        <w:t xml:space="preserve">18.2 </w:t>
      </w:r>
      <w:r>
        <w:t>ΜΕΤΑΒΛΗΤΕΣ</w:t>
      </w:r>
    </w:p>
    <w:p>
      <w:pPr>
        <w:pStyle w:val="DefinitionTerm"/>
        <w:ind w:leftChars="0" w:left="0" w:right="0"/>
        <w:keepNext/>
      </w:pPr>
      <w:r>
        <w:t>BOOK PRICE (BK_PRC)</w:t>
      </w:r>
    </w:p>
    <w:p>
      <w:pPr>
        <w:pStyle w:val="Definition"/>
        <w:ind w:leftChars="0" w:left="480" w:right="0"/>
      </w:pPr>
      <w:r>
        <w:t>Λογιστική/καθαρή τιμή.</w:t>
      </w:r>
    </w:p>
    <w:p>
      <w:pPr>
        <w:pStyle w:val="DefinitionTerm"/>
        <w:ind w:leftChars="0" w:left="0" w:right="0"/>
        <w:keepNext/>
      </w:pPr>
      <w:r>
        <w:t>INCOME (INCM)</w:t>
      </w:r>
    </w:p>
    <w:p>
      <w:pPr>
        <w:pStyle w:val="Definition"/>
        <w:ind w:leftChars="0" w:left="480" w:right="0"/>
      </w:pPr>
      <w:r>
        <w:t>Εισόδημα.</w:t>
      </w:r>
    </w:p>
    <w:bookmarkEnd w:id="245"/>
    <w:bookmarkEnd w:id="243"/>
    <w:bookmarkEnd w:id="242"/>
    <w:bookmarkEnd w:id="168"/>
    <w:bookmarkEnd w:id="167"/>
    <w:bookmarkEnd w:id="166"/>
    <w:bookmarkEnd w:id="56"/>
    <w:bookmarkEnd w:id="55"/>
    <w:bookmarkEnd w:id="54"/>
    <w:bookmarkStart w:id="246" w:name="_5784fb0e3502fad0f55808155bba3d8e"/>
    <w:bookmarkStart w:id="247"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"_69938d0e126cbcfacb6b9bc6cb133b1c"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2"/>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2"/>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2"/>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248" w:name="_69938d0e126cbcfacb6b9bc6cb133b1c"/>
    <w:bookmarkStart w:id="249" w:name="_46306236e9f6e9a5e50625081ed6762d"/>
    <w:bookmarkStart w:id="250"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"_5ec12680c2576dc07b5f8e433e2811ba" \h \z \u </w:instrText>
          </w:r>
          <w:r>
            <w:fldChar w:fldCharType="separate"/>
          </w: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1"/>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1"/>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1"/>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r>
            <w:fldChar w:fldCharType="end"/>
          </w:r>
        </w:p>
      </w:sdtContent>
    </w:sdt>
    <w:bookmarkStart w:id="251" w:name="_5ec12680c2576dc07b5f8e433e2811ba"/>
    <w:bookmarkStart w:id="252" w:name="_490ddd2d50d5f6326fb99977c95548f9"/>
    <w:bookmarkStart w:id="253" w:name="_a42de1d912e15a9bd570fdd7da58f441"/>
    <w:p>
      <w:pPr>
        <w:pStyle w:val="Heading5"/>
        <w:keepNext/>
      </w:pPr>
      <w:r>
        <w:t>ASST_NN_FNNCL_ENUM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NFA1</w:t>
            </w:r>
          </w:p>
        </w:tc>
        <w:tc>
          <w:tcPr>
            <w:cnfStyle w:evenVBand="true" w:oddVBand="false" w:firstColumn="false"/>
            <w:tcW w:w="33.333333%" w:type="pct"/>
          </w:tcPr>
          <w:p>
            <w:pPr>
              <w:ind w:leftChars="0" w:left="0" w:right="0"/>
            </w:pPr>
            <w:r>
              <w:t>Residential Real Estate</w:t>
            </w:r>
          </w:p>
        </w:tc>
        <w:tc>
          <w:tcPr>
            <w:cnfStyle w:evenVBand="false" w:oddVBand="true" w:firstColumn="false"/>
            <w:tcW w:w="33.333333%" w:type="pct"/>
          </w:tcPr>
          <w:p>
            <w:pPr>
              <w:ind w:leftChars="0" w:left="0" w:right="0"/>
            </w:pPr>
            <w:r>
              <w:t>Residential real estate is a residence which is occupied by the owner or the lessee of the residence</w:t>
            </w:r>
          </w:p>
        </w:tc>
      </w:tr>
      <w:tr>
        <w:trPr>
          <w:cnfStyle w:evenHBand="false" w:oddHBand="true" w:firstRow="false"/>
        </w:trPr>
        <w:tc>
          <w:tcPr>
            <w:cnfStyle w:evenVBand="false" w:oddVBand="true" w:firstColumn="false"/>
            <w:tcW w:w="33.333333%" w:type="pct"/>
          </w:tcPr>
          <w:p>
            <w:pPr>
              <w:ind w:leftChars="0" w:left="0" w:right="0"/>
            </w:pPr>
            <w:r>
              <w:t>NFA2</w:t>
            </w:r>
          </w:p>
        </w:tc>
        <w:tc>
          <w:tcPr>
            <w:cnfStyle w:evenVBand="true" w:oddVBand="false" w:firstColumn="false"/>
            <w:tcW w:w="33.333333%" w:type="pct"/>
          </w:tcPr>
          <w:p>
            <w:pPr>
              <w:ind w:leftChars="0" w:left="0" w:right="0"/>
            </w:pPr>
            <w:r>
              <w:t>Commercial Real Estate</w:t>
            </w:r>
          </w:p>
        </w:tc>
        <w:tc>
          <w:tcPr>
            <w:cnfStyle w:evenVBand="false" w:oddVBand="true" w:firstColumn="false"/>
            <w:tcW w:w="33.333333%" w:type="pct"/>
          </w:tcPr>
          <w:p>
            <w:pPr>
              <w:ind w:leftChars="0" w:left="0" w:right="0"/>
            </w:pPr>
            <w:r>
              <w:t>Commercial real estate is a real estate property where goods or services are provided to customers (e.g. hotels, restaurants, retail)</w:t>
            </w:r>
          </w:p>
        </w:tc>
      </w:tr>
      <w:tr>
        <w:trPr>
          <w:cnfStyle w:evenHBand="true" w:oddHBand="false" w:firstRow="false"/>
        </w:trPr>
        <w:tc>
          <w:tcPr>
            <w:cnfStyle w:evenVBand="false" w:oddVBand="true" w:firstColumn="false"/>
            <w:tcW w:w="33.333333%" w:type="pct"/>
          </w:tcPr>
          <w:p>
            <w:pPr>
              <w:ind w:leftChars="0" w:left="0" w:right="0"/>
            </w:pPr>
            <w:r>
              <w:t>NFA3</w:t>
            </w:r>
          </w:p>
        </w:tc>
        <w:tc>
          <w:tcPr>
            <w:cnfStyle w:evenVBand="true" w:oddVBand="false" w:firstColumn="false"/>
            <w:tcW w:w="33.333333%" w:type="pct"/>
          </w:tcPr>
          <w:p>
            <w:pPr>
              <w:ind w:leftChars="0" w:left="0" w:right="0"/>
            </w:pPr>
            <w:r>
              <w:t>Industrial Real Estate</w:t>
            </w:r>
          </w:p>
        </w:tc>
        <w:tc>
          <w:tcPr>
            <w:cnfStyle w:evenVBand="false" w:oddVBand="true" w:firstColumn="false"/>
            <w:tcW w:w="33.333333%" w:type="pct"/>
          </w:tcPr>
          <w:p>
            <w:pPr>
              <w:ind w:leftChars="0" w:left="0" w:right="0"/>
            </w:pPr>
            <w:r>
              <w:t>Industrial real estate is real estate used for industrial purposes, such as those used as factories, logistical centres and storage space</w:t>
            </w:r>
          </w:p>
        </w:tc>
      </w:tr>
      <w:tr>
        <w:trPr>
          <w:cnfStyle w:evenHBand="false" w:oddHBand="true" w:firstRow="false"/>
        </w:trPr>
        <w:tc>
          <w:tcPr>
            <w:cnfStyle w:evenVBand="false" w:oddVBand="true" w:firstColumn="false"/>
            <w:tcW w:w="33.333333%" w:type="pct"/>
          </w:tcPr>
          <w:p>
            <w:pPr>
              <w:ind w:leftChars="0" w:left="0" w:right="0"/>
            </w:pPr>
            <w:r>
              <w:t>NFA4</w:t>
            </w:r>
          </w:p>
        </w:tc>
        <w:tc>
          <w:tcPr>
            <w:cnfStyle w:evenVBand="true" w:oddVBand="false" w:firstColumn="false"/>
            <w:tcW w:w="33.333333%" w:type="pct"/>
          </w:tcPr>
          <w:p>
            <w:pPr>
              <w:ind w:leftChars="0" w:left="0" w:right="0"/>
            </w:pPr>
            <w:r>
              <w:t>Office Real Estate</w:t>
            </w:r>
          </w:p>
        </w:tc>
        <w:tc>
          <w:tcPr>
            <w:cnfStyle w:evenVBand="false" w:oddVBand="true" w:firstColumn="false"/>
            <w:tcW w:w="33.333333%" w:type="pct"/>
          </w:tcPr>
          <w:p>
            <w:pPr>
              <w:ind w:leftChars="0" w:left="0" w:right="0"/>
            </w:pPr>
            <w:r>
              <w:t>Office real estate is real estate used for business offices</w:t>
            </w:r>
          </w:p>
        </w:tc>
      </w:tr>
      <w:tr>
        <w:trPr>
          <w:cnfStyle w:evenHBand="true" w:oddHBand="false" w:firstRow="false"/>
        </w:trPr>
        <w:tc>
          <w:tcPr>
            <w:cnfStyle w:evenVBand="false" w:oddVBand="true" w:firstColumn="false"/>
            <w:tcW w:w="33.333333%" w:type="pct"/>
          </w:tcPr>
          <w:p>
            <w:pPr>
              <w:ind w:leftChars="0" w:left="0" w:right="0"/>
            </w:pPr>
            <w:r>
              <w:t>NFA5</w:t>
            </w:r>
          </w:p>
        </w:tc>
        <w:tc>
          <w:tcPr>
            <w:cnfStyle w:evenVBand="true" w:oddVBand="false" w:firstColumn="false"/>
            <w:tcW w:w="33.333333%" w:type="pct"/>
          </w:tcPr>
          <w:p>
            <w:pPr>
              <w:ind w:leftChars="0" w:left="0" w:right="0"/>
            </w:pPr>
            <w:r>
              <w:t>Other Real Estate</w:t>
            </w:r>
          </w:p>
        </w:tc>
        <w:tc>
          <w:tcPr>
            <w:cnfStyle w:evenVBand="false" w:oddVBand="true" w:firstColumn="false"/>
            <w:tcW w:w="33.333333%" w:type="pct"/>
          </w:tcPr>
          <w:p>
            <w:pPr>
              <w:ind w:leftChars="0" w:left="0" w:right="0"/>
            </w:pPr>
            <w:r>
              <w:t>Other real estate is real estate other than residential, commercial, industrial and office real estate</w:t>
            </w:r>
          </w:p>
        </w:tc>
      </w:tr>
      <w:tr>
        <w:trPr>
          <w:cnfStyle w:evenHBand="false" w:oddHBand="true" w:firstRow="false"/>
        </w:trPr>
        <w:tc>
          <w:tcPr>
            <w:cnfStyle w:evenVBand="false" w:oddVBand="true" w:firstColumn="false"/>
            <w:tcW w:w="33.333333%" w:type="pct"/>
          </w:tcPr>
          <w:p>
            <w:pPr>
              <w:ind w:leftChars="0" w:left="0" w:right="0"/>
            </w:pPr>
            <w:r>
              <w:t>NFA6</w:t>
            </w:r>
          </w:p>
        </w:tc>
        <w:tc>
          <w:tcPr>
            <w:cnfStyle w:evenVBand="true" w:oddVBand="false" w:firstColumn="false"/>
            <w:tcW w:w="33.333333%" w:type="pct"/>
          </w:tcPr>
          <w:p>
            <w:pPr>
              <w:ind w:leftChars="0" w:left="0" w:right="0"/>
            </w:pPr>
            <w:r>
              <w:t>Non Financial Asset Other Than Real Estate</w:t>
            </w:r>
          </w:p>
        </w:tc>
        <w:tc>
          <w:tcPr>
            <w:cnfStyle w:evenVBand="false" w:oddVBand="true" w:firstColumn="false"/>
            <w:tcW w:w="33.333333%" w:type="pct"/>
          </w:tcPr>
          <w:p>
            <w:pPr>
              <w:ind w:leftChars="0" w:left="0" w:right="0"/>
            </w:pPr>
            <w:r>
              <w:t>Non financial assets that is not real estate such as machinery and equipment, valuables, intellectual property products such as computer software and databases</w:t>
            </w:r>
          </w:p>
        </w:tc>
      </w:tr>
    </w:tbl>
    <w:p>
      <w:pPr>
        <w:pStyle w:val="Table Bottom Margin"/>
      </w:pPr>
    </w:p>
    <w:bookmarkEnd w:id="253"/>
    <w:bookmarkEnd w:id="252"/>
    <w:bookmarkStart w:id="254" w:name="_442c7dd7e8e0276c553d52243bd57605"/>
    <w:bookmarkStart w:id="255" w:name="_1d1c0d52f0f873fd0d255cab9980c486"/>
    <w:p>
      <w:pPr>
        <w:pStyle w:val="Heading5"/>
        <w:keepNext/>
      </w:pPr>
      <w:r>
        <w:t>DBT_CPN_FRQNCY_ENUM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ZC</w:t>
            </w:r>
          </w:p>
        </w:tc>
        <w:tc>
          <w:tcPr>
            <w:cnfStyle w:evenVBand="true" w:oddVBand="false" w:firstColumn="false"/>
            <w:tcW w:w="33.333333%" w:type="pct"/>
          </w:tcPr>
          <w:p>
            <w:pPr>
              <w:ind w:leftChars="0" w:left="0" w:right="0"/>
            </w:pPr>
            <w:r>
              <w:t>ZC</w:t>
            </w:r>
          </w:p>
        </w:tc>
        <w:tc>
          <w:tcPr>
            <w:cnfStyle w:evenVBand="false" w:oddVBand="true" w:firstColumn="false"/>
            <w:tcW w:w="33.333333%" w:type="pct"/>
          </w:tcPr>
          <w:p>
            <w:pPr>
              <w:ind w:leftChars="0" w:left="0" w:right="0"/>
            </w:pPr>
            <w:r>
              <w:t>ZERO-COUPON</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BM</w:t>
            </w:r>
          </w:p>
        </w:tc>
        <w:tc>
          <w:tcPr>
            <w:cnfStyle w:evenVBand="false" w:oddVBand="true" w:firstColumn="false"/>
            <w:tcW w:w="33.333333%" w:type="pct"/>
          </w:tcPr>
          <w:p>
            <w:pPr>
              <w:ind w:leftChars="0" w:left="0" w:right="0"/>
            </w:pPr>
            <w:r>
              <w:t>BI-MONTHLY</w:t>
            </w:r>
          </w:p>
        </w:tc>
      </w:tr>
      <w:tr>
        <w:trPr>
          <w:cnfStyle w:evenHBand="false" w:oddHBand="tru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true" w:oddHBand="false" w:firstRow="false"/>
        </w:trPr>
        <w:tc>
          <w:tcPr>
            <w:cnfStyle w:evenVBand="false" w:oddVBand="true" w:firstColumn="false"/>
            <w:tcW w:w="33.333333%" w:type="pct"/>
          </w:tcPr>
          <w:p>
            <w:pPr>
              <w:ind w:leftChars="0" w:left="0" w:right="0"/>
            </w:pPr>
            <w:r>
              <w:t>FN</w:t>
            </w:r>
          </w:p>
        </w:tc>
        <w:tc>
          <w:tcPr>
            <w:cnfStyle w:evenVBand="true" w:oddVBand="false" w:firstColumn="false"/>
            <w:tcW w:w="33.333333%" w:type="pct"/>
          </w:tcPr>
          <w:p>
            <w:pPr>
              <w:ind w:leftChars="0" w:left="0" w:right="0"/>
            </w:pPr>
            <w:r>
              <w:t>FN</w:t>
            </w:r>
          </w:p>
        </w:tc>
        <w:tc>
          <w:tcPr>
            <w:cnfStyle w:evenVBand="false" w:oddVBand="true" w:firstColumn="false"/>
            <w:tcW w:w="33.333333%" w:type="pct"/>
          </w:tcPr>
          <w:p>
            <w:pPr>
              <w:ind w:leftChars="0" w:left="0" w:right="0"/>
            </w:pPr>
            <w:r>
              <w:t>FORTNIGHTLY</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UK</w:t>
            </w:r>
          </w:p>
        </w:tc>
        <w:tc>
          <w:tcPr>
            <w:cnfStyle w:evenVBand="true" w:oddVBand="false" w:firstColumn="false"/>
            <w:tcW w:w="33.333333%" w:type="pct"/>
          </w:tcPr>
          <w:p>
            <w:pPr>
              <w:ind w:leftChars="0" w:left="0" w:right="0"/>
            </w:pPr>
            <w:r>
              <w:t>UK</w:t>
            </w:r>
          </w:p>
        </w:tc>
        <w:tc>
          <w:tcPr>
            <w:cnfStyle w:evenVBand="false" w:oddVBand="true" w:firstColumn="false"/>
            <w:tcW w:w="33.333333%" w:type="pct"/>
          </w:tcPr>
          <w:p>
            <w:pPr>
              <w:ind w:leftChars="0" w:left="0" w:right="0"/>
            </w:pPr>
            <w:r>
              <w:t>UNKNOWN</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255"/>
    <w:bookmarkEnd w:id="254"/>
    <w:bookmarkStart w:id="256" w:name="_6c1f59305c2e8b78bead65362100cc0d"/>
    <w:bookmarkStart w:id="257" w:name="_5a5e1788344727d0f88900ca93f47c05"/>
    <w:p>
      <w:pPr>
        <w:pStyle w:val="Heading5"/>
        <w:keepNext/>
      </w:pPr>
      <w:r>
        <w:t>DBT_CPN_TYP_ENUM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FIX</w:t>
            </w:r>
          </w:p>
        </w:tc>
        <w:tc>
          <w:tcPr>
            <w:cnfStyle w:evenVBand="true" w:oddVBand="false" w:firstColumn="false"/>
            <w:tcW w:w="33.333333%" w:type="pct"/>
          </w:tcPr>
          <w:p>
            <w:pPr>
              <w:ind w:leftChars="0" w:left="0" w:right="0"/>
            </w:pPr>
            <w:r>
              <w:t>FIX</w:t>
            </w:r>
          </w:p>
        </w:tc>
        <w:tc>
          <w:tcPr>
            <w:cnfStyle w:evenVBand="false" w:oddVBand="true" w:firstColumn="false"/>
            <w:tcW w:w="33.333333%" w:type="pct"/>
          </w:tcPr>
          <w:p>
            <w:pPr>
              <w:ind w:leftChars="0" w:left="0" w:right="0"/>
            </w:pPr>
            <w:r>
              <w:t>FIXED</w:t>
            </w:r>
          </w:p>
        </w:tc>
      </w:tr>
      <w:tr>
        <w:trPr>
          <w:cnfStyle w:evenHBand="false" w:oddHBand="true" w:firstRow="false"/>
        </w:trPr>
        <w:tc>
          <w:tcPr>
            <w:cnfStyle w:evenVBand="false" w:oddVBand="true" w:firstColumn="false"/>
            <w:tcW w:w="33.333333%" w:type="pct"/>
          </w:tcPr>
          <w:p>
            <w:pPr>
              <w:ind w:leftChars="0" w:left="0" w:right="0"/>
            </w:pPr>
            <w:r>
              <w:t>STE</w:t>
            </w:r>
          </w:p>
        </w:tc>
        <w:tc>
          <w:tcPr>
            <w:cnfStyle w:evenVBand="true" w:oddVBand="false" w:firstColumn="false"/>
            <w:tcW w:w="33.333333%" w:type="pct"/>
          </w:tcPr>
          <w:p>
            <w:pPr>
              <w:ind w:leftChars="0" w:left="0" w:right="0"/>
            </w:pPr>
            <w:r>
              <w:t>STE</w:t>
            </w:r>
          </w:p>
        </w:tc>
        <w:tc>
          <w:tcPr>
            <w:cnfStyle w:evenVBand="false" w:oddVBand="true" w:firstColumn="false"/>
            <w:tcW w:w="33.333333%" w:type="pct"/>
          </w:tcPr>
          <w:p>
            <w:pPr>
              <w:ind w:leftChars="0" w:left="0" w:right="0"/>
            </w:pPr>
            <w:r>
              <w:t>STEPPED</w:t>
            </w:r>
          </w:p>
        </w:tc>
      </w:tr>
      <w:tr>
        <w:trPr>
          <w:cnfStyle w:evenHBand="true" w:oddHBand="false" w:firstRow="false"/>
        </w:trPr>
        <w:tc>
          <w:tcPr>
            <w:cnfStyle w:evenVBand="false" w:oddVBand="true" w:firstColumn="false"/>
            <w:tcW w:w="33.333333%" w:type="pct"/>
          </w:tcPr>
          <w:p>
            <w:pPr>
              <w:ind w:leftChars="0" w:left="0" w:right="0"/>
            </w:pPr>
            <w:r>
              <w:t>FLO</w:t>
            </w:r>
          </w:p>
        </w:tc>
        <w:tc>
          <w:tcPr>
            <w:cnfStyle w:evenVBand="true" w:oddVBand="false" w:firstColumn="false"/>
            <w:tcW w:w="33.333333%" w:type="pct"/>
          </w:tcPr>
          <w:p>
            <w:pPr>
              <w:ind w:leftChars="0" w:left="0" w:right="0"/>
            </w:pPr>
            <w:r>
              <w:t>FLO</w:t>
            </w:r>
          </w:p>
        </w:tc>
        <w:tc>
          <w:tcPr>
            <w:cnfStyle w:evenVBand="false" w:oddVBand="true" w:firstColumn="false"/>
            <w:tcW w:w="33.333333%" w:type="pct"/>
          </w:tcPr>
          <w:p>
            <w:pPr>
              <w:ind w:leftChars="0" w:left="0" w:right="0"/>
            </w:pPr>
            <w:r>
              <w:t>FLOATING</w:t>
            </w:r>
          </w:p>
        </w:tc>
      </w:tr>
      <w:tr>
        <w:trPr>
          <w:cnfStyle w:evenHBand="false" w:oddHBand="true" w:firstRow="false"/>
        </w:trPr>
        <w:tc>
          <w:tcPr>
            <w:cnfStyle w:evenVBand="false" w:oddVBand="true" w:firstColumn="false"/>
            <w:tcW w:w="33.333333%" w:type="pct"/>
          </w:tcPr>
          <w:p>
            <w:pPr>
              <w:ind w:leftChars="0" w:left="0" w:right="0"/>
            </w:pPr>
            <w:r>
              <w:t>ZER</w:t>
            </w:r>
          </w:p>
        </w:tc>
        <w:tc>
          <w:tcPr>
            <w:cnfStyle w:evenVBand="true" w:oddVBand="false" w:firstColumn="false"/>
            <w:tcW w:w="33.333333%" w:type="pct"/>
          </w:tcPr>
          <w:p>
            <w:pPr>
              <w:ind w:leftChars="0" w:left="0" w:right="0"/>
            </w:pPr>
            <w:r>
              <w:t>ZER</w:t>
            </w:r>
          </w:p>
        </w:tc>
        <w:tc>
          <w:tcPr>
            <w:cnfStyle w:evenVBand="false" w:oddVBand="true" w:firstColumn="false"/>
            <w:tcW w:w="33.333333%" w:type="pct"/>
          </w:tcPr>
          <w:p>
            <w:pPr>
              <w:ind w:leftChars="0" w:left="0" w:right="0"/>
            </w:pPr>
            <w:r>
              <w:t>ZERO COUPON</w:t>
            </w:r>
          </w:p>
        </w:tc>
      </w:tr>
      <w:tr>
        <w:trPr>
          <w:cnfStyle w:evenHBand="true" w:oddHBand="false" w:firstRow="false"/>
        </w:trPr>
        <w:tc>
          <w:tcPr>
            <w:cnfStyle w:evenVBand="false" w:oddVBand="true" w:firstColumn="false"/>
            <w:tcW w:w="33.333333%" w:type="pct"/>
          </w:tcPr>
          <w:p>
            <w:pPr>
              <w:ind w:leftChars="0" w:left="0" w:right="0"/>
            </w:pPr>
            <w:r>
              <w:t>IDX</w:t>
            </w:r>
          </w:p>
        </w:tc>
        <w:tc>
          <w:tcPr>
            <w:cnfStyle w:evenVBand="true" w:oddVBand="false" w:firstColumn="false"/>
            <w:tcW w:w="33.333333%" w:type="pct"/>
          </w:tcPr>
          <w:p>
            <w:pPr>
              <w:ind w:leftChars="0" w:left="0" w:right="0"/>
            </w:pPr>
            <w:r>
              <w:t>IDX</w:t>
            </w:r>
          </w:p>
        </w:tc>
        <w:tc>
          <w:tcPr>
            <w:cnfStyle w:evenVBand="false" w:oddVBand="true" w:firstColumn="false"/>
            <w:tcW w:w="33.333333%" w:type="pct"/>
          </w:tcPr>
          <w:p>
            <w:pPr>
              <w:ind w:leftChars="0" w:left="0" w:right="0"/>
            </w:pPr>
            <w:r>
              <w:t>INDEX-LINKED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CRE</w:t>
            </w:r>
          </w:p>
        </w:tc>
        <w:tc>
          <w:tcPr>
            <w:cnfStyle w:evenVBand="true" w:oddVBand="false" w:firstColumn="false"/>
            <w:tcW w:w="33.333333%" w:type="pct"/>
          </w:tcPr>
          <w:p>
            <w:pPr>
              <w:ind w:leftChars="0" w:left="0" w:right="0"/>
            </w:pPr>
            <w:r>
              <w:t>CRE</w:t>
            </w:r>
          </w:p>
        </w:tc>
        <w:tc>
          <w:tcPr>
            <w:cnfStyle w:evenVBand="false" w:oddVBand="true" w:firstColumn="false"/>
            <w:tcW w:w="33.333333%" w:type="pct"/>
          </w:tcPr>
          <w:p>
            <w:pPr>
              <w:ind w:leftChars="0" w:left="0" w:right="0"/>
            </w:pPr>
            <w:r>
              <w:t>CREDIT-LINKED</w:t>
            </w:r>
          </w:p>
        </w:tc>
      </w:tr>
    </w:tbl>
    <w:p>
      <w:pPr>
        <w:pStyle w:val="Table Bottom Margin"/>
      </w:pPr>
    </w:p>
    <w:bookmarkEnd w:id="257"/>
    <w:bookmarkEnd w:id="256"/>
    <w:bookmarkStart w:id="258" w:name="_2dc9f14ce407dfc26f24a12f0cd3ffa3"/>
    <w:bookmarkStart w:id="259" w:name="_b95464bee8c3cf176d089306fd35889c"/>
    <w:p>
      <w:pPr>
        <w:pStyle w:val="Heading5"/>
        <w:keepNext/>
      </w:pPr>
      <w:r>
        <w:t>DBT_CVRD_TYP_ENUM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2100</w:t>
            </w:r>
          </w:p>
        </w:tc>
        <w:tc>
          <w:tcPr>
            <w:cnfStyle w:evenVBand="true" w:oddVBand="false" w:firstColumn="false"/>
            <w:tcW w:w="33.333333%" w:type="pct"/>
          </w:tcPr>
          <w:p>
            <w:pPr>
              <w:ind w:leftChars="0" w:left="0" w:right="0"/>
            </w:pPr>
            <w:r>
              <w:t>Public sector covered bond</w:t>
            </w:r>
          </w:p>
        </w:tc>
        <w:tc>
          <w:tcPr>
            <w:cnfStyle w:evenVBand="false" w:oddVBand="true" w:firstColumn="false"/>
            <w:tcW w:w="33.333333%" w:type="pct"/>
          </w:tcPr>
          <w:p>
            <w:pPr>
              <w:ind w:leftChars="0" w:left="0" w:right="0"/>
            </w:pPr>
            <w:r>
              <w:t>Public sector covered bond</w:t>
            </w:r>
          </w:p>
        </w:tc>
      </w:tr>
      <w:tr>
        <w:trPr>
          <w:cnfStyle w:evenHBand="false" w:oddHBand="true" w:firstRow="false"/>
        </w:trPr>
        <w:tc>
          <w:tcPr>
            <w:cnfStyle w:evenVBand="false" w:oddVBand="true" w:firstColumn="false"/>
            <w:tcW w:w="33.333333%" w:type="pct"/>
          </w:tcPr>
          <w:p>
            <w:pPr>
              <w:ind w:leftChars="0" w:left="0" w:right="0"/>
            </w:pPr>
            <w:r>
              <w:t>2200</w:t>
            </w:r>
          </w:p>
        </w:tc>
        <w:tc>
          <w:tcPr>
            <w:cnfStyle w:evenVBand="true" w:oddVBand="false" w:firstColumn="false"/>
            <w:tcW w:w="33.333333%" w:type="pct"/>
          </w:tcPr>
          <w:p>
            <w:pPr>
              <w:ind w:leftChars="0" w:left="0" w:right="0"/>
            </w:pPr>
            <w:r>
              <w:t>Mortgage covered bond</w:t>
            </w:r>
          </w:p>
        </w:tc>
        <w:tc>
          <w:tcPr>
            <w:cnfStyle w:evenVBand="false" w:oddVBand="true" w:firstColumn="false"/>
            <w:tcW w:w="33.333333%" w:type="pct"/>
          </w:tcPr>
          <w:p>
            <w:pPr>
              <w:ind w:leftChars="0" w:left="0" w:right="0"/>
            </w:pPr>
            <w:r>
              <w:t>Mortgage covered bond</w:t>
            </w:r>
          </w:p>
        </w:tc>
      </w:tr>
      <w:tr>
        <w:trPr>
          <w:cnfStyle w:evenHBand="true" w:oddHBand="false" w:firstRow="false"/>
        </w:trPr>
        <w:tc>
          <w:tcPr>
            <w:cnfStyle w:evenVBand="false" w:oddVBand="true" w:firstColumn="false"/>
            <w:tcW w:w="33.333333%" w:type="pct"/>
          </w:tcPr>
          <w:p>
            <w:pPr>
              <w:ind w:leftChars="0" w:left="0" w:right="0"/>
            </w:pPr>
            <w:r>
              <w:t>2300</w:t>
            </w:r>
          </w:p>
        </w:tc>
        <w:tc>
          <w:tcPr>
            <w:cnfStyle w:evenVBand="true" w:oddVBand="false" w:firstColumn="false"/>
            <w:tcW w:w="33.333333%" w:type="pct"/>
          </w:tcPr>
          <w:p>
            <w:pPr>
              <w:ind w:leftChars="0" w:left="0" w:right="0"/>
            </w:pPr>
            <w:r>
              <w:t>Ship covered bond</w:t>
            </w:r>
          </w:p>
        </w:tc>
        <w:tc>
          <w:tcPr>
            <w:cnfStyle w:evenVBand="false" w:oddVBand="true" w:firstColumn="false"/>
            <w:tcW w:w="33.333333%" w:type="pct"/>
          </w:tcPr>
          <w:p>
            <w:pPr>
              <w:ind w:leftChars="0" w:left="0" w:right="0"/>
            </w:pPr>
            <w:r>
              <w:t>Ship covered bond</w:t>
            </w:r>
          </w:p>
        </w:tc>
      </w:tr>
      <w:tr>
        <w:trPr>
          <w:cnfStyle w:evenHBand="false" w:oddHBand="true" w:firstRow="false"/>
        </w:trPr>
        <w:tc>
          <w:tcPr>
            <w:cnfStyle w:evenVBand="false" w:oddVBand="true" w:firstColumn="false"/>
            <w:tcW w:w="33.333333%" w:type="pct"/>
          </w:tcPr>
          <w:p>
            <w:pPr>
              <w:ind w:leftChars="0" w:left="0" w:right="0"/>
            </w:pPr>
            <w:r>
              <w:t>2400</w:t>
            </w:r>
          </w:p>
        </w:tc>
        <w:tc>
          <w:tcPr>
            <w:cnfStyle w:evenVBand="true" w:oddVBand="false" w:firstColumn="false"/>
            <w:tcW w:w="33.333333%" w:type="pct"/>
          </w:tcPr>
          <w:p>
            <w:pPr>
              <w:ind w:leftChars="0" w:left="0" w:right="0"/>
            </w:pPr>
            <w:r>
              <w:t>Aircraft covered bond</w:t>
            </w:r>
          </w:p>
        </w:tc>
        <w:tc>
          <w:tcPr>
            <w:cnfStyle w:evenVBand="false" w:oddVBand="true" w:firstColumn="false"/>
            <w:tcW w:w="33.333333%" w:type="pct"/>
          </w:tcPr>
          <w:p>
            <w:pPr>
              <w:ind w:leftChars="0" w:left="0" w:right="0"/>
            </w:pPr>
            <w:r>
              <w:t>Aircraft covered bond</w:t>
            </w:r>
          </w:p>
        </w:tc>
      </w:tr>
      <w:tr>
        <w:trPr>
          <w:cnfStyle w:evenHBand="true" w:oddHBand="false" w:firstRow="false"/>
        </w:trPr>
        <w:tc>
          <w:tcPr>
            <w:cnfStyle w:evenVBand="false" w:oddVBand="true" w:firstColumn="false"/>
            <w:tcW w:w="33.333333%" w:type="pct"/>
          </w:tcPr>
          <w:p>
            <w:pPr>
              <w:ind w:leftChars="0" w:left="0" w:right="0"/>
            </w:pPr>
            <w:r>
              <w:t>2500</w:t>
            </w:r>
          </w:p>
        </w:tc>
        <w:tc>
          <w:tcPr>
            <w:cnfStyle w:evenVBand="true" w:oddVBand="false" w:firstColumn="false"/>
            <w:tcW w:w="33.333333%" w:type="pct"/>
          </w:tcPr>
          <w:p>
            <w:pPr>
              <w:ind w:leftChars="0" w:left="0" w:right="0"/>
            </w:pPr>
            <w:r>
              <w:t>Mixed covered bond</w:t>
            </w:r>
          </w:p>
        </w:tc>
        <w:tc>
          <w:tcPr>
            <w:cnfStyle w:evenVBand="false" w:oddVBand="true" w:firstColumn="false"/>
            <w:tcW w:w="33.333333%" w:type="pct"/>
          </w:tcPr>
          <w:p>
            <w:pPr>
              <w:ind w:leftChars="0" w:left="0" w:right="0"/>
            </w:pPr>
            <w:r>
              <w:t>Mixed covered bond</w:t>
            </w:r>
          </w:p>
        </w:tc>
      </w:tr>
      <w:tr>
        <w:trPr>
          <w:cnfStyle w:evenHBand="false" w:oddHBand="true" w:firstRow="false"/>
        </w:trPr>
        <w:tc>
          <w:tcPr>
            <w:cnfStyle w:evenVBand="false" w:oddVBand="true" w:firstColumn="false"/>
            <w:tcW w:w="33.333333%" w:type="pct"/>
          </w:tcPr>
          <w:p>
            <w:pPr>
              <w:ind w:leftChars="0" w:left="0" w:right="0"/>
            </w:pPr>
            <w:r>
              <w:t>2800</w:t>
            </w:r>
          </w:p>
        </w:tc>
        <w:tc>
          <w:tcPr>
            <w:cnfStyle w:evenVBand="true" w:oddVBand="false" w:firstColumn="false"/>
            <w:tcW w:w="33.333333%" w:type="pct"/>
          </w:tcPr>
          <w:p>
            <w:pPr>
              <w:ind w:leftChars="0" w:left="0" w:right="0"/>
            </w:pPr>
            <w:r>
              <w:t>Other covered bond</w:t>
            </w:r>
          </w:p>
        </w:tc>
        <w:tc>
          <w:tcPr>
            <w:cnfStyle w:evenVBand="false" w:oddVBand="true" w:firstColumn="false"/>
            <w:tcW w:w="33.333333%" w:type="pct"/>
          </w:tcPr>
          <w:p>
            <w:pPr>
              <w:ind w:leftChars="0" w:left="0" w:right="0"/>
            </w:pPr>
            <w:r>
              <w:t>Other covered bond</w:t>
            </w:r>
          </w:p>
        </w:tc>
      </w:tr>
      <w:tr>
        <w:trPr>
          <w:cnfStyle w:evenHBand="true" w:oddHBand="false" w:firstRow="false"/>
        </w:trPr>
        <w:tc>
          <w:tcPr>
            <w:cnfStyle w:evenVBand="false" w:oddVBand="true" w:firstColumn="false"/>
            <w:tcW w:w="33.333333%" w:type="pct"/>
          </w:tcPr>
          <w:p>
            <w:pPr>
              <w:ind w:leftChars="0" w:left="0" w:right="0"/>
            </w:pPr>
            <w:r>
              <w:t>2900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59"/>
    <w:bookmarkEnd w:id="258"/>
    <w:bookmarkStart w:id="260" w:name="_b7a6935bd39da556684860e9853d8e20"/>
    <w:bookmarkStart w:id="261" w:name="_f03e2f758ee5fa5d105c169bb87c7918"/>
    <w:p>
      <w:pPr>
        <w:pStyle w:val="Heading5"/>
        <w:keepNext/>
      </w:pPr>
      <w:r>
        <w:t>DBT_GRNT_LVL_ENUM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Unguaranteed</w:t>
            </w:r>
          </w:p>
        </w:tc>
        <w:tc>
          <w:tcPr>
            <w:cnfStyle w:evenVBand="false" w:oddVBand="true" w:firstColumn="false"/>
            <w:tcW w:w="33.333333%" w:type="pct"/>
          </w:tcPr>
          <w:p>
            <w:pPr>
              <w:ind w:leftChars="0" w:left="0" w:right="0"/>
            </w:pPr>
            <w:r>
              <w:t>Unguaranteed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Government / Treasury guarantee</w:t>
            </w:r>
          </w:p>
        </w:tc>
        <w:tc>
          <w:tcPr>
            <w:cnfStyle w:evenVBand="false" w:oddVBand="true" w:firstColumn="false"/>
            <w:tcW w:w="33.333333%" w:type="pct"/>
          </w:tcPr>
          <w:p>
            <w:pPr>
              <w:ind w:leftChars="0" w:left="0" w:right="0"/>
            </w:pPr>
            <w:r>
              <w:t>Government / Treasury guarantee</w:t>
            </w:r>
          </w:p>
        </w:tc>
      </w:tr>
      <w:tr>
        <w:trPr>
          <w:cnfStyle w:evenHBand="true" w:oddHBand="false" w:firstRow="false"/>
        </w:trPr>
        <w:tc>
          <w:tcPr>
            <w:cnfStyle w:evenVBand="false" w:oddVBand="true" w:firstColumn="false"/>
            <w:tcW w:w="33.333333%" w:type="pct"/>
          </w:tcPr>
          <w:p>
            <w:pPr>
              <w:ind w:leftChars="0" w:left="0" w:right="0"/>
            </w:pPr>
            <w:r>
              <w:t>8</w:t>
            </w:r>
          </w:p>
        </w:tc>
        <w:tc>
          <w:tcPr>
            <w:cnfStyle w:evenVBand="true" w:oddVBand="false" w:firstColumn="false"/>
            <w:tcW w:w="33.333333%" w:type="pct"/>
          </w:tcPr>
          <w:p>
            <w:pPr>
              <w:ind w:leftChars="0" w:left="0" w:right="0"/>
            </w:pPr>
            <w:r>
              <w:t>Other guarantee</w:t>
            </w:r>
          </w:p>
        </w:tc>
        <w:tc>
          <w:tcPr>
            <w:cnfStyle w:evenVBand="false" w:oddVBand="true" w:firstColumn="false"/>
            <w:tcW w:w="33.333333%" w:type="pct"/>
          </w:tcPr>
          <w:p>
            <w:pPr>
              <w:ind w:leftChars="0" w:left="0" w:right="0"/>
            </w:pPr>
            <w:r>
              <w:t>Other guarantee</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1"/>
    <w:bookmarkEnd w:id="260"/>
    <w:bookmarkStart w:id="262" w:name="_a4360f83c20b07c21357988a6cb9bb54"/>
    <w:bookmarkStart w:id="263" w:name="_5317d6f0ec72b173c3d39d54f718dc53"/>
    <w:p>
      <w:pPr>
        <w:pStyle w:val="Heading5"/>
        <w:keepNext/>
      </w:pPr>
      <w:r>
        <w:t>DBT_OUTSTNDNG_CHN_TYP_ENUM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INIT</w:t>
            </w:r>
          </w:p>
        </w:tc>
        <w:tc>
          <w:tcPr>
            <w:cnfStyle w:evenVBand="true" w:oddVBand="false" w:firstColumn="false"/>
            <w:tcW w:w="33.333333%" w:type="pct"/>
          </w:tcPr>
          <w:p>
            <w:pPr>
              <w:ind w:leftChars="0" w:left="0" w:right="0"/>
            </w:pPr>
            <w:r>
              <w:t>Αρχική έκδοση</w:t>
            </w:r>
          </w:p>
        </w:tc>
        <w:tc>
          <w:tcPr>
            <w:cnfStyle w:evenVBand="false" w:oddVBand="true" w:firstColumn="false"/>
            <w:tcW w:w="33.333333%" w:type="pct"/>
          </w:tcPr>
          <w:p>
            <w:pPr>
              <w:ind w:leftChars="0" w:left="0" w:right="0"/>
            </w:pPr>
            <w:r>
              <w:t>Αρχική έκδοση</w:t>
            </w:r>
          </w:p>
        </w:tc>
      </w:tr>
      <w:tr>
        <w:trPr>
          <w:cnfStyle w:evenHBand="false" w:oddHBand="true" w:firstRow="false"/>
        </w:trPr>
        <w:tc>
          <w:tcPr>
            <w:cnfStyle w:evenVBand="false" w:oddVBand="true" w:firstColumn="false"/>
            <w:tcW w:w="33.333333%" w:type="pct"/>
          </w:tcPr>
          <w:p>
            <w:pPr>
              <w:ind w:leftChars="0" w:left="0" w:right="0"/>
            </w:pPr>
            <w:r>
              <w:t>TRANCHE</w:t>
            </w:r>
          </w:p>
        </w:tc>
        <w:tc>
          <w:tcPr>
            <w:cnfStyle w:evenVBand="true" w:oddVBand="false" w:firstColumn="false"/>
            <w:tcW w:w="33.333333%" w:type="pct"/>
          </w:tcPr>
          <w:p>
            <w:pPr>
              <w:ind w:leftChars="0" w:left="0" w:right="0"/>
            </w:pPr>
            <w:r>
              <w:t>Συμπληρωματική έκδοση σε δόση</w:t>
            </w:r>
          </w:p>
        </w:tc>
        <w:tc>
          <w:tcPr>
            <w:cnfStyle w:evenVBand="false" w:oddVBand="true" w:firstColumn="false"/>
            <w:tcW w:w="33.333333%" w:type="pct"/>
          </w:tcPr>
          <w:p>
            <w:pPr>
              <w:ind w:leftChars="0" w:left="0" w:right="0"/>
            </w:pPr>
            <w:r>
              <w:t>Συμπληρωματική έκδοση σε δόση</w:t>
            </w:r>
          </w:p>
        </w:tc>
      </w:tr>
      <w:tr>
        <w:trPr>
          <w:cnfStyle w:evenHBand="true" w:oddHBand="false" w:firstRow="false"/>
        </w:trPr>
        <w:tc>
          <w:tcPr>
            <w:cnfStyle w:evenVBand="false" w:oddVBand="true" w:firstColumn="false"/>
            <w:tcW w:w="33.333333%" w:type="pct"/>
          </w:tcPr>
          <w:p>
            <w:pPr>
              <w:ind w:leftChars="0" w:left="0" w:right="0"/>
            </w:pPr>
            <w:r>
              <w:t>PARTIAL</w:t>
            </w:r>
          </w:p>
        </w:tc>
        <w:tc>
          <w:tcPr>
            <w:cnfStyle w:evenVBand="true" w:oddVBand="false" w:firstColumn="false"/>
            <w:tcW w:w="33.333333%" w:type="pct"/>
          </w:tcPr>
          <w:p>
            <w:pPr>
              <w:ind w:leftChars="0" w:left="0" w:right="0"/>
            </w:pPr>
            <w:r>
              <w:t>Μερική εξόφληση</w:t>
            </w:r>
          </w:p>
        </w:tc>
        <w:tc>
          <w:tcPr>
            <w:cnfStyle w:evenVBand="false" w:oddVBand="true" w:firstColumn="false"/>
            <w:tcW w:w="33.333333%" w:type="pct"/>
          </w:tcPr>
          <w:p>
            <w:pPr>
              <w:ind w:leftChars="0" w:left="0" w:right="0"/>
            </w:pPr>
            <w:r>
              <w:t>Μερική εξόφληση</w:t>
            </w:r>
          </w:p>
        </w:tc>
      </w:tr>
      <w:tr>
        <w:trPr>
          <w:cnfStyle w:evenHBand="false" w:oddHBand="true" w:firstRow="false"/>
        </w:trPr>
        <w:tc>
          <w:tcPr>
            <w:cnfStyle w:evenVBand="false" w:oddVBand="true" w:firstColumn="false"/>
            <w:tcW w:w="33.333333%" w:type="pct"/>
          </w:tcPr>
          <w:p>
            <w:pPr>
              <w:ind w:leftChars="0" w:left="0" w:right="0"/>
            </w:pPr>
            <w:r>
              <w:t>FULL</w:t>
            </w:r>
          </w:p>
        </w:tc>
        <w:tc>
          <w:tcPr>
            <w:cnfStyle w:evenVBand="true" w:oddVBand="false" w:firstColumn="false"/>
            <w:tcW w:w="33.333333%" w:type="pct"/>
          </w:tcPr>
          <w:p>
            <w:pPr>
              <w:ind w:leftChars="0" w:left="0" w:right="0"/>
            </w:pPr>
            <w:r>
              <w:t>Ολική εξόφληση</w:t>
            </w:r>
          </w:p>
        </w:tc>
        <w:tc>
          <w:tcPr>
            <w:cnfStyle w:evenVBand="false" w:oddVBand="true" w:firstColumn="false"/>
            <w:tcW w:w="33.333333%" w:type="pct"/>
          </w:tcPr>
          <w:p>
            <w:pPr>
              <w:ind w:leftChars="0" w:left="0" w:right="0"/>
            </w:pPr>
            <w:r>
              <w:t>Ολική εξόφληση</w:t>
            </w:r>
          </w:p>
        </w:tc>
      </w:tr>
    </w:tbl>
    <w:p>
      <w:pPr>
        <w:pStyle w:val="Table Bottom Margin"/>
      </w:pPr>
    </w:p>
    <w:bookmarkEnd w:id="263"/>
    <w:bookmarkEnd w:id="262"/>
    <w:bookmarkStart w:id="264" w:name="_2305bf33ee3e6331a08d24367b51cca8"/>
    <w:bookmarkStart w:id="265" w:name="_b1652ebd4f5cd33bcb2354a140d37eef"/>
    <w:p>
      <w:pPr>
        <w:pStyle w:val="Heading5"/>
        <w:keepNext/>
      </w:pPr>
      <w:r>
        <w:t>DBT_PRMRY_CLSS_ENUM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D.1</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w:t>
            </w:r>
          </w:p>
        </w:tc>
      </w:tr>
      <w:tr>
        <w:trPr>
          <w:cnfStyle w:evenHBand="false" w:oddHBand="true" w:firstRow="false"/>
        </w:trPr>
        <w:tc>
          <w:tcPr>
            <w:cnfStyle w:evenVBand="false" w:oddVBand="true" w:firstColumn="false"/>
            <w:tcW w:w="33.333333%" w:type="pct"/>
          </w:tcPr>
          <w:p>
            <w:pPr>
              <w:ind w:leftChars="0" w:left="0" w:right="0"/>
            </w:pPr>
            <w:r>
              <w:t>D.2</w:t>
            </w:r>
          </w:p>
        </w:tc>
        <w:tc>
          <w:tcPr>
            <w:cnfStyle w:evenVBand="true" w:oddVBand="false" w:firstColumn="false"/>
            <w:tcW w:w="33.333333%" w:type="pct"/>
          </w:tcPr>
          <w:p>
            <w:pPr>
              <w:ind w:leftChars="0" w:left="0" w:right="0"/>
            </w:pPr>
            <w:r>
              <w:t>Money market instrument</w:t>
            </w:r>
          </w:p>
        </w:tc>
        <w:tc>
          <w:tcPr>
            <w:cnfStyle w:evenVBand="false" w:oddVBand="true" w:firstColumn="false"/>
            <w:tcW w:w="33.333333%" w:type="pct"/>
          </w:tcPr>
          <w:p>
            <w:pPr>
              <w:ind w:leftChars="0" w:left="0" w:right="0"/>
            </w:pPr>
            <w:r>
              <w:t>Money market instrument</w:t>
            </w:r>
          </w:p>
        </w:tc>
      </w:tr>
      <w:tr>
        <w:trPr>
          <w:cnfStyle w:evenHBand="true" w:oddHBand="false" w:firstRow="false"/>
        </w:trPr>
        <w:tc>
          <w:tcPr>
            <w:cnfStyle w:evenVBand="false" w:oddVBand="true" w:firstColumn="false"/>
            <w:tcW w:w="33.333333%" w:type="pct"/>
          </w:tcPr>
          <w:p>
            <w:pPr>
              <w:ind w:leftChars="0" w:left="0" w:right="0"/>
            </w:pPr>
            <w:r>
              <w:t>D.3</w:t>
            </w:r>
          </w:p>
        </w:tc>
        <w:tc>
          <w:tcPr>
            <w:cnfStyle w:evenVBand="true" w:oddVBand="false" w:firstColumn="false"/>
            <w:tcW w:w="33.333333%" w:type="pct"/>
          </w:tcPr>
          <w:p>
            <w:pPr>
              <w:ind w:leftChars="0" w:left="0" w:right="0"/>
            </w:pPr>
            <w:r>
              <w:t>Hybrid debt instrument</w:t>
            </w:r>
          </w:p>
        </w:tc>
        <w:tc>
          <w:tcPr>
            <w:cnfStyle w:evenVBand="false" w:oddVBand="true" w:firstColumn="false"/>
            <w:tcW w:w="33.333333%" w:type="pct"/>
          </w:tcPr>
          <w:p>
            <w:pPr>
              <w:ind w:leftChars="0" w:left="0" w:right="0"/>
            </w:pPr>
            <w:r>
              <w:t>Hybrid debt instrument</w:t>
            </w:r>
          </w:p>
        </w:tc>
      </w:tr>
      <w:tr>
        <w:trPr>
          <w:cnfStyle w:evenHBand="false" w:oddHBand="true" w:firstRow="false"/>
        </w:trPr>
        <w:tc>
          <w:tcPr>
            <w:cnfStyle w:evenVBand="false" w:oddVBand="true" w:firstColumn="false"/>
            <w:tcW w:w="33.333333%" w:type="pct"/>
          </w:tcPr>
          <w:p>
            <w:pPr>
              <w:ind w:leftChars="0" w:left="0" w:right="0"/>
            </w:pPr>
            <w:r>
              <w:t>D.9</w:t>
            </w:r>
          </w:p>
        </w:tc>
        <w:tc>
          <w:tcPr>
            <w:cnfStyle w:evenVBand="true" w:oddVBand="false" w:firstColumn="false"/>
            <w:tcW w:w="33.333333%" w:type="pct"/>
          </w:tcPr>
          <w:p>
            <w:pPr>
              <w:ind w:leftChars="0" w:left="0" w:right="0"/>
            </w:pPr>
            <w:r>
              <w:t>Other debt</w:t>
            </w:r>
          </w:p>
        </w:tc>
        <w:tc>
          <w:tcPr>
            <w:cnfStyle w:evenVBand="false" w:oddVBand="true" w:firstColumn="false"/>
            <w:tcW w:w="33.333333%" w:type="pct"/>
          </w:tcPr>
          <w:p>
            <w:pPr>
              <w:ind w:leftChars="0" w:left="0" w:right="0"/>
            </w:pPr>
            <w:r>
              <w:t>Other debt</w:t>
            </w:r>
          </w:p>
        </w:tc>
      </w:tr>
    </w:tbl>
    <w:p>
      <w:pPr>
        <w:pStyle w:val="Table Bottom Margin"/>
      </w:pPr>
    </w:p>
    <w:bookmarkEnd w:id="265"/>
    <w:bookmarkEnd w:id="264"/>
    <w:bookmarkStart w:id="266" w:name="_659530fe094ef3eb965a04d9c844998e"/>
    <w:bookmarkStart w:id="267" w:name="_4a9579b919833b166b74c02a55f516af"/>
    <w:p>
      <w:pPr>
        <w:pStyle w:val="Heading5"/>
        <w:keepNext/>
      </w:pPr>
      <w:r>
        <w:t>DBT_RNK_LVL_ENUM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Subordinated - Junior level</w:t>
            </w:r>
          </w:p>
        </w:tc>
        <w:tc>
          <w:tcPr>
            <w:cnfStyle w:evenVBand="false" w:oddVBand="true" w:firstColumn="false"/>
            <w:tcW w:w="33.333333%" w:type="pct"/>
          </w:tcPr>
          <w:p>
            <w:pPr>
              <w:ind w:leftChars="0" w:left="0" w:right="0"/>
            </w:pPr>
            <w:r>
              <w:t>Subordinated - Junior level</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Subordinated - Senior level</w:t>
            </w:r>
          </w:p>
        </w:tc>
        <w:tc>
          <w:tcPr>
            <w:cnfStyle w:evenVBand="false" w:oddVBand="true" w:firstColumn="false"/>
            <w:tcW w:w="33.333333%" w:type="pct"/>
          </w:tcPr>
          <w:p>
            <w:pPr>
              <w:ind w:leftChars="0" w:left="0" w:right="0"/>
            </w:pPr>
            <w:r>
              <w:t>Subordinated - Senior level</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Subordinated - No further breakdown available</w:t>
            </w:r>
          </w:p>
        </w:tc>
        <w:tc>
          <w:tcPr>
            <w:cnfStyle w:evenVBand="false" w:oddVBand="true" w:firstColumn="false"/>
            <w:tcW w:w="33.333333%" w:type="pct"/>
          </w:tcPr>
          <w:p>
            <w:pPr>
              <w:ind w:leftChars="0" w:left="0" w:right="0"/>
            </w:pPr>
            <w:r>
              <w:t>Subordinated - No further breakdown available</w:t>
            </w:r>
          </w:p>
        </w:tc>
      </w:tr>
      <w:tr>
        <w:trPr>
          <w:cnfStyle w:evenHBand="false" w:oddHBand="tru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Senior</w:t>
            </w:r>
          </w:p>
        </w:tc>
        <w:tc>
          <w:tcPr>
            <w:cnfStyle w:evenVBand="false" w:oddVBand="true" w:firstColumn="false"/>
            <w:tcW w:w="33.333333%" w:type="pct"/>
          </w:tcPr>
          <w:p>
            <w:pPr>
              <w:ind w:leftChars="0" w:left="0" w:right="0"/>
            </w:pPr>
            <w:r>
              <w:t>Senior</w:t>
            </w:r>
          </w:p>
        </w:tc>
      </w:tr>
      <w:tr>
        <w:trPr>
          <w:cnfStyle w:evenHBand="true" w:oddHBand="false" w:firstRow="false"/>
        </w:trPr>
        <w:tc>
          <w:tcPr>
            <w:cnfStyle w:evenVBand="false" w:oddVBand="true" w:firstColumn="false"/>
            <w:tcW w:w="33.333333%" w:type="pct"/>
          </w:tcPr>
          <w:p>
            <w:pPr>
              <w:ind w:leftChars="0" w:left="0" w:right="0"/>
            </w:pPr>
            <w:r>
              <w:t>5</w:t>
            </w:r>
          </w:p>
        </w:tc>
        <w:tc>
          <w:tcPr>
            <w:cnfStyle w:evenVBand="true" w:oddVBand="false" w:firstColumn="false"/>
            <w:tcW w:w="33.333333%" w:type="pct"/>
          </w:tcPr>
          <w:p>
            <w:pPr>
              <w:ind w:leftChars="0" w:left="0" w:right="0"/>
            </w:pPr>
            <w:r>
              <w:t>ABS Class - Junior</w:t>
            </w:r>
          </w:p>
        </w:tc>
        <w:tc>
          <w:tcPr>
            <w:cnfStyle w:evenVBand="false" w:oddVBand="true" w:firstColumn="false"/>
            <w:tcW w:w="33.333333%" w:type="pct"/>
          </w:tcPr>
          <w:p>
            <w:pPr>
              <w:ind w:leftChars="0" w:left="0" w:right="0"/>
            </w:pPr>
            <w:r>
              <w:t>ABS Class - Junior</w:t>
            </w:r>
          </w:p>
        </w:tc>
      </w:tr>
      <w:tr>
        <w:trPr>
          <w:cnfStyle w:evenHBand="false" w:oddHBand="true" w:firstRow="false"/>
        </w:trPr>
        <w:tc>
          <w:tcPr>
            <w:cnfStyle w:evenVBand="false" w:oddVBand="true" w:firstColumn="false"/>
            <w:tcW w:w="33.333333%" w:type="pct"/>
          </w:tcPr>
          <w:p>
            <w:pPr>
              <w:ind w:leftChars="0" w:left="0" w:right="0"/>
            </w:pPr>
            <w:r>
              <w:t>6</w:t>
            </w:r>
          </w:p>
        </w:tc>
        <w:tc>
          <w:tcPr>
            <w:cnfStyle w:evenVBand="true" w:oddVBand="false" w:firstColumn="false"/>
            <w:tcW w:w="33.333333%" w:type="pct"/>
          </w:tcPr>
          <w:p>
            <w:pPr>
              <w:ind w:leftChars="0" w:left="0" w:right="0"/>
            </w:pPr>
            <w:r>
              <w:t>ABS Class - Mezzanine</w:t>
            </w:r>
          </w:p>
        </w:tc>
        <w:tc>
          <w:tcPr>
            <w:cnfStyle w:evenVBand="false" w:oddVBand="true" w:firstColumn="false"/>
            <w:tcW w:w="33.333333%" w:type="pct"/>
          </w:tcPr>
          <w:p>
            <w:pPr>
              <w:ind w:leftChars="0" w:left="0" w:right="0"/>
            </w:pPr>
            <w:r>
              <w:t>ABS Class - Mezzanine</w:t>
            </w:r>
          </w:p>
        </w:tc>
      </w:tr>
      <w:tr>
        <w:trPr>
          <w:cnfStyle w:evenHBand="true" w:oddHBand="false" w:firstRow="false"/>
        </w:trPr>
        <w:tc>
          <w:tcPr>
            <w:cnfStyle w:evenVBand="false" w:oddVBand="true" w:firstColumn="false"/>
            <w:tcW w:w="33.333333%" w:type="pct"/>
          </w:tcPr>
          <w:p>
            <w:pPr>
              <w:ind w:leftChars="0" w:left="0" w:right="0"/>
            </w:pPr>
            <w:r>
              <w:t>7</w:t>
            </w:r>
          </w:p>
        </w:tc>
        <w:tc>
          <w:tcPr>
            <w:cnfStyle w:evenVBand="true" w:oddVBand="false" w:firstColumn="false"/>
            <w:tcW w:w="33.333333%" w:type="pct"/>
          </w:tcPr>
          <w:p>
            <w:pPr>
              <w:ind w:leftChars="0" w:left="0" w:right="0"/>
            </w:pPr>
            <w:r>
              <w:t>ABS Class - Senior</w:t>
            </w:r>
          </w:p>
        </w:tc>
        <w:tc>
          <w:tcPr>
            <w:cnfStyle w:evenVBand="false" w:oddVBand="true" w:firstColumn="false"/>
            <w:tcW w:w="33.333333%" w:type="pct"/>
          </w:tcPr>
          <w:p>
            <w:pPr>
              <w:ind w:leftChars="0" w:left="0" w:right="0"/>
            </w:pPr>
            <w:r>
              <w:t>ABS Class - Senior</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7"/>
    <w:bookmarkEnd w:id="266"/>
    <w:bookmarkStart w:id="268" w:name="_b9ed45fff0f34337b0aeeddbd9b74c15"/>
    <w:bookmarkStart w:id="269" w:name="_313f9913460f9b3896737e8a3d35905d"/>
    <w:p>
      <w:pPr>
        <w:pStyle w:val="Heading5"/>
        <w:keepNext/>
      </w:pPr>
      <w:r>
        <w:t>DBT_SCRTY_LVL_ENUM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Unsecured</w:t>
            </w:r>
          </w:p>
        </w:tc>
        <w:tc>
          <w:tcPr>
            <w:cnfStyle w:evenVBand="false" w:oddVBand="true" w:firstColumn="false"/>
            <w:tcW w:w="33.333333%" w:type="pct"/>
          </w:tcPr>
          <w:p>
            <w:pPr>
              <w:ind w:leftChars="0" w:left="0" w:right="0"/>
            </w:pPr>
            <w:r>
              <w:t>Unsecured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Secured</w:t>
            </w:r>
          </w:p>
        </w:tc>
        <w:tc>
          <w:tcPr>
            <w:cnfStyle w:evenVBand="false" w:oddVBand="true" w:firstColumn="false"/>
            <w:tcW w:w="33.333333%" w:type="pct"/>
          </w:tcPr>
          <w:p>
            <w:pPr>
              <w:ind w:leftChars="0" w:left="0" w:right="0"/>
            </w:pPr>
            <w:r>
              <w:t>Secured</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No detailed information available</w:t>
            </w:r>
          </w:p>
        </w:tc>
        <w:tc>
          <w:tcPr>
            <w:cnfStyle w:evenVBand="false" w:oddVBand="true" w:firstColumn="false"/>
            <w:tcW w:w="33.333333%" w:type="pct"/>
          </w:tcPr>
          <w:p>
            <w:pPr>
              <w:ind w:leftChars="0" w:left="0" w:right="0"/>
            </w:pPr>
            <w:r>
              <w:t>No detailed information available</w:t>
            </w:r>
          </w:p>
        </w:tc>
      </w:tr>
    </w:tbl>
    <w:p>
      <w:pPr>
        <w:pStyle w:val="Table Bottom Margin"/>
      </w:pPr>
    </w:p>
    <w:bookmarkEnd w:id="269"/>
    <w:bookmarkEnd w:id="268"/>
    <w:bookmarkStart w:id="270" w:name="_a080d7976d588eeb11b4c92eea322bd0"/>
    <w:bookmarkStart w:id="271" w:name="_4234238839be97cb5074038babc7a27f"/>
    <w:p>
      <w:pPr>
        <w:pStyle w:val="Heading5"/>
        <w:keepNext/>
      </w:pPr>
      <w:r>
        <w:t>DBT_SCRTZN_TYP_ENUM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1100</w:t>
            </w:r>
          </w:p>
        </w:tc>
        <w:tc>
          <w:tcPr>
            <w:cnfStyle w:evenVBand="true" w:oddVBand="false" w:firstColumn="false"/>
            <w:tcW w:w="33.333333%" w:type="pct"/>
          </w:tcPr>
          <w:p>
            <w:pPr>
              <w:ind w:leftChars="0" w:left="0" w:right="0"/>
            </w:pPr>
            <w:r>
              <w:t>Asset-backed security</w:t>
            </w:r>
          </w:p>
        </w:tc>
        <w:tc>
          <w:tcPr>
            <w:cnfStyle w:evenVBand="false" w:oddVBand="true" w:firstColumn="false"/>
            <w:tcW w:w="33.333333%" w:type="pct"/>
          </w:tcPr>
          <w:p>
            <w:pPr>
              <w:ind w:leftChars="0" w:left="0" w:right="0"/>
            </w:pPr>
            <w:r>
              <w:t>Asset-backed security</w:t>
            </w:r>
          </w:p>
        </w:tc>
      </w:tr>
      <w:tr>
        <w:trPr>
          <w:cnfStyle w:evenHBand="false" w:oddHBand="true" w:firstRow="false"/>
        </w:trPr>
        <w:tc>
          <w:tcPr>
            <w:cnfStyle w:evenVBand="false" w:oddVBand="true" w:firstColumn="false"/>
            <w:tcW w:w="33.333333%" w:type="pct"/>
          </w:tcPr>
          <w:p>
            <w:pPr>
              <w:ind w:leftChars="0" w:left="0" w:right="0"/>
            </w:pPr>
            <w:r>
              <w:t>1200</w:t>
            </w:r>
          </w:p>
        </w:tc>
        <w:tc>
          <w:tcPr>
            <w:cnfStyle w:evenVBand="true" w:oddVBand="false" w:firstColumn="false"/>
            <w:tcW w:w="33.333333%" w:type="pct"/>
          </w:tcPr>
          <w:p>
            <w:pPr>
              <w:ind w:leftChars="0" w:left="0" w:right="0"/>
            </w:pPr>
            <w:r>
              <w:t>Mortgage-backed security</w:t>
            </w:r>
          </w:p>
        </w:tc>
        <w:tc>
          <w:tcPr>
            <w:cnfStyle w:evenVBand="false" w:oddVBand="true" w:firstColumn="false"/>
            <w:tcW w:w="33.333333%" w:type="pct"/>
          </w:tcPr>
          <w:p>
            <w:pPr>
              <w:ind w:leftChars="0" w:left="0" w:right="0"/>
            </w:pPr>
            <w:r>
              <w:t>Mortgage-backed security</w:t>
            </w:r>
          </w:p>
        </w:tc>
      </w:tr>
      <w:tr>
        <w:trPr>
          <w:cnfStyle w:evenHBand="true" w:oddHBand="false" w:firstRow="false"/>
        </w:trPr>
        <w:tc>
          <w:tcPr>
            <w:cnfStyle w:evenVBand="false" w:oddVBand="true" w:firstColumn="false"/>
            <w:tcW w:w="33.333333%" w:type="pct"/>
          </w:tcPr>
          <w:p>
            <w:pPr>
              <w:ind w:leftChars="0" w:left="0" w:right="0"/>
            </w:pPr>
            <w:r>
              <w:t>1300</w:t>
            </w:r>
          </w:p>
        </w:tc>
        <w:tc>
          <w:tcPr>
            <w:cnfStyle w:evenVBand="true" w:oddVBand="false" w:firstColumn="false"/>
            <w:tcW w:w="33.333333%" w:type="pct"/>
          </w:tcPr>
          <w:p>
            <w:pPr>
              <w:ind w:leftChars="0" w:left="0" w:right="0"/>
            </w:pPr>
            <w:r>
              <w:t>Collateralised Debt Obligation</w:t>
            </w:r>
          </w:p>
        </w:tc>
        <w:tc>
          <w:tcPr>
            <w:cnfStyle w:evenVBand="false" w:oddVBand="true" w:firstColumn="false"/>
            <w:tcW w:w="33.333333%" w:type="pct"/>
          </w:tcPr>
          <w:p>
            <w:pPr>
              <w:ind w:leftChars="0" w:left="0" w:right="0"/>
            </w:pPr>
            <w:r>
              <w:t>Collateralised Debt Obligation</w:t>
            </w:r>
          </w:p>
        </w:tc>
      </w:tr>
      <w:tr>
        <w:trPr>
          <w:cnfStyle w:evenHBand="false" w:oddHBand="true" w:firstRow="false"/>
        </w:trPr>
        <w:tc>
          <w:tcPr>
            <w:cnfStyle w:evenVBand="false" w:oddVBand="true" w:firstColumn="false"/>
            <w:tcW w:w="33.333333%" w:type="pct"/>
          </w:tcPr>
          <w:p>
            <w:pPr>
              <w:ind w:leftChars="0" w:left="0" w:right="0"/>
            </w:pPr>
            <w:r>
              <w:t>1400</w:t>
            </w:r>
          </w:p>
        </w:tc>
        <w:tc>
          <w:tcPr>
            <w:cnfStyle w:evenVBand="true" w:oddVBand="false" w:firstColumn="false"/>
            <w:tcW w:w="33.333333%" w:type="pct"/>
          </w:tcPr>
          <w:p>
            <w:pPr>
              <w:ind w:leftChars="0" w:left="0" w:right="0"/>
            </w:pPr>
            <w:r>
              <w:t>Collateralised Mortgage Obligation</w:t>
            </w:r>
          </w:p>
        </w:tc>
        <w:tc>
          <w:tcPr>
            <w:cnfStyle w:evenVBand="false" w:oddVBand="true" w:firstColumn="false"/>
            <w:tcW w:w="33.333333%" w:type="pct"/>
          </w:tcPr>
          <w:p>
            <w:pPr>
              <w:ind w:leftChars="0" w:left="0" w:right="0"/>
            </w:pPr>
            <w:r>
              <w:t>Collateralised Mortgage Obligation</w:t>
            </w:r>
          </w:p>
        </w:tc>
      </w:tr>
      <w:tr>
        <w:trPr>
          <w:cnfStyle w:evenHBand="true" w:oddHBand="false" w:firstRow="false"/>
        </w:trPr>
        <w:tc>
          <w:tcPr>
            <w:cnfStyle w:evenVBand="false" w:oddVBand="true" w:firstColumn="false"/>
            <w:tcW w:w="33.333333%" w:type="pct"/>
          </w:tcPr>
          <w:p>
            <w:pPr>
              <w:ind w:leftChars="0" w:left="0" w:right="0"/>
            </w:pPr>
            <w:r>
              <w:t>1500</w:t>
            </w:r>
          </w:p>
        </w:tc>
        <w:tc>
          <w:tcPr>
            <w:cnfStyle w:evenVBand="true" w:oddVBand="false" w:firstColumn="false"/>
            <w:tcW w:w="33.333333%" w:type="pct"/>
          </w:tcPr>
          <w:p>
            <w:pPr>
              <w:ind w:leftChars="0" w:left="0" w:right="0"/>
            </w:pPr>
            <w:r>
              <w:t>Mixed securitisation</w:t>
            </w:r>
          </w:p>
        </w:tc>
        <w:tc>
          <w:tcPr>
            <w:cnfStyle w:evenVBand="false" w:oddVBand="true" w:firstColumn="false"/>
            <w:tcW w:w="33.333333%" w:type="pct"/>
          </w:tcPr>
          <w:p>
            <w:pPr>
              <w:ind w:leftChars="0" w:left="0" w:right="0"/>
            </w:pPr>
            <w:r>
              <w:t>Mixed securitisation</w:t>
            </w:r>
          </w:p>
        </w:tc>
      </w:tr>
      <w:tr>
        <w:trPr>
          <w:cnfStyle w:evenHBand="false" w:oddHBand="true" w:firstRow="false"/>
        </w:trPr>
        <w:tc>
          <w:tcPr>
            <w:cnfStyle w:evenVBand="false" w:oddVBand="true" w:firstColumn="false"/>
            <w:tcW w:w="33.333333%" w:type="pct"/>
          </w:tcPr>
          <w:p>
            <w:pPr>
              <w:ind w:leftChars="0" w:left="0" w:right="0"/>
            </w:pPr>
            <w:r>
              <w:t>1800</w:t>
            </w:r>
          </w:p>
        </w:tc>
        <w:tc>
          <w:tcPr>
            <w:cnfStyle w:evenVBand="true" w:oddVBand="false" w:firstColumn="false"/>
            <w:tcW w:w="33.333333%" w:type="pct"/>
          </w:tcPr>
          <w:p>
            <w:pPr>
              <w:ind w:leftChars="0" w:left="0" w:right="0"/>
            </w:pPr>
            <w:r>
              <w:t>Other securitisation</w:t>
            </w:r>
          </w:p>
        </w:tc>
        <w:tc>
          <w:tcPr>
            <w:cnfStyle w:evenVBand="false" w:oddVBand="true" w:firstColumn="false"/>
            <w:tcW w:w="33.333333%" w:type="pct"/>
          </w:tcPr>
          <w:p>
            <w:pPr>
              <w:ind w:leftChars="0" w:left="0" w:right="0"/>
            </w:pPr>
            <w:r>
              <w:t>Other securitisation</w:t>
            </w:r>
          </w:p>
        </w:tc>
      </w:tr>
      <w:tr>
        <w:trPr>
          <w:cnfStyle w:evenHBand="true" w:oddHBand="false" w:firstRow="false"/>
        </w:trPr>
        <w:tc>
          <w:tcPr>
            <w:cnfStyle w:evenVBand="false" w:oddVBand="true" w:firstColumn="false"/>
            <w:tcW w:w="33.333333%" w:type="pct"/>
          </w:tcPr>
          <w:p>
            <w:pPr>
              <w:ind w:leftChars="0" w:left="0" w:right="0"/>
            </w:pPr>
            <w:r>
              <w:t>1900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71"/>
    <w:bookmarkEnd w:id="270"/>
    <w:bookmarkStart w:id="272" w:name="_a7e806ed3242420b3accb4afb5ccf664"/>
    <w:bookmarkStart w:id="273" w:name="_f759e8fb04ea554f0ac7848767679bdb"/>
    <w:p>
      <w:pPr>
        <w:pStyle w:val="Heading5"/>
        <w:keepNext/>
      </w:pPr>
      <w:r>
        <w:t>DBT_STTS_ENUM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100</w:t>
            </w:r>
          </w:p>
        </w:tc>
        <w:tc>
          <w:tcPr>
            <w:cnfStyle w:evenVBand="true" w:oddVBand="false" w:firstColumn="false"/>
            <w:tcW w:w="33.333333%" w:type="pct"/>
          </w:tcPr>
          <w:p>
            <w:pPr>
              <w:ind w:leftChars="0" w:left="0" w:right="0"/>
            </w:pPr>
            <w:r>
              <w:t>Alive</w:t>
            </w:r>
          </w:p>
        </w:tc>
        <w:tc>
          <w:tcPr>
            <w:cnfStyle w:evenVBand="false" w:oddVBand="true" w:firstColumn="false"/>
            <w:tcW w:w="33.333333%" w:type="pct"/>
          </w:tcPr>
          <w:p>
            <w:pPr>
              <w:ind w:leftChars="0" w:left="0" w:right="0"/>
            </w:pPr>
            <w:r>
              <w:t>Alive</w:t>
            </w:r>
          </w:p>
        </w:tc>
      </w:tr>
      <w:tr>
        <w:trPr>
          <w:cnfStyle w:evenHBand="false" w:oddHBand="true" w:firstRow="false"/>
        </w:trPr>
        <w:tc>
          <w:tcPr>
            <w:cnfStyle w:evenVBand="false" w:oddVBand="true" w:firstColumn="false"/>
            <w:tcW w:w="33.333333%" w:type="pct"/>
          </w:tcPr>
          <w:p>
            <w:pPr>
              <w:ind w:leftChars="0" w:left="0" w:right="0"/>
            </w:pPr>
            <w:r>
              <w:t>101</w:t>
            </w:r>
          </w:p>
        </w:tc>
        <w:tc>
          <w:tcPr>
            <w:cnfStyle w:evenVBand="true" w:oddVBand="false" w:firstColumn="false"/>
            <w:tcW w:w="33.333333%" w:type="pct"/>
          </w:tcPr>
          <w:p>
            <w:pPr>
              <w:ind w:leftChars="0" w:left="0" w:right="0"/>
            </w:pPr>
            <w:r>
              <w:t>Alive - outstanding after original maturity date</w:t>
            </w:r>
          </w:p>
        </w:tc>
        <w:tc>
          <w:tcPr>
            <w:cnfStyle w:evenVBand="false" w:oddVBand="true" w:firstColumn="false"/>
            <w:tcW w:w="33.333333%" w:type="pct"/>
          </w:tcPr>
          <w:p>
            <w:pPr>
              <w:ind w:leftChars="0" w:left="0" w:right="0"/>
            </w:pPr>
            <w:r>
              <w:t>Alive - outstanding after original maturity date</w:t>
            </w:r>
          </w:p>
        </w:tc>
      </w:tr>
      <w:tr>
        <w:trPr>
          <w:cnfStyle w:evenHBand="true" w:oddHBand="false" w:firstRow="false"/>
        </w:trPr>
        <w:tc>
          <w:tcPr>
            <w:cnfStyle w:evenVBand="false" w:oddVBand="true" w:firstColumn="false"/>
            <w:tcW w:w="33.333333%" w:type="pct"/>
          </w:tcPr>
          <w:p>
            <w:pPr>
              <w:ind w:leftChars="0" w:left="0" w:right="0"/>
            </w:pPr>
            <w:r>
              <w:t>102</w:t>
            </w:r>
          </w:p>
        </w:tc>
        <w:tc>
          <w:tcPr>
            <w:cnfStyle w:evenVBand="true" w:oddVBand="false" w:firstColumn="false"/>
            <w:tcW w:w="33.333333%" w:type="pct"/>
          </w:tcPr>
          <w:p>
            <w:pPr>
              <w:ind w:leftChars="0" w:left="0" w:right="0"/>
            </w:pPr>
            <w:r>
              <w:t>Alive - in arrears</w:t>
            </w:r>
          </w:p>
        </w:tc>
        <w:tc>
          <w:tcPr>
            <w:cnfStyle w:evenVBand="false" w:oddVBand="true" w:firstColumn="false"/>
            <w:tcW w:w="33.333333%" w:type="pct"/>
          </w:tcPr>
          <w:p>
            <w:pPr>
              <w:ind w:leftChars="0" w:left="0" w:right="0"/>
            </w:pPr>
            <w:r>
              <w:t>Alive - in arrears</w:t>
            </w:r>
          </w:p>
        </w:tc>
      </w:tr>
      <w:tr>
        <w:trPr>
          <w:cnfStyle w:evenHBand="false" w:oddHBand="true" w:firstRow="false"/>
        </w:trPr>
        <w:tc>
          <w:tcPr>
            <w:cnfStyle w:evenVBand="false" w:oddVBand="true" w:firstColumn="false"/>
            <w:tcW w:w="33.333333%" w:type="pct"/>
          </w:tcPr>
          <w:p>
            <w:pPr>
              <w:ind w:leftChars="0" w:left="0" w:right="0"/>
            </w:pPr>
            <w:r>
              <w:t>202</w:t>
            </w:r>
          </w:p>
        </w:tc>
        <w:tc>
          <w:tcPr>
            <w:cnfStyle w:evenVBand="true" w:oddVBand="false" w:firstColumn="false"/>
            <w:tcW w:w="33.333333%" w:type="pct"/>
          </w:tcPr>
          <w:p>
            <w:pPr>
              <w:ind w:leftChars="0" w:left="0" w:right="0"/>
            </w:pPr>
            <w:r>
              <w:t>Not alive - matured(early redemption)</w:t>
            </w:r>
          </w:p>
        </w:tc>
        <w:tc>
          <w:tcPr>
            <w:cnfStyle w:evenVBand="false" w:oddVBand="true" w:firstColumn="false"/>
            <w:tcW w:w="33.333333%" w:type="pct"/>
          </w:tcPr>
          <w:p>
            <w:pPr>
              <w:ind w:leftChars="0" w:left="0" w:right="0"/>
            </w:pPr>
            <w:r>
              <w:t>Not alive - matured(early redemption)</w:t>
            </w:r>
          </w:p>
        </w:tc>
      </w:tr>
      <w:tr>
        <w:trPr>
          <w:cnfStyle w:evenHBand="true" w:oddHBand="false" w:firstRow="false"/>
        </w:trPr>
        <w:tc>
          <w:tcPr>
            <w:cnfStyle w:evenVBand="false" w:oddVBand="true" w:firstColumn="false"/>
            <w:tcW w:w="33.333333%" w:type="pct"/>
          </w:tcPr>
          <w:p>
            <w:pPr>
              <w:ind w:leftChars="0" w:left="0" w:right="0"/>
            </w:pPr>
            <w:r>
              <w:t>220</w:t>
            </w:r>
          </w:p>
        </w:tc>
        <w:tc>
          <w:tcPr>
            <w:cnfStyle w:evenVBand="true" w:oddVBand="false" w:firstColumn="false"/>
            <w:tcW w:w="33.333333%" w:type="pct"/>
          </w:tcPr>
          <w:p>
            <w:pPr>
              <w:ind w:leftChars="0" w:left="0" w:right="0"/>
            </w:pPr>
            <w:r>
              <w:t>Not alive - debt cancelled by mutual agreement</w:t>
            </w:r>
          </w:p>
        </w:tc>
        <w:tc>
          <w:tcPr>
            <w:cnfStyle w:evenVBand="false" w:oddVBand="true" w:firstColumn="false"/>
            <w:tcW w:w="33.333333%" w:type="pct"/>
          </w:tcPr>
          <w:p>
            <w:pPr>
              <w:ind w:leftChars="0" w:left="0" w:right="0"/>
            </w:pPr>
            <w:r>
              <w:t>Not alive - debt cancelled by mutual agreement</w:t>
            </w:r>
          </w:p>
        </w:tc>
      </w:tr>
      <w:tr>
        <w:trPr>
          <w:cnfStyle w:evenHBand="false" w:oddHBand="true" w:firstRow="false"/>
        </w:trPr>
        <w:tc>
          <w:tcPr>
            <w:cnfStyle w:evenVBand="false" w:oddVBand="true" w:firstColumn="false"/>
            <w:tcW w:w="33.333333%" w:type="pct"/>
          </w:tcPr>
          <w:p>
            <w:pPr>
              <w:ind w:leftChars="0" w:left="0" w:right="0"/>
            </w:pPr>
            <w:r>
              <w:t>221</w:t>
            </w:r>
          </w:p>
        </w:tc>
        <w:tc>
          <w:tcPr>
            <w:cnfStyle w:evenVBand="true" w:oddVBand="false" w:firstColumn="false"/>
            <w:tcW w:w="33.333333%" w:type="pct"/>
          </w:tcPr>
          <w:p>
            <w:pPr>
              <w:ind w:leftChars="0" w:left="0" w:right="0"/>
            </w:pPr>
            <w:r>
              <w:t>Not alive - total debt forgiveness</w:t>
            </w:r>
          </w:p>
        </w:tc>
        <w:tc>
          <w:tcPr>
            <w:cnfStyle w:evenVBand="false" w:oddVBand="true" w:firstColumn="false"/>
            <w:tcW w:w="33.333333%" w:type="pct"/>
          </w:tcPr>
          <w:p>
            <w:pPr>
              <w:ind w:leftChars="0" w:left="0" w:right="0"/>
            </w:pPr>
            <w:r>
              <w:t>Not alive - total debt forgiveness</w:t>
            </w:r>
          </w:p>
        </w:tc>
      </w:tr>
      <w:tr>
        <w:trPr>
          <w:cnfStyle w:evenHBand="true" w:oddHBand="false" w:firstRow="false"/>
        </w:trPr>
        <w:tc>
          <w:tcPr>
            <w:cnfStyle w:evenVBand="false" w:oddVBand="true" w:firstColumn="false"/>
            <w:tcW w:w="33.333333%" w:type="pct"/>
          </w:tcPr>
          <w:p>
            <w:pPr>
              <w:ind w:leftChars="0" w:left="0" w:right="0"/>
            </w:pPr>
            <w:r>
              <w:t>222</w:t>
            </w:r>
          </w:p>
        </w:tc>
        <w:tc>
          <w:tcPr>
            <w:cnfStyle w:evenVBand="true" w:oddVBand="false" w:firstColumn="false"/>
            <w:tcW w:w="33.333333%" w:type="pct"/>
          </w:tcPr>
          <w:p>
            <w:pPr>
              <w:ind w:leftChars="0" w:left="0" w:right="0"/>
            </w:pPr>
            <w:r>
              <w:t>Not alive - unilateral debt repudiation</w:t>
            </w:r>
          </w:p>
        </w:tc>
        <w:tc>
          <w:tcPr>
            <w:cnfStyle w:evenVBand="false" w:oddVBand="true" w:firstColumn="false"/>
            <w:tcW w:w="33.333333%" w:type="pct"/>
          </w:tcPr>
          <w:p>
            <w:pPr>
              <w:ind w:leftChars="0" w:left="0" w:right="0"/>
            </w:pPr>
            <w:r>
              <w:t>Not alive - unilateral debt repudiation</w:t>
            </w:r>
          </w:p>
        </w:tc>
      </w:tr>
      <w:tr>
        <w:trPr>
          <w:cnfStyle w:evenHBand="false" w:oddHBand="true" w:firstRow="false"/>
        </w:trPr>
        <w:tc>
          <w:tcPr>
            <w:cnfStyle w:evenVBand="false" w:oddVBand="true" w:firstColumn="false"/>
            <w:tcW w:w="33.333333%" w:type="pct"/>
          </w:tcPr>
          <w:p>
            <w:pPr>
              <w:ind w:leftChars="0" w:left="0" w:right="0"/>
            </w:pPr>
            <w:r>
              <w:t>223</w:t>
            </w:r>
          </w:p>
        </w:tc>
        <w:tc>
          <w:tcPr>
            <w:cnfStyle w:evenVBand="true" w:oddVBand="false" w:firstColumn="false"/>
            <w:tcW w:w="33.333333%" w:type="pct"/>
          </w:tcPr>
          <w:p>
            <w:pPr>
              <w:ind w:leftChars="0" w:left="0" w:right="0"/>
            </w:pPr>
            <w:r>
              <w:t>Not alive - bond rescheduling (to new security)</w:t>
            </w:r>
          </w:p>
        </w:tc>
        <w:tc>
          <w:tcPr>
            <w:cnfStyle w:evenVBand="false" w:oddVBand="true" w:firstColumn="false"/>
            <w:tcW w:w="33.333333%" w:type="pct"/>
          </w:tcPr>
          <w:p>
            <w:pPr>
              <w:ind w:leftChars="0" w:left="0" w:right="0"/>
            </w:pPr>
            <w:r>
              <w:t>Not alive - bond rescheduling (to new security)</w:t>
            </w:r>
          </w:p>
        </w:tc>
      </w:tr>
    </w:tbl>
    <w:p>
      <w:pPr>
        <w:pStyle w:val="Table Bottom Margin"/>
      </w:pPr>
    </w:p>
    <w:bookmarkEnd w:id="273"/>
    <w:bookmarkEnd w:id="272"/>
    <w:bookmarkStart w:id="274" w:name="_f746396d7e26e610aa285f51a4f0abc8"/>
    <w:bookmarkStart w:id="275" w:name="_77fa6f207f42cb2df327d3ef96dce581"/>
    <w:p>
      <w:pPr>
        <w:pStyle w:val="Heading5"/>
        <w:keepNext/>
      </w:pPr>
      <w:r>
        <w:t>DEP_NTC_ENUM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Up to and including three months</w:t>
            </w:r>
          </w:p>
        </w:tc>
        <w:tc>
          <w:tcPr>
            <w:cnfStyle w:evenVBand="false" w:oddVBand="true" w:firstColumn="false"/>
            <w:tcW w:w="33.333333%" w:type="pct"/>
          </w:tcPr>
          <w:p>
            <w:pPr>
              <w:ind w:leftChars="0" w:left="0" w:right="0"/>
            </w:pPr>
            <w:r>
              <w:t>Up to and including three months</w:t>
            </w:r>
          </w:p>
        </w:tc>
      </w:tr>
      <w:tr>
        <w:trPr>
          <w:cnfStyle w:evenHBand="false" w:oddHBand="tru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Over three months and up to and including two years</w:t>
            </w:r>
          </w:p>
        </w:tc>
        <w:tc>
          <w:tcPr>
            <w:cnfStyle w:evenVBand="false" w:oddVBand="true" w:firstColumn="false"/>
            <w:tcW w:w="33.333333%" w:type="pct"/>
          </w:tcPr>
          <w:p>
            <w:pPr>
              <w:ind w:leftChars="0" w:left="0" w:right="0"/>
            </w:pPr>
            <w:r>
              <w:t>Over three months and up to and including two years</w:t>
            </w:r>
          </w:p>
        </w:tc>
      </w:tr>
      <w:tr>
        <w:trPr>
          <w:cnfStyle w:evenHBand="true" w:oddHBand="false" w:firstRow="false"/>
        </w:trPr>
        <w:tc>
          <w:tcPr>
            <w:cnfStyle w:evenVBand="false" w:oddVBand="true" w:firstColumn="false"/>
            <w:tcW w:w="33.333333%" w:type="pct"/>
          </w:tcPr>
          <w:p>
            <w:pPr>
              <w:ind w:leftChars="0" w:left="0" w:right="0"/>
            </w:pPr>
            <w:r>
              <w:t>L</w:t>
            </w:r>
          </w:p>
        </w:tc>
        <w:tc>
          <w:tcPr>
            <w:cnfStyle w:evenVBand="true" w:oddVBand="false" w:firstColumn="false"/>
            <w:tcW w:w="33.333333%" w:type="pct"/>
          </w:tcPr>
          <w:p>
            <w:pPr>
              <w:ind w:leftChars="0" w:left="0" w:right="0"/>
            </w:pPr>
            <w:r>
              <w:t>Over two years</w:t>
            </w:r>
          </w:p>
        </w:tc>
        <w:tc>
          <w:tcPr>
            <w:cnfStyle w:evenVBand="false" w:oddVBand="true" w:firstColumn="false"/>
            <w:tcW w:w="33.333333%" w:type="pct"/>
          </w:tcPr>
          <w:p>
            <w:pPr>
              <w:ind w:leftChars="0" w:left="0" w:right="0"/>
            </w:pPr>
            <w:r>
              <w:t>Over two years</w:t>
            </w:r>
          </w:p>
        </w:tc>
      </w:tr>
    </w:tbl>
    <w:p>
      <w:pPr>
        <w:pStyle w:val="Table Bottom Margin"/>
      </w:pPr>
    </w:p>
    <w:bookmarkEnd w:id="275"/>
    <w:bookmarkEnd w:id="274"/>
    <w:bookmarkStart w:id="276" w:name="_e5b2df0da0ffe83d867c791b98596d83"/>
    <w:bookmarkStart w:id="277" w:name="_5c53612e4a3be00d6cbed25273b5960a"/>
    <w:p>
      <w:pPr>
        <w:pStyle w:val="Heading5"/>
        <w:keepNext/>
      </w:pPr>
      <w:r>
        <w:t>DEP_TYP_ENUM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OVER</w:t>
            </w:r>
          </w:p>
        </w:tc>
        <w:tc>
          <w:tcPr>
            <w:cnfStyle w:evenVBand="true" w:oddVBand="false" w:firstColumn="false"/>
            <w:tcW w:w="33.333333%" w:type="pct"/>
          </w:tcPr>
          <w:p>
            <w:pPr>
              <w:ind w:leftChars="0" w:left="0" w:right="0"/>
            </w:pPr>
            <w:r>
              <w:t>Overnight deposits</w:t>
            </w:r>
          </w:p>
        </w:tc>
        <w:tc>
          <w:tcPr>
            <w:cnfStyle w:evenVBand="false" w:oddVBand="true" w:firstColumn="false"/>
            <w:tcW w:w="33.333333%" w:type="pct"/>
          </w:tcPr>
          <w:p>
            <w:pPr>
              <w:ind w:leftChars="0" w:left="480" w:right="0"/>
            </w:pPr>
            <w:r>
              <w:t>Overnight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r>
      <w:tr>
        <w:trPr>
          <w:cnfStyle w:evenHBand="false" w:oddHBand="true" w:firstRow="false"/>
        </w:trPr>
        <w:tc>
          <w:tcPr>
            <w:cnfStyle w:evenVBand="false" w:oddVBand="true" w:firstColumn="false"/>
            <w:tcW w:w="33.333333%" w:type="pct"/>
          </w:tcPr>
          <w:p>
            <w:pPr>
              <w:ind w:leftChars="0" w:left="0" w:right="0"/>
            </w:pPr>
            <w:r>
              <w:t>AMAT</w:t>
            </w:r>
          </w:p>
        </w:tc>
        <w:tc>
          <w:tcPr>
            <w:cnfStyle w:evenVBand="true" w:oddVBand="false" w:firstColumn="false"/>
            <w:tcW w:w="33.333333%" w:type="pct"/>
          </w:tcPr>
          <w:p>
            <w:pPr>
              <w:ind w:leftChars="0" w:left="0" w:right="0"/>
            </w:pPr>
            <w:r>
              <w:t>Deposits with agreed maturity</w:t>
            </w:r>
          </w:p>
        </w:tc>
        <w:tc>
          <w:tcPr>
            <w:cnfStyle w:evenVBand="false" w:oddVBand="true" w:firstColumn="false"/>
            <w:tcW w:w="33.333333%" w:type="pct"/>
          </w:tcPr>
          <w:p>
            <w:pPr>
              <w:ind w:leftChars="0" w:left="480" w:right="0"/>
            </w:pPr>
            <w:r>
              <w:t>Deposits with agreed maturity are non-transferable deposits which cannot be withdrawn before an agreed fixed term, or that can be withdrawn only subject to a penalty.</w:t>
            </w:r>
          </w:p>
        </w:tc>
      </w:tr>
      <w:tr>
        <w:trPr>
          <w:cnfStyle w:evenHBand="true" w:oddHBand="false" w:firstRow="false"/>
        </w:trPr>
        <w:tc>
          <w:tcPr>
            <w:cnfStyle w:evenVBand="false" w:oddVBand="true" w:firstColumn="false"/>
            <w:tcW w:w="33.333333%" w:type="pct"/>
          </w:tcPr>
          <w:p>
            <w:pPr>
              <w:ind w:leftChars="0" w:left="0" w:right="0"/>
            </w:pPr>
            <w:r>
              <w:t>ANOT</w:t>
            </w:r>
          </w:p>
        </w:tc>
        <w:tc>
          <w:tcPr>
            <w:cnfStyle w:evenVBand="true" w:oddVBand="false" w:firstColumn="false"/>
            <w:tcW w:w="33.333333%" w:type="pct"/>
          </w:tcPr>
          <w:p>
            <w:pPr>
              <w:ind w:leftChars="0" w:left="0" w:right="0"/>
            </w:pPr>
            <w:r>
              <w:t>Deposits redeemable at notice</w:t>
            </w:r>
          </w:p>
        </w:tc>
        <w:tc>
          <w:tcPr>
            <w:cnfStyle w:evenVBand="false" w:oddVBand="true" w:firstColumn="false"/>
            <w:tcW w:w="33.333333%" w:type="pct"/>
          </w:tcPr>
          <w:p>
            <w:pPr>
              <w:ind w:leftChars="0" w:left="480" w:right="0"/>
            </w:pPr>
            <w:r>
              <w:t>Deposits redeemable at notice are non-transferable deposits, usually with no agreed maturity, but which may be withdrawn without penalty only after a period of notice.</w:t>
            </w:r>
          </w:p>
        </w:tc>
      </w:tr>
    </w:tbl>
    <w:p>
      <w:pPr>
        <w:pStyle w:val="Table Bottom Margin"/>
      </w:pPr>
    </w:p>
    <w:bookmarkEnd w:id="277"/>
    <w:bookmarkEnd w:id="276"/>
    <w:bookmarkStart w:id="278" w:name="_cb676eaf8759f20172fc9bb0fbfcfaf9"/>
    <w:bookmarkStart w:id="279" w:name="_cc8e880f186095328c0683b1701fa3ee"/>
    <w:p>
      <w:pPr>
        <w:pStyle w:val="Heading5"/>
        <w:keepNext/>
      </w:pPr>
      <w:r>
        <w:t>DPRTMNT_ENUM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ACC</w:t>
            </w:r>
          </w:p>
        </w:tc>
        <w:tc>
          <w:tcPr>
            <w:cnfStyle w:evenVBand="true" w:oddVBand="false" w:firstColumn="false"/>
            <w:tcW w:w="33.333333%" w:type="pct"/>
          </w:tcPr>
          <w:p>
            <w:pPr>
              <w:ind w:leftChars="0" w:left="0" w:right="0"/>
            </w:pPr>
            <w:r>
              <w:t>Accounting Department</w:t>
            </w:r>
          </w:p>
        </w:tc>
        <w:tc>
          <w:tcPr>
            <w:cnfStyle w:evenVBand="false" w:oddVBand="true" w:firstColumn="false"/>
            <w:tcW w:w="33.333333%" w:type="pct"/>
          </w:tcPr>
          <w:p>
            <w:pPr>
              <w:ind w:leftChars="0" w:left="0" w:right="0"/>
            </w:pPr>
            <w:r>
              <w:t>Accounting Department</w:t>
            </w:r>
          </w:p>
        </w:tc>
      </w:tr>
      <w:tr>
        <w:trPr>
          <w:cnfStyle w:evenHBand="false" w:oddHBand="true" w:firstRow="false"/>
        </w:trPr>
        <w:tc>
          <w:tcPr>
            <w:cnfStyle w:evenVBand="false" w:oddVBand="true" w:firstColumn="false"/>
            <w:tcW w:w="33.333333%" w:type="pct"/>
          </w:tcPr>
          <w:p>
            <w:pPr>
              <w:ind w:leftChars="0" w:left="0" w:right="0"/>
            </w:pPr>
            <w:r>
              <w:t>ECO</w:t>
            </w:r>
          </w:p>
        </w:tc>
        <w:tc>
          <w:tcPr>
            <w:cnfStyle w:evenVBand="true" w:oddVBand="false" w:firstColumn="false"/>
            <w:tcW w:w="33.333333%" w:type="pct"/>
          </w:tcPr>
          <w:p>
            <w:pPr>
              <w:ind w:leftChars="0" w:left="0" w:right="0"/>
            </w:pPr>
            <w:r>
              <w:t>Economics Department</w:t>
            </w:r>
          </w:p>
        </w:tc>
        <w:tc>
          <w:tcPr>
            <w:cnfStyle w:evenVBand="false" w:oddVBand="true" w:firstColumn="false"/>
            <w:tcW w:w="33.333333%" w:type="pct"/>
          </w:tcPr>
          <w:p>
            <w:pPr>
              <w:ind w:leftChars="0" w:left="0" w:right="0"/>
            </w:pPr>
            <w:r>
              <w:t>Economics Department</w:t>
            </w:r>
          </w:p>
        </w:tc>
      </w:tr>
      <w:tr>
        <w:trPr>
          <w:cnfStyle w:evenHBand="true" w:oddHBand="fals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Regulatory Compliance Department</w:t>
            </w:r>
          </w:p>
        </w:tc>
        <w:tc>
          <w:tcPr>
            <w:cnfStyle w:evenVBand="false" w:oddVBand="true" w:firstColumn="false"/>
            <w:tcW w:w="33.333333%" w:type="pct"/>
          </w:tcPr>
          <w:p>
            <w:pPr>
              <w:ind w:leftChars="0" w:left="0" w:right="0"/>
            </w:pPr>
            <w:r>
              <w:t>Regulatory Compliance Department</w:t>
            </w:r>
          </w:p>
        </w:tc>
      </w:tr>
      <w:tr>
        <w:trPr>
          <w:cnfStyle w:evenHBand="false" w:oddHBand="true" w:firstRow="false"/>
        </w:trPr>
        <w:tc>
          <w:tcPr>
            <w:cnfStyle w:evenVBand="false" w:oddVBand="true" w:firstColumn="false"/>
            <w:tcW w:w="33.333333%" w:type="pct"/>
          </w:tcPr>
          <w:p>
            <w:pPr>
              <w:ind w:leftChars="0" w:left="0" w:right="0"/>
            </w:pPr>
            <w:r>
              <w:t>FIN</w:t>
            </w:r>
          </w:p>
        </w:tc>
        <w:tc>
          <w:tcPr>
            <w:cnfStyle w:evenVBand="true" w:oddVBand="false" w:firstColumn="false"/>
            <w:tcW w:w="33.333333%" w:type="pct"/>
          </w:tcPr>
          <w:p>
            <w:pPr>
              <w:ind w:leftChars="0" w:left="0" w:right="0"/>
            </w:pPr>
            <w:r>
              <w:t>Financial Operations Department</w:t>
            </w:r>
          </w:p>
        </w:tc>
        <w:tc>
          <w:tcPr>
            <w:cnfStyle w:evenVBand="false" w:oddVBand="true" w:firstColumn="false"/>
            <w:tcW w:w="33.333333%" w:type="pct"/>
          </w:tcPr>
          <w:p>
            <w:pPr>
              <w:ind w:leftChars="0" w:left="0" w:right="0"/>
            </w:pPr>
            <w:r>
              <w:t>Financial Operations Department</w:t>
            </w:r>
          </w:p>
        </w:tc>
      </w:tr>
      <w:tr>
        <w:trPr>
          <w:cnfStyle w:evenHBand="true" w:oddHBand="false" w:firstRow="false"/>
        </w:trPr>
        <w:tc>
          <w:tcPr>
            <w:cnfStyle w:evenVBand="false" w:oddVBand="true" w:firstColumn="false"/>
            <w:tcW w:w="33.333333%" w:type="pct"/>
          </w:tcPr>
          <w:p>
            <w:pPr>
              <w:ind w:leftChars="0" w:left="0" w:right="0"/>
            </w:pPr>
            <w:r>
              <w:t>STA</w:t>
            </w:r>
          </w:p>
        </w:tc>
        <w:tc>
          <w:tcPr>
            <w:cnfStyle w:evenVBand="true" w:oddVBand="false" w:firstColumn="false"/>
            <w:tcW w:w="33.333333%" w:type="pct"/>
          </w:tcPr>
          <w:p>
            <w:pPr>
              <w:ind w:leftChars="0" w:left="0" w:right="0"/>
            </w:pPr>
            <w:r>
              <w:t>Statistics Department</w:t>
            </w:r>
          </w:p>
        </w:tc>
        <w:tc>
          <w:tcPr>
            <w:cnfStyle w:evenVBand="false" w:oddVBand="true" w:firstColumn="false"/>
            <w:tcW w:w="33.333333%" w:type="pct"/>
          </w:tcPr>
          <w:p>
            <w:pPr>
              <w:ind w:leftChars="0" w:left="0" w:right="0"/>
            </w:pPr>
            <w:r>
              <w:t>Statistics Department</w:t>
            </w:r>
          </w:p>
        </w:tc>
      </w:tr>
      <w:tr>
        <w:trPr>
          <w:cnfStyle w:evenHBand="false" w:oddHBand="true" w:firstRow="false"/>
        </w:trPr>
        <w:tc>
          <w:tcPr>
            <w:cnfStyle w:evenVBand="false" w:oddVBand="true" w:firstColumn="false"/>
            <w:tcW w:w="33.333333%" w:type="pct"/>
          </w:tcPr>
          <w:p>
            <w:pPr>
              <w:ind w:leftChars="0" w:left="0" w:right="0"/>
            </w:pPr>
            <w:r>
              <w:t>ORG</w:t>
            </w:r>
          </w:p>
        </w:tc>
        <w:tc>
          <w:tcPr>
            <w:cnfStyle w:evenVBand="true" w:oddVBand="false" w:firstColumn="false"/>
            <w:tcW w:w="33.333333%" w:type="pct"/>
          </w:tcPr>
          <w:p>
            <w:pPr>
              <w:ind w:leftChars="0" w:left="0" w:right="0"/>
            </w:pPr>
            <w:r>
              <w:t>Organisation Department</w:t>
            </w:r>
          </w:p>
        </w:tc>
        <w:tc>
          <w:tcPr>
            <w:cnfStyle w:evenVBand="false" w:oddVBand="true" w:firstColumn="false"/>
            <w:tcW w:w="33.333333%" w:type="pct"/>
          </w:tcPr>
          <w:p>
            <w:pPr>
              <w:ind w:leftChars="0" w:left="0" w:right="0"/>
            </w:pPr>
            <w:r>
              <w:t>Organisation Department</w:t>
            </w:r>
          </w:p>
        </w:tc>
      </w:tr>
    </w:tbl>
    <w:p>
      <w:pPr>
        <w:pStyle w:val="Table Bottom Margin"/>
      </w:pPr>
    </w:p>
    <w:bookmarkEnd w:id="279"/>
    <w:bookmarkEnd w:id="278"/>
    <w:bookmarkStart w:id="280" w:name="_86f576cd48119b017d22107bd1ee0d8c"/>
    <w:bookmarkStart w:id="281" w:name="_e64348ef6a6f86b809af054299cee804"/>
    <w:p>
      <w:pPr>
        <w:pStyle w:val="Heading5"/>
        <w:keepNext/>
      </w:pPr>
      <w:r>
        <w:t>DRVTV_TYP_ENUM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CAL</w:t>
            </w:r>
          </w:p>
        </w:tc>
        <w:tc>
          <w:tcPr>
            <w:cnfStyle w:evenVBand="true" w:oddVBand="false" w:firstColumn="false"/>
            <w:tcW w:w="33.333333%" w:type="pct"/>
          </w:tcPr>
          <w:p>
            <w:pPr>
              <w:ind w:leftChars="0" w:left="0" w:right="0"/>
            </w:pPr>
            <w:r>
              <w:t>Call option</w:t>
            </w:r>
          </w:p>
        </w:tc>
        <w:tc>
          <w:tcPr>
            <w:cnfStyle w:evenVBand="false" w:oddVBand="true" w:firstColumn="false"/>
            <w:tcW w:w="33.333333%" w:type="pct"/>
          </w:tcPr>
          <w:p>
            <w:pPr>
              <w:ind w:leftChars="0" w:left="0" w:right="0"/>
            </w:pPr>
            <w:r>
              <w:t>Call option</w:t>
            </w:r>
          </w:p>
        </w:tc>
      </w:tr>
      <w:tr>
        <w:trPr>
          <w:cnfStyle w:evenHBand="false" w:oddHBand="true" w:firstRow="false"/>
        </w:trPr>
        <w:tc>
          <w:tcPr>
            <w:cnfStyle w:evenVBand="false" w:oddVBand="true" w:firstColumn="false"/>
            <w:tcW w:w="33.333333%" w:type="pct"/>
          </w:tcPr>
          <w:p>
            <w:pPr>
              <w:ind w:leftChars="0" w:left="0" w:right="0"/>
            </w:pPr>
            <w:r>
              <w:t>PUT</w:t>
            </w:r>
          </w:p>
        </w:tc>
        <w:tc>
          <w:tcPr>
            <w:cnfStyle w:evenVBand="true" w:oddVBand="false" w:firstColumn="false"/>
            <w:tcW w:w="33.333333%" w:type="pct"/>
          </w:tcPr>
          <w:p>
            <w:pPr>
              <w:ind w:leftChars="0" w:left="0" w:right="0"/>
            </w:pPr>
            <w:r>
              <w:t>Put option</w:t>
            </w:r>
          </w:p>
        </w:tc>
        <w:tc>
          <w:tcPr>
            <w:cnfStyle w:evenVBand="false" w:oddVBand="true" w:firstColumn="false"/>
            <w:tcW w:w="33.333333%" w:type="pct"/>
          </w:tcPr>
          <w:p>
            <w:pPr>
              <w:ind w:leftChars="0" w:left="0" w:right="0"/>
            </w:pPr>
            <w:r>
              <w:t>Put option</w:t>
            </w:r>
          </w:p>
        </w:tc>
      </w:tr>
      <w:tr>
        <w:trPr>
          <w:cnfStyle w:evenHBand="true" w:oddHBand="false" w:firstRow="false"/>
        </w:trPr>
        <w:tc>
          <w:tcPr>
            <w:cnfStyle w:evenVBand="false" w:oddVBand="true" w:firstColumn="false"/>
            <w:tcW w:w="33.333333%" w:type="pct"/>
          </w:tcPr>
          <w:p>
            <w:pPr>
              <w:ind w:leftChars="0" w:left="0" w:right="0"/>
            </w:pPr>
            <w:r>
              <w:t>WAR</w:t>
            </w:r>
          </w:p>
        </w:tc>
        <w:tc>
          <w:tcPr>
            <w:cnfStyle w:evenVBand="true" w:oddVBand="false" w:firstColumn="false"/>
            <w:tcW w:w="33.333333%" w:type="pct"/>
          </w:tcPr>
          <w:p>
            <w:pPr>
              <w:ind w:leftChars="0" w:left="0" w:right="0"/>
            </w:pPr>
            <w:r>
              <w:t>Warrant</w:t>
            </w:r>
          </w:p>
        </w:tc>
        <w:tc>
          <w:tcPr>
            <w:cnfStyle w:evenVBand="false" w:oddVBand="true" w:firstColumn="false"/>
            <w:tcW w:w="33.333333%" w:type="pct"/>
          </w:tcPr>
          <w:p>
            <w:pPr>
              <w:ind w:leftChars="0" w:left="0" w:right="0"/>
            </w:pPr>
            <w:r>
              <w:t>Warrant</w:t>
            </w:r>
          </w:p>
        </w:tc>
      </w:tr>
      <w:tr>
        <w:trPr>
          <w:cnfStyle w:evenHBand="false" w:oddHBand="true" w:firstRow="false"/>
        </w:trPr>
        <w:tc>
          <w:tcPr>
            <w:cnfStyle w:evenVBand="false" w:oddVBand="true" w:firstColumn="false"/>
            <w:tcW w:w="33.333333%" w:type="pct"/>
          </w:tcPr>
          <w:p>
            <w:pPr>
              <w:ind w:leftChars="0" w:left="0" w:right="0"/>
            </w:pPr>
            <w:r>
              <w:t>FUT</w:t>
            </w:r>
          </w:p>
        </w:tc>
        <w:tc>
          <w:tcPr>
            <w:cnfStyle w:evenVBand="true" w:oddVBand="false" w:firstColumn="false"/>
            <w:tcW w:w="33.333333%" w:type="pct"/>
          </w:tcPr>
          <w:p>
            <w:pPr>
              <w:ind w:leftChars="0" w:left="0" w:right="0"/>
            </w:pPr>
            <w:r>
              <w:t>Future</w:t>
            </w:r>
          </w:p>
        </w:tc>
        <w:tc>
          <w:tcPr>
            <w:cnfStyle w:evenVBand="false" w:oddVBand="true" w:firstColumn="false"/>
            <w:tcW w:w="33.333333%" w:type="pct"/>
          </w:tcPr>
          <w:p>
            <w:pPr>
              <w:ind w:leftChars="0" w:left="0" w:right="0"/>
            </w:pPr>
            <w:r>
              <w:t>Future</w:t>
            </w:r>
          </w:p>
        </w:tc>
      </w:tr>
      <w:tr>
        <w:trPr>
          <w:cnfStyle w:evenHBand="true" w:oddHBand="false" w:firstRow="false"/>
        </w:trPr>
        <w:tc>
          <w:tcPr>
            <w:cnfStyle w:evenVBand="false" w:oddVBand="true" w:firstColumn="false"/>
            <w:tcW w:w="33.333333%" w:type="pct"/>
          </w:tcPr>
          <w:p>
            <w:pPr>
              <w:ind w:leftChars="0" w:left="0" w:right="0"/>
            </w:pPr>
            <w:r>
              <w:t>FOR</w:t>
            </w:r>
          </w:p>
        </w:tc>
        <w:tc>
          <w:tcPr>
            <w:cnfStyle w:evenVBand="true" w:oddVBand="false" w:firstColumn="false"/>
            <w:tcW w:w="33.333333%" w:type="pct"/>
          </w:tcPr>
          <w:p>
            <w:pPr>
              <w:ind w:leftChars="0" w:left="0" w:right="0"/>
            </w:pPr>
            <w:r>
              <w:t>Forward</w:t>
            </w:r>
          </w:p>
        </w:tc>
        <w:tc>
          <w:tcPr>
            <w:cnfStyle w:evenVBand="false" w:oddVBand="true" w:firstColumn="false"/>
            <w:tcW w:w="33.333333%" w:type="pct"/>
          </w:tcPr>
          <w:p>
            <w:pPr>
              <w:ind w:leftChars="0" w:left="0" w:right="0"/>
            </w:pPr>
            <w:r>
              <w:t>Forward</w:t>
            </w:r>
          </w:p>
        </w:tc>
      </w:tr>
      <w:tr>
        <w:trPr>
          <w:cnfStyle w:evenHBand="false" w:oddHBand="true" w:firstRow="false"/>
        </w:trPr>
        <w:tc>
          <w:tcPr>
            <w:cnfStyle w:evenVBand="false" w:oddVBand="true" w:firstColumn="false"/>
            <w:tcW w:w="33.333333%" w:type="pct"/>
          </w:tcPr>
          <w:p>
            <w:pPr>
              <w:ind w:leftChars="0" w:left="0" w:right="0"/>
            </w:pPr>
            <w:r>
              <w:t>SWA</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w:t>
            </w:r>
          </w:p>
        </w:tc>
      </w:tr>
      <w:tr>
        <w:trPr>
          <w:cnfStyle w:evenHBand="true" w:oddHBand="false" w:firstRow="false"/>
        </w:trPr>
        <w:tc>
          <w:tcPr>
            <w:cnfStyle w:evenVBand="false" w:oddVBand="true" w:firstColumn="false"/>
            <w:tcW w:w="33.333333%" w:type="pct"/>
          </w:tcPr>
          <w:p>
            <w:pPr>
              <w:ind w:leftChars="0" w:left="0" w:right="0"/>
            </w:pPr>
            <w:r>
              <w:t>EMC</w:t>
            </w:r>
          </w:p>
        </w:tc>
        <w:tc>
          <w:tcPr>
            <w:cnfStyle w:evenVBand="true" w:oddVBand="false" w:firstColumn="false"/>
            <w:tcW w:w="33.333333%" w:type="pct"/>
          </w:tcPr>
          <w:p>
            <w:pPr>
              <w:ind w:leftChars="0" w:left="0" w:right="0"/>
            </w:pPr>
            <w:r>
              <w:t>Employee stock call option</w:t>
            </w:r>
          </w:p>
        </w:tc>
        <w:tc>
          <w:tcPr>
            <w:cnfStyle w:evenVBand="false" w:oddVBand="true" w:firstColumn="false"/>
            <w:tcW w:w="33.333333%" w:type="pct"/>
          </w:tcPr>
          <w:p>
            <w:pPr>
              <w:ind w:leftChars="0" w:left="0" w:right="0"/>
            </w:pPr>
            <w:r>
              <w:t>Employee stock call option</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derivative</w:t>
            </w:r>
          </w:p>
        </w:tc>
        <w:tc>
          <w:tcPr>
            <w:cnfStyle w:evenVBand="false" w:oddVBand="true" w:firstColumn="false"/>
            <w:tcW w:w="33.333333%" w:type="pct"/>
          </w:tcPr>
          <w:p>
            <w:pPr>
              <w:ind w:leftChars="0" w:left="0" w:right="0"/>
            </w:pPr>
            <w:r>
              <w:t>Other derivative</w:t>
            </w:r>
          </w:p>
        </w:tc>
      </w:tr>
    </w:tbl>
    <w:p>
      <w:pPr>
        <w:pStyle w:val="Table Bottom Margin"/>
      </w:pPr>
    </w:p>
    <w:bookmarkEnd w:id="281"/>
    <w:bookmarkEnd w:id="280"/>
    <w:bookmarkStart w:id="282" w:name="_d3e077cc87713b10306e66d9d7407e77"/>
    <w:bookmarkStart w:id="283" w:name="_48b09c05d9b1b3d5bc7e51048c139c11"/>
    <w:p>
      <w:pPr>
        <w:pStyle w:val="Heading5"/>
        <w:keepNext/>
      </w:pPr>
      <w:r>
        <w:t>DVDND_CSTM_FRQNCY_ENUM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Semi-annual</w:t>
            </w:r>
          </w:p>
        </w:tc>
        <w:tc>
          <w:tcPr>
            <w:cnfStyle w:evenVBand="false" w:oddVBand="true" w:firstColumn="false"/>
            <w:tcW w:w="33.333333%" w:type="pct"/>
          </w:tcPr>
          <w:p>
            <w:pPr>
              <w:ind w:leftChars="0" w:left="0" w:right="0"/>
            </w:pPr>
            <w:r>
              <w:t>Semi-annual</w:t>
            </w:r>
          </w:p>
        </w:tc>
      </w:tr>
      <w:tr>
        <w:trPr>
          <w:cnfStyle w:evenHBand="true" w:oddHBand="fals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WE</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true" w:oddHBand="false" w:firstRow="false"/>
        </w:trPr>
        <w:tc>
          <w:tcPr>
            <w:cnfStyle w:evenVBand="false" w:oddVBand="true" w:firstColumn="false"/>
            <w:tcW w:w="33.333333%" w:type="pct"/>
          </w:tcPr>
          <w:p>
            <w:pPr>
              <w:ind w:leftChars="0" w:left="0" w:right="0"/>
            </w:pPr>
            <w:r>
              <w:t>DA</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bl>
    <w:p>
      <w:pPr>
        <w:pStyle w:val="Table Bottom Margin"/>
      </w:pPr>
    </w:p>
    <w:bookmarkEnd w:id="283"/>
    <w:bookmarkEnd w:id="282"/>
    <w:bookmarkStart w:id="284" w:name="_2552303d50c2907dda403d423b6555fa"/>
    <w:bookmarkStart w:id="285" w:name="_848ffd78fc3a802d37319aa2b01ca092"/>
    <w:p>
      <w:pPr>
        <w:pStyle w:val="Heading5"/>
        <w:keepNext/>
      </w:pPr>
      <w:r>
        <w:t>DVDND_TYP_ENUM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w:t>
            </w:r>
          </w:p>
        </w:tc>
        <w:tc>
          <w:tcPr>
            <w:cnfStyle w:evenVBand="true" w:oddVBand="false" w:firstColumn="false"/>
            <w:tcW w:w="33.333333%" w:type="pct"/>
          </w:tcPr>
          <w:p>
            <w:pPr>
              <w:ind w:leftChars="0" w:left="0" w:right="0"/>
            </w:pPr>
            <w:r>
              <w:t>10</w:t>
            </w:r>
          </w:p>
        </w:tc>
        <w:tc>
          <w:tcPr>
            <w:cnfStyle w:evenVBand="false" w:oddVBand="true" w:firstColumn="false"/>
            <w:tcW w:w="33.333333%" w:type="pct"/>
          </w:tcPr>
          <w:p>
            <w:pPr>
              <w:ind w:leftChars="0" w:left="0" w:right="0"/>
            </w:pPr>
            <w:r>
              <w:t>Dividend amount paid in cash per share</w:t>
            </w:r>
          </w:p>
        </w:tc>
      </w:tr>
      <w:tr>
        <w:trPr>
          <w:cnfStyle w:evenHBand="false" w:oddHBand="true" w:firstRow="false"/>
        </w:trPr>
        <w:tc>
          <w:tcPr>
            <w:cnfStyle w:evenVBand="false" w:oddVBand="true" w:firstColumn="false"/>
            <w:tcW w:w="33.333333%" w:type="pct"/>
          </w:tcPr>
          <w:p>
            <w:pPr>
              <w:ind w:leftChars="0" w:left="0" w:right="0"/>
            </w:pPr>
            <w:r>
              <w:t>20</w:t>
            </w:r>
          </w:p>
        </w:tc>
        <w:tc>
          <w:tcPr>
            <w:cnfStyle w:evenVBand="true" w:oddVBand="false" w:firstColumn="false"/>
            <w:tcW w:w="33.333333%" w:type="pct"/>
          </w:tcPr>
          <w:p>
            <w:pPr>
              <w:ind w:leftChars="0" w:left="0" w:right="0"/>
            </w:pPr>
            <w:r>
              <w:t>20</w:t>
            </w:r>
          </w:p>
        </w:tc>
        <w:tc>
          <w:tcPr>
            <w:cnfStyle w:evenVBand="false" w:oddVBand="true" w:firstColumn="false"/>
            <w:tcW w:w="33.333333%" w:type="pct"/>
          </w:tcPr>
          <w:p>
            <w:pPr>
              <w:ind w:leftChars="0" w:left="0" w:right="0"/>
            </w:pPr>
            <w:r>
              <w:t>Dividend amount paid in kind per share</w:t>
            </w:r>
          </w:p>
        </w:tc>
      </w:tr>
      <w:tr>
        <w:trPr>
          <w:cnfStyle w:evenHBand="true" w:oddHBand="false" w:firstRow="false"/>
        </w:trPr>
        <w:tc>
          <w:tcPr>
            <w:cnfStyle w:evenVBand="false" w:oddVBand="true" w:firstColumn="false"/>
            <w:tcW w:w="33.333333%" w:type="pct"/>
          </w:tcPr>
          <w:p>
            <w:pPr>
              <w:ind w:leftChars="0" w:left="0" w:right="0"/>
            </w:pPr>
            <w:r>
              <w:t>11</w:t>
            </w:r>
          </w:p>
        </w:tc>
        <w:tc>
          <w:tcPr>
            <w:cnfStyle w:evenVBand="true" w:oddVBand="false" w:firstColumn="false"/>
            <w:tcW w:w="33.333333%" w:type="pct"/>
          </w:tcPr>
          <w:p>
            <w:pPr>
              <w:ind w:leftChars="0" w:left="0" w:right="0"/>
            </w:pPr>
            <w:r>
              <w:t>11</w:t>
            </w:r>
          </w:p>
        </w:tc>
        <w:tc>
          <w:tcPr>
            <w:cnfStyle w:evenVBand="false" w:oddVBand="true" w:firstColumn="false"/>
            <w:tcW w:w="33.333333%" w:type="pct"/>
          </w:tcPr>
          <w:p>
            <w:pPr>
              <w:ind w:leftChars="0" w:left="0" w:right="0"/>
            </w:pPr>
            <w:r>
              <w:t>Distributing income - Direct provision</w:t>
            </w:r>
          </w:p>
        </w:tc>
      </w:tr>
      <w:tr>
        <w:trPr>
          <w:cnfStyle w:evenHBand="false" w:oddHBand="true" w:firstRow="false"/>
        </w:trPr>
        <w:tc>
          <w:tcPr>
            <w:cnfStyle w:evenVBand="false" w:oddVBand="true" w:firstColumn="false"/>
            <w:tcW w:w="33.333333%" w:type="pct"/>
          </w:tcPr>
          <w:p>
            <w:pPr>
              <w:ind w:leftChars="0" w:left="0" w:right="0"/>
            </w:pPr>
            <w:r>
              <w:t>12</w:t>
            </w:r>
          </w:p>
        </w:tc>
        <w:tc>
          <w:tcPr>
            <w:cnfStyle w:evenVBand="true" w:oddVBand="false" w:firstColumn="false"/>
            <w:tcW w:w="33.333333%" w:type="pct"/>
          </w:tcPr>
          <w:p>
            <w:pPr>
              <w:ind w:leftChars="0" w:left="0" w:right="0"/>
            </w:pPr>
            <w:r>
              <w:t>12</w:t>
            </w:r>
          </w:p>
        </w:tc>
        <w:tc>
          <w:tcPr>
            <w:cnfStyle w:evenVBand="false" w:oddVBand="true" w:firstColumn="false"/>
            <w:tcW w:w="33.333333%" w:type="pct"/>
          </w:tcPr>
          <w:p>
            <w:pPr>
              <w:ind w:leftChars="0" w:left="0" w:right="0"/>
            </w:pPr>
            <w:r>
              <w:t>Distributing income - Fund entity derivation</w:t>
            </w:r>
          </w:p>
        </w:tc>
      </w:tr>
      <w:tr>
        <w:trPr>
          <w:cnfStyle w:evenHBand="true" w:oddHBand="false" w:firstRow="false"/>
        </w:trPr>
        <w:tc>
          <w:tcPr>
            <w:cnfStyle w:evenVBand="false" w:oddVBand="true" w:firstColumn="false"/>
            <w:tcW w:w="33.333333%" w:type="pct"/>
          </w:tcPr>
          <w:p>
            <w:pPr>
              <w:ind w:leftChars="0" w:left="0" w:right="0"/>
            </w:pPr>
            <w:r>
              <w:t>13</w:t>
            </w:r>
          </w:p>
        </w:tc>
        <w:tc>
          <w:tcPr>
            <w:cnfStyle w:evenVBand="true" w:oddVBand="false" w:firstColumn="false"/>
            <w:tcW w:w="33.333333%" w:type="pct"/>
          </w:tcPr>
          <w:p>
            <w:pPr>
              <w:ind w:leftChars="0" w:left="0" w:right="0"/>
            </w:pPr>
            <w:r>
              <w:t>13</w:t>
            </w:r>
          </w:p>
        </w:tc>
        <w:tc>
          <w:tcPr>
            <w:cnfStyle w:evenVBand="false" w:oddVBand="true" w:firstColumn="false"/>
            <w:tcW w:w="33.333333%" w:type="pct"/>
          </w:tcPr>
          <w:p>
            <w:pPr>
              <w:ind w:leftChars="0" w:left="0" w:right="0"/>
            </w:pPr>
            <w:r>
              <w:t>Distributing income - Benchmark derivation</w:t>
            </w:r>
          </w:p>
        </w:tc>
      </w:tr>
      <w:tr>
        <w:trPr>
          <w:cnfStyle w:evenHBand="false" w:oddHBand="true" w:firstRow="false"/>
        </w:trPr>
        <w:tc>
          <w:tcPr>
            <w:cnfStyle w:evenVBand="false" w:oddVBand="true" w:firstColumn="false"/>
            <w:tcW w:w="33.333333%" w:type="pct"/>
          </w:tcPr>
          <w:p>
            <w:pPr>
              <w:ind w:leftChars="0" w:left="0" w:right="0"/>
            </w:pPr>
            <w:r>
              <w:t>21</w:t>
            </w:r>
          </w:p>
        </w:tc>
        <w:tc>
          <w:tcPr>
            <w:cnfStyle w:evenVBand="true" w:oddVBand="false" w:firstColumn="false"/>
            <w:tcW w:w="33.333333%" w:type="pct"/>
          </w:tcPr>
          <w:p>
            <w:pPr>
              <w:ind w:leftChars="0" w:left="0" w:right="0"/>
            </w:pPr>
            <w:r>
              <w:t>21</w:t>
            </w:r>
          </w:p>
        </w:tc>
        <w:tc>
          <w:tcPr>
            <w:cnfStyle w:evenVBand="false" w:oddVBand="true" w:firstColumn="false"/>
            <w:tcW w:w="33.333333%" w:type="pct"/>
          </w:tcPr>
          <w:p>
            <w:pPr>
              <w:ind w:leftChars="0" w:left="0" w:right="0"/>
            </w:pPr>
            <w:r>
              <w:t>Cumulative income - Direct provision</w:t>
            </w:r>
          </w:p>
        </w:tc>
      </w:tr>
      <w:tr>
        <w:trPr>
          <w:cnfStyle w:evenHBand="true" w:oddHBand="false" w:firstRow="false"/>
        </w:trPr>
        <w:tc>
          <w:tcPr>
            <w:cnfStyle w:evenVBand="false" w:oddVBand="true" w:firstColumn="false"/>
            <w:tcW w:w="33.333333%" w:type="pct"/>
          </w:tcPr>
          <w:p>
            <w:pPr>
              <w:ind w:leftChars="0" w:left="0" w:right="0"/>
            </w:pPr>
            <w:r>
              <w:t>22</w:t>
            </w:r>
          </w:p>
        </w:tc>
        <w:tc>
          <w:tcPr>
            <w:cnfStyle w:evenVBand="true" w:oddVBand="false" w:firstColumn="false"/>
            <w:tcW w:w="33.333333%" w:type="pct"/>
          </w:tcPr>
          <w:p>
            <w:pPr>
              <w:ind w:leftChars="0" w:left="0" w:right="0"/>
            </w:pPr>
            <w:r>
              <w:t>22</w:t>
            </w:r>
          </w:p>
        </w:tc>
        <w:tc>
          <w:tcPr>
            <w:cnfStyle w:evenVBand="false" w:oddVBand="true" w:firstColumn="false"/>
            <w:tcW w:w="33.333333%" w:type="pct"/>
          </w:tcPr>
          <w:p>
            <w:pPr>
              <w:ind w:leftChars="0" w:left="0" w:right="0"/>
            </w:pPr>
            <w:r>
              <w:t>Cumulative income - Fund entity derivation</w:t>
            </w:r>
          </w:p>
        </w:tc>
      </w:tr>
      <w:tr>
        <w:trPr>
          <w:cnfStyle w:evenHBand="false" w:oddHBand="true" w:firstRow="false"/>
        </w:trPr>
        <w:tc>
          <w:tcPr>
            <w:cnfStyle w:evenVBand="false" w:oddVBand="true" w:firstColumn="false"/>
            <w:tcW w:w="33.333333%" w:type="pct"/>
          </w:tcPr>
          <w:p>
            <w:pPr>
              <w:ind w:leftChars="0" w:left="0" w:right="0"/>
            </w:pPr>
            <w:r>
              <w:t>23</w:t>
            </w:r>
          </w:p>
        </w:tc>
        <w:tc>
          <w:tcPr>
            <w:cnfStyle w:evenVBand="true" w:oddVBand="false" w:firstColumn="false"/>
            <w:tcW w:w="33.333333%" w:type="pct"/>
          </w:tcPr>
          <w:p>
            <w:pPr>
              <w:ind w:leftChars="0" w:left="0" w:right="0"/>
            </w:pPr>
            <w:r>
              <w:t>23</w:t>
            </w:r>
          </w:p>
        </w:tc>
        <w:tc>
          <w:tcPr>
            <w:cnfStyle w:evenVBand="false" w:oddVBand="true" w:firstColumn="false"/>
            <w:tcW w:w="33.333333%" w:type="pct"/>
          </w:tcPr>
          <w:p>
            <w:pPr>
              <w:ind w:leftChars="0" w:left="0" w:right="0"/>
            </w:pPr>
            <w:r>
              <w:t>Cumulative income - Benchmark derivation</w:t>
            </w:r>
          </w:p>
        </w:tc>
      </w:tr>
      <w:tr>
        <w:trPr>
          <w:cnfStyle w:evenHBand="true" w:oddHBand="false" w:firstRow="false"/>
        </w:trPr>
        <w:tc>
          <w:tcPr>
            <w:cnfStyle w:evenVBand="false" w:oddVBand="true" w:firstColumn="false"/>
            <w:tcW w:w="33.333333%" w:type="pct"/>
          </w:tcPr>
          <w:p>
            <w:pPr>
              <w:ind w:leftChars="0" w:left="0" w:right="0"/>
            </w:pPr>
            <w:r>
              <w:t>31</w:t>
            </w:r>
          </w:p>
        </w:tc>
        <w:tc>
          <w:tcPr>
            <w:cnfStyle w:evenVBand="true" w:oddVBand="false" w:firstColumn="false"/>
            <w:tcW w:w="33.333333%" w:type="pct"/>
          </w:tcPr>
          <w:p>
            <w:pPr>
              <w:ind w:leftChars="0" w:left="0" w:right="0"/>
            </w:pPr>
            <w:r>
              <w:t>31</w:t>
            </w:r>
          </w:p>
        </w:tc>
        <w:tc>
          <w:tcPr>
            <w:cnfStyle w:evenVBand="false" w:oddVBand="true" w:firstColumn="false"/>
            <w:tcW w:w="33.333333%" w:type="pct"/>
          </w:tcPr>
          <w:p>
            <w:pPr>
              <w:ind w:leftChars="0" w:left="0" w:right="0"/>
            </w:pPr>
            <w:r>
              <w:t>Mixed income - Direct provision</w:t>
            </w:r>
          </w:p>
        </w:tc>
      </w:tr>
      <w:tr>
        <w:trPr>
          <w:cnfStyle w:evenHBand="false" w:oddHBand="true" w:firstRow="false"/>
        </w:trPr>
        <w:tc>
          <w:tcPr>
            <w:cnfStyle w:evenVBand="false" w:oddVBand="true" w:firstColumn="false"/>
            <w:tcW w:w="33.333333%" w:type="pct"/>
          </w:tcPr>
          <w:p>
            <w:pPr>
              <w:ind w:leftChars="0" w:left="0" w:right="0"/>
            </w:pPr>
            <w:r>
              <w:t>32</w:t>
            </w:r>
          </w:p>
        </w:tc>
        <w:tc>
          <w:tcPr>
            <w:cnfStyle w:evenVBand="true" w:oddVBand="false" w:firstColumn="false"/>
            <w:tcW w:w="33.333333%" w:type="pct"/>
          </w:tcPr>
          <w:p>
            <w:pPr>
              <w:ind w:leftChars="0" w:left="0" w:right="0"/>
            </w:pPr>
            <w:r>
              <w:t>32</w:t>
            </w:r>
          </w:p>
        </w:tc>
        <w:tc>
          <w:tcPr>
            <w:cnfStyle w:evenVBand="false" w:oddVBand="true" w:firstColumn="false"/>
            <w:tcW w:w="33.333333%" w:type="pct"/>
          </w:tcPr>
          <w:p>
            <w:pPr>
              <w:ind w:leftChars="0" w:left="0" w:right="0"/>
            </w:pPr>
            <w:r>
              <w:t>Mixed income - Fund entity derivation</w:t>
            </w:r>
          </w:p>
        </w:tc>
      </w:tr>
      <w:tr>
        <w:trPr>
          <w:cnfStyle w:evenHBand="true" w:oddHBand="false" w:firstRow="false"/>
        </w:trPr>
        <w:tc>
          <w:tcPr>
            <w:cnfStyle w:evenVBand="false" w:oddVBand="true" w:firstColumn="false"/>
            <w:tcW w:w="33.333333%" w:type="pct"/>
          </w:tcPr>
          <w:p>
            <w:pPr>
              <w:ind w:leftChars="0" w:left="0" w:right="0"/>
            </w:pPr>
            <w:r>
              <w:t>33</w:t>
            </w:r>
          </w:p>
        </w:tc>
        <w:tc>
          <w:tcPr>
            <w:cnfStyle w:evenVBand="true" w:oddVBand="false" w:firstColumn="false"/>
            <w:tcW w:w="33.333333%" w:type="pct"/>
          </w:tcPr>
          <w:p>
            <w:pPr>
              <w:ind w:leftChars="0" w:left="0" w:right="0"/>
            </w:pPr>
            <w:r>
              <w:t>33</w:t>
            </w:r>
          </w:p>
        </w:tc>
        <w:tc>
          <w:tcPr>
            <w:cnfStyle w:evenVBand="false" w:oddVBand="true" w:firstColumn="false"/>
            <w:tcW w:w="33.333333%" w:type="pct"/>
          </w:tcPr>
          <w:p>
            <w:pPr>
              <w:ind w:leftChars="0" w:left="0" w:right="0"/>
            </w:pPr>
            <w:r>
              <w:t>Mixed income - Benchmark derivation</w:t>
            </w:r>
          </w:p>
        </w:tc>
      </w:tr>
      <w:tr>
        <w:trPr>
          <w:cnfStyle w:evenHBand="false" w:oddHBand="true" w:firstRow="false"/>
        </w:trPr>
        <w:tc>
          <w:tcPr>
            <w:cnfStyle w:evenVBand="false" w:oddVBand="true" w:firstColumn="false"/>
            <w:tcW w:w="33.333333%" w:type="pct"/>
          </w:tcPr>
          <w:p>
            <w:pPr>
              <w:ind w:leftChars="0" w:left="0" w:right="0"/>
            </w:pPr>
            <w:r>
              <w:t>91</w:t>
            </w:r>
          </w:p>
        </w:tc>
        <w:tc>
          <w:tcPr>
            <w:cnfStyle w:evenVBand="true" w:oddVBand="false" w:firstColumn="false"/>
            <w:tcW w:w="33.333333%" w:type="pct"/>
          </w:tcPr>
          <w:p>
            <w:pPr>
              <w:ind w:leftChars="0" w:left="0" w:right="0"/>
            </w:pPr>
            <w:r>
              <w:t>91</w:t>
            </w:r>
          </w:p>
        </w:tc>
        <w:tc>
          <w:tcPr>
            <w:cnfStyle w:evenVBand="false" w:oddVBand="true" w:firstColumn="false"/>
            <w:tcW w:w="33.333333%" w:type="pct"/>
          </w:tcPr>
          <w:p>
            <w:pPr>
              <w:ind w:leftChars="0" w:left="0" w:right="0"/>
            </w:pPr>
            <w:r>
              <w:t>No detailed information available - Direct provision</w:t>
            </w:r>
          </w:p>
        </w:tc>
      </w:tr>
      <w:tr>
        <w:trPr>
          <w:cnfStyle w:evenHBand="true" w:oddHBand="false" w:firstRow="false"/>
        </w:trPr>
        <w:tc>
          <w:tcPr>
            <w:cnfStyle w:evenVBand="false" w:oddVBand="true" w:firstColumn="false"/>
            <w:tcW w:w="33.333333%" w:type="pct"/>
          </w:tcPr>
          <w:p>
            <w:pPr>
              <w:ind w:leftChars="0" w:left="0" w:right="0"/>
            </w:pPr>
            <w:r>
              <w:t>92</w:t>
            </w:r>
          </w:p>
        </w:tc>
        <w:tc>
          <w:tcPr>
            <w:cnfStyle w:evenVBand="true" w:oddVBand="false" w:firstColumn="false"/>
            <w:tcW w:w="33.333333%" w:type="pct"/>
          </w:tcPr>
          <w:p>
            <w:pPr>
              <w:ind w:leftChars="0" w:left="0" w:right="0"/>
            </w:pPr>
            <w:r>
              <w:t>92</w:t>
            </w:r>
          </w:p>
        </w:tc>
        <w:tc>
          <w:tcPr>
            <w:cnfStyle w:evenVBand="false" w:oddVBand="true" w:firstColumn="false"/>
            <w:tcW w:w="33.333333%" w:type="pct"/>
          </w:tcPr>
          <w:p>
            <w:pPr>
              <w:ind w:leftChars="0" w:left="0" w:right="0"/>
            </w:pPr>
            <w:r>
              <w:t>No detailed information available - Fund entity derivation</w:t>
            </w:r>
          </w:p>
        </w:tc>
      </w:tr>
      <w:tr>
        <w:trPr>
          <w:cnfStyle w:evenHBand="false" w:oddHBand="true" w:firstRow="false"/>
        </w:trPr>
        <w:tc>
          <w:tcPr>
            <w:cnfStyle w:evenVBand="false" w:oddVBand="true" w:firstColumn="false"/>
            <w:tcW w:w="33.333333%" w:type="pct"/>
          </w:tcPr>
          <w:p>
            <w:pPr>
              <w:ind w:leftChars="0" w:left="0" w:right="0"/>
            </w:pPr>
            <w:r>
              <w:t>93</w:t>
            </w:r>
          </w:p>
        </w:tc>
        <w:tc>
          <w:tcPr>
            <w:cnfStyle w:evenVBand="true" w:oddVBand="false" w:firstColumn="false"/>
            <w:tcW w:w="33.333333%" w:type="pct"/>
          </w:tcPr>
          <w:p>
            <w:pPr>
              <w:ind w:leftChars="0" w:left="0" w:right="0"/>
            </w:pPr>
            <w:r>
              <w:t>93</w:t>
            </w:r>
          </w:p>
        </w:tc>
        <w:tc>
          <w:tcPr>
            <w:cnfStyle w:evenVBand="false" w:oddVBand="true" w:firstColumn="false"/>
            <w:tcW w:w="33.333333%" w:type="pct"/>
          </w:tcPr>
          <w:p>
            <w:pPr>
              <w:ind w:leftChars="0" w:left="0" w:right="0"/>
            </w:pPr>
            <w:r>
              <w:t>No detailed information available - Benchmark derivation</w:t>
            </w:r>
          </w:p>
        </w:tc>
      </w:tr>
    </w:tbl>
    <w:p>
      <w:pPr>
        <w:pStyle w:val="Table Bottom Margin"/>
      </w:pPr>
    </w:p>
    <w:bookmarkEnd w:id="285"/>
    <w:bookmarkEnd w:id="284"/>
    <w:bookmarkStart w:id="286" w:name="_6d9338b7305c3e1f15e50d3c4423448b"/>
    <w:bookmarkStart w:id="287" w:name="_90e5b9e59073c6f47df515879680d751"/>
    <w:p>
      <w:pPr>
        <w:pStyle w:val="Heading5"/>
        <w:keepNext/>
      </w:pPr>
      <w:r>
        <w:t>FND_BND_FCS_ENUM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GOV</w:t>
            </w:r>
          </w:p>
        </w:tc>
        <w:tc>
          <w:tcPr>
            <w:cnfStyle w:evenVBand="true" w:oddVBand="false" w:firstColumn="false"/>
            <w:tcW w:w="33.333333%" w:type="pct"/>
          </w:tcPr>
          <w:p>
            <w:pPr>
              <w:ind w:leftChars="0" w:left="0" w:right="0"/>
            </w:pPr>
            <w:r>
              <w:t>Government bond</w:t>
            </w:r>
          </w:p>
        </w:tc>
        <w:tc>
          <w:tcPr>
            <w:cnfStyle w:evenVBand="false" w:oddVBand="true" w:firstColumn="false"/>
            <w:tcW w:w="33.333333%" w:type="pct"/>
          </w:tcPr>
          <w:p>
            <w:pPr>
              <w:ind w:leftChars="0" w:left="480" w:right="0"/>
            </w:pPr>
            <w:r>
              <w:t>Bond funds that predominantly (more than 50%) invest in debt securities issued by governments.</w:t>
            </w:r>
          </w:p>
        </w:tc>
      </w:tr>
      <w:tr>
        <w:trPr>
          <w:cnfStyle w:evenHBand="false" w:oddHBand="true" w:firstRow="false"/>
        </w:trPr>
        <w:tc>
          <w:tcPr>
            <w:cnfStyle w:evenVBand="false" w:oddVBand="true" w:firstColumn="false"/>
            <w:tcW w:w="33.333333%" w:type="pct"/>
          </w:tcPr>
          <w:p>
            <w:pPr>
              <w:ind w:leftChars="0" w:left="0" w:right="0"/>
            </w:pPr>
            <w:r>
              <w:t>COR</w:t>
            </w:r>
          </w:p>
        </w:tc>
        <w:tc>
          <w:tcPr>
            <w:cnfStyle w:evenVBand="true" w:oddVBand="false" w:firstColumn="false"/>
            <w:tcW w:w="33.333333%" w:type="pct"/>
          </w:tcPr>
          <w:p>
            <w:pPr>
              <w:ind w:leftChars="0" w:left="0" w:right="0"/>
            </w:pPr>
            <w:r>
              <w:t>Corporate bond</w:t>
            </w:r>
          </w:p>
        </w:tc>
        <w:tc>
          <w:tcPr>
            <w:cnfStyle w:evenVBand="false" w:oddVBand="true" w:firstColumn="false"/>
            <w:tcW w:w="33.333333%" w:type="pct"/>
          </w:tcPr>
          <w:p>
            <w:pPr>
              <w:ind w:leftChars="0" w:left="480" w:right="0"/>
            </w:pPr>
            <w:r>
              <w:t>Bond funds that predominantly (more than 50%) invest in debt securities issued by financial and non-financial corporations.</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 bond</w:t>
            </w:r>
          </w:p>
        </w:tc>
        <w:tc>
          <w:tcPr>
            <w:cnfStyle w:evenVBand="false" w:oddVBand="true" w:firstColumn="false"/>
            <w:tcW w:w="33.333333%" w:type="pct"/>
          </w:tcPr>
          <w:p>
            <w:pPr>
              <w:ind w:leftChars="0" w:left="480" w:right="0"/>
            </w:pPr>
            <w:r>
              <w:t>Bond funds that invest in both government and corporate bonds with no prevailing policy in favour of one or the other.</w:t>
            </w:r>
          </w:p>
        </w:tc>
      </w:tr>
    </w:tbl>
    <w:p>
      <w:pPr>
        <w:pStyle w:val="Table Bottom Margin"/>
      </w:pPr>
    </w:p>
    <w:bookmarkEnd w:id="287"/>
    <w:bookmarkEnd w:id="286"/>
    <w:bookmarkStart w:id="288" w:name="_65016d0bbca70b27e630da90d53bc327"/>
    <w:bookmarkStart w:id="289" w:name="_281abb6e83036bb6685b3f53d72d6277"/>
    <w:p>
      <w:pPr>
        <w:pStyle w:val="Heading5"/>
        <w:keepNext/>
      </w:pPr>
      <w:r>
        <w:t>FND_DSTRBTN_TYP_ENUM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DIS</w:t>
            </w:r>
          </w:p>
        </w:tc>
        <w:tc>
          <w:tcPr>
            <w:cnfStyle w:evenVBand="true" w:oddVBand="false" w:firstColumn="false"/>
            <w:tcW w:w="33.333333%" w:type="pct"/>
          </w:tcPr>
          <w:p>
            <w:pPr>
              <w:ind w:leftChars="0" w:left="0" w:right="0"/>
            </w:pPr>
            <w:r>
              <w:t>Distribution fund</w:t>
            </w:r>
          </w:p>
        </w:tc>
        <w:tc>
          <w:tcPr>
            <w:cnfStyle w:evenVBand="false" w:oddVBand="true" w:firstColumn="false"/>
            <w:tcW w:w="33.333333%" w:type="pct"/>
          </w:tcPr>
          <w:p>
            <w:pPr>
              <w:ind w:leftChars="0" w:left="480" w:right="0"/>
            </w:pPr>
            <w:r>
              <w:t>An investment fund which predominantly pays out the income it receives to its shareholders as cash.</w:t>
            </w:r>
          </w:p>
        </w:tc>
      </w:tr>
      <w:tr>
        <w:trPr>
          <w:cnfStyle w:evenHBand="false" w:oddHBand="true" w:firstRow="false"/>
        </w:trPr>
        <w:tc>
          <w:tcPr>
            <w:cnfStyle w:evenVBand="false" w:oddVBand="true" w:firstColumn="false"/>
            <w:tcW w:w="33.333333%" w:type="pct"/>
          </w:tcPr>
          <w:p>
            <w:pPr>
              <w:ind w:leftChars="0" w:left="0" w:right="0"/>
            </w:pPr>
            <w:r>
              <w:t>CUM</w:t>
            </w:r>
          </w:p>
        </w:tc>
        <w:tc>
          <w:tcPr>
            <w:cnfStyle w:evenVBand="true" w:oddVBand="false" w:firstColumn="false"/>
            <w:tcW w:w="33.333333%" w:type="pct"/>
          </w:tcPr>
          <w:p>
            <w:pPr>
              <w:ind w:leftChars="0" w:left="0" w:right="0"/>
            </w:pPr>
            <w:r>
              <w:t>Cumulative fund</w:t>
            </w:r>
          </w:p>
        </w:tc>
        <w:tc>
          <w:tcPr>
            <w:cnfStyle w:evenVBand="false" w:oddVBand="true" w:firstColumn="false"/>
            <w:tcW w:w="33.333333%" w:type="pct"/>
          </w:tcPr>
          <w:p>
            <w:pPr>
              <w:ind w:leftChars="0" w:left="480" w:right="0"/>
            </w:pPr>
            <w:r>
              <w:t>A fund which predominantly reinvests the income it receives in accordance with its investment policy.</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dividend distribution fund</w:t>
            </w:r>
          </w:p>
        </w:tc>
        <w:tc>
          <w:tcPr>
            <w:cnfStyle w:evenVBand="false" w:oddVBand="true" w:firstColumn="false"/>
            <w:tcW w:w="33.333333%" w:type="pct"/>
          </w:tcPr>
          <w:p>
            <w:pPr>
              <w:ind w:leftChars="0" w:left="480" w:right="0"/>
            </w:pPr>
            <w:r>
              <w:t>A fund which uses the income it receives both to pay out to its shareholders as cash and to reinvest in accordance with its investment policy.</w:t>
            </w:r>
          </w:p>
        </w:tc>
      </w:tr>
    </w:tbl>
    <w:p>
      <w:pPr>
        <w:pStyle w:val="Table Bottom Margin"/>
      </w:pPr>
    </w:p>
    <w:bookmarkEnd w:id="289"/>
    <w:bookmarkEnd w:id="288"/>
    <w:bookmarkStart w:id="290" w:name="_19a3682718afa1abfef6b6ad94ba0897"/>
    <w:bookmarkStart w:id="291" w:name="_3b39f90f2205b2c50a3f543283a2c108"/>
    <w:p>
      <w:pPr>
        <w:pStyle w:val="Heading5"/>
        <w:keepNext/>
      </w:pPr>
      <w:r>
        <w:t>FND_GGRPHCL_FCS_ENUM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DOM</w:t>
            </w:r>
          </w:p>
        </w:tc>
        <w:tc>
          <w:tcPr>
            <w:cnfStyle w:evenVBand="true" w:oddVBand="false" w:firstColumn="false"/>
            <w:tcW w:w="33.333333%" w:type="pct"/>
          </w:tcPr>
          <w:p>
            <w:pPr>
              <w:ind w:leftChars="0" w:left="0" w:right="0"/>
            </w:pPr>
            <w:r>
              <w:t>Domestic</w:t>
            </w:r>
          </w:p>
        </w:tc>
        <w:tc>
          <w:tcPr>
            <w:cnfStyle w:evenVBand="false" w:oddVBand="true" w:firstColumn="false"/>
            <w:tcW w:w="33.333333%" w:type="pct"/>
          </w:tcPr>
          <w:p>
            <w:pPr>
              <w:ind w:leftChars="0" w:left="480" w:right="0"/>
            </w:pPr>
            <w:r>
              <w:t>The investment fund predominantly invests in assets issued by residents in the same country as the investment fund.</w:t>
            </w:r>
          </w:p>
        </w:tc>
      </w:tr>
      <w:tr>
        <w:trPr>
          <w:cnfStyle w:evenHBand="false" w:oddHBand="true" w:firstRow="false"/>
        </w:trPr>
        <w:tc>
          <w:tcPr>
            <w:cnfStyle w:evenVBand="false" w:oddVBand="true" w:firstColumn="false"/>
            <w:tcW w:w="33.333333%" w:type="pct"/>
          </w:tcPr>
          <w:p>
            <w:pPr>
              <w:ind w:leftChars="0" w:left="0" w:right="0"/>
            </w:pPr>
            <w:r>
              <w:t>EEA</w:t>
            </w:r>
          </w:p>
        </w:tc>
        <w:tc>
          <w:tcPr>
            <w:cnfStyle w:evenVBand="true" w:oddVBand="false" w:firstColumn="false"/>
            <w:tcW w:w="33.333333%" w:type="pct"/>
          </w:tcPr>
          <w:p>
            <w:pPr>
              <w:ind w:leftChars="0" w:left="0" w:right="0"/>
            </w:pPr>
            <w:r>
              <w:t>Europe (EEA)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OEA</w:t>
            </w:r>
          </w:p>
        </w:tc>
        <w:tc>
          <w:tcPr>
            <w:cnfStyle w:evenVBand="true" w:oddVBand="false" w:firstColumn="false"/>
            <w:tcW w:w="33.333333%" w:type="pct"/>
          </w:tcPr>
          <w:p>
            <w:pPr>
              <w:ind w:leftChars="0" w:left="0" w:right="0"/>
            </w:pPr>
            <w:r>
              <w:t>Europe (other than EEA)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NAM</w:t>
            </w:r>
          </w:p>
        </w:tc>
        <w:tc>
          <w:tcPr>
            <w:cnfStyle w:evenVBand="true" w:oddVBand="false" w:firstColumn="false"/>
            <w:tcW w:w="33.333333%" w:type="pct"/>
          </w:tcPr>
          <w:p>
            <w:pPr>
              <w:ind w:leftChars="0" w:left="0" w:right="0"/>
            </w:pPr>
            <w:r>
              <w:t>North America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SAM</w:t>
            </w:r>
          </w:p>
        </w:tc>
        <w:tc>
          <w:tcPr>
            <w:cnfStyle w:evenVBand="true" w:oddVBand="false" w:firstColumn="false"/>
            <w:tcW w:w="33.333333%" w:type="pct"/>
          </w:tcPr>
          <w:p>
            <w:pPr>
              <w:ind w:leftChars="0" w:left="0" w:right="0"/>
            </w:pPr>
            <w:r>
              <w:t>South America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ASP</w:t>
            </w:r>
          </w:p>
        </w:tc>
        <w:tc>
          <w:tcPr>
            <w:cnfStyle w:evenVBand="true" w:oddVBand="false" w:firstColumn="false"/>
            <w:tcW w:w="33.333333%" w:type="pct"/>
          </w:tcPr>
          <w:p>
            <w:pPr>
              <w:ind w:leftChars="0" w:left="0" w:right="0"/>
            </w:pPr>
            <w:r>
              <w:t>Asia / Pacific</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MEA</w:t>
            </w:r>
          </w:p>
        </w:tc>
        <w:tc>
          <w:tcPr>
            <w:cnfStyle w:evenVBand="true" w:oddVBand="false" w:firstColumn="false"/>
            <w:tcW w:w="33.333333%" w:type="pct"/>
          </w:tcPr>
          <w:p>
            <w:pPr>
              <w:ind w:leftChars="0" w:left="0" w:right="0"/>
            </w:pPr>
            <w:r>
              <w:t>Middle East</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AFR</w:t>
            </w:r>
          </w:p>
        </w:tc>
        <w:tc>
          <w:tcPr>
            <w:cnfStyle w:evenVBand="true" w:oddVBand="false" w:firstColumn="false"/>
            <w:tcW w:w="33.333333%" w:type="pct"/>
          </w:tcPr>
          <w:p>
            <w:pPr>
              <w:ind w:leftChars="0" w:left="0" w:right="0"/>
            </w:pPr>
            <w:r>
              <w:t>Africa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Predominantly invests in assets issued by supranational entities or it does not predominantly invest in any single geographical region defined above.</w:t>
            </w:r>
          </w:p>
        </w:tc>
      </w:tr>
    </w:tbl>
    <w:p>
      <w:pPr>
        <w:pStyle w:val="Table Bottom Margin"/>
      </w:pPr>
    </w:p>
    <w:bookmarkEnd w:id="291"/>
    <w:bookmarkEnd w:id="290"/>
    <w:bookmarkStart w:id="292" w:name="_5f78fc9f0b12cb68b4485020940bf044"/>
    <w:bookmarkStart w:id="293" w:name="_089f86605e2b1df398ae35ce76316b0a"/>
    <w:p>
      <w:pPr>
        <w:pStyle w:val="Heading5"/>
        <w:keepNext/>
      </w:pPr>
      <w:r>
        <w:t>FND_GRN_TYP_ENUM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LIGHT</w:t>
            </w:r>
          </w:p>
        </w:tc>
        <w:tc>
          <w:tcPr>
            <w:cnfStyle w:evenVBand="true" w:oddVBand="false" w:firstColumn="false"/>
            <w:tcW w:w="33.333333%" w:type="pct"/>
          </w:tcPr>
          <w:p>
            <w:pPr>
              <w:ind w:leftChars="0" w:left="0" w:right="0"/>
            </w:pPr>
            <w:r>
              <w:t>Light green fund</w:t>
            </w:r>
          </w:p>
        </w:tc>
        <w:tc>
          <w:tcPr>
            <w:cnfStyle w:evenVBand="false" w:oddVBand="true" w:firstColumn="false"/>
            <w:tcW w:w="33.333333%" w:type="pct"/>
          </w:tcPr>
          <w:p>
            <w:pPr>
              <w:ind w:leftChars="0" w:left="480" w:right="0"/>
            </w:pPr>
            <w:r>
              <w:t>Sustainable Finance Disclosure Regulation (SFDR) Article 8 fund is an investment fund compliant with Regulation (EU) 2019/2088 Article 8, thereby promoting environmental or social characteristics (sometimes called light-green funds).</w:t>
            </w:r>
          </w:p>
        </w:tc>
      </w:tr>
      <w:tr>
        <w:trPr>
          <w:cnfStyle w:evenHBand="false" w:oddHBand="true" w:firstRow="false"/>
        </w:trPr>
        <w:tc>
          <w:tcPr>
            <w:cnfStyle w:evenVBand="false" w:oddVBand="true" w:firstColumn="false"/>
            <w:tcW w:w="33.333333%" w:type="pct"/>
          </w:tcPr>
          <w:p>
            <w:pPr>
              <w:ind w:leftChars="0" w:left="0" w:right="0"/>
            </w:pPr>
            <w:r>
              <w:t>DARK</w:t>
            </w:r>
          </w:p>
        </w:tc>
        <w:tc>
          <w:tcPr>
            <w:cnfStyle w:evenVBand="true" w:oddVBand="false" w:firstColumn="false"/>
            <w:tcW w:w="33.333333%" w:type="pct"/>
          </w:tcPr>
          <w:p>
            <w:pPr>
              <w:ind w:leftChars="0" w:left="0" w:right="0"/>
            </w:pPr>
            <w:r>
              <w:t>Dark green fund</w:t>
            </w:r>
          </w:p>
        </w:tc>
        <w:tc>
          <w:tcPr>
            <w:cnfStyle w:evenVBand="false" w:oddVBand="true" w:firstColumn="false"/>
            <w:tcW w:w="33.333333%" w:type="pct"/>
          </w:tcPr>
          <w:p>
            <w:pPr>
              <w:ind w:leftChars="0" w:left="480" w:right="0"/>
            </w:pPr>
            <w:r>
              <w:t>Sustainable Finance Disclosure Regulation (SFDR) Article 9 fund is an investment fund compliant with Regulation (EU) 2019/2088 Article 9, thereby having sustainable investment as its objective (dark-green funds).</w:t>
            </w:r>
          </w:p>
        </w:tc>
      </w:tr>
    </w:tbl>
    <w:p>
      <w:pPr>
        <w:pStyle w:val="Table Bottom Margin"/>
      </w:pPr>
    </w:p>
    <w:bookmarkEnd w:id="293"/>
    <w:bookmarkEnd w:id="292"/>
    <w:bookmarkStart w:id="294" w:name="_54122ec04b7acee317cdb0198b8d29ae"/>
    <w:bookmarkStart w:id="295" w:name="_2259d74159d410e269b1340067e3f903"/>
    <w:p>
      <w:pPr>
        <w:pStyle w:val="Heading5"/>
        <w:keepNext/>
      </w:pPr>
      <w:r>
        <w:t>FND_INVSTMNT_PLCY_ENUM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MMF</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480" w:right="0"/>
            </w:pPr>
            <w:r>
              <w:t>‘Money market funds’ means collective investment undertakings that have been authorised pursuant to Article 4 of Regulation (EU) 2017/1131 and that issue shares or units which are close substitutes for deposits as referred to in Part 1 of Annex I to Regulation ECB/2021/2.</w:t>
            </w:r>
          </w:p>
        </w:tc>
      </w:tr>
      <w:tr>
        <w:trPr>
          <w:cnfStyle w:evenHBand="false" w:oddHBand="true" w:firstRow="false"/>
        </w:trPr>
        <w:tc>
          <w:tcPr>
            <w:cnfStyle w:evenVBand="false" w:oddVBand="true" w:firstColumn="false"/>
            <w:tcW w:w="33.333333%" w:type="pct"/>
          </w:tcPr>
          <w:p>
            <w:pPr>
              <w:ind w:leftChars="0" w:left="0" w:right="0"/>
            </w:pPr>
            <w:r>
              <w:t>EQT</w:t>
            </w:r>
          </w:p>
        </w:tc>
        <w:tc>
          <w:tcPr>
            <w:cnfStyle w:evenVBand="true" w:oddVBand="false" w:firstColumn="false"/>
            <w:tcW w:w="33.333333%" w:type="pct"/>
          </w:tcPr>
          <w:p>
            <w:pPr>
              <w:ind w:leftChars="0" w:left="0" w:right="0"/>
            </w:pPr>
            <w:r>
              <w:t>Equity Funds</w:t>
            </w:r>
          </w:p>
        </w:tc>
        <w:tc>
          <w:tcPr>
            <w:cnfStyle w:evenVBand="false" w:oddVBand="true" w:firstColumn="false"/>
            <w:tcW w:w="33.333333%" w:type="pct"/>
          </w:tcPr>
          <w:p>
            <w:pPr>
              <w:ind w:leftChars="0" w:left="480" w:right="0"/>
            </w:pPr>
            <w:r>
              <w:t>Equity funds are investment funds primarily investing in equity.</w:t>
            </w:r>
          </w:p>
        </w:tc>
      </w:tr>
      <w:tr>
        <w:trPr>
          <w:cnfStyle w:evenHBand="true" w:oddHBand="false" w:firstRow="false"/>
        </w:trPr>
        <w:tc>
          <w:tcPr>
            <w:cnfStyle w:evenVBand="false" w:oddVBand="true" w:firstColumn="false"/>
            <w:tcW w:w="33.333333%" w:type="pct"/>
          </w:tcPr>
          <w:p>
            <w:pPr>
              <w:ind w:leftChars="0" w:left="0" w:right="0"/>
            </w:pPr>
            <w:r>
              <w:t>BON</w:t>
            </w:r>
          </w:p>
        </w:tc>
        <w:tc>
          <w:tcPr>
            <w:cnfStyle w:evenVBand="true" w:oddVBand="false" w:firstColumn="false"/>
            <w:tcW w:w="33.333333%" w:type="pct"/>
          </w:tcPr>
          <w:p>
            <w:pPr>
              <w:ind w:leftChars="0" w:left="0" w:right="0"/>
            </w:pPr>
            <w:r>
              <w:t>Bond Funds</w:t>
            </w:r>
          </w:p>
        </w:tc>
        <w:tc>
          <w:tcPr>
            <w:cnfStyle w:evenVBand="false" w:oddVBand="true" w:firstColumn="false"/>
            <w:tcW w:w="33.333333%" w:type="pct"/>
          </w:tcPr>
          <w:p>
            <w:pPr>
              <w:ind w:leftChars="0" w:left="480" w:right="0"/>
            </w:pPr>
            <w:r>
              <w:t>Equity funds are investment funds primarily investing in debt securities.</w:t>
            </w:r>
          </w:p>
        </w:tc>
      </w:tr>
      <w:tr>
        <w:trPr>
          <w:cnfStyle w:evenHBand="false" w:oddHBand="tru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Funds</w:t>
            </w:r>
          </w:p>
        </w:tc>
        <w:tc>
          <w:tcPr>
            <w:cnfStyle w:evenVBand="false" w:oddVBand="true" w:firstColumn="false"/>
            <w:tcW w:w="33.333333%" w:type="pct"/>
          </w:tcPr>
          <w:p>
            <w:pPr>
              <w:ind w:leftChars="0" w:left="480" w:right="0"/>
            </w:pPr>
            <w:r>
              <w:t>Mixed funds are investment funds investing in both equity and bonds with no prevailing policy in favour of one or the other instrument.</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Read Estate Funds</w:t>
            </w:r>
          </w:p>
        </w:tc>
        <w:tc>
          <w:tcPr>
            <w:cnfStyle w:evenVBand="false" w:oddVBand="true" w:firstColumn="false"/>
            <w:tcW w:w="33.333333%" w:type="pct"/>
          </w:tcPr>
          <w:p>
            <w:pPr>
              <w:ind w:leftChars="0" w:left="480" w:right="0"/>
            </w:pPr>
            <w:r>
              <w:t>Real estate funds are investment funds primarily investing in real estate.</w:t>
            </w:r>
          </w:p>
        </w:tc>
      </w:tr>
      <w:tr>
        <w:trPr>
          <w:cnfStyle w:evenHBand="false" w:oddHBand="true" w:firstRow="false"/>
        </w:trPr>
        <w:tc>
          <w:tcPr>
            <w:cnfStyle w:evenVBand="false" w:oddVBand="true" w:firstColumn="false"/>
            <w:tcW w:w="33.333333%" w:type="pct"/>
          </w:tcPr>
          <w:p>
            <w:pPr>
              <w:ind w:leftChars="0" w:left="0" w:right="0"/>
            </w:pPr>
            <w:r>
              <w:t>HED</w:t>
            </w:r>
          </w:p>
        </w:tc>
        <w:tc>
          <w:tcPr>
            <w:cnfStyle w:evenVBand="true" w:oddVBand="false" w:firstColumn="false"/>
            <w:tcW w:w="33.333333%" w:type="pct"/>
          </w:tcPr>
          <w:p>
            <w:pPr>
              <w:ind w:leftChars="0" w:left="0" w:right="0"/>
            </w:pPr>
            <w:r>
              <w:t>Hedge Funds</w:t>
            </w:r>
          </w:p>
        </w:tc>
        <w:tc>
          <w:tcPr>
            <w:cnfStyle w:evenVBand="false" w:oddVBand="true" w:firstColumn="false"/>
            <w:tcW w:w="33.333333%" w:type="pct"/>
          </w:tcPr>
          <w:p>
            <w:pPr>
              <w:ind w:leftChars="0" w:left="480" w:right="0"/>
            </w:pPr>
            <w:r>
              <w:t>Hedge funds mean any collective investment undertakings regardless of its legal structure under national laws, which apply relatively unconstrained investment strategies to achieve positive absolute returns, and whose managers, in addition to management fees, are remunerated in relation to the fund’s performance. For that purpose, hedge funds have few restrictions on the type of financial instruments in which they may invest and may therefore flexibly employ a wide variety of financial techniques, involving leverage, short-selling or any other techniques.  This definition also covers funds that invest, in full or in part, in other hedge funds provided that they otherwise meet the definition.</w:t>
            </w:r>
          </w:p>
        </w:tc>
      </w:tr>
      <w:tr>
        <w:trPr>
          <w:cnfStyle w:evenHBand="true" w:oddHBand="false" w:firstRow="false"/>
        </w:trPr>
        <w:tc>
          <w:tcPr>
            <w:cnfStyle w:evenVBand="false" w:oddVBand="true" w:firstColumn="false"/>
            <w:tcW w:w="33.333333%" w:type="pct"/>
          </w:tcPr>
          <w:p>
            <w:pPr>
              <w:ind w:leftChars="0" w:left="0" w:right="0"/>
            </w:pPr>
            <w:r>
              <w:t>LOA</w:t>
            </w:r>
          </w:p>
        </w:tc>
        <w:tc>
          <w:tcPr>
            <w:cnfStyle w:evenVBand="true" w:oddVBand="false" w:firstColumn="false"/>
            <w:tcW w:w="33.333333%" w:type="pct"/>
          </w:tcPr>
          <w:p>
            <w:pPr>
              <w:ind w:leftChars="0" w:left="0" w:right="0"/>
            </w:pPr>
            <w:r>
              <w:t>Loan / credit Funds</w:t>
            </w:r>
          </w:p>
        </w:tc>
        <w:tc>
          <w:tcPr>
            <w:cnfStyle w:evenVBand="false" w:oddVBand="true" w:firstColumn="false"/>
            <w:tcW w:w="33.333333%" w:type="pct"/>
          </w:tcPr>
          <w:p>
            <w:pPr>
              <w:ind w:leftChars="0" w:left="480" w:right="0"/>
            </w:pPr>
            <w:r>
              <w:t>Loan credit funds are investment funds primarily investing in loans.</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Commodity Funds</w:t>
            </w:r>
          </w:p>
        </w:tc>
        <w:tc>
          <w:tcPr>
            <w:cnfStyle w:evenVBand="false" w:oddVBand="true" w:firstColumn="false"/>
            <w:tcW w:w="33.333333%" w:type="pct"/>
          </w:tcPr>
          <w:p>
            <w:pPr>
              <w:ind w:leftChars="0" w:left="480" w:right="0"/>
            </w:pPr>
            <w:r>
              <w:t>Commodity funds are investment funds primarily investing in commodities.</w:t>
            </w:r>
          </w:p>
        </w:tc>
      </w:tr>
      <w:tr>
        <w:trPr>
          <w:cnfStyle w:evenHBand="true" w:oddHBand="false" w:firstRow="false"/>
        </w:trPr>
        <w:tc>
          <w:tcPr>
            <w:cnfStyle w:evenVBand="false" w:oddVBand="true" w:firstColumn="false"/>
            <w:tcW w:w="33.333333%" w:type="pct"/>
          </w:tcPr>
          <w:p>
            <w:pPr>
              <w:ind w:leftChars="0" w:left="0" w:right="0"/>
            </w:pPr>
            <w:r>
              <w:t>INF</w:t>
            </w:r>
          </w:p>
        </w:tc>
        <w:tc>
          <w:tcPr>
            <w:cnfStyle w:evenVBand="true" w:oddVBand="false" w:firstColumn="false"/>
            <w:tcW w:w="33.333333%" w:type="pct"/>
          </w:tcPr>
          <w:p>
            <w:pPr>
              <w:ind w:leftChars="0" w:left="0" w:right="0"/>
            </w:pPr>
            <w:r>
              <w:t>Infrastructure Funds</w:t>
            </w:r>
          </w:p>
        </w:tc>
        <w:tc>
          <w:tcPr>
            <w:cnfStyle w:evenVBand="false" w:oddVBand="true" w:firstColumn="false"/>
            <w:tcW w:w="33.333333%" w:type="pct"/>
          </w:tcPr>
          <w:p>
            <w:pPr>
              <w:ind w:leftChars="0" w:left="480" w:right="0"/>
            </w:pPr>
            <w:r>
              <w:t>Infrastructure funds are investment funds primarily investing in public building infrastructure such as schools, hospitals or prisons, social infrastructure such as social housing, transport infrastructure such as roads, mass transit systems or airports, energy infrastructure such as energy grids, climate adaptation and mitigation projects, power plants or pipelines, water management infrastructure such as water supply systems, sewage or irrigation systems, communication infrastructure such as networks, and waste management infrastructure such as recycling or collection systems.</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Funds</w:t>
            </w:r>
          </w:p>
        </w:tc>
        <w:tc>
          <w:tcPr>
            <w:cnfStyle w:evenVBand="false" w:oddVBand="true" w:firstColumn="false"/>
            <w:tcW w:w="33.333333%" w:type="pct"/>
          </w:tcPr>
          <w:p>
            <w:pPr>
              <w:ind w:leftChars="0" w:left="480" w:right="0"/>
            </w:pPr>
            <w:r>
              <w:t>Other funds are investment funds other than bond funds, equity funds, mixed funds, real estate funds, hedge funds, loan / credit funds, commodity funds or infrastructure funds.</w:t>
            </w:r>
          </w:p>
        </w:tc>
      </w:tr>
    </w:tbl>
    <w:p>
      <w:pPr>
        <w:pStyle w:val="Table Bottom Margin"/>
      </w:pPr>
    </w:p>
    <w:bookmarkEnd w:id="295"/>
    <w:bookmarkEnd w:id="294"/>
    <w:bookmarkStart w:id="296" w:name="_a25bcfd2b94cf464c514b3093dd11033"/>
    <w:bookmarkStart w:id="297" w:name="_3f45eca514b52326addbf84eae029fc1"/>
    <w:p>
      <w:pPr>
        <w:pStyle w:val="Heading5"/>
        <w:keepNext/>
      </w:pPr>
      <w:r>
        <w:t>FND_INVSTR_TYP_ENUM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PRF</w:t>
            </w:r>
          </w:p>
        </w:tc>
        <w:tc>
          <w:tcPr>
            <w:cnfStyle w:evenVBand="true" w:oddVBand="false" w:firstColumn="false"/>
            <w:tcW w:w="33.333333%" w:type="pct"/>
          </w:tcPr>
          <w:p>
            <w:pPr>
              <w:ind w:leftChars="0" w:left="0" w:right="0"/>
            </w:pPr>
            <w:r>
              <w:t>Professional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professional clients</w:t>
            </w:r>
            <w:r>
              <w:t>.  Professional client means a client who meets the criteria laid down in Annex II to Directive 2014/65/EU (MiFID).</w:t>
            </w:r>
          </w:p>
        </w:tc>
      </w:tr>
      <w:tr>
        <w:trPr>
          <w:cnfStyle w:evenHBand="false" w:oddHBand="true" w:firstRow="false"/>
        </w:trPr>
        <w:tc>
          <w:tcPr>
            <w:cnfStyle w:evenVBand="false" w:oddVBand="true" w:firstColumn="false"/>
            <w:tcW w:w="33.333333%" w:type="pct"/>
          </w:tcPr>
          <w:p>
            <w:pPr>
              <w:ind w:leftChars="0" w:left="0" w:right="0"/>
            </w:pPr>
            <w:r>
              <w:t>RTL</w:t>
            </w:r>
          </w:p>
        </w:tc>
        <w:tc>
          <w:tcPr>
            <w:cnfStyle w:evenVBand="true" w:oddVBand="false" w:firstColumn="false"/>
            <w:tcW w:w="33.333333%" w:type="pct"/>
          </w:tcPr>
          <w:p>
            <w:pPr>
              <w:ind w:leftChars="0" w:left="0" w:right="0"/>
            </w:pPr>
            <w:r>
              <w:t>Retail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retail clients</w:t>
            </w:r>
            <w:r>
              <w:t>.  Retail client means a client who is not a professional client (MiFID).</w:t>
            </w:r>
          </w:p>
        </w:tc>
      </w:tr>
      <w:tr>
        <w:trPr>
          <w:cnfStyle w:evenHBand="true" w:oddHBand="false" w:firstRow="false"/>
        </w:trPr>
        <w:tc>
          <w:tcPr>
            <w:cnfStyle w:evenVBand="false" w:oddVBand="true" w:firstColumn="false"/>
            <w:tcW w:w="33.333333%" w:type="pct"/>
          </w:tcPr>
          <w:p>
            <w:pPr>
              <w:ind w:leftChars="0" w:left="0" w:right="0"/>
            </w:pPr>
            <w:r>
              <w:t>ART</w:t>
            </w:r>
          </w:p>
        </w:tc>
        <w:tc>
          <w:tcPr>
            <w:cnfStyle w:evenVBand="true" w:oddVBand="false" w:firstColumn="false"/>
            <w:tcW w:w="33.333333%" w:type="pct"/>
          </w:tcPr>
          <w:p>
            <w:pPr>
              <w:ind w:leftChars="0" w:left="0" w:right="0"/>
            </w:pPr>
            <w:r>
              <w:t>Alternative investment fund retail client</w:t>
            </w:r>
          </w:p>
        </w:tc>
        <w:tc>
          <w:tcPr>
            <w:cnfStyle w:evenVBand="false" w:oddVBand="true" w:firstColumn="false"/>
            <w:tcW w:w="33.333333%" w:type="pct"/>
          </w:tcPr>
          <w:p>
            <w:pPr>
              <w:ind w:leftChars="0" w:left="480" w:right="0"/>
            </w:pPr>
            <w:r>
              <w:t>An AIF o/w authorised to be marketed to retail investors in accordance with Article 43 of Directive 2011/61/EU (AIFMD).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investment fund client</w:t>
            </w:r>
          </w:p>
        </w:tc>
        <w:tc>
          <w:tcPr>
            <w:cnfStyle w:evenVBand="false" w:oddVBand="true" w:firstColumn="false"/>
            <w:tcW w:w="33.333333%" w:type="pct"/>
          </w:tcPr>
          <w:p>
            <w:pPr>
              <w:ind w:leftChars="0" w:left="480" w:right="0"/>
            </w:pPr>
            <w:r>
              <w:t>An investment fund in which the holders are not characterized as PRF, RTL or ART.</w:t>
            </w:r>
          </w:p>
        </w:tc>
      </w:tr>
    </w:tbl>
    <w:p>
      <w:pPr>
        <w:pStyle w:val="Table Bottom Margin"/>
      </w:pPr>
    </w:p>
    <w:bookmarkEnd w:id="297"/>
    <w:bookmarkEnd w:id="296"/>
    <w:bookmarkStart w:id="298" w:name="_e772f01debb4814be06b599f43de1382"/>
    <w:bookmarkStart w:id="299" w:name="_75c85613981e9a604ff38c0fb2eecc4a"/>
    <w:p>
      <w:pPr>
        <w:pStyle w:val="Heading5"/>
        <w:keepNext/>
      </w:pPr>
      <w:r>
        <w:t>FND_RL_ESTT_TYP_ENUM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Residential real estate fund</w:t>
            </w:r>
          </w:p>
        </w:tc>
        <w:tc>
          <w:tcPr>
            <w:cnfStyle w:evenVBand="false" w:oddVBand="true" w:firstColumn="false"/>
            <w:tcW w:w="33.333333%" w:type="pct"/>
          </w:tcPr>
          <w:p>
            <w:pPr>
              <w:ind w:leftChars="0" w:left="480" w:right="0"/>
            </w:pPr>
            <w:r>
              <w:t>Predominantly invest in residential property.  Residential property means a residence which is occupied by the owner or the lessee of the residence.  (Article 4(1)(75) of Regutation (EU) No 575/2013).</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Commercial real estate fund</w:t>
            </w:r>
          </w:p>
        </w:tc>
        <w:tc>
          <w:tcPr>
            <w:cnfStyle w:evenVBand="false" w:oddVBand="true" w:firstColumn="false"/>
            <w:tcW w:w="33.333333%" w:type="pct"/>
          </w:tcPr>
          <w:p>
            <w:pPr>
              <w:ind w:leftChars="0" w:left="480" w:right="0"/>
            </w:pPr>
            <w:r>
              <w:t>Predominantly invest in real estate used for commercial purposes, such as retail and hotels.</w:t>
            </w:r>
          </w:p>
        </w:tc>
      </w:tr>
      <w:tr>
        <w:trPr>
          <w:cnfStyle w:evenHBand="true" w:oddHBand="false" w:firstRow="false"/>
        </w:trPr>
        <w:tc>
          <w:tcPr>
            <w:cnfStyle w:evenVBand="false" w:oddVBand="true" w:firstColumn="false"/>
            <w:tcW w:w="33.333333%" w:type="pct"/>
          </w:tcPr>
          <w:p>
            <w:pPr>
              <w:ind w:leftChars="0" w:left="0" w:right="0"/>
            </w:pPr>
            <w:r>
              <w:t>IND</w:t>
            </w:r>
          </w:p>
        </w:tc>
        <w:tc>
          <w:tcPr>
            <w:cnfStyle w:evenVBand="true" w:oddVBand="false" w:firstColumn="false"/>
            <w:tcW w:w="33.333333%" w:type="pct"/>
          </w:tcPr>
          <w:p>
            <w:pPr>
              <w:ind w:leftChars="0" w:left="0" w:right="0"/>
            </w:pPr>
            <w:r>
              <w:t>Industrial real estate fund</w:t>
            </w:r>
          </w:p>
        </w:tc>
        <w:tc>
          <w:tcPr>
            <w:cnfStyle w:evenVBand="false" w:oddVBand="true" w:firstColumn="false"/>
            <w:tcW w:w="33.333333%" w:type="pct"/>
          </w:tcPr>
          <w:p>
            <w:pPr>
              <w:ind w:leftChars="0" w:left="480" w:right="0"/>
            </w:pPr>
            <w:r>
              <w:t>Predominantly invest in real estate used for manufacturing, production, storage, and distriubution of goods.</w:t>
            </w:r>
          </w:p>
        </w:tc>
      </w:tr>
      <w:tr>
        <w:trPr>
          <w:cnfStyle w:evenHBand="false" w:oddHBand="true" w:firstRow="false"/>
        </w:trPr>
        <w:tc>
          <w:tcPr>
            <w:cnfStyle w:evenVBand="false" w:oddVBand="true" w:firstColumn="false"/>
            <w:tcW w:w="33.333333%" w:type="pct"/>
          </w:tcPr>
          <w:p>
            <w:pPr>
              <w:ind w:leftChars="0" w:left="0" w:right="0"/>
            </w:pPr>
            <w:r>
              <w:t>MUL</w:t>
            </w:r>
          </w:p>
        </w:tc>
        <w:tc>
          <w:tcPr>
            <w:cnfStyle w:evenVBand="true" w:oddVBand="false" w:firstColumn="false"/>
            <w:tcW w:w="33.333333%" w:type="pct"/>
          </w:tcPr>
          <w:p>
            <w:pPr>
              <w:ind w:leftChars="0" w:left="0" w:right="0"/>
            </w:pPr>
            <w:r>
              <w:t>Multi-strategy real estate fund</w:t>
            </w:r>
          </w:p>
        </w:tc>
        <w:tc>
          <w:tcPr>
            <w:cnfStyle w:evenVBand="false" w:oddVBand="true" w:firstColumn="false"/>
            <w:tcW w:w="33.333333%" w:type="pct"/>
          </w:tcPr>
          <w:p>
            <w:pPr>
              <w:ind w:leftChars="0" w:left="480" w:right="0"/>
            </w:pPr>
            <w:r>
              <w:t>Invest in residential, commercial and industrial real estate without a predominant focus on 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real estate fund</w:t>
            </w:r>
          </w:p>
        </w:tc>
        <w:tc>
          <w:tcPr>
            <w:cnfStyle w:evenVBand="false" w:oddVBand="true" w:firstColumn="false"/>
            <w:tcW w:w="33.333333%" w:type="pct"/>
          </w:tcPr>
          <w:p>
            <w:pPr>
              <w:ind w:leftChars="0" w:left="480" w:right="0"/>
            </w:pPr>
            <w:r>
              <w:t>Real estate fund which are not residential, commercial, industrial, or multi-strategy.</w:t>
            </w:r>
          </w:p>
        </w:tc>
      </w:tr>
    </w:tbl>
    <w:p>
      <w:pPr>
        <w:pStyle w:val="Table Bottom Margin"/>
      </w:pPr>
    </w:p>
    <w:bookmarkEnd w:id="299"/>
    <w:bookmarkEnd w:id="298"/>
    <w:bookmarkStart w:id="300" w:name="_aef5441683807acfe80d718ef6a56e7f"/>
    <w:bookmarkStart w:id="301" w:name="_8579f75ad9e73d571042276e4c6f6f51"/>
    <w:p>
      <w:pPr>
        <w:pStyle w:val="Heading5"/>
        <w:keepNext/>
      </w:pPr>
      <w:r>
        <w:t>FND_SBTYP_ENUM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OPEN</w:t>
            </w:r>
          </w:p>
        </w:tc>
        <w:tc>
          <w:tcPr>
            <w:cnfStyle w:evenVBand="true" w:oddVBand="false" w:firstColumn="false"/>
            <w:tcW w:w="33.333333%" w:type="pct"/>
          </w:tcPr>
          <w:p>
            <w:pPr>
              <w:ind w:leftChars="0" w:left="0" w:right="0"/>
            </w:pPr>
            <w:r>
              <w:t>Open-end investment funds</w:t>
            </w:r>
          </w:p>
        </w:tc>
        <w:tc>
          <w:tcPr>
            <w:cnfStyle w:evenVBand="false" w:oddVBand="true" w:firstColumn="false"/>
            <w:tcW w:w="33.333333%" w:type="pct"/>
          </w:tcPr>
          <w:p>
            <w:pPr>
              <w:ind w:leftChars="0" w:left="480" w:right="0"/>
            </w:pPr>
            <w:r>
              <w:t>Open-end investment funds are investment funds whose units or shares are, at the request of the holders, repurchased or redeemed directly or indirectly out of the undertaking’s assets.</w:t>
            </w:r>
          </w:p>
        </w:tc>
      </w:tr>
      <w:tr>
        <w:trPr>
          <w:cnfStyle w:evenHBand="false" w:oddHBand="true" w:firstRow="false"/>
        </w:trPr>
        <w:tc>
          <w:tcPr>
            <w:cnfStyle w:evenVBand="false" w:oddVBand="true" w:firstColumn="false"/>
            <w:tcW w:w="33.333333%" w:type="pct"/>
          </w:tcPr>
          <w:p>
            <w:pPr>
              <w:ind w:leftChars="0" w:left="0" w:right="0"/>
            </w:pPr>
            <w:r>
              <w:t>CLOSE</w:t>
            </w:r>
          </w:p>
        </w:tc>
        <w:tc>
          <w:tcPr>
            <w:cnfStyle w:evenVBand="true" w:oddVBand="false" w:firstColumn="false"/>
            <w:tcW w:w="33.333333%" w:type="pct"/>
          </w:tcPr>
          <w:p>
            <w:pPr>
              <w:ind w:leftChars="0" w:left="0" w:right="0"/>
            </w:pPr>
            <w:r>
              <w:t>Closed-end investment funds</w:t>
            </w:r>
          </w:p>
        </w:tc>
        <w:tc>
          <w:tcPr>
            <w:cnfStyle w:evenVBand="false" w:oddVBand="true" w:firstColumn="false"/>
            <w:tcW w:w="33.333333%" w:type="pct"/>
          </w:tcPr>
          <w:p>
            <w:pPr>
              <w:ind w:leftChars="0" w:left="480" w:right="0"/>
            </w:pPr>
            <w:r>
              <w:t>Closed-end investment funds are investment funds with a fixed number of issued shares whose shareholders have to buy or sell existing shares to enter or leave the fund.</w:t>
            </w:r>
          </w:p>
        </w:tc>
      </w:tr>
    </w:tbl>
    <w:p>
      <w:pPr>
        <w:pStyle w:val="Table Bottom Margin"/>
      </w:pPr>
    </w:p>
    <w:bookmarkEnd w:id="301"/>
    <w:bookmarkEnd w:id="300"/>
    <w:bookmarkStart w:id="302" w:name="_4d24309c58d333234b758df903ceb0a8"/>
    <w:bookmarkStart w:id="303" w:name="_6a0cc1ebeda108aa4e5f96d65e175631"/>
    <w:p>
      <w:pPr>
        <w:pStyle w:val="Heading5"/>
        <w:keepNext/>
      </w:pPr>
      <w:r>
        <w:t>FND_STRTGY_ENUM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ACTIVE</w:t>
            </w:r>
          </w:p>
        </w:tc>
        <w:tc>
          <w:tcPr>
            <w:cnfStyle w:evenVBand="true" w:oddVBand="false" w:firstColumn="false"/>
            <w:tcW w:w="33.333333%" w:type="pct"/>
          </w:tcPr>
          <w:p>
            <w:pPr>
              <w:ind w:leftChars="0" w:left="0" w:right="0"/>
            </w:pPr>
            <w:r>
              <w:t>Active</w:t>
            </w:r>
          </w:p>
        </w:tc>
        <w:tc>
          <w:tcPr>
            <w:cnfStyle w:evenVBand="false" w:oddVBand="true" w:firstColumn="false"/>
            <w:tcW w:w="33.333333%"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r>
      <w:tr>
        <w:trPr>
          <w:cnfStyle w:evenHBand="false" w:oddHBand="true" w:firstRow="false"/>
        </w:trPr>
        <w:tc>
          <w:tcPr>
            <w:cnfStyle w:evenVBand="false" w:oddVBand="true" w:firstColumn="false"/>
            <w:tcW w:w="33.333333%" w:type="pct"/>
          </w:tcPr>
          <w:p>
            <w:pPr>
              <w:ind w:leftChars="0" w:left="0" w:right="0"/>
            </w:pPr>
            <w:r>
              <w:t>SYNPAS</w:t>
            </w:r>
          </w:p>
        </w:tc>
        <w:tc>
          <w:tcPr>
            <w:cnfStyle w:evenVBand="true" w:oddVBand="false" w:firstColumn="false"/>
            <w:tcW w:w="33.333333%" w:type="pct"/>
          </w:tcPr>
          <w:p>
            <w:pPr>
              <w:ind w:leftChars="0" w:left="0" w:right="0"/>
            </w:pPr>
            <w:r>
              <w:t>Passive synthetic</w:t>
            </w:r>
          </w:p>
        </w:tc>
        <w:tc>
          <w:tcPr>
            <w:cnfStyle w:evenVBand="false" w:oddVBand="true" w:firstColumn="false"/>
            <w:tcW w:w="33.333333%"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r>
      <w:tr>
        <w:trPr>
          <w:cnfStyle w:evenHBand="true" w:oddHBand="false" w:firstRow="false"/>
        </w:trPr>
        <w:tc>
          <w:tcPr>
            <w:cnfStyle w:evenVBand="false" w:oddVBand="true" w:firstColumn="false"/>
            <w:tcW w:w="33.333333%" w:type="pct"/>
          </w:tcPr>
          <w:p>
            <w:pPr>
              <w:ind w:leftChars="0" w:left="0" w:right="0"/>
            </w:pPr>
            <w:r>
              <w:t>SYNPHY</w:t>
            </w:r>
          </w:p>
        </w:tc>
        <w:tc>
          <w:tcPr>
            <w:cnfStyle w:evenVBand="true" w:oddVBand="false" w:firstColumn="false"/>
            <w:tcW w:w="33.333333%" w:type="pct"/>
          </w:tcPr>
          <w:p>
            <w:pPr>
              <w:ind w:leftChars="0" w:left="0" w:right="0"/>
            </w:pPr>
            <w:r>
              <w:t>Passive physical</w:t>
            </w:r>
          </w:p>
        </w:tc>
        <w:tc>
          <w:tcPr>
            <w:cnfStyle w:evenVBand="false" w:oddVBand="true" w:firstColumn="false"/>
            <w:tcW w:w="33.333333%" w:type="pct"/>
          </w:tcPr>
          <w:p>
            <w:pPr>
              <w:ind w:leftChars="0" w:left="480" w:right="0"/>
            </w:pPr>
            <w:r>
              <w:t>Passive physical investment funds pursue an index-tracking objective by means of physical replication, holding the assets, or a sample of the assets, underlying the index it is tracking.</w:t>
            </w:r>
          </w:p>
        </w:tc>
      </w:tr>
    </w:tbl>
    <w:p>
      <w:pPr>
        <w:pStyle w:val="Table Bottom Margin"/>
      </w:pPr>
    </w:p>
    <w:bookmarkEnd w:id="303"/>
    <w:bookmarkEnd w:id="302"/>
    <w:bookmarkStart w:id="304" w:name="_a4e65f0ce3c161ac71ef9de006a2de37"/>
    <w:bookmarkStart w:id="305" w:name="_e1dad5a340817cdc2aedee6c4af2f29f"/>
    <w:p>
      <w:pPr>
        <w:pStyle w:val="Heading5"/>
        <w:keepNext/>
      </w:pPr>
      <w:r>
        <w:t>FND_TYP_ENUM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Undertakings for Collective Investments in Transferable Securities (UCITS)</w:t>
            </w:r>
          </w:p>
        </w:tc>
        <w:tc>
          <w:tcPr>
            <w:cnfStyle w:evenVBand="false" w:oddVBand="true" w:firstColumn="false"/>
            <w:tcW w:w="33.333333%" w:type="pct"/>
          </w:tcPr>
          <w:p>
            <w:pPr>
              <w:ind w:leftChars="0" w:left="480" w:right="0"/>
            </w:pPr>
            <w:r>
              <w:t>UCITS means investment funds that have been established in accordance with Directive 2009/65/EC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AIF</w:t>
            </w:r>
          </w:p>
        </w:tc>
        <w:tc>
          <w:tcPr>
            <w:cnfStyle w:evenVBand="true" w:oddVBand="false" w:firstColumn="false"/>
            <w:tcW w:w="33.333333%" w:type="pct"/>
          </w:tcPr>
          <w:p>
            <w:pPr>
              <w:ind w:leftChars="0" w:left="0" w:right="0"/>
            </w:pPr>
            <w:r>
              <w:t>Alternative Investment Fund</w:t>
            </w:r>
          </w:p>
        </w:tc>
        <w:tc>
          <w:tcPr>
            <w:cnfStyle w:evenVBand="false" w:oddVBand="true" w:firstColumn="false"/>
            <w:tcW w:w="33.333333%" w:type="pct"/>
          </w:tcPr>
          <w:p>
            <w:pPr>
              <w:ind w:leftChars="0" w:left="480" w:right="0"/>
            </w:pPr>
            <w:r>
              <w:t>Alternative Investment Fund means investment fund as defined in Article 4(1) of Directive 2011/61/EU (AIFMD)</w:t>
            </w:r>
          </w:p>
        </w:tc>
      </w:tr>
      <w:tr>
        <w:trPr>
          <w:cnfStyle w:evenHBand="true" w:oddHBand="false" w:firstRow="false"/>
        </w:trPr>
        <w:tc>
          <w:tcPr>
            <w:cnfStyle w:evenVBand="false" w:oddVBand="true" w:firstColumn="false"/>
            <w:tcW w:w="33.333333%" w:type="pct"/>
          </w:tcPr>
          <w:p>
            <w:pPr>
              <w:ind w:leftChars="0" w:left="0" w:right="0"/>
            </w:pPr>
            <w:r>
              <w:t>REIT</w:t>
            </w:r>
          </w:p>
        </w:tc>
        <w:tc>
          <w:tcPr>
            <w:cnfStyle w:evenVBand="true" w:oddVBand="false" w:firstColumn="false"/>
            <w:tcW w:w="33.333333%" w:type="pct"/>
          </w:tcPr>
          <w:p>
            <w:pPr>
              <w:ind w:leftChars="0" w:left="0" w:right="0"/>
            </w:pPr>
            <w:r>
              <w:t>Real Estate Investment Trust</w:t>
            </w:r>
          </w:p>
        </w:tc>
        <w:tc>
          <w:tcPr>
            <w:cnfStyle w:evenVBand="false" w:oddVBand="true" w:firstColumn="false"/>
            <w:tcW w:w="33.333333%" w:type="pct"/>
          </w:tcPr>
          <w:p>
            <w:pPr>
              <w:ind w:leftChars="0" w:left="480" w:right="0"/>
            </w:pPr>
            <w:r>
              <w:t>Real estate investment trust is an entity that owns or finances income producing real estate assets and is subject to a dedicated national legal framework defining its legal form, eligible assets and tax regime.</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Investment fund that is not UCITS, AIF or REIT.</w:t>
            </w:r>
          </w:p>
        </w:tc>
      </w:tr>
    </w:tbl>
    <w:p>
      <w:pPr>
        <w:pStyle w:val="Table Bottom Margin"/>
      </w:pPr>
    </w:p>
    <w:bookmarkEnd w:id="305"/>
    <w:bookmarkEnd w:id="304"/>
    <w:bookmarkStart w:id="306" w:name="_b522beb4dd0139763983b90986b32a65"/>
    <w:bookmarkStart w:id="307" w:name="_63f0edfa8bda5fac44cb69ae483ba8e1"/>
    <w:p>
      <w:pPr>
        <w:pStyle w:val="Heading5"/>
        <w:keepNext/>
      </w:pPr>
      <w:r>
        <w:t>GEN_CNTRY_ENUM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AE</w:t>
            </w:r>
          </w:p>
        </w:tc>
        <w:tc>
          <w:tcPr>
            <w:cnfStyle w:evenVBand="true" w:oddVBand="false" w:firstColumn="false"/>
            <w:tcW w:w="33.333333%" w:type="pct"/>
          </w:tcPr>
          <w:p>
            <w:pPr>
              <w:ind w:leftChars="0" w:left="0" w:right="0"/>
            </w:pPr>
            <w:r>
              <w:t>United Arab Emirates (the)</w:t>
            </w:r>
          </w:p>
        </w:tc>
        <w:tc>
          <w:tcPr>
            <w:cnfStyle w:evenVBand="false" w:oddVBand="true" w:firstColumn="false"/>
            <w:tcW w:w="33.333333%" w:type="pct"/>
          </w:tcPr>
          <w:p>
            <w:pPr>
              <w:ind w:leftChars="0" w:left="0" w:right="0"/>
            </w:pPr>
            <w:r>
              <w:t>United Arab Emirates (the)</w:t>
            </w:r>
          </w:p>
        </w:tc>
      </w:tr>
      <w:tr>
        <w:trPr>
          <w:cnfStyle w:evenHBand="true" w:oddHBand="false" w:firstRow="false"/>
        </w:trPr>
        <w:tc>
          <w:tcPr>
            <w:cnfStyle w:evenVBand="false" w:oddVBand="true" w:firstColumn="false"/>
            <w:tcW w:w="33.333333%" w:type="pct"/>
          </w:tcPr>
          <w:p>
            <w:pPr>
              <w:ind w:leftChars="0" w:left="0" w:right="0"/>
            </w:pPr>
            <w:r>
              <w:t>AF</w:t>
            </w:r>
          </w:p>
        </w:tc>
        <w:tc>
          <w:tcPr>
            <w:cnfStyle w:evenVBand="true" w:oddVBand="false" w:firstColumn="false"/>
            <w:tcW w:w="33.333333%" w:type="pct"/>
          </w:tcPr>
          <w:p>
            <w:pPr>
              <w:ind w:leftChars="0" w:left="0" w:right="0"/>
            </w:pPr>
            <w:r>
              <w:t>Afghanistan</w:t>
            </w:r>
          </w:p>
        </w:tc>
        <w:tc>
          <w:tcPr>
            <w:cnfStyle w:evenVBand="false" w:oddVBand="true" w:firstColumn="false"/>
            <w:tcW w:w="33.333333%" w:type="pct"/>
          </w:tcPr>
          <w:p>
            <w:pPr>
              <w:ind w:leftChars="0" w:left="0" w:right="0"/>
            </w:pPr>
            <w:r>
              <w:t>Afghanistan</w:t>
            </w:r>
          </w:p>
        </w:tc>
      </w:tr>
      <w:tr>
        <w:trPr>
          <w:cnfStyle w:evenHBand="false" w:oddHBand="true" w:firstRow="false"/>
        </w:trPr>
        <w:tc>
          <w:tcPr>
            <w:cnfStyle w:evenVBand="false" w:oddVBand="true" w:firstColumn="false"/>
            <w:tcW w:w="33.333333%" w:type="pct"/>
          </w:tcPr>
          <w:p>
            <w:pPr>
              <w:ind w:leftChars="0" w:left="0" w:right="0"/>
            </w:pPr>
            <w:r>
              <w:t>AL</w:t>
            </w:r>
          </w:p>
        </w:tc>
        <w:tc>
          <w:tcPr>
            <w:cnfStyle w:evenVBand="true" w:oddVBand="false" w:firstColumn="false"/>
            <w:tcW w:w="33.333333%" w:type="pct"/>
          </w:tcPr>
          <w:p>
            <w:pPr>
              <w:ind w:leftChars="0" w:left="0" w:right="0"/>
            </w:pPr>
            <w:r>
              <w:t>Albania</w:t>
            </w:r>
          </w:p>
        </w:tc>
        <w:tc>
          <w:tcPr>
            <w:cnfStyle w:evenVBand="false" w:oddVBand="true" w:firstColumn="false"/>
            <w:tcW w:w="33.333333%" w:type="pct"/>
          </w:tcPr>
          <w:p>
            <w:pPr>
              <w:ind w:leftChars="0" w:left="0" w:right="0"/>
            </w:pPr>
            <w:r>
              <w:t>Albania</w:t>
            </w:r>
          </w:p>
        </w:tc>
      </w:tr>
      <w:tr>
        <w:trPr>
          <w:cnfStyle w:evenHBand="true" w:oddHBand="false" w:firstRow="false"/>
        </w:trPr>
        <w:tc>
          <w:tcPr>
            <w:cnfStyle w:evenVBand="false" w:oddVBand="true" w:firstColumn="false"/>
            <w:tcW w:w="33.333333%" w:type="pct"/>
          </w:tcPr>
          <w:p>
            <w:pPr>
              <w:ind w:leftChars="0" w:left="0" w:right="0"/>
            </w:pPr>
            <w:r>
              <w:t>AO</w:t>
            </w:r>
          </w:p>
        </w:tc>
        <w:tc>
          <w:tcPr>
            <w:cnfStyle w:evenVBand="true" w:oddVBand="false" w:firstColumn="false"/>
            <w:tcW w:w="33.333333%" w:type="pct"/>
          </w:tcPr>
          <w:p>
            <w:pPr>
              <w:ind w:leftChars="0" w:left="0" w:right="0"/>
            </w:pPr>
            <w:r>
              <w:t>Angola</w:t>
            </w:r>
          </w:p>
        </w:tc>
        <w:tc>
          <w:tcPr>
            <w:cnfStyle w:evenVBand="false" w:oddVBand="true" w:firstColumn="false"/>
            <w:tcW w:w="33.333333%" w:type="pct"/>
          </w:tcPr>
          <w:p>
            <w:pPr>
              <w:ind w:leftChars="0" w:left="0" w:right="0"/>
            </w:pPr>
            <w:r>
              <w:t>Angola</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Argentina</w:t>
            </w:r>
          </w:p>
        </w:tc>
        <w:tc>
          <w:tcPr>
            <w:cnfStyle w:evenVBand="false" w:oddVBand="true" w:firstColumn="false"/>
            <w:tcW w:w="33.333333%" w:type="pct"/>
          </w:tcPr>
          <w:p>
            <w:pPr>
              <w:ind w:leftChars="0" w:left="0" w:right="0"/>
            </w:pPr>
            <w:r>
              <w:t>Argentina</w:t>
            </w:r>
          </w:p>
        </w:tc>
      </w:tr>
      <w:tr>
        <w:trPr>
          <w:cnfStyle w:evenHBand="true" w:oddHBand="false" w:firstRow="false"/>
        </w:trPr>
        <w:tc>
          <w:tcPr>
            <w:cnfStyle w:evenVBand="false" w:oddVBand="true" w:firstColumn="false"/>
            <w:tcW w:w="33.333333%" w:type="pct"/>
          </w:tcPr>
          <w:p>
            <w:pPr>
              <w:ind w:leftChars="0" w:left="0" w:right="0"/>
            </w:pPr>
            <w:r>
              <w:t>AT</w:t>
            </w:r>
          </w:p>
        </w:tc>
        <w:tc>
          <w:tcPr>
            <w:cnfStyle w:evenVBand="true" w:oddVBand="false" w:firstColumn="false"/>
            <w:tcW w:w="33.333333%" w:type="pct"/>
          </w:tcPr>
          <w:p>
            <w:pPr>
              <w:ind w:leftChars="0" w:left="0" w:right="0"/>
            </w:pPr>
            <w:r>
              <w:t>Austria</w:t>
            </w:r>
          </w:p>
        </w:tc>
        <w:tc>
          <w:tcPr>
            <w:cnfStyle w:evenVBand="false" w:oddVBand="true" w:firstColumn="false"/>
            <w:tcW w:w="33.333333%" w:type="pct"/>
          </w:tcPr>
          <w:p>
            <w:pPr>
              <w:ind w:leftChars="0" w:left="0" w:right="0"/>
            </w:pPr>
            <w:r>
              <w:t>Austria</w:t>
            </w:r>
          </w:p>
        </w:tc>
      </w:tr>
      <w:tr>
        <w:trPr>
          <w:cnfStyle w:evenHBand="false" w:oddHBand="true" w:firstRow="false"/>
        </w:trPr>
        <w:tc>
          <w:tcPr>
            <w:cnfStyle w:evenVBand="false" w:oddVBand="true" w:firstColumn="false"/>
            <w:tcW w:w="33.333333%" w:type="pct"/>
          </w:tcPr>
          <w:p>
            <w:pPr>
              <w:ind w:leftChars="0" w:left="0" w:right="0"/>
            </w:pPr>
            <w:r>
              <w:t>AU</w:t>
            </w:r>
          </w:p>
        </w:tc>
        <w:tc>
          <w:tcPr>
            <w:cnfStyle w:evenVBand="true" w:oddVBand="false" w:firstColumn="false"/>
            <w:tcW w:w="33.333333%" w:type="pct"/>
          </w:tcPr>
          <w:p>
            <w:pPr>
              <w:ind w:leftChars="0" w:left="0" w:right="0"/>
            </w:pPr>
            <w:r>
              <w:t>Australia</w:t>
            </w:r>
          </w:p>
        </w:tc>
        <w:tc>
          <w:tcPr>
            <w:cnfStyle w:evenVBand="false" w:oddVBand="true" w:firstColumn="false"/>
            <w:tcW w:w="33.333333%" w:type="pct"/>
          </w:tcPr>
          <w:p>
            <w:pPr>
              <w:ind w:leftChars="0" w:left="0" w:right="0"/>
            </w:pPr>
            <w:r>
              <w:t>Australia</w:t>
            </w:r>
          </w:p>
        </w:tc>
      </w:tr>
      <w:tr>
        <w:trPr>
          <w:cnfStyle w:evenHBand="true" w:oddHBand="false" w:firstRow="false"/>
        </w:trPr>
        <w:tc>
          <w:tcPr>
            <w:cnfStyle w:evenVBand="false" w:oddVBand="true" w:firstColumn="false"/>
            <w:tcW w:w="33.333333%" w:type="pct"/>
          </w:tcPr>
          <w:p>
            <w:pPr>
              <w:ind w:leftChars="0" w:left="0" w:right="0"/>
            </w:pPr>
            <w:r>
              <w:t>BE</w:t>
            </w:r>
          </w:p>
        </w:tc>
        <w:tc>
          <w:tcPr>
            <w:cnfStyle w:evenVBand="true" w:oddVBand="false" w:firstColumn="false"/>
            <w:tcW w:w="33.333333%" w:type="pct"/>
          </w:tcPr>
          <w:p>
            <w:pPr>
              <w:ind w:leftChars="0" w:left="0" w:right="0"/>
            </w:pPr>
            <w:r>
              <w:t>Belgium</w:t>
            </w:r>
          </w:p>
        </w:tc>
        <w:tc>
          <w:tcPr>
            <w:cnfStyle w:evenVBand="false" w:oddVBand="true" w:firstColumn="false"/>
            <w:tcW w:w="33.333333%" w:type="pct"/>
          </w:tcPr>
          <w:p>
            <w:pPr>
              <w:ind w:leftChars="0" w:left="0" w:right="0"/>
            </w:pPr>
            <w:r>
              <w:t>Belgium</w:t>
            </w:r>
          </w:p>
        </w:tc>
      </w:tr>
      <w:tr>
        <w:trPr>
          <w:cnfStyle w:evenHBand="false" w:oddHBand="true" w:firstRow="false"/>
        </w:trPr>
        <w:tc>
          <w:tcPr>
            <w:cnfStyle w:evenVBand="false" w:oddVBand="true" w:firstColumn="false"/>
            <w:tcW w:w="33.333333%" w:type="pct"/>
          </w:tcPr>
          <w:p>
            <w:pPr>
              <w:ind w:leftChars="0" w:left="0" w:right="0"/>
            </w:pPr>
            <w:r>
              <w:t>BG</w:t>
            </w:r>
          </w:p>
        </w:tc>
        <w:tc>
          <w:tcPr>
            <w:cnfStyle w:evenVBand="true" w:oddVBand="false" w:firstColumn="false"/>
            <w:tcW w:w="33.333333%" w:type="pct"/>
          </w:tcPr>
          <w:p>
            <w:pPr>
              <w:ind w:leftChars="0" w:left="0" w:right="0"/>
            </w:pPr>
            <w:r>
              <w:t>Bulgaria</w:t>
            </w:r>
          </w:p>
        </w:tc>
        <w:tc>
          <w:tcPr>
            <w:cnfStyle w:evenVBand="false" w:oddVBand="true" w:firstColumn="false"/>
            <w:tcW w:w="33.333333%" w:type="pct"/>
          </w:tcPr>
          <w:p>
            <w:pPr>
              <w:ind w:leftChars="0" w:left="0" w:right="0"/>
            </w:pPr>
            <w:r>
              <w:t>Bulgaria</w:t>
            </w:r>
          </w:p>
        </w:tc>
      </w:tr>
      <w:tr>
        <w:trPr>
          <w:cnfStyle w:evenHBand="true" w:oddHBand="false" w:firstRow="false"/>
        </w:trPr>
        <w:tc>
          <w:tcPr>
            <w:cnfStyle w:evenVBand="false" w:oddVBand="true" w:firstColumn="false"/>
            <w:tcW w:w="33.333333%" w:type="pct"/>
          </w:tcPr>
          <w:p>
            <w:pPr>
              <w:ind w:leftChars="0" w:left="0" w:right="0"/>
            </w:pPr>
            <w:r>
              <w:t>BH</w:t>
            </w:r>
          </w:p>
        </w:tc>
        <w:tc>
          <w:tcPr>
            <w:cnfStyle w:evenVBand="true" w:oddVBand="false" w:firstColumn="false"/>
            <w:tcW w:w="33.333333%" w:type="pct"/>
          </w:tcPr>
          <w:p>
            <w:pPr>
              <w:ind w:leftChars="0" w:left="0" w:right="0"/>
            </w:pPr>
            <w:r>
              <w:t>Bahrain</w:t>
            </w:r>
          </w:p>
        </w:tc>
        <w:tc>
          <w:tcPr>
            <w:cnfStyle w:evenVBand="false" w:oddVBand="true" w:firstColumn="false"/>
            <w:tcW w:w="33.333333%" w:type="pct"/>
          </w:tcPr>
          <w:p>
            <w:pPr>
              <w:ind w:leftChars="0" w:left="0" w:right="0"/>
            </w:pPr>
            <w:r>
              <w:t>Bahrain</w:t>
            </w:r>
          </w:p>
        </w:tc>
      </w:tr>
      <w:tr>
        <w:trPr>
          <w:cnfStyle w:evenHBand="false" w:oddHBand="true" w:firstRow="false"/>
        </w:trPr>
        <w:tc>
          <w:tcPr>
            <w:cnfStyle w:evenVBand="false" w:oddVBand="true" w:firstColumn="false"/>
            <w:tcW w:w="33.333333%" w:type="pct"/>
          </w:tcPr>
          <w:p>
            <w:pPr>
              <w:ind w:leftChars="0" w:left="0" w:right="0"/>
            </w:pPr>
            <w:r>
              <w:t>BJ</w:t>
            </w:r>
          </w:p>
        </w:tc>
        <w:tc>
          <w:tcPr>
            <w:cnfStyle w:evenVBand="true" w:oddVBand="false" w:firstColumn="false"/>
            <w:tcW w:w="33.333333%" w:type="pct"/>
          </w:tcPr>
          <w:p>
            <w:pPr>
              <w:ind w:leftChars="0" w:left="0" w:right="0"/>
            </w:pPr>
            <w:r>
              <w:t>Benin</w:t>
            </w:r>
          </w:p>
        </w:tc>
        <w:tc>
          <w:tcPr>
            <w:cnfStyle w:evenVBand="false" w:oddVBand="true" w:firstColumn="false"/>
            <w:tcW w:w="33.333333%" w:type="pct"/>
          </w:tcPr>
          <w:p>
            <w:pPr>
              <w:ind w:leftChars="0" w:left="0" w:right="0"/>
            </w:pPr>
            <w:r>
              <w:t>Benin</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Bermuda</w:t>
            </w:r>
          </w:p>
        </w:tc>
        <w:tc>
          <w:tcPr>
            <w:cnfStyle w:evenVBand="false" w:oddVBand="true" w:firstColumn="false"/>
            <w:tcW w:w="33.333333%" w:type="pct"/>
          </w:tcPr>
          <w:p>
            <w:pPr>
              <w:ind w:leftChars="0" w:left="0" w:right="0"/>
            </w:pPr>
            <w:r>
              <w:t>Bermuda</w:t>
            </w:r>
          </w:p>
        </w:tc>
      </w:tr>
      <w:tr>
        <w:trPr>
          <w:cnfStyle w:evenHBand="false" w:oddHBand="true" w:firstRow="false"/>
        </w:trPr>
        <w:tc>
          <w:tcPr>
            <w:cnfStyle w:evenVBand="false" w:oddVBand="true" w:firstColumn="false"/>
            <w:tcW w:w="33.333333%" w:type="pct"/>
          </w:tcPr>
          <w:p>
            <w:pPr>
              <w:ind w:leftChars="0" w:left="0" w:right="0"/>
            </w:pPr>
            <w:r>
              <w:t>BR</w:t>
            </w:r>
          </w:p>
        </w:tc>
        <w:tc>
          <w:tcPr>
            <w:cnfStyle w:evenVBand="true" w:oddVBand="false" w:firstColumn="false"/>
            <w:tcW w:w="33.333333%" w:type="pct"/>
          </w:tcPr>
          <w:p>
            <w:pPr>
              <w:ind w:leftChars="0" w:left="0" w:right="0"/>
            </w:pPr>
            <w:r>
              <w:t>Brazil</w:t>
            </w:r>
          </w:p>
        </w:tc>
        <w:tc>
          <w:tcPr>
            <w:cnfStyle w:evenVBand="false" w:oddVBand="true" w:firstColumn="false"/>
            <w:tcW w:w="33.333333%" w:type="pct"/>
          </w:tcPr>
          <w:p>
            <w:pPr>
              <w:ind w:leftChars="0" w:left="0" w:right="0"/>
            </w:pPr>
            <w:r>
              <w:t>Brazil</w:t>
            </w:r>
          </w:p>
        </w:tc>
      </w:tr>
      <w:tr>
        <w:trPr>
          <w:cnfStyle w:evenHBand="true" w:oddHBand="false" w:firstRow="false"/>
        </w:trPr>
        <w:tc>
          <w:tcPr>
            <w:cnfStyle w:evenVBand="false" w:oddVBand="true" w:firstColumn="false"/>
            <w:tcW w:w="33.333333%" w:type="pct"/>
          </w:tcPr>
          <w:p>
            <w:pPr>
              <w:ind w:leftChars="0" w:left="0" w:right="0"/>
            </w:pPr>
            <w:r>
              <w:t>BS</w:t>
            </w:r>
          </w:p>
        </w:tc>
        <w:tc>
          <w:tcPr>
            <w:cnfStyle w:evenVBand="true" w:oddVBand="false" w:firstColumn="false"/>
            <w:tcW w:w="33.333333%" w:type="pct"/>
          </w:tcPr>
          <w:p>
            <w:pPr>
              <w:ind w:leftChars="0" w:left="0" w:right="0"/>
            </w:pPr>
            <w:r>
              <w:t>Bahamas (the)</w:t>
            </w:r>
          </w:p>
        </w:tc>
        <w:tc>
          <w:tcPr>
            <w:cnfStyle w:evenVBand="false" w:oddVBand="true" w:firstColumn="false"/>
            <w:tcW w:w="33.333333%" w:type="pct"/>
          </w:tcPr>
          <w:p>
            <w:pPr>
              <w:ind w:leftChars="0" w:left="0" w:right="0"/>
            </w:pPr>
            <w:r>
              <w:t>Bahamas (the)</w:t>
            </w:r>
          </w:p>
        </w:tc>
      </w:tr>
      <w:tr>
        <w:trPr>
          <w:cnfStyle w:evenHBand="false" w:oddHBand="true" w:firstRow="false"/>
        </w:trPr>
        <w:tc>
          <w:tcPr>
            <w:cnfStyle w:evenVBand="false" w:oddVBand="true" w:firstColumn="false"/>
            <w:tcW w:w="33.333333%" w:type="pct"/>
          </w:tcPr>
          <w:p>
            <w:pPr>
              <w:ind w:leftChars="0" w:left="0" w:right="0"/>
            </w:pPr>
            <w:r>
              <w:t>BY</w:t>
            </w:r>
          </w:p>
        </w:tc>
        <w:tc>
          <w:tcPr>
            <w:cnfStyle w:evenVBand="true" w:oddVBand="false" w:firstColumn="false"/>
            <w:tcW w:w="33.333333%" w:type="pct"/>
          </w:tcPr>
          <w:p>
            <w:pPr>
              <w:ind w:leftChars="0" w:left="0" w:right="0"/>
            </w:pPr>
            <w:r>
              <w:t>Belarus</w:t>
            </w:r>
          </w:p>
        </w:tc>
        <w:tc>
          <w:tcPr>
            <w:cnfStyle w:evenVBand="false" w:oddVBand="true" w:firstColumn="false"/>
            <w:tcW w:w="33.333333%" w:type="pct"/>
          </w:tcPr>
          <w:p>
            <w:pPr>
              <w:ind w:leftChars="0" w:left="0" w:right="0"/>
            </w:pPr>
            <w:r>
              <w:t>Belarus</w:t>
            </w:r>
          </w:p>
        </w:tc>
      </w:tr>
      <w:tr>
        <w:trPr>
          <w:cnfStyle w:evenHBand="true" w:oddHBand="false" w:firstRow="false"/>
        </w:trPr>
        <w:tc>
          <w:tcPr>
            <w:cnfStyle w:evenVBand="false" w:oddVBand="true" w:firstColumn="false"/>
            <w:tcW w:w="33.333333%" w:type="pct"/>
          </w:tcPr>
          <w:p>
            <w:pPr>
              <w:ind w:leftChars="0" w:left="0" w:right="0"/>
            </w:pPr>
            <w:r>
              <w:t>BZ</w:t>
            </w:r>
          </w:p>
        </w:tc>
        <w:tc>
          <w:tcPr>
            <w:cnfStyle w:evenVBand="true" w:oddVBand="false" w:firstColumn="false"/>
            <w:tcW w:w="33.333333%" w:type="pct"/>
          </w:tcPr>
          <w:p>
            <w:pPr>
              <w:ind w:leftChars="0" w:left="0" w:right="0"/>
            </w:pPr>
            <w:r>
              <w:t>Belize</w:t>
            </w:r>
          </w:p>
        </w:tc>
        <w:tc>
          <w:tcPr>
            <w:cnfStyle w:evenVBand="false" w:oddVBand="true" w:firstColumn="false"/>
            <w:tcW w:w="33.333333%" w:type="pct"/>
          </w:tcPr>
          <w:p>
            <w:pPr>
              <w:ind w:leftChars="0" w:left="0" w:right="0"/>
            </w:pPr>
            <w:r>
              <w:t>Belize</w:t>
            </w:r>
          </w:p>
        </w:tc>
      </w:tr>
      <w:tr>
        <w:trPr>
          <w:cnfStyle w:evenHBand="false" w:oddHBand="true" w:firstRow="false"/>
        </w:trPr>
        <w:tc>
          <w:tcPr>
            <w:cnfStyle w:evenVBand="false" w:oddVBand="true" w:firstColumn="false"/>
            <w:tcW w:w="33.333333%" w:type="pct"/>
          </w:tcPr>
          <w:p>
            <w:pPr>
              <w:ind w:leftChars="0" w:left="0" w:right="0"/>
            </w:pPr>
            <w:r>
              <w:t>CA</w:t>
            </w:r>
          </w:p>
        </w:tc>
        <w:tc>
          <w:tcPr>
            <w:cnfStyle w:evenVBand="true" w:oddVBand="false" w:firstColumn="false"/>
            <w:tcW w:w="33.333333%" w:type="pct"/>
          </w:tcPr>
          <w:p>
            <w:pPr>
              <w:ind w:leftChars="0" w:left="0" w:right="0"/>
            </w:pPr>
            <w:r>
              <w:t>Canada</w:t>
            </w:r>
          </w:p>
        </w:tc>
        <w:tc>
          <w:tcPr>
            <w:cnfStyle w:evenVBand="false" w:oddVBand="true" w:firstColumn="false"/>
            <w:tcW w:w="33.333333%" w:type="pct"/>
          </w:tcPr>
          <w:p>
            <w:pPr>
              <w:ind w:leftChars="0" w:left="0" w:right="0"/>
            </w:pPr>
            <w:r>
              <w:t>Canada</w:t>
            </w:r>
          </w:p>
        </w:tc>
      </w:tr>
      <w:tr>
        <w:trPr>
          <w:cnfStyle w:evenHBand="true" w:oddHBand="false" w:firstRow="false"/>
        </w:trPr>
        <w:tc>
          <w:tcPr>
            <w:cnfStyle w:evenVBand="false" w:oddVBand="true" w:firstColumn="false"/>
            <w:tcW w:w="33.333333%" w:type="pct"/>
          </w:tcPr>
          <w:p>
            <w:pPr>
              <w:ind w:leftChars="0" w:left="0" w:right="0"/>
            </w:pPr>
            <w:r>
              <w:t>CG</w:t>
            </w:r>
          </w:p>
        </w:tc>
        <w:tc>
          <w:tcPr>
            <w:cnfStyle w:evenVBand="true" w:oddVBand="false" w:firstColumn="false"/>
            <w:tcW w:w="33.333333%" w:type="pct"/>
          </w:tcPr>
          <w:p>
            <w:pPr>
              <w:ind w:leftChars="0" w:left="0" w:right="0"/>
            </w:pPr>
            <w:r>
              <w:t>Congo (the)</w:t>
            </w:r>
          </w:p>
        </w:tc>
        <w:tc>
          <w:tcPr>
            <w:cnfStyle w:evenVBand="false" w:oddVBand="true" w:firstColumn="false"/>
            <w:tcW w:w="33.333333%" w:type="pct"/>
          </w:tcPr>
          <w:p>
            <w:pPr>
              <w:ind w:leftChars="0" w:left="0" w:right="0"/>
            </w:pPr>
            <w:r>
              <w:t>Congo (the)</w:t>
            </w:r>
          </w:p>
        </w:tc>
      </w:tr>
      <w:tr>
        <w:trPr>
          <w:cnfStyle w:evenHBand="false" w:oddHBand="true" w:firstRow="false"/>
        </w:trPr>
        <w:tc>
          <w:tcPr>
            <w:cnfStyle w:evenVBand="false" w:oddVBand="true" w:firstColumn="false"/>
            <w:tcW w:w="33.333333%" w:type="pct"/>
          </w:tcPr>
          <w:p>
            <w:pPr>
              <w:ind w:leftChars="0" w:left="0" w:right="0"/>
            </w:pPr>
            <w:r>
              <w:t>CH</w:t>
            </w:r>
          </w:p>
        </w:tc>
        <w:tc>
          <w:tcPr>
            <w:cnfStyle w:evenVBand="true" w:oddVBand="false" w:firstColumn="false"/>
            <w:tcW w:w="33.333333%" w:type="pct"/>
          </w:tcPr>
          <w:p>
            <w:pPr>
              <w:ind w:leftChars="0" w:left="0" w:right="0"/>
            </w:pPr>
            <w:r>
              <w:t>Switzerland</w:t>
            </w:r>
          </w:p>
        </w:tc>
        <w:tc>
          <w:tcPr>
            <w:cnfStyle w:evenVBand="false" w:oddVBand="true" w:firstColumn="false"/>
            <w:tcW w:w="33.333333%" w:type="pct"/>
          </w:tcPr>
          <w:p>
            <w:pPr>
              <w:ind w:leftChars="0" w:left="0" w:right="0"/>
            </w:pPr>
            <w:r>
              <w:t>Switzerland</w:t>
            </w:r>
          </w:p>
        </w:tc>
      </w:tr>
      <w:tr>
        <w:trPr>
          <w:cnfStyle w:evenHBand="true" w:oddHBand="false" w:firstRow="false"/>
        </w:trPr>
        <w:tc>
          <w:tcPr>
            <w:cnfStyle w:evenVBand="false" w:oddVBand="true" w:firstColumn="false"/>
            <w:tcW w:w="33.333333%" w:type="pct"/>
          </w:tcPr>
          <w:p>
            <w:pPr>
              <w:ind w:leftChars="0" w:left="0" w:right="0"/>
            </w:pPr>
            <w:r>
              <w:t>CL</w:t>
            </w:r>
          </w:p>
        </w:tc>
        <w:tc>
          <w:tcPr>
            <w:cnfStyle w:evenVBand="true" w:oddVBand="false" w:firstColumn="false"/>
            <w:tcW w:w="33.333333%" w:type="pct"/>
          </w:tcPr>
          <w:p>
            <w:pPr>
              <w:ind w:leftChars="0" w:left="0" w:right="0"/>
            </w:pPr>
            <w:r>
              <w:t>Chile</w:t>
            </w:r>
          </w:p>
        </w:tc>
        <w:tc>
          <w:tcPr>
            <w:cnfStyle w:evenVBand="false" w:oddVBand="true" w:firstColumn="false"/>
            <w:tcW w:w="33.333333%" w:type="pct"/>
          </w:tcPr>
          <w:p>
            <w:pPr>
              <w:ind w:leftChars="0" w:left="0" w:right="0"/>
            </w:pPr>
            <w:r>
              <w:t>Chile</w:t>
            </w:r>
          </w:p>
        </w:tc>
      </w:tr>
      <w:tr>
        <w:trPr>
          <w:cnfStyle w:evenHBand="false" w:oddHBand="true" w:firstRow="false"/>
        </w:trPr>
        <w:tc>
          <w:tcPr>
            <w:cnfStyle w:evenVBand="false" w:oddVBand="true" w:firstColumn="false"/>
            <w:tcW w:w="33.333333%" w:type="pct"/>
          </w:tcPr>
          <w:p>
            <w:pPr>
              <w:ind w:leftChars="0" w:left="0" w:right="0"/>
            </w:pPr>
            <w:r>
              <w:t>CM</w:t>
            </w:r>
          </w:p>
        </w:tc>
        <w:tc>
          <w:tcPr>
            <w:cnfStyle w:evenVBand="true" w:oddVBand="false" w:firstColumn="false"/>
            <w:tcW w:w="33.333333%" w:type="pct"/>
          </w:tcPr>
          <w:p>
            <w:pPr>
              <w:ind w:leftChars="0" w:left="0" w:right="0"/>
            </w:pPr>
            <w:r>
              <w:t>Cameroon</w:t>
            </w:r>
          </w:p>
        </w:tc>
        <w:tc>
          <w:tcPr>
            <w:cnfStyle w:evenVBand="false" w:oddVBand="true" w:firstColumn="false"/>
            <w:tcW w:w="33.333333%" w:type="pct"/>
          </w:tcPr>
          <w:p>
            <w:pPr>
              <w:ind w:leftChars="0" w:left="0" w:right="0"/>
            </w:pPr>
            <w:r>
              <w:t>Cameroon</w:t>
            </w:r>
          </w:p>
        </w:tc>
      </w:tr>
      <w:tr>
        <w:trPr>
          <w:cnfStyle w:evenHBand="true" w:oddHBand="false" w:firstRow="false"/>
        </w:trPr>
        <w:tc>
          <w:tcPr>
            <w:cnfStyle w:evenVBand="false" w:oddVBand="true" w:firstColumn="false"/>
            <w:tcW w:w="33.333333%" w:type="pct"/>
          </w:tcPr>
          <w:p>
            <w:pPr>
              <w:ind w:leftChars="0" w:left="0" w:right="0"/>
            </w:pPr>
            <w:r>
              <w:t>CN</w:t>
            </w:r>
          </w:p>
        </w:tc>
        <w:tc>
          <w:tcPr>
            <w:cnfStyle w:evenVBand="true" w:oddVBand="false" w:firstColumn="false"/>
            <w:tcW w:w="33.333333%" w:type="pct"/>
          </w:tcPr>
          <w:p>
            <w:pPr>
              <w:ind w:leftChars="0" w:left="0" w:right="0"/>
            </w:pPr>
            <w:r>
              <w:t>China</w:t>
            </w:r>
          </w:p>
        </w:tc>
        <w:tc>
          <w:tcPr>
            <w:cnfStyle w:evenVBand="false" w:oddVBand="true" w:firstColumn="false"/>
            <w:tcW w:w="33.333333%" w:type="pct"/>
          </w:tcPr>
          <w:p>
            <w:pPr>
              <w:ind w:leftChars="0" w:left="0" w:right="0"/>
            </w:pPr>
            <w:r>
              <w:t>China excluding Taiwan (TW), Hong Kong (HK), Macao (MO)</w:t>
            </w:r>
          </w:p>
        </w:tc>
      </w:tr>
      <w:tr>
        <w:trPr>
          <w:cnfStyle w:evenHBand="false" w:oddHBand="true" w:firstRow="false"/>
        </w:trPr>
        <w:tc>
          <w:tcPr>
            <w:cnfStyle w:evenVBand="false" w:oddVBand="true" w:firstColumn="false"/>
            <w:tcW w:w="33.333333%" w:type="pct"/>
          </w:tcPr>
          <w:p>
            <w:pPr>
              <w:ind w:leftChars="0" w:left="0" w:right="0"/>
            </w:pPr>
            <w:r>
              <w:t>CO</w:t>
            </w:r>
          </w:p>
        </w:tc>
        <w:tc>
          <w:tcPr>
            <w:cnfStyle w:evenVBand="true" w:oddVBand="false" w:firstColumn="false"/>
            <w:tcW w:w="33.333333%" w:type="pct"/>
          </w:tcPr>
          <w:p>
            <w:pPr>
              <w:ind w:leftChars="0" w:left="0" w:right="0"/>
            </w:pPr>
            <w:r>
              <w:t>Colombia</w:t>
            </w:r>
          </w:p>
        </w:tc>
        <w:tc>
          <w:tcPr>
            <w:cnfStyle w:evenVBand="false" w:oddVBand="true" w:firstColumn="false"/>
            <w:tcW w:w="33.333333%" w:type="pct"/>
          </w:tcPr>
          <w:p>
            <w:pPr>
              <w:ind w:leftChars="0" w:left="0" w:right="0"/>
            </w:pPr>
            <w:r>
              <w:t>Colombia</w:t>
            </w:r>
          </w:p>
        </w:tc>
      </w:tr>
      <w:tr>
        <w:trPr>
          <w:cnfStyle w:evenHBand="true" w:oddHBand="false" w:firstRow="false"/>
        </w:trPr>
        <w:tc>
          <w:tcPr>
            <w:cnfStyle w:evenVBand="false" w:oddVBand="true" w:firstColumn="false"/>
            <w:tcW w:w="33.333333%" w:type="pct"/>
          </w:tcPr>
          <w:p>
            <w:pPr>
              <w:ind w:leftChars="0" w:left="0" w:right="0"/>
            </w:pPr>
            <w:r>
              <w:t>CW</w:t>
            </w:r>
          </w:p>
        </w:tc>
        <w:tc>
          <w:tcPr>
            <w:cnfStyle w:evenVBand="true" w:oddVBand="false" w:firstColumn="false"/>
            <w:tcW w:w="33.333333%" w:type="pct"/>
          </w:tcPr>
          <w:p>
            <w:pPr>
              <w:ind w:leftChars="0" w:left="0" w:right="0"/>
            </w:pPr>
            <w:r>
              <w:t>Curacao</w:t>
            </w:r>
          </w:p>
        </w:tc>
        <w:tc>
          <w:tcPr>
            <w:cnfStyle w:evenVBand="false" w:oddVBand="true" w:firstColumn="false"/>
            <w:tcW w:w="33.333333%" w:type="pct"/>
          </w:tcPr>
          <w:p>
            <w:pPr>
              <w:ind w:leftChars="0" w:left="0" w:right="0"/>
            </w:pPr>
            <w:r>
              <w:t>Curacao</w:t>
            </w:r>
          </w:p>
        </w:tc>
      </w:tr>
      <w:tr>
        <w:trPr>
          <w:cnfStyle w:evenHBand="false" w:oddHBand="true" w:firstRow="false"/>
        </w:trPr>
        <w:tc>
          <w:tcPr>
            <w:cnfStyle w:evenVBand="false" w:oddVBand="true" w:firstColumn="false"/>
            <w:tcW w:w="33.333333%" w:type="pct"/>
          </w:tcPr>
          <w:p>
            <w:pPr>
              <w:ind w:leftChars="0" w:left="0" w:right="0"/>
            </w:pPr>
            <w:r>
              <w:t>CY</w:t>
            </w:r>
          </w:p>
        </w:tc>
        <w:tc>
          <w:tcPr>
            <w:cnfStyle w:evenVBand="true" w:oddVBand="false" w:firstColumn="false"/>
            <w:tcW w:w="33.333333%" w:type="pct"/>
          </w:tcPr>
          <w:p>
            <w:pPr>
              <w:ind w:leftChars="0" w:left="0" w:right="0"/>
            </w:pPr>
            <w:r>
              <w:t>Cyprus</w:t>
            </w:r>
          </w:p>
        </w:tc>
        <w:tc>
          <w:tcPr>
            <w:cnfStyle w:evenVBand="false" w:oddVBand="true" w:firstColumn="false"/>
            <w:tcW w:w="33.333333%" w:type="pct"/>
          </w:tcPr>
          <w:p>
            <w:pPr>
              <w:ind w:leftChars="0" w:left="0" w:right="0"/>
            </w:pPr>
            <w:r>
              <w:t>Cyprus</w:t>
            </w:r>
          </w:p>
        </w:tc>
      </w:tr>
      <w:tr>
        <w:trPr>
          <w:cnfStyle w:evenHBand="true" w:oddHBand="false" w:firstRow="false"/>
        </w:trPr>
        <w:tc>
          <w:tcPr>
            <w:cnfStyle w:evenVBand="false" w:oddVBand="true" w:firstColumn="false"/>
            <w:tcW w:w="33.333333%" w:type="pct"/>
          </w:tcPr>
          <w:p>
            <w:pPr>
              <w:ind w:leftChars="0" w:left="0" w:right="0"/>
            </w:pPr>
            <w:r>
              <w:t>CZ</w:t>
            </w:r>
          </w:p>
        </w:tc>
        <w:tc>
          <w:tcPr>
            <w:cnfStyle w:evenVBand="true" w:oddVBand="false" w:firstColumn="false"/>
            <w:tcW w:w="33.333333%" w:type="pct"/>
          </w:tcPr>
          <w:p>
            <w:pPr>
              <w:ind w:leftChars="0" w:left="0" w:right="0"/>
            </w:pPr>
            <w:r>
              <w:t>Czechia</w:t>
            </w:r>
          </w:p>
        </w:tc>
        <w:tc>
          <w:tcPr>
            <w:cnfStyle w:evenVBand="false" w:oddVBand="true" w:firstColumn="false"/>
            <w:tcW w:w="33.333333%" w:type="pct"/>
          </w:tcPr>
          <w:p>
            <w:pPr>
              <w:ind w:leftChars="0" w:left="0" w:right="0"/>
            </w:pPr>
            <w:r>
              <w:t>Czechia</w:t>
            </w:r>
          </w:p>
        </w:tc>
      </w:tr>
      <w:tr>
        <w:trPr>
          <w:cnfStyle w:evenHBand="false" w:oddHBand="true" w:firstRow="false"/>
        </w:trPr>
        <w:tc>
          <w:tcPr>
            <w:cnfStyle w:evenVBand="false" w:oddVBand="true" w:firstColumn="false"/>
            <w:tcW w:w="33.333333%" w:type="pct"/>
          </w:tcPr>
          <w:p>
            <w:pPr>
              <w:ind w:leftChars="0" w:left="0" w:right="0"/>
            </w:pPr>
            <w:r>
              <w:t>DE</w:t>
            </w:r>
          </w:p>
        </w:tc>
        <w:tc>
          <w:tcPr>
            <w:cnfStyle w:evenVBand="true" w:oddVBand="false" w:firstColumn="false"/>
            <w:tcW w:w="33.333333%" w:type="pct"/>
          </w:tcPr>
          <w:p>
            <w:pPr>
              <w:ind w:leftChars="0" w:left="0" w:right="0"/>
            </w:pPr>
            <w:r>
              <w:t>Germany</w:t>
            </w:r>
          </w:p>
        </w:tc>
        <w:tc>
          <w:tcPr>
            <w:cnfStyle w:evenVBand="false" w:oddVBand="true" w:firstColumn="false"/>
            <w:tcW w:w="33.333333%" w:type="pct"/>
          </w:tcPr>
          <w:p>
            <w:pPr>
              <w:ind w:leftChars="0" w:left="0" w:right="0"/>
            </w:pPr>
            <w:r>
              <w:t>Germany</w:t>
            </w:r>
          </w:p>
        </w:tc>
      </w:tr>
      <w:tr>
        <w:trPr>
          <w:cnfStyle w:evenHBand="true" w:oddHBand="false" w:firstRow="false"/>
        </w:trPr>
        <w:tc>
          <w:tcPr>
            <w:cnfStyle w:evenVBand="false" w:oddVBand="true" w:firstColumn="false"/>
            <w:tcW w:w="33.333333%" w:type="pct"/>
          </w:tcPr>
          <w:p>
            <w:pPr>
              <w:ind w:leftChars="0" w:left="0" w:right="0"/>
            </w:pPr>
            <w:r>
              <w:t>DK</w:t>
            </w:r>
          </w:p>
        </w:tc>
        <w:tc>
          <w:tcPr>
            <w:cnfStyle w:evenVBand="true" w:oddVBand="false" w:firstColumn="false"/>
            <w:tcW w:w="33.333333%" w:type="pct"/>
          </w:tcPr>
          <w:p>
            <w:pPr>
              <w:ind w:leftChars="0" w:left="0" w:right="0"/>
            </w:pPr>
            <w:r>
              <w:t>Denmark</w:t>
            </w:r>
          </w:p>
        </w:tc>
        <w:tc>
          <w:tcPr>
            <w:cnfStyle w:evenVBand="false" w:oddVBand="true" w:firstColumn="false"/>
            <w:tcW w:w="33.333333%" w:type="pct"/>
          </w:tcPr>
          <w:p>
            <w:pPr>
              <w:ind w:leftChars="0" w:left="0" w:right="0"/>
            </w:pPr>
            <w:r>
              <w:t>Denmark</w:t>
            </w:r>
          </w:p>
        </w:tc>
      </w:tr>
      <w:tr>
        <w:trPr>
          <w:cnfStyle w:evenHBand="false" w:oddHBand="true" w:firstRow="false"/>
        </w:trPr>
        <w:tc>
          <w:tcPr>
            <w:cnfStyle w:evenVBand="false" w:oddVBand="true" w:firstColumn="false"/>
            <w:tcW w:w="33.333333%" w:type="pct"/>
          </w:tcPr>
          <w:p>
            <w:pPr>
              <w:ind w:leftChars="0" w:left="0" w:right="0"/>
            </w:pPr>
            <w:r>
              <w:t>DO</w:t>
            </w:r>
          </w:p>
        </w:tc>
        <w:tc>
          <w:tcPr>
            <w:cnfStyle w:evenVBand="true" w:oddVBand="false" w:firstColumn="false"/>
            <w:tcW w:w="33.333333%" w:type="pct"/>
          </w:tcPr>
          <w:p>
            <w:pPr>
              <w:ind w:leftChars="0" w:left="0" w:right="0"/>
            </w:pPr>
            <w:r>
              <w:t>Dominican Republic (the)</w:t>
            </w:r>
          </w:p>
        </w:tc>
        <w:tc>
          <w:tcPr>
            <w:cnfStyle w:evenVBand="false" w:oddVBand="true" w:firstColumn="false"/>
            <w:tcW w:w="33.333333%" w:type="pct"/>
          </w:tcPr>
          <w:p>
            <w:pPr>
              <w:ind w:leftChars="0" w:left="0" w:right="0"/>
            </w:pPr>
            <w:r>
              <w:t>Dominican Republic (the)</w:t>
            </w:r>
          </w:p>
        </w:tc>
      </w:tr>
      <w:tr>
        <w:trPr>
          <w:cnfStyle w:evenHBand="true" w:oddHBand="false" w:firstRow="false"/>
        </w:trPr>
        <w:tc>
          <w:tcPr>
            <w:cnfStyle w:evenVBand="false" w:oddVBand="true" w:firstColumn="false"/>
            <w:tcW w:w="33.333333%" w:type="pct"/>
          </w:tcPr>
          <w:p>
            <w:pPr>
              <w:ind w:leftChars="0" w:left="0" w:right="0"/>
            </w:pPr>
            <w:r>
              <w:t>EG</w:t>
            </w:r>
          </w:p>
        </w:tc>
        <w:tc>
          <w:tcPr>
            <w:cnfStyle w:evenVBand="true" w:oddVBand="false" w:firstColumn="false"/>
            <w:tcW w:w="33.333333%" w:type="pct"/>
          </w:tcPr>
          <w:p>
            <w:pPr>
              <w:ind w:leftChars="0" w:left="0" w:right="0"/>
            </w:pPr>
            <w:r>
              <w:t>Egypt</w:t>
            </w:r>
          </w:p>
        </w:tc>
        <w:tc>
          <w:tcPr>
            <w:cnfStyle w:evenVBand="false" w:oddVBand="true" w:firstColumn="false"/>
            <w:tcW w:w="33.333333%" w:type="pct"/>
          </w:tcPr>
          <w:p>
            <w:pPr>
              <w:ind w:leftChars="0" w:left="0" w:right="0"/>
            </w:pPr>
            <w:r>
              <w:t>Egypt</w:t>
            </w:r>
          </w:p>
        </w:tc>
      </w:tr>
      <w:tr>
        <w:trPr>
          <w:cnfStyle w:evenHBand="false" w:oddHBand="true" w:firstRow="false"/>
        </w:trPr>
        <w:tc>
          <w:tcPr>
            <w:cnfStyle w:evenVBand="false" w:oddVBand="true" w:firstColumn="false"/>
            <w:tcW w:w="33.333333%" w:type="pct"/>
          </w:tcPr>
          <w:p>
            <w:pPr>
              <w:ind w:leftChars="0" w:left="0" w:right="0"/>
            </w:pPr>
            <w:r>
              <w:t>ER</w:t>
            </w:r>
          </w:p>
        </w:tc>
        <w:tc>
          <w:tcPr>
            <w:cnfStyle w:evenVBand="true" w:oddVBand="false" w:firstColumn="false"/>
            <w:tcW w:w="33.333333%" w:type="pct"/>
          </w:tcPr>
          <w:p>
            <w:pPr>
              <w:ind w:leftChars="0" w:left="0" w:right="0"/>
            </w:pPr>
            <w:r>
              <w:t>Eritrea</w:t>
            </w:r>
          </w:p>
        </w:tc>
        <w:tc>
          <w:tcPr>
            <w:cnfStyle w:evenVBand="false" w:oddVBand="true" w:firstColumn="false"/>
            <w:tcW w:w="33.333333%" w:type="pct"/>
          </w:tcPr>
          <w:p>
            <w:pPr>
              <w:ind w:leftChars="0" w:left="0" w:right="0"/>
            </w:pPr>
            <w:r>
              <w:t>Eritrea</w:t>
            </w:r>
          </w:p>
        </w:tc>
      </w:tr>
      <w:tr>
        <w:trPr>
          <w:cnfStyle w:evenHBand="true" w:oddHBand="false" w:firstRow="false"/>
        </w:trPr>
        <w:tc>
          <w:tcPr>
            <w:cnfStyle w:evenVBand="false" w:oddVBand="true" w:firstColumn="false"/>
            <w:tcW w:w="33.333333%" w:type="pct"/>
          </w:tcPr>
          <w:p>
            <w:pPr>
              <w:ind w:leftChars="0" w:left="0" w:right="0"/>
            </w:pPr>
            <w:r>
              <w:t>ES</w:t>
            </w:r>
          </w:p>
        </w:tc>
        <w:tc>
          <w:tcPr>
            <w:cnfStyle w:evenVBand="true" w:oddVBand="false" w:firstColumn="false"/>
            <w:tcW w:w="33.333333%" w:type="pct"/>
          </w:tcPr>
          <w:p>
            <w:pPr>
              <w:ind w:leftChars="0" w:left="0" w:right="0"/>
            </w:pPr>
            <w:r>
              <w:t>Spain</w:t>
            </w:r>
          </w:p>
        </w:tc>
        <w:tc>
          <w:tcPr>
            <w:cnfStyle w:evenVBand="false" w:oddVBand="true" w:firstColumn="false"/>
            <w:tcW w:w="33.333333%" w:type="pct"/>
          </w:tcPr>
          <w:p>
            <w:pPr>
              <w:ind w:leftChars="0" w:left="0" w:right="0"/>
            </w:pPr>
            <w:r>
              <w:t>Spain</w:t>
            </w:r>
          </w:p>
        </w:tc>
      </w:tr>
      <w:tr>
        <w:trPr>
          <w:cnfStyle w:evenHBand="false" w:oddHBand="true" w:firstRow="false"/>
        </w:trPr>
        <w:tc>
          <w:tcPr>
            <w:cnfStyle w:evenVBand="false" w:oddVBand="true" w:firstColumn="false"/>
            <w:tcW w:w="33.333333%" w:type="pct"/>
          </w:tcPr>
          <w:p>
            <w:pPr>
              <w:ind w:leftChars="0" w:left="0" w:right="0"/>
            </w:pPr>
            <w:r>
              <w:t>FI</w:t>
            </w:r>
          </w:p>
        </w:tc>
        <w:tc>
          <w:tcPr>
            <w:cnfStyle w:evenVBand="true" w:oddVBand="false" w:firstColumn="false"/>
            <w:tcW w:w="33.333333%" w:type="pct"/>
          </w:tcPr>
          <w:p>
            <w:pPr>
              <w:ind w:leftChars="0" w:left="0" w:right="0"/>
            </w:pPr>
            <w:r>
              <w:t>Finland</w:t>
            </w:r>
          </w:p>
        </w:tc>
        <w:tc>
          <w:tcPr>
            <w:cnfStyle w:evenVBand="false" w:oddVBand="true" w:firstColumn="false"/>
            <w:tcW w:w="33.333333%" w:type="pct"/>
          </w:tcPr>
          <w:p>
            <w:pPr>
              <w:ind w:leftChars="0" w:left="0" w:right="0"/>
            </w:pPr>
            <w:r>
              <w:t>Finland excluding Aland (AX)</w:t>
            </w:r>
          </w:p>
        </w:tc>
      </w:tr>
      <w:tr>
        <w:trPr>
          <w:cnfStyle w:evenHBand="true" w:oddHBand="false" w:firstRow="false"/>
        </w:trPr>
        <w:tc>
          <w:tcPr>
            <w:cnfStyle w:evenVBand="false" w:oddVBand="true" w:firstColumn="false"/>
            <w:tcW w:w="33.333333%" w:type="pct"/>
          </w:tcPr>
          <w:p>
            <w:pPr>
              <w:ind w:leftChars="0" w:left="0" w:right="0"/>
            </w:pPr>
            <w:r>
              <w:t>FO</w:t>
            </w:r>
          </w:p>
        </w:tc>
        <w:tc>
          <w:tcPr>
            <w:cnfStyle w:evenVBand="true" w:oddVBand="false" w:firstColumn="false"/>
            <w:tcW w:w="33.333333%" w:type="pct"/>
          </w:tcPr>
          <w:p>
            <w:pPr>
              <w:ind w:leftChars="0" w:left="0" w:right="0"/>
            </w:pPr>
            <w:r>
              <w:t>Faroe Islands (the)</w:t>
            </w:r>
          </w:p>
        </w:tc>
        <w:tc>
          <w:tcPr>
            <w:cnfStyle w:evenVBand="false" w:oddVBand="true" w:firstColumn="false"/>
            <w:tcW w:w="33.333333%" w:type="pct"/>
          </w:tcPr>
          <w:p>
            <w:pPr>
              <w:ind w:leftChars="0" w:left="0" w:right="0"/>
            </w:pPr>
            <w:r>
              <w:t>Faroe Islands (the)</w:t>
            </w:r>
          </w:p>
        </w:tc>
      </w:tr>
      <w:tr>
        <w:trPr>
          <w:cnfStyle w:evenHBand="false" w:oddHBand="true" w:firstRow="false"/>
        </w:trPr>
        <w:tc>
          <w:tcPr>
            <w:cnfStyle w:evenVBand="false" w:oddVBand="true" w:firstColumn="false"/>
            <w:tcW w:w="33.333333%" w:type="pct"/>
          </w:tcPr>
          <w:p>
            <w:pPr>
              <w:ind w:leftChars="0" w:left="0" w:right="0"/>
            </w:pPr>
            <w:r>
              <w:t>FR</w:t>
            </w:r>
          </w:p>
        </w:tc>
        <w:tc>
          <w:tcPr>
            <w:cnfStyle w:evenVBand="true" w:oddVBand="false" w:firstColumn="false"/>
            <w:tcW w:w="33.333333%" w:type="pct"/>
          </w:tcPr>
          <w:p>
            <w:pPr>
              <w:ind w:leftChars="0" w:left="0" w:right="0"/>
            </w:pPr>
            <w:r>
              <w:t>France</w:t>
            </w:r>
          </w:p>
        </w:tc>
        <w:tc>
          <w:tcPr>
            <w:cnfStyle w:evenVBand="false" w:oddVBand="true" w:firstColumn="false"/>
            <w:tcW w:w="33.333333%"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r>
      <w:tr>
        <w:trPr>
          <w:cnfStyle w:evenHBand="true" w:oddHBand="false" w:firstRow="false"/>
        </w:trPr>
        <w:tc>
          <w:tcPr>
            <w:cnfStyle w:evenVBand="false" w:oddVBand="true" w:firstColumn="false"/>
            <w:tcW w:w="33.333333%" w:type="pct"/>
          </w:tcPr>
          <w:p>
            <w:pPr>
              <w:ind w:leftChars="0" w:left="0" w:right="0"/>
            </w:pPr>
            <w:r>
              <w:t>GB</w:t>
            </w:r>
          </w:p>
        </w:tc>
        <w:tc>
          <w:tcPr>
            <w:cnfStyle w:evenVBand="true" w:oddVBand="false" w:firstColumn="false"/>
            <w:tcW w:w="33.333333%" w:type="pct"/>
          </w:tcPr>
          <w:p>
            <w:pPr>
              <w:ind w:leftChars="0" w:left="0" w:right="0"/>
            </w:pPr>
            <w:r>
              <w:t>United Kingdom of Great Britain and Northern Ireland (the)</w:t>
            </w:r>
          </w:p>
        </w:tc>
        <w:tc>
          <w:tcPr>
            <w:cnfStyle w:evenVBand="false" w:oddVBand="true" w:firstColumn="false"/>
            <w:tcW w:w="33.333333%" w:type="pct"/>
          </w:tcPr>
          <w:p>
            <w:pPr>
              <w:ind w:leftChars="0" w:left="0" w:right="0"/>
            </w:pPr>
            <w:r>
              <w:t>United Kingdom of Great Britain and Northern Ireland (the)</w:t>
            </w:r>
          </w:p>
        </w:tc>
      </w:tr>
      <w:tr>
        <w:trPr>
          <w:cnfStyle w:evenHBand="false" w:oddHBand="true" w:firstRow="false"/>
        </w:trPr>
        <w:tc>
          <w:tcPr>
            <w:cnfStyle w:evenVBand="false" w:oddVBand="true" w:firstColumn="false"/>
            <w:tcW w:w="33.333333%" w:type="pct"/>
          </w:tcPr>
          <w:p>
            <w:pPr>
              <w:ind w:leftChars="0" w:left="0" w:right="0"/>
            </w:pPr>
            <w:r>
              <w:t>GE</w:t>
            </w:r>
          </w:p>
        </w:tc>
        <w:tc>
          <w:tcPr>
            <w:cnfStyle w:evenVBand="true" w:oddVBand="false" w:firstColumn="false"/>
            <w:tcW w:w="33.333333%" w:type="pct"/>
          </w:tcPr>
          <w:p>
            <w:pPr>
              <w:ind w:leftChars="0" w:left="0" w:right="0"/>
            </w:pPr>
            <w:r>
              <w:t>Georgia</w:t>
            </w:r>
          </w:p>
        </w:tc>
        <w:tc>
          <w:tcPr>
            <w:cnfStyle w:evenVBand="false" w:oddVBand="true" w:firstColumn="false"/>
            <w:tcW w:w="33.333333%" w:type="pct"/>
          </w:tcPr>
          <w:p>
            <w:pPr>
              <w:ind w:leftChars="0" w:left="0" w:right="0"/>
            </w:pPr>
            <w:r>
              <w:t>Georgia</w:t>
            </w:r>
          </w:p>
        </w:tc>
      </w:tr>
      <w:tr>
        <w:trPr>
          <w:cnfStyle w:evenHBand="true" w:oddHBand="false" w:firstRow="false"/>
        </w:trPr>
        <w:tc>
          <w:tcPr>
            <w:cnfStyle w:evenVBand="false" w:oddVBand="true" w:firstColumn="false"/>
            <w:tcW w:w="33.333333%" w:type="pct"/>
          </w:tcPr>
          <w:p>
            <w:pPr>
              <w:ind w:leftChars="0" w:left="0" w:right="0"/>
            </w:pPr>
            <w:r>
              <w:t>GG</w:t>
            </w:r>
          </w:p>
        </w:tc>
        <w:tc>
          <w:tcPr>
            <w:cnfStyle w:evenVBand="true" w:oddVBand="false" w:firstColumn="false"/>
            <w:tcW w:w="33.333333%" w:type="pct"/>
          </w:tcPr>
          <w:p>
            <w:pPr>
              <w:ind w:leftChars="0" w:left="0" w:right="0"/>
            </w:pPr>
            <w:r>
              <w:t>Guernsey</w:t>
            </w:r>
          </w:p>
        </w:tc>
        <w:tc>
          <w:tcPr>
            <w:cnfStyle w:evenVBand="false" w:oddVBand="true" w:firstColumn="false"/>
            <w:tcW w:w="33.333333%" w:type="pct"/>
          </w:tcPr>
          <w:p>
            <w:pPr>
              <w:ind w:leftChars="0" w:left="0" w:right="0"/>
            </w:pPr>
            <w:r>
              <w:t>Guernsey</w:t>
            </w:r>
          </w:p>
        </w:tc>
      </w:tr>
      <w:tr>
        <w:trPr>
          <w:cnfStyle w:evenHBand="false" w:oddHBand="true" w:firstRow="false"/>
        </w:trPr>
        <w:tc>
          <w:tcPr>
            <w:cnfStyle w:evenVBand="false" w:oddVBand="true" w:firstColumn="false"/>
            <w:tcW w:w="33.333333%" w:type="pct"/>
          </w:tcPr>
          <w:p>
            <w:pPr>
              <w:ind w:leftChars="0" w:left="0" w:right="0"/>
            </w:pPr>
            <w:r>
              <w:t>GI</w:t>
            </w:r>
          </w:p>
        </w:tc>
        <w:tc>
          <w:tcPr>
            <w:cnfStyle w:evenVBand="true" w:oddVBand="false" w:firstColumn="false"/>
            <w:tcW w:w="33.333333%" w:type="pct"/>
          </w:tcPr>
          <w:p>
            <w:pPr>
              <w:ind w:leftChars="0" w:left="0" w:right="0"/>
            </w:pPr>
            <w:r>
              <w:t>Gibraltar</w:t>
            </w:r>
          </w:p>
        </w:tc>
        <w:tc>
          <w:tcPr>
            <w:cnfStyle w:evenVBand="false" w:oddVBand="true" w:firstColumn="false"/>
            <w:tcW w:w="33.333333%" w:type="pct"/>
          </w:tcPr>
          <w:p>
            <w:pPr>
              <w:ind w:leftChars="0" w:left="0" w:right="0"/>
            </w:pPr>
            <w:r>
              <w:t>Gibraltar</w:t>
            </w:r>
          </w:p>
        </w:tc>
      </w:tr>
      <w:tr>
        <w:trPr>
          <w:cnfStyle w:evenHBand="true" w:oddHBand="false" w:firstRow="false"/>
        </w:trPr>
        <w:tc>
          <w:tcPr>
            <w:cnfStyle w:evenVBand="false" w:oddVBand="true" w:firstColumn="false"/>
            <w:tcW w:w="33.333333%" w:type="pct"/>
          </w:tcPr>
          <w:p>
            <w:pPr>
              <w:ind w:leftChars="0" w:left="0" w:right="0"/>
            </w:pPr>
            <w:r>
              <w:t>GR</w:t>
            </w:r>
          </w:p>
        </w:tc>
        <w:tc>
          <w:tcPr>
            <w:cnfStyle w:evenVBand="true" w:oddVBand="false" w:firstColumn="false"/>
            <w:tcW w:w="33.333333%" w:type="pct"/>
          </w:tcPr>
          <w:p>
            <w:pPr>
              <w:ind w:leftChars="0" w:left="0" w:right="0"/>
            </w:pPr>
            <w:r>
              <w:t>Greece</w:t>
            </w:r>
          </w:p>
        </w:tc>
        <w:tc>
          <w:tcPr>
            <w:cnfStyle w:evenVBand="false" w:oddVBand="true" w:firstColumn="false"/>
            <w:tcW w:w="33.333333%" w:type="pct"/>
          </w:tcPr>
          <w:p>
            <w:pPr>
              <w:ind w:leftChars="0" w:left="0" w:right="0"/>
            </w:pPr>
            <w:r>
              <w:t>Greece</w:t>
            </w:r>
          </w:p>
        </w:tc>
      </w:tr>
      <w:tr>
        <w:trPr>
          <w:cnfStyle w:evenHBand="false" w:oddHBand="true" w:firstRow="false"/>
        </w:trPr>
        <w:tc>
          <w:tcPr>
            <w:cnfStyle w:evenVBand="false" w:oddVBand="true" w:firstColumn="false"/>
            <w:tcW w:w="33.333333%" w:type="pct"/>
          </w:tcPr>
          <w:p>
            <w:pPr>
              <w:ind w:leftChars="0" w:left="0" w:right="0"/>
            </w:pPr>
            <w:r>
              <w:t>HK</w:t>
            </w:r>
          </w:p>
        </w:tc>
        <w:tc>
          <w:tcPr>
            <w:cnfStyle w:evenVBand="true" w:oddVBand="false" w:firstColumn="false"/>
            <w:tcW w:w="33.333333%" w:type="pct"/>
          </w:tcPr>
          <w:p>
            <w:pPr>
              <w:ind w:leftChars="0" w:left="0" w:right="0"/>
            </w:pPr>
            <w:r>
              <w:t>Hong Kong</w:t>
            </w:r>
          </w:p>
        </w:tc>
        <w:tc>
          <w:tcPr>
            <w:cnfStyle w:evenVBand="false" w:oddVBand="true" w:firstColumn="false"/>
            <w:tcW w:w="33.333333%" w:type="pct"/>
          </w:tcPr>
          <w:p>
            <w:pPr>
              <w:ind w:leftChars="0" w:left="0" w:right="0"/>
            </w:pPr>
            <w:r>
              <w:t>Hong Kong</w:t>
            </w:r>
          </w:p>
        </w:tc>
      </w:tr>
      <w:tr>
        <w:trPr>
          <w:cnfStyle w:evenHBand="true" w:oddHBand="false" w:firstRow="false"/>
        </w:trPr>
        <w:tc>
          <w:tcPr>
            <w:cnfStyle w:evenVBand="false" w:oddVBand="true" w:firstColumn="false"/>
            <w:tcW w:w="33.333333%" w:type="pct"/>
          </w:tcPr>
          <w:p>
            <w:pPr>
              <w:ind w:leftChars="0" w:left="0" w:right="0"/>
            </w:pPr>
            <w:r>
              <w:t>HR</w:t>
            </w:r>
          </w:p>
        </w:tc>
        <w:tc>
          <w:tcPr>
            <w:cnfStyle w:evenVBand="true" w:oddVBand="false" w:firstColumn="false"/>
            <w:tcW w:w="33.333333%" w:type="pct"/>
          </w:tcPr>
          <w:p>
            <w:pPr>
              <w:ind w:leftChars="0" w:left="0" w:right="0"/>
            </w:pPr>
            <w:r>
              <w:t>Croatia</w:t>
            </w:r>
          </w:p>
        </w:tc>
        <w:tc>
          <w:tcPr>
            <w:cnfStyle w:evenVBand="false" w:oddVBand="true" w:firstColumn="false"/>
            <w:tcW w:w="33.333333%" w:type="pct"/>
          </w:tcPr>
          <w:p>
            <w:pPr>
              <w:ind w:leftChars="0" w:left="0" w:right="0"/>
            </w:pPr>
            <w:r>
              <w:t>Croatia</w:t>
            </w:r>
          </w:p>
        </w:tc>
      </w:tr>
      <w:tr>
        <w:trPr>
          <w:cnfStyle w:evenHBand="false" w:oddHBand="true" w:firstRow="false"/>
        </w:trPr>
        <w:tc>
          <w:tcPr>
            <w:cnfStyle w:evenVBand="false" w:oddVBand="true" w:firstColumn="false"/>
            <w:tcW w:w="33.333333%" w:type="pct"/>
          </w:tcPr>
          <w:p>
            <w:pPr>
              <w:ind w:leftChars="0" w:left="0" w:right="0"/>
            </w:pPr>
            <w:r>
              <w:t>HU</w:t>
            </w:r>
          </w:p>
        </w:tc>
        <w:tc>
          <w:tcPr>
            <w:cnfStyle w:evenVBand="true" w:oddVBand="false" w:firstColumn="false"/>
            <w:tcW w:w="33.333333%" w:type="pct"/>
          </w:tcPr>
          <w:p>
            <w:pPr>
              <w:ind w:leftChars="0" w:left="0" w:right="0"/>
            </w:pPr>
            <w:r>
              <w:t>Hungary</w:t>
            </w:r>
          </w:p>
        </w:tc>
        <w:tc>
          <w:tcPr>
            <w:cnfStyle w:evenVBand="false" w:oddVBand="true" w:firstColumn="false"/>
            <w:tcW w:w="33.333333%" w:type="pct"/>
          </w:tcPr>
          <w:p>
            <w:pPr>
              <w:ind w:leftChars="0" w:left="0" w:right="0"/>
            </w:pPr>
            <w:r>
              <w:t>Hungary</w:t>
            </w:r>
          </w:p>
        </w:tc>
      </w:tr>
      <w:tr>
        <w:trPr>
          <w:cnfStyle w:evenHBand="true" w:oddHBand="false" w:firstRow="false"/>
        </w:trPr>
        <w:tc>
          <w:tcPr>
            <w:cnfStyle w:evenVBand="false" w:oddVBand="true" w:firstColumn="false"/>
            <w:tcW w:w="33.333333%" w:type="pct"/>
          </w:tcPr>
          <w:p>
            <w:pPr>
              <w:ind w:leftChars="0" w:left="0" w:right="0"/>
            </w:pPr>
            <w:r>
              <w:t>ID</w:t>
            </w:r>
          </w:p>
        </w:tc>
        <w:tc>
          <w:tcPr>
            <w:cnfStyle w:evenVBand="true" w:oddVBand="false" w:firstColumn="false"/>
            <w:tcW w:w="33.333333%" w:type="pct"/>
          </w:tcPr>
          <w:p>
            <w:pPr>
              <w:ind w:leftChars="0" w:left="0" w:right="0"/>
            </w:pPr>
            <w:r>
              <w:t>Indonesia</w:t>
            </w:r>
          </w:p>
        </w:tc>
        <w:tc>
          <w:tcPr>
            <w:cnfStyle w:evenVBand="false" w:oddVBand="true" w:firstColumn="false"/>
            <w:tcW w:w="33.333333%" w:type="pct"/>
          </w:tcPr>
          <w:p>
            <w:pPr>
              <w:ind w:leftChars="0" w:left="0" w:right="0"/>
            </w:pPr>
            <w:r>
              <w:t>Indonesia</w:t>
            </w:r>
          </w:p>
        </w:tc>
      </w:tr>
      <w:tr>
        <w:trPr>
          <w:cnfStyle w:evenHBand="false" w:oddHBand="true" w:firstRow="false"/>
        </w:trPr>
        <w:tc>
          <w:tcPr>
            <w:cnfStyle w:evenVBand="false" w:oddVBand="true" w:firstColumn="false"/>
            <w:tcW w:w="33.333333%" w:type="pct"/>
          </w:tcPr>
          <w:p>
            <w:pPr>
              <w:ind w:leftChars="0" w:left="0" w:right="0"/>
            </w:pPr>
            <w:r>
              <w:t>IE</w:t>
            </w:r>
          </w:p>
        </w:tc>
        <w:tc>
          <w:tcPr>
            <w:cnfStyle w:evenVBand="true" w:oddVBand="false" w:firstColumn="false"/>
            <w:tcW w:w="33.333333%" w:type="pct"/>
          </w:tcPr>
          <w:p>
            <w:pPr>
              <w:ind w:leftChars="0" w:left="0" w:right="0"/>
            </w:pPr>
            <w:r>
              <w:t>Ireland</w:t>
            </w:r>
          </w:p>
        </w:tc>
        <w:tc>
          <w:tcPr>
            <w:cnfStyle w:evenVBand="false" w:oddVBand="true" w:firstColumn="false"/>
            <w:tcW w:w="33.333333%" w:type="pct"/>
          </w:tcPr>
          <w:p>
            <w:pPr>
              <w:ind w:leftChars="0" w:left="0" w:right="0"/>
            </w:pPr>
            <w:r>
              <w:t>Ireland</w:t>
            </w:r>
          </w:p>
        </w:tc>
      </w:tr>
      <w:tr>
        <w:trPr>
          <w:cnfStyle w:evenHBand="true" w:oddHBand="false" w:firstRow="false"/>
        </w:trPr>
        <w:tc>
          <w:tcPr>
            <w:cnfStyle w:evenVBand="false" w:oddVBand="true" w:firstColumn="false"/>
            <w:tcW w:w="33.333333%" w:type="pct"/>
          </w:tcPr>
          <w:p>
            <w:pPr>
              <w:ind w:leftChars="0" w:left="0" w:right="0"/>
            </w:pPr>
            <w:r>
              <w:t>IL</w:t>
            </w:r>
          </w:p>
        </w:tc>
        <w:tc>
          <w:tcPr>
            <w:cnfStyle w:evenVBand="true" w:oddVBand="false" w:firstColumn="false"/>
            <w:tcW w:w="33.333333%" w:type="pct"/>
          </w:tcPr>
          <w:p>
            <w:pPr>
              <w:ind w:leftChars="0" w:left="0" w:right="0"/>
            </w:pPr>
            <w:r>
              <w:t>Israel</w:t>
            </w:r>
          </w:p>
        </w:tc>
        <w:tc>
          <w:tcPr>
            <w:cnfStyle w:evenVBand="false" w:oddVBand="true" w:firstColumn="false"/>
            <w:tcW w:w="33.333333%" w:type="pct"/>
          </w:tcPr>
          <w:p>
            <w:pPr>
              <w:ind w:leftChars="0" w:left="0" w:right="0"/>
            </w:pPr>
            <w:r>
              <w:t>Israel</w:t>
            </w:r>
          </w:p>
        </w:tc>
      </w:tr>
      <w:tr>
        <w:trPr>
          <w:cnfStyle w:evenHBand="false" w:oddHBand="true" w:firstRow="false"/>
        </w:trPr>
        <w:tc>
          <w:tcPr>
            <w:cnfStyle w:evenVBand="false" w:oddVBand="true" w:firstColumn="false"/>
            <w:tcW w:w="33.333333%" w:type="pct"/>
          </w:tcPr>
          <w:p>
            <w:pPr>
              <w:ind w:leftChars="0" w:left="0" w:right="0"/>
            </w:pPr>
            <w:r>
              <w:t>IM</w:t>
            </w:r>
          </w:p>
        </w:tc>
        <w:tc>
          <w:tcPr>
            <w:cnfStyle w:evenVBand="true" w:oddVBand="false" w:firstColumn="false"/>
            <w:tcW w:w="33.333333%" w:type="pct"/>
          </w:tcPr>
          <w:p>
            <w:pPr>
              <w:ind w:leftChars="0" w:left="0" w:right="0"/>
            </w:pPr>
            <w:r>
              <w:t>Isle of Man</w:t>
            </w:r>
          </w:p>
        </w:tc>
        <w:tc>
          <w:tcPr>
            <w:cnfStyle w:evenVBand="false" w:oddVBand="true" w:firstColumn="false"/>
            <w:tcW w:w="33.333333%" w:type="pct"/>
          </w:tcPr>
          <w:p>
            <w:pPr>
              <w:ind w:leftChars="0" w:left="0" w:right="0"/>
            </w:pPr>
            <w:r>
              <w:t>Isle of Man</w:t>
            </w:r>
          </w:p>
        </w:tc>
      </w:tr>
      <w:tr>
        <w:trPr>
          <w:cnfStyle w:evenHBand="true" w:oddHBand="false" w:firstRow="false"/>
        </w:trPr>
        <w:tc>
          <w:tcPr>
            <w:cnfStyle w:evenVBand="false" w:oddVBand="true" w:firstColumn="false"/>
            <w:tcW w:w="33.333333%" w:type="pct"/>
          </w:tcPr>
          <w:p>
            <w:pPr>
              <w:ind w:leftChars="0" w:left="0" w:right="0"/>
            </w:pPr>
            <w:r>
              <w:t>IN</w:t>
            </w:r>
          </w:p>
        </w:tc>
        <w:tc>
          <w:tcPr>
            <w:cnfStyle w:evenVBand="true" w:oddVBand="false" w:firstColumn="false"/>
            <w:tcW w:w="33.333333%" w:type="pct"/>
          </w:tcPr>
          <w:p>
            <w:pPr>
              <w:ind w:leftChars="0" w:left="0" w:right="0"/>
            </w:pPr>
            <w:r>
              <w:t>India</w:t>
            </w:r>
          </w:p>
        </w:tc>
        <w:tc>
          <w:tcPr>
            <w:cnfStyle w:evenVBand="false" w:oddVBand="true" w:firstColumn="false"/>
            <w:tcW w:w="33.333333%" w:type="pct"/>
          </w:tcPr>
          <w:p>
            <w:pPr>
              <w:ind w:leftChars="0" w:left="0" w:right="0"/>
            </w:pPr>
            <w:r>
              <w:t>India</w:t>
            </w:r>
          </w:p>
        </w:tc>
      </w:tr>
      <w:tr>
        <w:trPr>
          <w:cnfStyle w:evenHBand="false" w:oddHBand="true" w:firstRow="false"/>
        </w:trPr>
        <w:tc>
          <w:tcPr>
            <w:cnfStyle w:evenVBand="false" w:oddVBand="true" w:firstColumn="false"/>
            <w:tcW w:w="33.333333%" w:type="pct"/>
          </w:tcPr>
          <w:p>
            <w:pPr>
              <w:ind w:leftChars="0" w:left="0" w:right="0"/>
            </w:pPr>
            <w:r>
              <w:t>IO</w:t>
            </w:r>
          </w:p>
        </w:tc>
        <w:tc>
          <w:tcPr>
            <w:cnfStyle w:evenVBand="true" w:oddVBand="false" w:firstColumn="false"/>
            <w:tcW w:w="33.333333%" w:type="pct"/>
          </w:tcPr>
          <w:p>
            <w:pPr>
              <w:ind w:leftChars="0" w:left="0" w:right="0"/>
            </w:pPr>
            <w:r>
              <w:t>British Indian Ocean Territory (the)</w:t>
            </w:r>
          </w:p>
        </w:tc>
        <w:tc>
          <w:tcPr>
            <w:cnfStyle w:evenVBand="false" w:oddVBand="true" w:firstColumn="false"/>
            <w:tcW w:w="33.333333%" w:type="pct"/>
          </w:tcPr>
          <w:p>
            <w:pPr>
              <w:ind w:leftChars="0" w:left="0" w:right="0"/>
            </w:pPr>
            <w:r>
              <w:t>British Indian Ocean Territory (the)</w:t>
            </w:r>
          </w:p>
        </w:tc>
      </w:tr>
      <w:tr>
        <w:trPr>
          <w:cnfStyle w:evenHBand="true" w:oddHBand="false" w:firstRow="false"/>
        </w:trPr>
        <w:tc>
          <w:tcPr>
            <w:cnfStyle w:evenVBand="false" w:oddVBand="true" w:firstColumn="false"/>
            <w:tcW w:w="33.333333%" w:type="pct"/>
          </w:tcPr>
          <w:p>
            <w:pPr>
              <w:ind w:leftChars="0" w:left="0" w:right="0"/>
            </w:pPr>
            <w:r>
              <w:t>IS</w:t>
            </w:r>
          </w:p>
        </w:tc>
        <w:tc>
          <w:tcPr>
            <w:cnfStyle w:evenVBand="true" w:oddVBand="false" w:firstColumn="false"/>
            <w:tcW w:w="33.333333%" w:type="pct"/>
          </w:tcPr>
          <w:p>
            <w:pPr>
              <w:ind w:leftChars="0" w:left="0" w:right="0"/>
            </w:pPr>
            <w:r>
              <w:t>Iceland</w:t>
            </w:r>
          </w:p>
        </w:tc>
        <w:tc>
          <w:tcPr>
            <w:cnfStyle w:evenVBand="false" w:oddVBand="true" w:firstColumn="false"/>
            <w:tcW w:w="33.333333%" w:type="pct"/>
          </w:tcPr>
          <w:p>
            <w:pPr>
              <w:ind w:leftChars="0" w:left="0" w:right="0"/>
            </w:pPr>
            <w:r>
              <w:t>Iceland</w:t>
            </w:r>
          </w:p>
        </w:tc>
      </w:tr>
      <w:tr>
        <w:trPr>
          <w:cnfStyle w:evenHBand="false" w:oddHBand="true" w:firstRow="false"/>
        </w:trPr>
        <w:tc>
          <w:tcPr>
            <w:cnfStyle w:evenVBand="false" w:oddVBand="true" w:firstColumn="false"/>
            <w:tcW w:w="33.333333%" w:type="pct"/>
          </w:tcPr>
          <w:p>
            <w:pPr>
              <w:ind w:leftChars="0" w:left="0" w:right="0"/>
            </w:pPr>
            <w:r>
              <w:t>IT</w:t>
            </w:r>
          </w:p>
        </w:tc>
        <w:tc>
          <w:tcPr>
            <w:cnfStyle w:evenVBand="true" w:oddVBand="false" w:firstColumn="false"/>
            <w:tcW w:w="33.333333%" w:type="pct"/>
          </w:tcPr>
          <w:p>
            <w:pPr>
              <w:ind w:leftChars="0" w:left="0" w:right="0"/>
            </w:pPr>
            <w:r>
              <w:t>Italy</w:t>
            </w:r>
          </w:p>
        </w:tc>
        <w:tc>
          <w:tcPr>
            <w:cnfStyle w:evenVBand="false" w:oddVBand="true" w:firstColumn="false"/>
            <w:tcW w:w="33.333333%" w:type="pct"/>
          </w:tcPr>
          <w:p>
            <w:pPr>
              <w:ind w:leftChars="0" w:left="0" w:right="0"/>
            </w:pPr>
            <w:r>
              <w:t>Italy</w:t>
            </w:r>
          </w:p>
        </w:tc>
      </w:tr>
      <w:tr>
        <w:trPr>
          <w:cnfStyle w:evenHBand="true" w:oddHBand="false" w:firstRow="false"/>
        </w:trPr>
        <w:tc>
          <w:tcPr>
            <w:cnfStyle w:evenVBand="false" w:oddVBand="true" w:firstColumn="false"/>
            <w:tcW w:w="33.333333%" w:type="pct"/>
          </w:tcPr>
          <w:p>
            <w:pPr>
              <w:ind w:leftChars="0" w:left="0" w:right="0"/>
            </w:pPr>
            <w:r>
              <w:t>JE</w:t>
            </w:r>
          </w:p>
        </w:tc>
        <w:tc>
          <w:tcPr>
            <w:cnfStyle w:evenVBand="true" w:oddVBand="false" w:firstColumn="false"/>
            <w:tcW w:w="33.333333%" w:type="pct"/>
          </w:tcPr>
          <w:p>
            <w:pPr>
              <w:ind w:leftChars="0" w:left="0" w:right="0"/>
            </w:pPr>
            <w:r>
              <w:t>Jersey</w:t>
            </w:r>
          </w:p>
        </w:tc>
        <w:tc>
          <w:tcPr>
            <w:cnfStyle w:evenVBand="false" w:oddVBand="true" w:firstColumn="false"/>
            <w:tcW w:w="33.333333%" w:type="pct"/>
          </w:tcPr>
          <w:p>
            <w:pPr>
              <w:ind w:leftChars="0" w:left="0" w:right="0"/>
            </w:pPr>
            <w:r>
              <w:t>Jersey</w:t>
            </w:r>
          </w:p>
        </w:tc>
      </w:tr>
      <w:tr>
        <w:trPr>
          <w:cnfStyle w:evenHBand="false" w:oddHBand="true" w:firstRow="false"/>
        </w:trPr>
        <w:tc>
          <w:tcPr>
            <w:cnfStyle w:evenVBand="false" w:oddVBand="true" w:firstColumn="false"/>
            <w:tcW w:w="33.333333%" w:type="pct"/>
          </w:tcPr>
          <w:p>
            <w:pPr>
              <w:ind w:leftChars="0" w:left="0" w:right="0"/>
            </w:pPr>
            <w:r>
              <w:t>JP</w:t>
            </w:r>
          </w:p>
        </w:tc>
        <w:tc>
          <w:tcPr>
            <w:cnfStyle w:evenVBand="true" w:oddVBand="false" w:firstColumn="false"/>
            <w:tcW w:w="33.333333%" w:type="pct"/>
          </w:tcPr>
          <w:p>
            <w:pPr>
              <w:ind w:leftChars="0" w:left="0" w:right="0"/>
            </w:pPr>
            <w:r>
              <w:t>Japan</w:t>
            </w:r>
          </w:p>
        </w:tc>
        <w:tc>
          <w:tcPr>
            <w:cnfStyle w:evenVBand="false" w:oddVBand="true" w:firstColumn="false"/>
            <w:tcW w:w="33.333333%" w:type="pct"/>
          </w:tcPr>
          <w:p>
            <w:pPr>
              <w:ind w:leftChars="0" w:left="0" w:right="0"/>
            </w:pPr>
            <w:r>
              <w:t>Japan</w:t>
            </w:r>
          </w:p>
        </w:tc>
      </w:tr>
      <w:tr>
        <w:trPr>
          <w:cnfStyle w:evenHBand="true" w:oddHBand="false" w:firstRow="false"/>
        </w:trPr>
        <w:tc>
          <w:tcPr>
            <w:cnfStyle w:evenVBand="false" w:oddVBand="true" w:firstColumn="false"/>
            <w:tcW w:w="33.333333%" w:type="pct"/>
          </w:tcPr>
          <w:p>
            <w:pPr>
              <w:ind w:leftChars="0" w:left="0" w:right="0"/>
            </w:pPr>
            <w:r>
              <w:t>KE</w:t>
            </w:r>
          </w:p>
        </w:tc>
        <w:tc>
          <w:tcPr>
            <w:cnfStyle w:evenVBand="true" w:oddVBand="false" w:firstColumn="false"/>
            <w:tcW w:w="33.333333%" w:type="pct"/>
          </w:tcPr>
          <w:p>
            <w:pPr>
              <w:ind w:leftChars="0" w:left="0" w:right="0"/>
            </w:pPr>
            <w:r>
              <w:t>Kenya</w:t>
            </w:r>
          </w:p>
        </w:tc>
        <w:tc>
          <w:tcPr>
            <w:cnfStyle w:evenVBand="false" w:oddVBand="true" w:firstColumn="false"/>
            <w:tcW w:w="33.333333%" w:type="pct"/>
          </w:tcPr>
          <w:p>
            <w:pPr>
              <w:ind w:leftChars="0" w:left="0" w:right="0"/>
            </w:pPr>
            <w:r>
              <w:t>Kenya</w:t>
            </w:r>
          </w:p>
        </w:tc>
      </w:tr>
      <w:tr>
        <w:trPr>
          <w:cnfStyle w:evenHBand="false" w:oddHBand="true" w:firstRow="false"/>
        </w:trPr>
        <w:tc>
          <w:tcPr>
            <w:cnfStyle w:evenVBand="false" w:oddVBand="true" w:firstColumn="false"/>
            <w:tcW w:w="33.333333%" w:type="pct"/>
          </w:tcPr>
          <w:p>
            <w:pPr>
              <w:ind w:leftChars="0" w:left="0" w:right="0"/>
            </w:pPr>
            <w:r>
              <w:t>KR</w:t>
            </w:r>
          </w:p>
        </w:tc>
        <w:tc>
          <w:tcPr>
            <w:cnfStyle w:evenVBand="true" w:oddVBand="false" w:firstColumn="false"/>
            <w:tcW w:w="33.333333%" w:type="pct"/>
          </w:tcPr>
          <w:p>
            <w:pPr>
              <w:ind w:leftChars="0" w:left="0" w:right="0"/>
            </w:pPr>
            <w:r>
              <w:t>Korea (the Republic of)</w:t>
            </w:r>
          </w:p>
        </w:tc>
        <w:tc>
          <w:tcPr>
            <w:cnfStyle w:evenVBand="false" w:oddVBand="true" w:firstColumn="false"/>
            <w:tcW w:w="33.333333%" w:type="pct"/>
          </w:tcPr>
          <w:p>
            <w:pPr>
              <w:ind w:leftChars="0" w:left="0" w:right="0"/>
            </w:pPr>
            <w:r>
              <w:t>Korea (the Republic of)</w:t>
            </w:r>
          </w:p>
        </w:tc>
      </w:tr>
      <w:tr>
        <w:trPr>
          <w:cnfStyle w:evenHBand="true" w:oddHBand="false" w:firstRow="false"/>
        </w:trPr>
        <w:tc>
          <w:tcPr>
            <w:cnfStyle w:evenVBand="false" w:oddVBand="true" w:firstColumn="false"/>
            <w:tcW w:w="33.333333%" w:type="pct"/>
          </w:tcPr>
          <w:p>
            <w:pPr>
              <w:ind w:leftChars="0" w:left="0" w:right="0"/>
            </w:pPr>
            <w:r>
              <w:t>KY</w:t>
            </w:r>
          </w:p>
        </w:tc>
        <w:tc>
          <w:tcPr>
            <w:cnfStyle w:evenVBand="true" w:oddVBand="false" w:firstColumn="false"/>
            <w:tcW w:w="33.333333%" w:type="pct"/>
          </w:tcPr>
          <w:p>
            <w:pPr>
              <w:ind w:leftChars="0" w:left="0" w:right="0"/>
            </w:pPr>
            <w:r>
              <w:t>Cayman Islands (the)</w:t>
            </w:r>
          </w:p>
        </w:tc>
        <w:tc>
          <w:tcPr>
            <w:cnfStyle w:evenVBand="false" w:oddVBand="true" w:firstColumn="false"/>
            <w:tcW w:w="33.333333%" w:type="pct"/>
          </w:tcPr>
          <w:p>
            <w:pPr>
              <w:ind w:leftChars="0" w:left="0" w:right="0"/>
            </w:pPr>
            <w:r>
              <w:t>Cayman Islands (the)</w:t>
            </w:r>
          </w:p>
        </w:tc>
      </w:tr>
      <w:tr>
        <w:trPr>
          <w:cnfStyle w:evenHBand="false" w:oddHBand="true" w:firstRow="false"/>
        </w:trPr>
        <w:tc>
          <w:tcPr>
            <w:cnfStyle w:evenVBand="false" w:oddVBand="true" w:firstColumn="false"/>
            <w:tcW w:w="33.333333%" w:type="pct"/>
          </w:tcPr>
          <w:p>
            <w:pPr>
              <w:ind w:leftChars="0" w:left="0" w:right="0"/>
            </w:pPr>
            <w:r>
              <w:t>KZ</w:t>
            </w:r>
          </w:p>
        </w:tc>
        <w:tc>
          <w:tcPr>
            <w:cnfStyle w:evenVBand="true" w:oddVBand="false" w:firstColumn="false"/>
            <w:tcW w:w="33.333333%" w:type="pct"/>
          </w:tcPr>
          <w:p>
            <w:pPr>
              <w:ind w:leftChars="0" w:left="0" w:right="0"/>
            </w:pPr>
            <w:r>
              <w:t>Kazakhstan</w:t>
            </w:r>
          </w:p>
        </w:tc>
        <w:tc>
          <w:tcPr>
            <w:cnfStyle w:evenVBand="false" w:oddVBand="true" w:firstColumn="false"/>
            <w:tcW w:w="33.333333%" w:type="pct"/>
          </w:tcPr>
          <w:p>
            <w:pPr>
              <w:ind w:leftChars="0" w:left="0" w:right="0"/>
            </w:pPr>
            <w:r>
              <w:t>Kazakhstan</w:t>
            </w:r>
          </w:p>
        </w:tc>
      </w:tr>
      <w:tr>
        <w:trPr>
          <w:cnfStyle w:evenHBand="true" w:oddHBand="false" w:firstRow="false"/>
        </w:trPr>
        <w:tc>
          <w:tcPr>
            <w:cnfStyle w:evenVBand="false" w:oddVBand="true" w:firstColumn="false"/>
            <w:tcW w:w="33.333333%" w:type="pct"/>
          </w:tcPr>
          <w:p>
            <w:pPr>
              <w:ind w:leftChars="0" w:left="0" w:right="0"/>
            </w:pPr>
            <w:r>
              <w:t>LB</w:t>
            </w:r>
          </w:p>
        </w:tc>
        <w:tc>
          <w:tcPr>
            <w:cnfStyle w:evenVBand="true" w:oddVBand="false" w:firstColumn="false"/>
            <w:tcW w:w="33.333333%" w:type="pct"/>
          </w:tcPr>
          <w:p>
            <w:pPr>
              <w:ind w:leftChars="0" w:left="0" w:right="0"/>
            </w:pPr>
            <w:r>
              <w:t>Lebanon</w:t>
            </w:r>
          </w:p>
        </w:tc>
        <w:tc>
          <w:tcPr>
            <w:cnfStyle w:evenVBand="false" w:oddVBand="true" w:firstColumn="false"/>
            <w:tcW w:w="33.333333%" w:type="pct"/>
          </w:tcPr>
          <w:p>
            <w:pPr>
              <w:ind w:leftChars="0" w:left="0" w:right="0"/>
            </w:pPr>
            <w:r>
              <w:t>Lebanon</w:t>
            </w:r>
          </w:p>
        </w:tc>
      </w:tr>
      <w:tr>
        <w:trPr>
          <w:cnfStyle w:evenHBand="false" w:oddHBand="true" w:firstRow="false"/>
        </w:trPr>
        <w:tc>
          <w:tcPr>
            <w:cnfStyle w:evenVBand="false" w:oddVBand="true" w:firstColumn="false"/>
            <w:tcW w:w="33.333333%" w:type="pct"/>
          </w:tcPr>
          <w:p>
            <w:pPr>
              <w:ind w:leftChars="0" w:left="0" w:right="0"/>
            </w:pPr>
            <w:r>
              <w:t>LR</w:t>
            </w:r>
          </w:p>
        </w:tc>
        <w:tc>
          <w:tcPr>
            <w:cnfStyle w:evenVBand="true" w:oddVBand="false" w:firstColumn="false"/>
            <w:tcW w:w="33.333333%" w:type="pct"/>
          </w:tcPr>
          <w:p>
            <w:pPr>
              <w:ind w:leftChars="0" w:left="0" w:right="0"/>
            </w:pPr>
            <w:r>
              <w:t>Liberia</w:t>
            </w:r>
          </w:p>
        </w:tc>
        <w:tc>
          <w:tcPr>
            <w:cnfStyle w:evenVBand="false" w:oddVBand="true" w:firstColumn="false"/>
            <w:tcW w:w="33.333333%" w:type="pct"/>
          </w:tcPr>
          <w:p>
            <w:pPr>
              <w:ind w:leftChars="0" w:left="0" w:right="0"/>
            </w:pPr>
            <w:r>
              <w:t>Liberia</w:t>
            </w:r>
          </w:p>
        </w:tc>
      </w:tr>
      <w:tr>
        <w:trPr>
          <w:cnfStyle w:evenHBand="true" w:oddHBand="false" w:firstRow="false"/>
        </w:trPr>
        <w:tc>
          <w:tcPr>
            <w:cnfStyle w:evenVBand="false" w:oddVBand="true" w:firstColumn="false"/>
            <w:tcW w:w="33.333333%" w:type="pct"/>
          </w:tcPr>
          <w:p>
            <w:pPr>
              <w:ind w:leftChars="0" w:left="0" w:right="0"/>
            </w:pPr>
            <w:r>
              <w:t>LU</w:t>
            </w:r>
          </w:p>
        </w:tc>
        <w:tc>
          <w:tcPr>
            <w:cnfStyle w:evenVBand="true" w:oddVBand="false" w:firstColumn="false"/>
            <w:tcW w:w="33.333333%" w:type="pct"/>
          </w:tcPr>
          <w:p>
            <w:pPr>
              <w:ind w:leftChars="0" w:left="0" w:right="0"/>
            </w:pPr>
            <w:r>
              <w:t>Luxembourg</w:t>
            </w:r>
          </w:p>
        </w:tc>
        <w:tc>
          <w:tcPr>
            <w:cnfStyle w:evenVBand="false" w:oddVBand="true" w:firstColumn="false"/>
            <w:tcW w:w="33.333333%" w:type="pct"/>
          </w:tcPr>
          <w:p>
            <w:pPr>
              <w:ind w:leftChars="0" w:left="0" w:right="0"/>
            </w:pPr>
            <w:r>
              <w:t>Luxembourg</w:t>
            </w:r>
          </w:p>
        </w:tc>
      </w:tr>
      <w:tr>
        <w:trPr>
          <w:cnfStyle w:evenHBand="false" w:oddHBand="true" w:firstRow="false"/>
        </w:trPr>
        <w:tc>
          <w:tcPr>
            <w:cnfStyle w:evenVBand="false" w:oddVBand="true" w:firstColumn="false"/>
            <w:tcW w:w="33.333333%" w:type="pct"/>
          </w:tcPr>
          <w:p>
            <w:pPr>
              <w:ind w:leftChars="0" w:left="0" w:right="0"/>
            </w:pPr>
            <w:r>
              <w:t>LV</w:t>
            </w:r>
          </w:p>
        </w:tc>
        <w:tc>
          <w:tcPr>
            <w:cnfStyle w:evenVBand="true" w:oddVBand="false" w:firstColumn="false"/>
            <w:tcW w:w="33.333333%" w:type="pct"/>
          </w:tcPr>
          <w:p>
            <w:pPr>
              <w:ind w:leftChars="0" w:left="0" w:right="0"/>
            </w:pPr>
            <w:r>
              <w:t>Latvia</w:t>
            </w:r>
          </w:p>
        </w:tc>
        <w:tc>
          <w:tcPr>
            <w:cnfStyle w:evenVBand="false" w:oddVBand="true" w:firstColumn="false"/>
            <w:tcW w:w="33.333333%" w:type="pct"/>
          </w:tcPr>
          <w:p>
            <w:pPr>
              <w:ind w:leftChars="0" w:left="0" w:right="0"/>
            </w:pPr>
            <w:r>
              <w:t>Latvia</w:t>
            </w:r>
          </w:p>
        </w:tc>
      </w:tr>
      <w:tr>
        <w:trPr>
          <w:cnfStyle w:evenHBand="true" w:oddHBand="false" w:firstRow="false"/>
        </w:trPr>
        <w:tc>
          <w:tcPr>
            <w:cnfStyle w:evenVBand="false" w:oddVBand="true" w:firstColumn="false"/>
            <w:tcW w:w="33.333333%" w:type="pct"/>
          </w:tcPr>
          <w:p>
            <w:pPr>
              <w:ind w:leftChars="0" w:left="0" w:right="0"/>
            </w:pPr>
            <w:r>
              <w:t>LY</w:t>
            </w:r>
          </w:p>
        </w:tc>
        <w:tc>
          <w:tcPr>
            <w:cnfStyle w:evenVBand="true" w:oddVBand="false" w:firstColumn="false"/>
            <w:tcW w:w="33.333333%" w:type="pct"/>
          </w:tcPr>
          <w:p>
            <w:pPr>
              <w:ind w:leftChars="0" w:left="0" w:right="0"/>
            </w:pPr>
            <w:r>
              <w:t>Libya</w:t>
            </w:r>
          </w:p>
        </w:tc>
        <w:tc>
          <w:tcPr>
            <w:cnfStyle w:evenVBand="false" w:oddVBand="true" w:firstColumn="false"/>
            <w:tcW w:w="33.333333%" w:type="pct"/>
          </w:tcPr>
          <w:p>
            <w:pPr>
              <w:ind w:leftChars="0" w:left="0" w:right="0"/>
            </w:pPr>
            <w:r>
              <w:t>Libya</w:t>
            </w:r>
          </w:p>
        </w:tc>
      </w:tr>
      <w:tr>
        <w:trPr>
          <w:cnfStyle w:evenHBand="false" w:oddHBand="true" w:firstRow="false"/>
        </w:trPr>
        <w:tc>
          <w:tcPr>
            <w:cnfStyle w:evenVBand="false" w:oddVBand="true" w:firstColumn="false"/>
            <w:tcW w:w="33.333333%" w:type="pct"/>
          </w:tcPr>
          <w:p>
            <w:pPr>
              <w:ind w:leftChars="0" w:left="0" w:right="0"/>
            </w:pPr>
            <w:r>
              <w:t>ME</w:t>
            </w:r>
          </w:p>
        </w:tc>
        <w:tc>
          <w:tcPr>
            <w:cnfStyle w:evenVBand="true" w:oddVBand="false" w:firstColumn="false"/>
            <w:tcW w:w="33.333333%" w:type="pct"/>
          </w:tcPr>
          <w:p>
            <w:pPr>
              <w:ind w:leftChars="0" w:left="0" w:right="0"/>
            </w:pPr>
            <w:r>
              <w:t>Montenegro</w:t>
            </w:r>
          </w:p>
        </w:tc>
        <w:tc>
          <w:tcPr>
            <w:cnfStyle w:evenVBand="false" w:oddVBand="true" w:firstColumn="false"/>
            <w:tcW w:w="33.333333%" w:type="pct"/>
          </w:tcPr>
          <w:p>
            <w:pPr>
              <w:ind w:leftChars="0" w:left="0" w:right="0"/>
            </w:pPr>
            <w:r>
              <w:t>Montenegro</w:t>
            </w:r>
          </w:p>
        </w:tc>
      </w:tr>
      <w:tr>
        <w:trPr>
          <w:cnfStyle w:evenHBand="true" w:oddHBand="false" w:firstRow="false"/>
        </w:trPr>
        <w:tc>
          <w:tcPr>
            <w:cnfStyle w:evenVBand="false" w:oddVBand="true" w:firstColumn="false"/>
            <w:tcW w:w="33.333333%" w:type="pct"/>
          </w:tcPr>
          <w:p>
            <w:pPr>
              <w:ind w:leftChars="0" w:left="0" w:right="0"/>
            </w:pPr>
            <w:r>
              <w:t>MH</w:t>
            </w:r>
          </w:p>
        </w:tc>
        <w:tc>
          <w:tcPr>
            <w:cnfStyle w:evenVBand="true" w:oddVBand="false" w:firstColumn="false"/>
            <w:tcW w:w="33.333333%" w:type="pct"/>
          </w:tcPr>
          <w:p>
            <w:pPr>
              <w:ind w:leftChars="0" w:left="0" w:right="0"/>
            </w:pPr>
            <w:r>
              <w:t>Marshall Islands (the)</w:t>
            </w:r>
          </w:p>
        </w:tc>
        <w:tc>
          <w:tcPr>
            <w:cnfStyle w:evenVBand="false" w:oddVBand="true" w:firstColumn="false"/>
            <w:tcW w:w="33.333333%" w:type="pct"/>
          </w:tcPr>
          <w:p>
            <w:pPr>
              <w:ind w:leftChars="0" w:left="0" w:right="0"/>
            </w:pPr>
            <w:r>
              <w:t>Marshall Islands (the)</w:t>
            </w:r>
          </w:p>
        </w:tc>
      </w:tr>
      <w:tr>
        <w:trPr>
          <w:cnfStyle w:evenHBand="false" w:oddHBand="true" w:firstRow="false"/>
        </w:trPr>
        <w:tc>
          <w:tcPr>
            <w:cnfStyle w:evenVBand="false" w:oddVBand="true" w:firstColumn="false"/>
            <w:tcW w:w="33.333333%" w:type="pct"/>
          </w:tcPr>
          <w:p>
            <w:pPr>
              <w:ind w:leftChars="0" w:left="0" w:right="0"/>
            </w:pPr>
            <w:r>
              <w:t>MK</w:t>
            </w:r>
          </w:p>
        </w:tc>
        <w:tc>
          <w:tcPr>
            <w:cnfStyle w:evenVBand="true" w:oddVBand="false" w:firstColumn="false"/>
            <w:tcW w:w="33.333333%" w:type="pct"/>
          </w:tcPr>
          <w:p>
            <w:pPr>
              <w:ind w:leftChars="0" w:left="0" w:right="0"/>
            </w:pPr>
            <w:r>
              <w:t>Macedonia (the former Yugoslav Republic of)</w:t>
            </w:r>
          </w:p>
        </w:tc>
        <w:tc>
          <w:tcPr>
            <w:cnfStyle w:evenVBand="false" w:oddVBand="true" w:firstColumn="false"/>
            <w:tcW w:w="33.333333%" w:type="pct"/>
          </w:tcPr>
          <w:p>
            <w:pPr>
              <w:ind w:leftChars="0" w:left="0" w:right="0"/>
            </w:pPr>
            <w:r>
              <w:t>Macedonia (the former Yugoslav Republic of)</w:t>
            </w:r>
          </w:p>
        </w:tc>
      </w:tr>
      <w:tr>
        <w:trPr>
          <w:cnfStyle w:evenHBand="true" w:oddHBand="false" w:firstRow="false"/>
        </w:trPr>
        <w:tc>
          <w:tcPr>
            <w:cnfStyle w:evenVBand="false" w:oddVBand="true" w:firstColumn="false"/>
            <w:tcW w:w="33.333333%" w:type="pct"/>
          </w:tcPr>
          <w:p>
            <w:pPr>
              <w:ind w:leftChars="0" w:left="0" w:right="0"/>
            </w:pPr>
            <w:r>
              <w:t>MN</w:t>
            </w:r>
          </w:p>
        </w:tc>
        <w:tc>
          <w:tcPr>
            <w:cnfStyle w:evenVBand="true" w:oddVBand="false" w:firstColumn="false"/>
            <w:tcW w:w="33.333333%" w:type="pct"/>
          </w:tcPr>
          <w:p>
            <w:pPr>
              <w:ind w:leftChars="0" w:left="0" w:right="0"/>
            </w:pPr>
            <w:r>
              <w:t>Mongolia</w:t>
            </w:r>
          </w:p>
        </w:tc>
        <w:tc>
          <w:tcPr>
            <w:cnfStyle w:evenVBand="false" w:oddVBand="true" w:firstColumn="false"/>
            <w:tcW w:w="33.333333%" w:type="pct"/>
          </w:tcPr>
          <w:p>
            <w:pPr>
              <w:ind w:leftChars="0" w:left="0" w:right="0"/>
            </w:pPr>
            <w:r>
              <w:t>Mongolia</w:t>
            </w:r>
          </w:p>
        </w:tc>
      </w:tr>
      <w:tr>
        <w:trPr>
          <w:cnfStyle w:evenHBand="false" w:oddHBand="true" w:firstRow="false"/>
        </w:trPr>
        <w:tc>
          <w:tcPr>
            <w:cnfStyle w:evenVBand="false" w:oddVBand="true" w:firstColumn="false"/>
            <w:tcW w:w="33.333333%" w:type="pct"/>
          </w:tcPr>
          <w:p>
            <w:pPr>
              <w:ind w:leftChars="0" w:left="0" w:right="0"/>
            </w:pPr>
            <w:r>
              <w:t>MU</w:t>
            </w:r>
          </w:p>
        </w:tc>
        <w:tc>
          <w:tcPr>
            <w:cnfStyle w:evenVBand="true" w:oddVBand="false" w:firstColumn="false"/>
            <w:tcW w:w="33.333333%" w:type="pct"/>
          </w:tcPr>
          <w:p>
            <w:pPr>
              <w:ind w:leftChars="0" w:left="0" w:right="0"/>
            </w:pPr>
            <w:r>
              <w:t>Mauritius</w:t>
            </w:r>
          </w:p>
        </w:tc>
        <w:tc>
          <w:tcPr>
            <w:cnfStyle w:evenVBand="false" w:oddVBand="true" w:firstColumn="false"/>
            <w:tcW w:w="33.333333%" w:type="pct"/>
          </w:tcPr>
          <w:p>
            <w:pPr>
              <w:ind w:leftChars="0" w:left="0" w:right="0"/>
            </w:pPr>
            <w:r>
              <w:t>Mauritius</w:t>
            </w:r>
          </w:p>
        </w:tc>
      </w:tr>
      <w:tr>
        <w:trPr>
          <w:cnfStyle w:evenHBand="true" w:oddHBand="false" w:firstRow="false"/>
        </w:trPr>
        <w:tc>
          <w:tcPr>
            <w:cnfStyle w:evenVBand="false" w:oddVBand="true" w:firstColumn="false"/>
            <w:tcW w:w="33.333333%" w:type="pct"/>
          </w:tcPr>
          <w:p>
            <w:pPr>
              <w:ind w:leftChars="0" w:left="0" w:right="0"/>
            </w:pPr>
            <w:r>
              <w:t>MW</w:t>
            </w:r>
          </w:p>
        </w:tc>
        <w:tc>
          <w:tcPr>
            <w:cnfStyle w:evenVBand="true" w:oddVBand="false" w:firstColumn="false"/>
            <w:tcW w:w="33.333333%" w:type="pct"/>
          </w:tcPr>
          <w:p>
            <w:pPr>
              <w:ind w:leftChars="0" w:left="0" w:right="0"/>
            </w:pPr>
            <w:r>
              <w:t>Malawi</w:t>
            </w:r>
          </w:p>
        </w:tc>
        <w:tc>
          <w:tcPr>
            <w:cnfStyle w:evenVBand="false" w:oddVBand="true" w:firstColumn="false"/>
            <w:tcW w:w="33.333333%" w:type="pct"/>
          </w:tcPr>
          <w:p>
            <w:pPr>
              <w:ind w:leftChars="0" w:left="0" w:right="0"/>
            </w:pPr>
            <w:r>
              <w:t>Malawi</w:t>
            </w:r>
          </w:p>
        </w:tc>
      </w:tr>
      <w:tr>
        <w:trPr>
          <w:cnfStyle w:evenHBand="false" w:oddHBand="true" w:firstRow="false"/>
        </w:trPr>
        <w:tc>
          <w:tcPr>
            <w:cnfStyle w:evenVBand="false" w:oddVBand="true" w:firstColumn="false"/>
            <w:tcW w:w="33.333333%" w:type="pct"/>
          </w:tcPr>
          <w:p>
            <w:pPr>
              <w:ind w:leftChars="0" w:left="0" w:right="0"/>
            </w:pPr>
            <w:r>
              <w:t>MX</w:t>
            </w:r>
          </w:p>
        </w:tc>
        <w:tc>
          <w:tcPr>
            <w:cnfStyle w:evenVBand="true" w:oddVBand="false" w:firstColumn="false"/>
            <w:tcW w:w="33.333333%" w:type="pct"/>
          </w:tcPr>
          <w:p>
            <w:pPr>
              <w:ind w:leftChars="0" w:left="0" w:right="0"/>
            </w:pPr>
            <w:r>
              <w:t>Mexico</w:t>
            </w:r>
          </w:p>
        </w:tc>
        <w:tc>
          <w:tcPr>
            <w:cnfStyle w:evenVBand="false" w:oddVBand="true" w:firstColumn="false"/>
            <w:tcW w:w="33.333333%" w:type="pct"/>
          </w:tcPr>
          <w:p>
            <w:pPr>
              <w:ind w:leftChars="0" w:left="0" w:right="0"/>
            </w:pPr>
            <w:r>
              <w:t>Mexico</w:t>
            </w:r>
          </w:p>
        </w:tc>
      </w:tr>
      <w:tr>
        <w:trPr>
          <w:cnfStyle w:evenHBand="true" w:oddHBand="false" w:firstRow="false"/>
        </w:trPr>
        <w:tc>
          <w:tcPr>
            <w:cnfStyle w:evenVBand="false" w:oddVBand="true" w:firstColumn="false"/>
            <w:tcW w:w="33.333333%" w:type="pct"/>
          </w:tcPr>
          <w:p>
            <w:pPr>
              <w:ind w:leftChars="0" w:left="0" w:right="0"/>
            </w:pPr>
            <w:r>
              <w:t>NG</w:t>
            </w:r>
          </w:p>
        </w:tc>
        <w:tc>
          <w:tcPr>
            <w:cnfStyle w:evenVBand="true" w:oddVBand="false" w:firstColumn="false"/>
            <w:tcW w:w="33.333333%" w:type="pct"/>
          </w:tcPr>
          <w:p>
            <w:pPr>
              <w:ind w:leftChars="0" w:left="0" w:right="0"/>
            </w:pPr>
            <w:r>
              <w:t>Nigeria</w:t>
            </w:r>
          </w:p>
        </w:tc>
        <w:tc>
          <w:tcPr>
            <w:cnfStyle w:evenVBand="false" w:oddVBand="true" w:firstColumn="false"/>
            <w:tcW w:w="33.333333%" w:type="pct"/>
          </w:tcPr>
          <w:p>
            <w:pPr>
              <w:ind w:leftChars="0" w:left="0" w:right="0"/>
            </w:pPr>
            <w:r>
              <w:t>Nigeria</w:t>
            </w:r>
          </w:p>
        </w:tc>
      </w:tr>
      <w:tr>
        <w:trPr>
          <w:cnfStyle w:evenHBand="false" w:oddHBand="true" w:firstRow="false"/>
        </w:trPr>
        <w:tc>
          <w:tcPr>
            <w:cnfStyle w:evenVBand="false" w:oddVBand="true" w:firstColumn="false"/>
            <w:tcW w:w="33.333333%" w:type="pct"/>
          </w:tcPr>
          <w:p>
            <w:pPr>
              <w:ind w:leftChars="0" w:left="0" w:right="0"/>
            </w:pPr>
            <w:r>
              <w:t>NL</w:t>
            </w:r>
          </w:p>
        </w:tc>
        <w:tc>
          <w:tcPr>
            <w:cnfStyle w:evenVBand="true" w:oddVBand="false" w:firstColumn="false"/>
            <w:tcW w:w="33.333333%" w:type="pct"/>
          </w:tcPr>
          <w:p>
            <w:pPr>
              <w:ind w:leftChars="0" w:left="0" w:right="0"/>
            </w:pPr>
            <w:r>
              <w:t>Netherlands (the)</w:t>
            </w:r>
          </w:p>
        </w:tc>
        <w:tc>
          <w:tcPr>
            <w:cnfStyle w:evenVBand="false" w:oddVBand="true" w:firstColumn="false"/>
            <w:tcW w:w="33.333333%" w:type="pct"/>
          </w:tcPr>
          <w:p>
            <w:pPr>
              <w:ind w:leftChars="0" w:left="0" w:right="0"/>
            </w:pPr>
            <w:r>
              <w:t>Netherlands excluding Aruba (AW), Bonaire, Saint Eustatius and Saba (BQ), Curacao (CW), Sint Maarten (SX)</w:t>
            </w:r>
          </w:p>
        </w:tc>
      </w:tr>
      <w:tr>
        <w:trPr>
          <w:cnfStyle w:evenHBand="true" w:oddHBand="false" w:firstRow="false"/>
        </w:trPr>
        <w:tc>
          <w:tcPr>
            <w:cnfStyle w:evenVBand="false" w:oddVBand="true" w:firstColumn="false"/>
            <w:tcW w:w="33.333333%" w:type="pct"/>
          </w:tcPr>
          <w:p>
            <w:pPr>
              <w:ind w:leftChars="0" w:left="0" w:right="0"/>
            </w:pPr>
            <w:r>
              <w:t>NO</w:t>
            </w:r>
          </w:p>
        </w:tc>
        <w:tc>
          <w:tcPr>
            <w:cnfStyle w:evenVBand="true" w:oddVBand="false" w:firstColumn="false"/>
            <w:tcW w:w="33.333333%" w:type="pct"/>
          </w:tcPr>
          <w:p>
            <w:pPr>
              <w:ind w:leftChars="0" w:left="0" w:right="0"/>
            </w:pPr>
            <w:r>
              <w:t>Norway</w:t>
            </w:r>
          </w:p>
        </w:tc>
        <w:tc>
          <w:tcPr>
            <w:cnfStyle w:evenVBand="false" w:oddVBand="true" w:firstColumn="false"/>
            <w:tcW w:w="33.333333%" w:type="pct"/>
          </w:tcPr>
          <w:p>
            <w:pPr>
              <w:ind w:leftChars="0" w:left="0" w:right="0"/>
            </w:pPr>
            <w:r>
              <w:t>Norway excluding Svalbard and Jan Mayen (SJ)</w:t>
            </w:r>
          </w:p>
        </w:tc>
      </w:tr>
      <w:tr>
        <w:trPr>
          <w:cnfStyle w:evenHBand="false" w:oddHBand="true" w:firstRow="false"/>
        </w:trPr>
        <w:tc>
          <w:tcPr>
            <w:cnfStyle w:evenVBand="false" w:oddVBand="true" w:firstColumn="false"/>
            <w:tcW w:w="33.333333%" w:type="pct"/>
          </w:tcPr>
          <w:p>
            <w:pPr>
              <w:ind w:leftChars="0" w:left="0" w:right="0"/>
            </w:pPr>
            <w:r>
              <w:t>NZ</w:t>
            </w:r>
          </w:p>
        </w:tc>
        <w:tc>
          <w:tcPr>
            <w:cnfStyle w:evenVBand="true" w:oddVBand="false" w:firstColumn="false"/>
            <w:tcW w:w="33.333333%" w:type="pct"/>
          </w:tcPr>
          <w:p>
            <w:pPr>
              <w:ind w:leftChars="0" w:left="0" w:right="0"/>
            </w:pPr>
            <w:r>
              <w:t>New Zealand</w:t>
            </w:r>
          </w:p>
        </w:tc>
        <w:tc>
          <w:tcPr>
            <w:cnfStyle w:evenVBand="false" w:oddVBand="true" w:firstColumn="false"/>
            <w:tcW w:w="33.333333%" w:type="pct"/>
          </w:tcPr>
          <w:p>
            <w:pPr>
              <w:ind w:leftChars="0" w:left="0" w:right="0"/>
            </w:pPr>
            <w:r>
              <w:t>New Zealand</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Oman</w:t>
            </w:r>
          </w:p>
        </w:tc>
        <w:tc>
          <w:tcPr>
            <w:cnfStyle w:evenVBand="false" w:oddVBand="true" w:firstColumn="false"/>
            <w:tcW w:w="33.333333%" w:type="pct"/>
          </w:tcPr>
          <w:p>
            <w:pPr>
              <w:ind w:leftChars="0" w:left="0" w:right="0"/>
            </w:pPr>
            <w:r>
              <w:t>Oman</w:t>
            </w:r>
          </w:p>
        </w:tc>
      </w:tr>
      <w:tr>
        <w:trPr>
          <w:cnfStyle w:evenHBand="false" w:oddHBand="true" w:firstRow="false"/>
        </w:trPr>
        <w:tc>
          <w:tcPr>
            <w:cnfStyle w:evenVBand="false" w:oddVBand="true" w:firstColumn="false"/>
            <w:tcW w:w="33.333333%" w:type="pct"/>
          </w:tcPr>
          <w:p>
            <w:pPr>
              <w:ind w:leftChars="0" w:left="0" w:right="0"/>
            </w:pPr>
            <w:r>
              <w:t>PA</w:t>
            </w:r>
          </w:p>
        </w:tc>
        <w:tc>
          <w:tcPr>
            <w:cnfStyle w:evenVBand="true" w:oddVBand="false" w:firstColumn="false"/>
            <w:tcW w:w="33.333333%" w:type="pct"/>
          </w:tcPr>
          <w:p>
            <w:pPr>
              <w:ind w:leftChars="0" w:left="0" w:right="0"/>
            </w:pPr>
            <w:r>
              <w:t>Panama</w:t>
            </w:r>
          </w:p>
        </w:tc>
        <w:tc>
          <w:tcPr>
            <w:cnfStyle w:evenVBand="false" w:oddVBand="true" w:firstColumn="false"/>
            <w:tcW w:w="33.333333%" w:type="pct"/>
          </w:tcPr>
          <w:p>
            <w:pPr>
              <w:ind w:leftChars="0" w:left="0" w:right="0"/>
            </w:pPr>
            <w:r>
              <w:t>Panama</w:t>
            </w:r>
          </w:p>
        </w:tc>
      </w:tr>
      <w:tr>
        <w:trPr>
          <w:cnfStyle w:evenHBand="true" w:oddHBand="false" w:firstRow="false"/>
        </w:trPr>
        <w:tc>
          <w:tcPr>
            <w:cnfStyle w:evenVBand="false" w:oddVBand="true" w:firstColumn="false"/>
            <w:tcW w:w="33.333333%" w:type="pct"/>
          </w:tcPr>
          <w:p>
            <w:pPr>
              <w:ind w:leftChars="0" w:left="0" w:right="0"/>
            </w:pPr>
            <w:r>
              <w:t>PE</w:t>
            </w:r>
          </w:p>
        </w:tc>
        <w:tc>
          <w:tcPr>
            <w:cnfStyle w:evenVBand="true" w:oddVBand="false" w:firstColumn="false"/>
            <w:tcW w:w="33.333333%" w:type="pct"/>
          </w:tcPr>
          <w:p>
            <w:pPr>
              <w:ind w:leftChars="0" w:left="0" w:right="0"/>
            </w:pPr>
            <w:r>
              <w:t>Peru</w:t>
            </w:r>
          </w:p>
        </w:tc>
        <w:tc>
          <w:tcPr>
            <w:cnfStyle w:evenVBand="false" w:oddVBand="true" w:firstColumn="false"/>
            <w:tcW w:w="33.333333%" w:type="pct"/>
          </w:tcPr>
          <w:p>
            <w:pPr>
              <w:ind w:leftChars="0" w:left="0" w:right="0"/>
            </w:pPr>
            <w:r>
              <w:t>Peru</w:t>
            </w:r>
          </w:p>
        </w:tc>
      </w:tr>
      <w:tr>
        <w:trPr>
          <w:cnfStyle w:evenHBand="false" w:oddHBand="true" w:firstRow="false"/>
        </w:trPr>
        <w:tc>
          <w:tcPr>
            <w:cnfStyle w:evenVBand="false" w:oddVBand="true" w:firstColumn="false"/>
            <w:tcW w:w="33.333333%" w:type="pct"/>
          </w:tcPr>
          <w:p>
            <w:pPr>
              <w:ind w:leftChars="0" w:left="0" w:right="0"/>
            </w:pPr>
            <w:r>
              <w:t>PG</w:t>
            </w:r>
          </w:p>
        </w:tc>
        <w:tc>
          <w:tcPr>
            <w:cnfStyle w:evenVBand="true" w:oddVBand="false" w:firstColumn="false"/>
            <w:tcW w:w="33.333333%" w:type="pct"/>
          </w:tcPr>
          <w:p>
            <w:pPr>
              <w:ind w:leftChars="0" w:left="0" w:right="0"/>
            </w:pPr>
            <w:r>
              <w:t>Papua New Guinea</w:t>
            </w:r>
          </w:p>
        </w:tc>
        <w:tc>
          <w:tcPr>
            <w:cnfStyle w:evenVBand="false" w:oddVBand="true" w:firstColumn="false"/>
            <w:tcW w:w="33.333333%" w:type="pct"/>
          </w:tcPr>
          <w:p>
            <w:pPr>
              <w:ind w:leftChars="0" w:left="0" w:right="0"/>
            </w:pPr>
            <w:r>
              <w:t>Papua New Guinea</w:t>
            </w:r>
          </w:p>
        </w:tc>
      </w:tr>
      <w:tr>
        <w:trPr>
          <w:cnfStyle w:evenHBand="true" w:oddHBand="false" w:firstRow="false"/>
        </w:trPr>
        <w:tc>
          <w:tcPr>
            <w:cnfStyle w:evenVBand="false" w:oddVBand="true" w:firstColumn="false"/>
            <w:tcW w:w="33.333333%" w:type="pct"/>
          </w:tcPr>
          <w:p>
            <w:pPr>
              <w:ind w:leftChars="0" w:left="0" w:right="0"/>
            </w:pPr>
            <w:r>
              <w:t>PH</w:t>
            </w:r>
          </w:p>
        </w:tc>
        <w:tc>
          <w:tcPr>
            <w:cnfStyle w:evenVBand="true" w:oddVBand="false" w:firstColumn="false"/>
            <w:tcW w:w="33.333333%" w:type="pct"/>
          </w:tcPr>
          <w:p>
            <w:pPr>
              <w:ind w:leftChars="0" w:left="0" w:right="0"/>
            </w:pPr>
            <w:r>
              <w:t>Philippines (the)</w:t>
            </w:r>
          </w:p>
        </w:tc>
        <w:tc>
          <w:tcPr>
            <w:cnfStyle w:evenVBand="false" w:oddVBand="true" w:firstColumn="false"/>
            <w:tcW w:w="33.333333%" w:type="pct"/>
          </w:tcPr>
          <w:p>
            <w:pPr>
              <w:ind w:leftChars="0" w:left="0" w:right="0"/>
            </w:pPr>
            <w:r>
              <w:t>Philippines (the)</w:t>
            </w:r>
          </w:p>
        </w:tc>
      </w:tr>
      <w:tr>
        <w:trPr>
          <w:cnfStyle w:evenHBand="false" w:oddHBand="true" w:firstRow="false"/>
        </w:trPr>
        <w:tc>
          <w:tcPr>
            <w:cnfStyle w:evenVBand="false" w:oddVBand="true" w:firstColumn="false"/>
            <w:tcW w:w="33.333333%" w:type="pct"/>
          </w:tcPr>
          <w:p>
            <w:pPr>
              <w:ind w:leftChars="0" w:left="0" w:right="0"/>
            </w:pPr>
            <w:r>
              <w:t>PL</w:t>
            </w:r>
          </w:p>
        </w:tc>
        <w:tc>
          <w:tcPr>
            <w:cnfStyle w:evenVBand="true" w:oddVBand="false" w:firstColumn="false"/>
            <w:tcW w:w="33.333333%" w:type="pct"/>
          </w:tcPr>
          <w:p>
            <w:pPr>
              <w:ind w:leftChars="0" w:left="0" w:right="0"/>
            </w:pPr>
            <w:r>
              <w:t>Poland</w:t>
            </w:r>
          </w:p>
        </w:tc>
        <w:tc>
          <w:tcPr>
            <w:cnfStyle w:evenVBand="false" w:oddVBand="true" w:firstColumn="false"/>
            <w:tcW w:w="33.333333%" w:type="pct"/>
          </w:tcPr>
          <w:p>
            <w:pPr>
              <w:ind w:leftChars="0" w:left="0" w:right="0"/>
            </w:pPr>
            <w:r>
              <w:t>Poland</w:t>
            </w:r>
          </w:p>
        </w:tc>
      </w:tr>
      <w:tr>
        <w:trPr>
          <w:cnfStyle w:evenHBand="true" w:oddHBand="false" w:firstRow="false"/>
        </w:trPr>
        <w:tc>
          <w:tcPr>
            <w:cnfStyle w:evenVBand="false" w:oddVBand="true" w:firstColumn="false"/>
            <w:tcW w:w="33.333333%" w:type="pct"/>
          </w:tcPr>
          <w:p>
            <w:pPr>
              <w:ind w:leftChars="0" w:left="0" w:right="0"/>
            </w:pPr>
            <w:r>
              <w:t>PT</w:t>
            </w:r>
          </w:p>
        </w:tc>
        <w:tc>
          <w:tcPr>
            <w:cnfStyle w:evenVBand="true" w:oddVBand="false" w:firstColumn="false"/>
            <w:tcW w:w="33.333333%" w:type="pct"/>
          </w:tcPr>
          <w:p>
            <w:pPr>
              <w:ind w:leftChars="0" w:left="0" w:right="0"/>
            </w:pPr>
            <w:r>
              <w:t>Portugal</w:t>
            </w:r>
          </w:p>
        </w:tc>
        <w:tc>
          <w:tcPr>
            <w:cnfStyle w:evenVBand="false" w:oddVBand="true" w:firstColumn="false"/>
            <w:tcW w:w="33.333333%" w:type="pct"/>
          </w:tcPr>
          <w:p>
            <w:pPr>
              <w:ind w:leftChars="0" w:left="0" w:right="0"/>
            </w:pPr>
            <w:r>
              <w:t>Portugal</w:t>
            </w:r>
          </w:p>
        </w:tc>
      </w:tr>
      <w:tr>
        <w:trPr>
          <w:cnfStyle w:evenHBand="false" w:oddHBand="tru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Qatar</w:t>
            </w:r>
          </w:p>
        </w:tc>
        <w:tc>
          <w:tcPr>
            <w:cnfStyle w:evenVBand="false" w:oddVBand="true" w:firstColumn="false"/>
            <w:tcW w:w="33.333333%" w:type="pct"/>
          </w:tcPr>
          <w:p>
            <w:pPr>
              <w:ind w:leftChars="0" w:left="0" w:right="0"/>
            </w:pPr>
            <w:r>
              <w:t>Qatar</w:t>
            </w:r>
          </w:p>
        </w:tc>
      </w:tr>
      <w:tr>
        <w:trPr>
          <w:cnfStyle w:evenHBand="true" w:oddHBand="false" w:firstRow="false"/>
        </w:trPr>
        <w:tc>
          <w:tcPr>
            <w:cnfStyle w:evenVBand="false" w:oddVBand="true" w:firstColumn="false"/>
            <w:tcW w:w="33.333333%" w:type="pct"/>
          </w:tcPr>
          <w:p>
            <w:pPr>
              <w:ind w:leftChars="0" w:left="0" w:right="0"/>
            </w:pPr>
            <w:r>
              <w:t>RO</w:t>
            </w:r>
          </w:p>
        </w:tc>
        <w:tc>
          <w:tcPr>
            <w:cnfStyle w:evenVBand="true" w:oddVBand="false" w:firstColumn="false"/>
            <w:tcW w:w="33.333333%" w:type="pct"/>
          </w:tcPr>
          <w:p>
            <w:pPr>
              <w:ind w:leftChars="0" w:left="0" w:right="0"/>
            </w:pPr>
            <w:r>
              <w:t>Romania</w:t>
            </w:r>
          </w:p>
        </w:tc>
        <w:tc>
          <w:tcPr>
            <w:cnfStyle w:evenVBand="false" w:oddVBand="true" w:firstColumn="false"/>
            <w:tcW w:w="33.333333%" w:type="pct"/>
          </w:tcPr>
          <w:p>
            <w:pPr>
              <w:ind w:leftChars="0" w:left="0" w:right="0"/>
            </w:pPr>
            <w:r>
              <w:t>Romania</w:t>
            </w:r>
          </w:p>
        </w:tc>
      </w:tr>
      <w:tr>
        <w:trPr>
          <w:cnfStyle w:evenHBand="false" w:oddHBand="true" w:firstRow="false"/>
        </w:trPr>
        <w:tc>
          <w:tcPr>
            <w:cnfStyle w:evenVBand="false" w:oddVBand="true" w:firstColumn="false"/>
            <w:tcW w:w="33.333333%" w:type="pct"/>
          </w:tcPr>
          <w:p>
            <w:pPr>
              <w:ind w:leftChars="0" w:left="0" w:right="0"/>
            </w:pPr>
            <w:r>
              <w:t>RS</w:t>
            </w:r>
          </w:p>
        </w:tc>
        <w:tc>
          <w:tcPr>
            <w:cnfStyle w:evenVBand="true" w:oddVBand="false" w:firstColumn="false"/>
            <w:tcW w:w="33.333333%" w:type="pct"/>
          </w:tcPr>
          <w:p>
            <w:pPr>
              <w:ind w:leftChars="0" w:left="0" w:right="0"/>
            </w:pPr>
            <w:r>
              <w:t>Serbia</w:t>
            </w:r>
          </w:p>
        </w:tc>
        <w:tc>
          <w:tcPr>
            <w:cnfStyle w:evenVBand="false" w:oddVBand="true" w:firstColumn="false"/>
            <w:tcW w:w="33.333333%" w:type="pct"/>
          </w:tcPr>
          <w:p>
            <w:pPr>
              <w:ind w:leftChars="0" w:left="0" w:right="0"/>
            </w:pPr>
            <w:r>
              <w:t>Serbia</w:t>
            </w:r>
          </w:p>
        </w:tc>
      </w:tr>
      <w:tr>
        <w:trPr>
          <w:cnfStyle w:evenHBand="true" w:oddHBand="false" w:firstRow="false"/>
        </w:trPr>
        <w:tc>
          <w:tcPr>
            <w:cnfStyle w:evenVBand="false" w:oddVBand="true" w:firstColumn="false"/>
            <w:tcW w:w="33.333333%" w:type="pct"/>
          </w:tcPr>
          <w:p>
            <w:pPr>
              <w:ind w:leftChars="0" w:left="0" w:right="0"/>
            </w:pPr>
            <w:r>
              <w:t>RU</w:t>
            </w:r>
          </w:p>
        </w:tc>
        <w:tc>
          <w:tcPr>
            <w:cnfStyle w:evenVBand="true" w:oddVBand="false" w:firstColumn="false"/>
            <w:tcW w:w="33.333333%" w:type="pct"/>
          </w:tcPr>
          <w:p>
            <w:pPr>
              <w:ind w:leftChars="0" w:left="0" w:right="0"/>
            </w:pPr>
            <w:r>
              <w:t>Russian Federation (the)</w:t>
            </w:r>
          </w:p>
        </w:tc>
        <w:tc>
          <w:tcPr>
            <w:cnfStyle w:evenVBand="false" w:oddVBand="true" w:firstColumn="false"/>
            <w:tcW w:w="33.333333%" w:type="pct"/>
          </w:tcPr>
          <w:p>
            <w:pPr>
              <w:ind w:leftChars="0" w:left="0" w:right="0"/>
            </w:pPr>
            <w:r>
              <w:t>Russian Federation (the)</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Saudi Arabia</w:t>
            </w:r>
          </w:p>
        </w:tc>
        <w:tc>
          <w:tcPr>
            <w:cnfStyle w:evenVBand="false" w:oddVBand="true" w:firstColumn="false"/>
            <w:tcW w:w="33.333333%" w:type="pct"/>
          </w:tcPr>
          <w:p>
            <w:pPr>
              <w:ind w:leftChars="0" w:left="0" w:right="0"/>
            </w:pPr>
            <w:r>
              <w:t>Saudi Arabia</w:t>
            </w:r>
          </w:p>
        </w:tc>
      </w:tr>
      <w:tr>
        <w:trPr>
          <w:cnfStyle w:evenHBand="true" w:oddHBand="false" w:firstRow="false"/>
        </w:trPr>
        <w:tc>
          <w:tcPr>
            <w:cnfStyle w:evenVBand="false" w:oddVBand="true" w:firstColumn="false"/>
            <w:tcW w:w="33.333333%" w:type="pct"/>
          </w:tcPr>
          <w:p>
            <w:pPr>
              <w:ind w:leftChars="0" w:left="0" w:right="0"/>
            </w:pPr>
            <w:r>
              <w:t>SC</w:t>
            </w:r>
          </w:p>
        </w:tc>
        <w:tc>
          <w:tcPr>
            <w:cnfStyle w:evenVBand="true" w:oddVBand="false" w:firstColumn="false"/>
            <w:tcW w:w="33.333333%" w:type="pct"/>
          </w:tcPr>
          <w:p>
            <w:pPr>
              <w:ind w:leftChars="0" w:left="0" w:right="0"/>
            </w:pPr>
            <w:r>
              <w:t>Seychelles</w:t>
            </w:r>
          </w:p>
        </w:tc>
        <w:tc>
          <w:tcPr>
            <w:cnfStyle w:evenVBand="false" w:oddVBand="true" w:firstColumn="false"/>
            <w:tcW w:w="33.333333%" w:type="pct"/>
          </w:tcPr>
          <w:p>
            <w:pPr>
              <w:ind w:leftChars="0" w:left="0" w:right="0"/>
            </w:pPr>
            <w:r>
              <w:t>Seychelles</w:t>
            </w:r>
          </w:p>
        </w:tc>
      </w:tr>
      <w:tr>
        <w:trPr>
          <w:cnfStyle w:evenHBand="false" w:oddHBand="true" w:firstRow="false"/>
        </w:trPr>
        <w:tc>
          <w:tcPr>
            <w:cnfStyle w:evenVBand="false" w:oddVBand="true" w:firstColumn="false"/>
            <w:tcW w:w="33.333333%" w:type="pct"/>
          </w:tcPr>
          <w:p>
            <w:pPr>
              <w:ind w:leftChars="0" w:left="0" w:right="0"/>
            </w:pPr>
            <w:r>
              <w:t>SD</w:t>
            </w:r>
          </w:p>
        </w:tc>
        <w:tc>
          <w:tcPr>
            <w:cnfStyle w:evenVBand="true" w:oddVBand="false" w:firstColumn="false"/>
            <w:tcW w:w="33.333333%" w:type="pct"/>
          </w:tcPr>
          <w:p>
            <w:pPr>
              <w:ind w:leftChars="0" w:left="0" w:right="0"/>
            </w:pPr>
            <w:r>
              <w:t>Sudan (the)</w:t>
            </w:r>
          </w:p>
        </w:tc>
        <w:tc>
          <w:tcPr>
            <w:cnfStyle w:evenVBand="false" w:oddVBand="true" w:firstColumn="false"/>
            <w:tcW w:w="33.333333%" w:type="pct"/>
          </w:tcPr>
          <w:p>
            <w:pPr>
              <w:ind w:leftChars="0" w:left="0" w:right="0"/>
            </w:pPr>
            <w:r>
              <w:t>Sudan (the)</w:t>
            </w:r>
          </w:p>
        </w:tc>
      </w:tr>
      <w:tr>
        <w:trPr>
          <w:cnfStyle w:evenHBand="true" w:oddHBand="false" w:firstRow="false"/>
        </w:trPr>
        <w:tc>
          <w:tcPr>
            <w:cnfStyle w:evenVBand="false" w:oddVBand="true" w:firstColumn="false"/>
            <w:tcW w:w="33.333333%" w:type="pct"/>
          </w:tcPr>
          <w:p>
            <w:pPr>
              <w:ind w:leftChars="0" w:left="0" w:right="0"/>
            </w:pPr>
            <w:r>
              <w:t>SE</w:t>
            </w:r>
          </w:p>
        </w:tc>
        <w:tc>
          <w:tcPr>
            <w:cnfStyle w:evenVBand="true" w:oddVBand="false" w:firstColumn="false"/>
            <w:tcW w:w="33.333333%" w:type="pct"/>
          </w:tcPr>
          <w:p>
            <w:pPr>
              <w:ind w:leftChars="0" w:left="0" w:right="0"/>
            </w:pPr>
            <w:r>
              <w:t>Sweden</w:t>
            </w:r>
          </w:p>
        </w:tc>
        <w:tc>
          <w:tcPr>
            <w:cnfStyle w:evenVBand="false" w:oddVBand="true" w:firstColumn="false"/>
            <w:tcW w:w="33.333333%" w:type="pct"/>
          </w:tcPr>
          <w:p>
            <w:pPr>
              <w:ind w:leftChars="0" w:left="0" w:right="0"/>
            </w:pPr>
            <w:r>
              <w:t>Sweden</w:t>
            </w:r>
          </w:p>
        </w:tc>
      </w:tr>
      <w:tr>
        <w:trPr>
          <w:cnfStyle w:evenHBand="false" w:oddHBand="true" w:firstRow="false"/>
        </w:trPr>
        <w:tc>
          <w:tcPr>
            <w:cnfStyle w:evenVBand="false" w:oddVBand="true" w:firstColumn="false"/>
            <w:tcW w:w="33.333333%" w:type="pct"/>
          </w:tcPr>
          <w:p>
            <w:pPr>
              <w:ind w:leftChars="0" w:left="0" w:right="0"/>
            </w:pPr>
            <w:r>
              <w:t>SG</w:t>
            </w:r>
          </w:p>
        </w:tc>
        <w:tc>
          <w:tcPr>
            <w:cnfStyle w:evenVBand="true" w:oddVBand="false" w:firstColumn="false"/>
            <w:tcW w:w="33.333333%" w:type="pct"/>
          </w:tcPr>
          <w:p>
            <w:pPr>
              <w:ind w:leftChars="0" w:left="0" w:right="0"/>
            </w:pPr>
            <w:r>
              <w:t>Singapore</w:t>
            </w:r>
          </w:p>
        </w:tc>
        <w:tc>
          <w:tcPr>
            <w:cnfStyle w:evenVBand="false" w:oddVBand="true" w:firstColumn="false"/>
            <w:tcW w:w="33.333333%" w:type="pct"/>
          </w:tcPr>
          <w:p>
            <w:pPr>
              <w:ind w:leftChars="0" w:left="0" w:right="0"/>
            </w:pPr>
            <w:r>
              <w:t>Singapore</w:t>
            </w:r>
          </w:p>
        </w:tc>
      </w:tr>
      <w:tr>
        <w:trPr>
          <w:cnfStyle w:evenHBand="true" w:oddHBand="false" w:firstRow="false"/>
        </w:trPr>
        <w:tc>
          <w:tcPr>
            <w:cnfStyle w:evenVBand="false" w:oddVBand="true" w:firstColumn="false"/>
            <w:tcW w:w="33.333333%" w:type="pct"/>
          </w:tcPr>
          <w:p>
            <w:pPr>
              <w:ind w:leftChars="0" w:left="0" w:right="0"/>
            </w:pPr>
            <w:r>
              <w:t>SH</w:t>
            </w:r>
          </w:p>
        </w:tc>
        <w:tc>
          <w:tcPr>
            <w:cnfStyle w:evenVBand="true" w:oddVBand="false" w:firstColumn="false"/>
            <w:tcW w:w="33.333333%" w:type="pct"/>
          </w:tcPr>
          <w:p>
            <w:pPr>
              <w:ind w:leftChars="0" w:left="0" w:right="0"/>
            </w:pPr>
            <w:r>
              <w:t>Saint Helena, Ascension and Tristan da Cunha</w:t>
            </w:r>
          </w:p>
        </w:tc>
        <w:tc>
          <w:tcPr>
            <w:cnfStyle w:evenVBand="false" w:oddVBand="true" w:firstColumn="false"/>
            <w:tcW w:w="33.333333%" w:type="pct"/>
          </w:tcPr>
          <w:p>
            <w:pPr>
              <w:ind w:leftChars="0" w:left="0" w:right="0"/>
            </w:pPr>
            <w:r>
              <w:t>Saint Helena, Ascension and Tristan da Cunha</w:t>
            </w:r>
          </w:p>
        </w:tc>
      </w:tr>
      <w:tr>
        <w:trPr>
          <w:cnfStyle w:evenHBand="false" w:oddHBand="true" w:firstRow="false"/>
        </w:trPr>
        <w:tc>
          <w:tcPr>
            <w:cnfStyle w:evenVBand="false" w:oddVBand="true" w:firstColumn="false"/>
            <w:tcW w:w="33.333333%" w:type="pct"/>
          </w:tcPr>
          <w:p>
            <w:pPr>
              <w:ind w:leftChars="0" w:left="0" w:right="0"/>
            </w:pPr>
            <w:r>
              <w:t>SI</w:t>
            </w:r>
          </w:p>
        </w:tc>
        <w:tc>
          <w:tcPr>
            <w:cnfStyle w:evenVBand="true" w:oddVBand="false" w:firstColumn="false"/>
            <w:tcW w:w="33.333333%" w:type="pct"/>
          </w:tcPr>
          <w:p>
            <w:pPr>
              <w:ind w:leftChars="0" w:left="0" w:right="0"/>
            </w:pPr>
            <w:r>
              <w:t>Slovenia</w:t>
            </w:r>
          </w:p>
        </w:tc>
        <w:tc>
          <w:tcPr>
            <w:cnfStyle w:evenVBand="false" w:oddVBand="true" w:firstColumn="false"/>
            <w:tcW w:w="33.333333%" w:type="pct"/>
          </w:tcPr>
          <w:p>
            <w:pPr>
              <w:ind w:leftChars="0" w:left="0" w:right="0"/>
            </w:pPr>
            <w:r>
              <w:t>Slovenia</w:t>
            </w:r>
          </w:p>
        </w:tc>
      </w:tr>
      <w:tr>
        <w:trPr>
          <w:cnfStyle w:evenHBand="true" w:oddHBand="false" w:firstRow="false"/>
        </w:trPr>
        <w:tc>
          <w:tcPr>
            <w:cnfStyle w:evenVBand="false" w:oddVBand="true" w:firstColumn="false"/>
            <w:tcW w:w="33.333333%" w:type="pct"/>
          </w:tcPr>
          <w:p>
            <w:pPr>
              <w:ind w:leftChars="0" w:left="0" w:right="0"/>
            </w:pPr>
            <w:r>
              <w:t>SK</w:t>
            </w:r>
          </w:p>
        </w:tc>
        <w:tc>
          <w:tcPr>
            <w:cnfStyle w:evenVBand="true" w:oddVBand="false" w:firstColumn="false"/>
            <w:tcW w:w="33.333333%" w:type="pct"/>
          </w:tcPr>
          <w:p>
            <w:pPr>
              <w:ind w:leftChars="0" w:left="0" w:right="0"/>
            </w:pPr>
            <w:r>
              <w:t>Slovakia</w:t>
            </w:r>
          </w:p>
        </w:tc>
        <w:tc>
          <w:tcPr>
            <w:cnfStyle w:evenVBand="false" w:oddVBand="true" w:firstColumn="false"/>
            <w:tcW w:w="33.333333%" w:type="pct"/>
          </w:tcPr>
          <w:p>
            <w:pPr>
              <w:ind w:leftChars="0" w:left="0" w:right="0"/>
            </w:pPr>
            <w:r>
              <w:t>Slovakia</w:t>
            </w:r>
          </w:p>
        </w:tc>
      </w:tr>
      <w:tr>
        <w:trPr>
          <w:cnfStyle w:evenHBand="false" w:oddHBand="true" w:firstRow="false"/>
        </w:trPr>
        <w:tc>
          <w:tcPr>
            <w:cnfStyle w:evenVBand="false" w:oddVBand="true" w:firstColumn="false"/>
            <w:tcW w:w="33.333333%" w:type="pct"/>
          </w:tcPr>
          <w:p>
            <w:pPr>
              <w:ind w:leftChars="0" w:left="0" w:right="0"/>
            </w:pPr>
            <w:r>
              <w:t>TH</w:t>
            </w:r>
          </w:p>
        </w:tc>
        <w:tc>
          <w:tcPr>
            <w:cnfStyle w:evenVBand="true" w:oddVBand="false" w:firstColumn="false"/>
            <w:tcW w:w="33.333333%" w:type="pct"/>
          </w:tcPr>
          <w:p>
            <w:pPr>
              <w:ind w:leftChars="0" w:left="0" w:right="0"/>
            </w:pPr>
            <w:r>
              <w:t>Thailand</w:t>
            </w:r>
          </w:p>
        </w:tc>
        <w:tc>
          <w:tcPr>
            <w:cnfStyle w:evenVBand="false" w:oddVBand="true" w:firstColumn="false"/>
            <w:tcW w:w="33.333333%" w:type="pct"/>
          </w:tcPr>
          <w:p>
            <w:pPr>
              <w:ind w:leftChars="0" w:left="0" w:right="0"/>
            </w:pPr>
            <w:r>
              <w:t>Thailand</w:t>
            </w:r>
          </w:p>
        </w:tc>
      </w:tr>
      <w:tr>
        <w:trPr>
          <w:cnfStyle w:evenHBand="true" w:oddHBand="false" w:firstRow="false"/>
        </w:trPr>
        <w:tc>
          <w:tcPr>
            <w:cnfStyle w:evenVBand="false" w:oddVBand="true" w:firstColumn="false"/>
            <w:tcW w:w="33.333333%" w:type="pct"/>
          </w:tcPr>
          <w:p>
            <w:pPr>
              <w:ind w:leftChars="0" w:left="0" w:right="0"/>
            </w:pPr>
            <w:r>
              <w:t>TR</w:t>
            </w:r>
          </w:p>
        </w:tc>
        <w:tc>
          <w:tcPr>
            <w:cnfStyle w:evenVBand="true" w:oddVBand="false" w:firstColumn="false"/>
            <w:tcW w:w="33.333333%" w:type="pct"/>
          </w:tcPr>
          <w:p>
            <w:pPr>
              <w:ind w:leftChars="0" w:left="0" w:right="0"/>
            </w:pPr>
            <w:r>
              <w:t>Turkey</w:t>
            </w:r>
          </w:p>
        </w:tc>
        <w:tc>
          <w:tcPr>
            <w:cnfStyle w:evenVBand="false" w:oddVBand="true" w:firstColumn="false"/>
            <w:tcW w:w="33.333333%" w:type="pct"/>
          </w:tcPr>
          <w:p>
            <w:pPr>
              <w:ind w:leftChars="0" w:left="0" w:right="0"/>
            </w:pPr>
            <w:r>
              <w:t>Turkey</w:t>
            </w:r>
          </w:p>
        </w:tc>
      </w:tr>
      <w:tr>
        <w:trPr>
          <w:cnfStyle w:evenHBand="false" w:oddHBand="true" w:firstRow="false"/>
        </w:trPr>
        <w:tc>
          <w:tcPr>
            <w:cnfStyle w:evenVBand="false" w:oddVBand="true" w:firstColumn="false"/>
            <w:tcW w:w="33.333333%" w:type="pct"/>
          </w:tcPr>
          <w:p>
            <w:pPr>
              <w:ind w:leftChars="0" w:left="0" w:right="0"/>
            </w:pPr>
            <w:r>
              <w:t>TW</w:t>
            </w:r>
          </w:p>
        </w:tc>
        <w:tc>
          <w:tcPr>
            <w:cnfStyle w:evenVBand="true" w:oddVBand="false" w:firstColumn="false"/>
            <w:tcW w:w="33.333333%" w:type="pct"/>
          </w:tcPr>
          <w:p>
            <w:pPr>
              <w:ind w:leftChars="0" w:left="0" w:right="0"/>
            </w:pPr>
            <w:r>
              <w:t>Taiwan (Province of China)</w:t>
            </w:r>
          </w:p>
        </w:tc>
        <w:tc>
          <w:tcPr>
            <w:cnfStyle w:evenVBand="false" w:oddVBand="true" w:firstColumn="false"/>
            <w:tcW w:w="33.333333%" w:type="pct"/>
          </w:tcPr>
          <w:p>
            <w:pPr>
              <w:ind w:leftChars="0" w:left="0" w:right="0"/>
            </w:pPr>
            <w:r>
              <w:t>Taiwan (Province of China)</w:t>
            </w:r>
          </w:p>
        </w:tc>
      </w:tr>
      <w:tr>
        <w:trPr>
          <w:cnfStyle w:evenHBand="true" w:oddHBand="false" w:firstRow="false"/>
        </w:trPr>
        <w:tc>
          <w:tcPr>
            <w:cnfStyle w:evenVBand="false" w:oddVBand="true" w:firstColumn="false"/>
            <w:tcW w:w="33.333333%" w:type="pct"/>
          </w:tcPr>
          <w:p>
            <w:pPr>
              <w:ind w:leftChars="0" w:left="0" w:right="0"/>
            </w:pPr>
            <w:r>
              <w:t>TZ</w:t>
            </w:r>
          </w:p>
        </w:tc>
        <w:tc>
          <w:tcPr>
            <w:cnfStyle w:evenVBand="true" w:oddVBand="false" w:firstColumn="false"/>
            <w:tcW w:w="33.333333%" w:type="pct"/>
          </w:tcPr>
          <w:p>
            <w:pPr>
              <w:ind w:leftChars="0" w:left="0" w:right="0"/>
            </w:pPr>
            <w:r>
              <w:t>Tanzania, United Republic of</w:t>
            </w:r>
          </w:p>
        </w:tc>
        <w:tc>
          <w:tcPr>
            <w:cnfStyle w:evenVBand="false" w:oddVBand="true" w:firstColumn="false"/>
            <w:tcW w:w="33.333333%" w:type="pct"/>
          </w:tcPr>
          <w:p>
            <w:pPr>
              <w:ind w:leftChars="0" w:left="0" w:right="0"/>
            </w:pPr>
            <w:r>
              <w:t>Tanzania, United Republic of</w:t>
            </w:r>
          </w:p>
        </w:tc>
      </w:tr>
      <w:tr>
        <w:trPr>
          <w:cnfStyle w:evenHBand="false" w:oddHBand="true" w:firstRow="false"/>
        </w:trPr>
        <w:tc>
          <w:tcPr>
            <w:cnfStyle w:evenVBand="false" w:oddVBand="true" w:firstColumn="false"/>
            <w:tcW w:w="33.333333%" w:type="pct"/>
          </w:tcPr>
          <w:p>
            <w:pPr>
              <w:ind w:leftChars="0" w:left="0" w:right="0"/>
            </w:pPr>
            <w:r>
              <w:t>UA</w:t>
            </w:r>
          </w:p>
        </w:tc>
        <w:tc>
          <w:tcPr>
            <w:cnfStyle w:evenVBand="true" w:oddVBand="false" w:firstColumn="false"/>
            <w:tcW w:w="33.333333%" w:type="pct"/>
          </w:tcPr>
          <w:p>
            <w:pPr>
              <w:ind w:leftChars="0" w:left="0" w:right="0"/>
            </w:pPr>
            <w:r>
              <w:t>Ukraine</w:t>
            </w:r>
          </w:p>
        </w:tc>
        <w:tc>
          <w:tcPr>
            <w:cnfStyle w:evenVBand="false" w:oddVBand="true" w:firstColumn="false"/>
            <w:tcW w:w="33.333333%" w:type="pct"/>
          </w:tcPr>
          <w:p>
            <w:pPr>
              <w:ind w:leftChars="0" w:left="0" w:right="0"/>
            </w:pPr>
            <w:r>
              <w:t>Ukraine</w:t>
            </w:r>
          </w:p>
        </w:tc>
      </w:tr>
      <w:tr>
        <w:trPr>
          <w:cnfStyle w:evenHBand="true" w:oddHBand="false" w:firstRow="false"/>
        </w:trPr>
        <w:tc>
          <w:tcPr>
            <w:cnfStyle w:evenVBand="false" w:oddVBand="true" w:firstColumn="false"/>
            <w:tcW w:w="33.333333%" w:type="pct"/>
          </w:tcPr>
          <w:p>
            <w:pPr>
              <w:ind w:leftChars="0" w:left="0" w:right="0"/>
            </w:pPr>
            <w:r>
              <w:t>US</w:t>
            </w:r>
          </w:p>
        </w:tc>
        <w:tc>
          <w:tcPr>
            <w:cnfStyle w:evenVBand="true" w:oddVBand="false" w:firstColumn="false"/>
            <w:tcW w:w="33.333333%" w:type="pct"/>
          </w:tcPr>
          <w:p>
            <w:pPr>
              <w:ind w:leftChars="0" w:left="0" w:right="0"/>
            </w:pPr>
            <w:r>
              <w:t>United States of America (the)</w:t>
            </w:r>
          </w:p>
        </w:tc>
        <w:tc>
          <w:tcPr>
            <w:cnfStyle w:evenVBand="false" w:oddVBand="true" w:firstColumn="false"/>
            <w:tcW w:w="33.333333%" w:type="pct"/>
          </w:tcPr>
          <w:p>
            <w:pPr>
              <w:ind w:leftChars="0" w:left="0" w:right="0"/>
            </w:pPr>
            <w:r>
              <w:t>United States excluding American Samoa (AS), Guam (GU), Northern Mariana Islands (MP), Puerto Rico (PR), United States Minor Outlying Islands (UM), Virgin Islands, U.S. (VI)</w:t>
            </w:r>
          </w:p>
        </w:tc>
      </w:tr>
      <w:tr>
        <w:trPr>
          <w:cnfStyle w:evenHBand="false" w:oddHBand="true" w:firstRow="false"/>
        </w:trPr>
        <w:tc>
          <w:tcPr>
            <w:cnfStyle w:evenVBand="false" w:oddVBand="true" w:firstColumn="false"/>
            <w:tcW w:w="33.333333%" w:type="pct"/>
          </w:tcPr>
          <w:p>
            <w:pPr>
              <w:ind w:leftChars="0" w:left="0" w:right="0"/>
            </w:pPr>
            <w:r>
              <w:t>VA</w:t>
            </w:r>
          </w:p>
        </w:tc>
        <w:tc>
          <w:tcPr>
            <w:cnfStyle w:evenVBand="true" w:oddVBand="false" w:firstColumn="false"/>
            <w:tcW w:w="33.333333%" w:type="pct"/>
          </w:tcPr>
          <w:p>
            <w:pPr>
              <w:ind w:leftChars="0" w:left="0" w:right="0"/>
            </w:pPr>
            <w:r>
              <w:t>Holy See (the)</w:t>
            </w:r>
          </w:p>
        </w:tc>
        <w:tc>
          <w:tcPr>
            <w:cnfStyle w:evenVBand="false" w:oddVBand="true" w:firstColumn="false"/>
            <w:tcW w:w="33.333333%" w:type="pct"/>
          </w:tcPr>
          <w:p>
            <w:pPr>
              <w:ind w:leftChars="0" w:left="0" w:right="0"/>
            </w:pPr>
            <w:r>
              <w:t>Holy See (the)</w:t>
            </w:r>
          </w:p>
        </w:tc>
      </w:tr>
      <w:tr>
        <w:trPr>
          <w:cnfStyle w:evenHBand="true" w:oddHBand="false" w:firstRow="false"/>
        </w:trPr>
        <w:tc>
          <w:tcPr>
            <w:cnfStyle w:evenVBand="false" w:oddVBand="true" w:firstColumn="false"/>
            <w:tcW w:w="33.333333%" w:type="pct"/>
          </w:tcPr>
          <w:p>
            <w:pPr>
              <w:ind w:leftChars="0" w:left="0" w:right="0"/>
            </w:pPr>
            <w:r>
              <w:t>VE</w:t>
            </w:r>
          </w:p>
        </w:tc>
        <w:tc>
          <w:tcPr>
            <w:cnfStyle w:evenVBand="true" w:oddVBand="false" w:firstColumn="false"/>
            <w:tcW w:w="33.333333%" w:type="pct"/>
          </w:tcPr>
          <w:p>
            <w:pPr>
              <w:ind w:leftChars="0" w:left="0" w:right="0"/>
            </w:pPr>
            <w:r>
              <w:t>Venezuela (Bolivarian Republic of)</w:t>
            </w:r>
          </w:p>
        </w:tc>
        <w:tc>
          <w:tcPr>
            <w:cnfStyle w:evenVBand="false" w:oddVBand="true" w:firstColumn="false"/>
            <w:tcW w:w="33.333333%" w:type="pct"/>
          </w:tcPr>
          <w:p>
            <w:pPr>
              <w:ind w:leftChars="0" w:left="0" w:right="0"/>
            </w:pPr>
            <w:r>
              <w:t>Venezuela (Bolivarian Republic of)</w:t>
            </w:r>
          </w:p>
        </w:tc>
      </w:tr>
      <w:tr>
        <w:trPr>
          <w:cnfStyle w:evenHBand="false" w:oddHBand="true" w:firstRow="false"/>
        </w:trPr>
        <w:tc>
          <w:tcPr>
            <w:cnfStyle w:evenVBand="false" w:oddVBand="true" w:firstColumn="false"/>
            <w:tcW w:w="33.333333%" w:type="pct"/>
          </w:tcPr>
          <w:p>
            <w:pPr>
              <w:ind w:leftChars="0" w:left="0" w:right="0"/>
            </w:pPr>
            <w:r>
              <w:t>VG</w:t>
            </w:r>
          </w:p>
        </w:tc>
        <w:tc>
          <w:tcPr>
            <w:cnfStyle w:evenVBand="true" w:oddVBand="false" w:firstColumn="false"/>
            <w:tcW w:w="33.333333%" w:type="pct"/>
          </w:tcPr>
          <w:p>
            <w:pPr>
              <w:ind w:leftChars="0" w:left="0" w:right="0"/>
            </w:pPr>
            <w:r>
              <w:t>Virgin Islands (British)</w:t>
            </w:r>
          </w:p>
        </w:tc>
        <w:tc>
          <w:tcPr>
            <w:cnfStyle w:evenVBand="false" w:oddVBand="true" w:firstColumn="false"/>
            <w:tcW w:w="33.333333%" w:type="pct"/>
          </w:tcPr>
          <w:p>
            <w:pPr>
              <w:ind w:leftChars="0" w:left="0" w:right="0"/>
            </w:pPr>
            <w:r>
              <w:t>Virgin Islands (British)</w:t>
            </w:r>
          </w:p>
        </w:tc>
      </w:tr>
      <w:tr>
        <w:trPr>
          <w:cnfStyle w:evenHBand="true" w:oddHBand="false" w:firstRow="false"/>
        </w:trPr>
        <w:tc>
          <w:tcPr>
            <w:cnfStyle w:evenVBand="false" w:oddVBand="true" w:firstColumn="false"/>
            <w:tcW w:w="33.333333%" w:type="pct"/>
          </w:tcPr>
          <w:p>
            <w:pPr>
              <w:ind w:leftChars="0" w:left="0" w:right="0"/>
            </w:pPr>
            <w:r>
              <w:t>ZA</w:t>
            </w:r>
          </w:p>
        </w:tc>
        <w:tc>
          <w:tcPr>
            <w:cnfStyle w:evenVBand="true" w:oddVBand="false" w:firstColumn="false"/>
            <w:tcW w:w="33.333333%" w:type="pct"/>
          </w:tcPr>
          <w:p>
            <w:pPr>
              <w:ind w:leftChars="0" w:left="0" w:right="0"/>
            </w:pPr>
            <w:r>
              <w:t>South Africa</w:t>
            </w:r>
          </w:p>
        </w:tc>
        <w:tc>
          <w:tcPr>
            <w:cnfStyle w:evenVBand="false" w:oddVBand="true" w:firstColumn="false"/>
            <w:tcW w:w="33.333333%" w:type="pct"/>
          </w:tcPr>
          <w:p>
            <w:pPr>
              <w:ind w:leftChars="0" w:left="0" w:right="0"/>
            </w:pPr>
            <w:r>
              <w:t>South Africa</w:t>
            </w:r>
          </w:p>
        </w:tc>
      </w:tr>
      <w:tr>
        <w:trPr>
          <w:cnfStyle w:evenHBand="false" w:oddHBand="true" w:firstRow="false"/>
        </w:trPr>
        <w:tc>
          <w:tcPr>
            <w:cnfStyle w:evenVBand="false" w:oddVBand="true" w:firstColumn="false"/>
            <w:tcW w:w="33.333333%" w:type="pct"/>
          </w:tcPr>
          <w:p>
            <w:pPr>
              <w:ind w:leftChars="0" w:left="0" w:right="0"/>
            </w:pPr>
            <w:r>
              <w:t>ZM</w:t>
            </w:r>
          </w:p>
        </w:tc>
        <w:tc>
          <w:tcPr>
            <w:cnfStyle w:evenVBand="true" w:oddVBand="false" w:firstColumn="false"/>
            <w:tcW w:w="33.333333%" w:type="pct"/>
          </w:tcPr>
          <w:p>
            <w:pPr>
              <w:ind w:leftChars="0" w:left="0" w:right="0"/>
            </w:pPr>
            <w:r>
              <w:t>Zambia</w:t>
            </w:r>
          </w:p>
        </w:tc>
        <w:tc>
          <w:tcPr>
            <w:cnfStyle w:evenVBand="false" w:oddVBand="true" w:firstColumn="false"/>
            <w:tcW w:w="33.333333%" w:type="pct"/>
          </w:tcPr>
          <w:p>
            <w:pPr>
              <w:ind w:leftChars="0" w:left="0" w:right="0"/>
            </w:pPr>
            <w:r>
              <w:t>Zambia</w:t>
            </w:r>
          </w:p>
        </w:tc>
      </w:tr>
    </w:tbl>
    <w:p>
      <w:pPr>
        <w:pStyle w:val="Table Bottom Margin"/>
      </w:pPr>
    </w:p>
    <w:bookmarkEnd w:id="307"/>
    <w:bookmarkEnd w:id="306"/>
    <w:bookmarkStart w:id="308" w:name="_6201aa4d7e76fbd6b080361f324d593c"/>
    <w:bookmarkStart w:id="309" w:name="_2bc3a74ddf7c50aee9bb7c312f41e35a"/>
    <w:p>
      <w:pPr>
        <w:pStyle w:val="Heading5"/>
        <w:keepNext/>
      </w:pPr>
      <w:r>
        <w:t>GEN_CRRNCY_ENUM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ARS</w:t>
            </w:r>
          </w:p>
        </w:tc>
        <w:tc>
          <w:tcPr>
            <w:cnfStyle w:evenVBand="true" w:oddVBand="false" w:firstColumn="false"/>
            <w:tcW w:w="33.333333%" w:type="pct"/>
          </w:tcPr>
          <w:p>
            <w:pPr>
              <w:ind w:leftChars="0" w:left="0" w:right="0"/>
            </w:pPr>
            <w:r>
              <w:t>Argentine Peso</w:t>
            </w:r>
          </w:p>
        </w:tc>
        <w:tc>
          <w:tcPr>
            <w:cnfStyle w:evenVBand="false" w:oddVBand="true" w:firstColumn="false"/>
            <w:tcW w:w="33.333333%" w:type="pct"/>
          </w:tcPr>
          <w:p>
            <w:pPr>
              <w:ind w:leftChars="0" w:left="0" w:right="0"/>
            </w:pPr>
            <w:r>
              <w:t>Argentine Peso</w:t>
            </w:r>
          </w:p>
        </w:tc>
      </w:tr>
      <w:tr>
        <w:trPr>
          <w:cnfStyle w:evenHBand="true" w:oddHBand="false" w:firstRow="false"/>
        </w:trPr>
        <w:tc>
          <w:tcPr>
            <w:cnfStyle w:evenVBand="false" w:oddVBand="true" w:firstColumn="false"/>
            <w:tcW w:w="33.333333%" w:type="pct"/>
          </w:tcPr>
          <w:p>
            <w:pPr>
              <w:ind w:leftChars="0" w:left="0" w:right="0"/>
            </w:pPr>
            <w:r>
              <w:t>AUD</w:t>
            </w:r>
          </w:p>
        </w:tc>
        <w:tc>
          <w:tcPr>
            <w:cnfStyle w:evenVBand="true" w:oddVBand="false" w:firstColumn="false"/>
            <w:tcW w:w="33.333333%" w:type="pct"/>
          </w:tcPr>
          <w:p>
            <w:pPr>
              <w:ind w:leftChars="0" w:left="0" w:right="0"/>
            </w:pPr>
            <w:r>
              <w:t>Australian Dollar</w:t>
            </w:r>
          </w:p>
        </w:tc>
        <w:tc>
          <w:tcPr>
            <w:cnfStyle w:evenVBand="false" w:oddVBand="true" w:firstColumn="false"/>
            <w:tcW w:w="33.333333%" w:type="pct"/>
          </w:tcPr>
          <w:p>
            <w:pPr>
              <w:ind w:leftChars="0" w:left="0" w:right="0"/>
            </w:pPr>
            <w:r>
              <w:t>Australian Dollar</w:t>
            </w:r>
          </w:p>
        </w:tc>
      </w:tr>
      <w:tr>
        <w:trPr>
          <w:cnfStyle w:evenHBand="false" w:oddHBand="true" w:firstRow="false"/>
        </w:trPr>
        <w:tc>
          <w:tcPr>
            <w:cnfStyle w:evenVBand="false" w:oddVBand="true" w:firstColumn="false"/>
            <w:tcW w:w="33.333333%" w:type="pct"/>
          </w:tcPr>
          <w:p>
            <w:pPr>
              <w:ind w:leftChars="0" w:left="0" w:right="0"/>
            </w:pPr>
            <w:r>
              <w:t>BGN</w:t>
            </w:r>
          </w:p>
        </w:tc>
        <w:tc>
          <w:tcPr>
            <w:cnfStyle w:evenVBand="true" w:oddVBand="false" w:firstColumn="false"/>
            <w:tcW w:w="33.333333%" w:type="pct"/>
          </w:tcPr>
          <w:p>
            <w:pPr>
              <w:ind w:leftChars="0" w:left="0" w:right="0"/>
            </w:pPr>
            <w:r>
              <w:t>Bulgarian Lev</w:t>
            </w:r>
          </w:p>
        </w:tc>
        <w:tc>
          <w:tcPr>
            <w:cnfStyle w:evenVBand="false" w:oddVBand="true" w:firstColumn="false"/>
            <w:tcW w:w="33.333333%" w:type="pct"/>
          </w:tcPr>
          <w:p>
            <w:pPr>
              <w:ind w:leftChars="0" w:left="0" w:right="0"/>
            </w:pPr>
            <w:r>
              <w:t>Bulgarian Lev</w:t>
            </w:r>
          </w:p>
        </w:tc>
      </w:tr>
      <w:tr>
        <w:trPr>
          <w:cnfStyle w:evenHBand="true" w:oddHBand="false" w:firstRow="false"/>
        </w:trPr>
        <w:tc>
          <w:tcPr>
            <w:cnfStyle w:evenVBand="false" w:oddVBand="true" w:firstColumn="false"/>
            <w:tcW w:w="33.333333%" w:type="pct"/>
          </w:tcPr>
          <w:p>
            <w:pPr>
              <w:ind w:leftChars="0" w:left="0" w:right="0"/>
            </w:pPr>
            <w:r>
              <w:t>BRL</w:t>
            </w:r>
          </w:p>
        </w:tc>
        <w:tc>
          <w:tcPr>
            <w:cnfStyle w:evenVBand="true" w:oddVBand="false" w:firstColumn="false"/>
            <w:tcW w:w="33.333333%" w:type="pct"/>
          </w:tcPr>
          <w:p>
            <w:pPr>
              <w:ind w:leftChars="0" w:left="0" w:right="0"/>
            </w:pPr>
            <w:r>
              <w:t>Brazilian Real</w:t>
            </w:r>
          </w:p>
        </w:tc>
        <w:tc>
          <w:tcPr>
            <w:cnfStyle w:evenVBand="false" w:oddVBand="true" w:firstColumn="false"/>
            <w:tcW w:w="33.333333%" w:type="pct"/>
          </w:tcPr>
          <w:p>
            <w:pPr>
              <w:ind w:leftChars="0" w:left="0" w:right="0"/>
            </w:pPr>
            <w:r>
              <w:t>Brazilian Real</w:t>
            </w:r>
          </w:p>
        </w:tc>
      </w:tr>
      <w:tr>
        <w:trPr>
          <w:cnfStyle w:evenHBand="false" w:oddHBand="true" w:firstRow="false"/>
        </w:trPr>
        <w:tc>
          <w:tcPr>
            <w:cnfStyle w:evenVBand="false" w:oddVBand="true" w:firstColumn="false"/>
            <w:tcW w:w="33.333333%" w:type="pct"/>
          </w:tcPr>
          <w:p>
            <w:pPr>
              <w:ind w:leftChars="0" w:left="0" w:right="0"/>
            </w:pPr>
            <w:r>
              <w:t>CAD</w:t>
            </w:r>
          </w:p>
        </w:tc>
        <w:tc>
          <w:tcPr>
            <w:cnfStyle w:evenVBand="true" w:oddVBand="false" w:firstColumn="false"/>
            <w:tcW w:w="33.333333%" w:type="pct"/>
          </w:tcPr>
          <w:p>
            <w:pPr>
              <w:ind w:leftChars="0" w:left="0" w:right="0"/>
            </w:pPr>
            <w:r>
              <w:t>Canadian Dollar</w:t>
            </w:r>
          </w:p>
        </w:tc>
        <w:tc>
          <w:tcPr>
            <w:cnfStyle w:evenVBand="false" w:oddVBand="true" w:firstColumn="false"/>
            <w:tcW w:w="33.333333%" w:type="pct"/>
          </w:tcPr>
          <w:p>
            <w:pPr>
              <w:ind w:leftChars="0" w:left="0" w:right="0"/>
            </w:pPr>
            <w:r>
              <w:t>Canadian Dollar</w:t>
            </w:r>
          </w:p>
        </w:tc>
      </w:tr>
      <w:tr>
        <w:trPr>
          <w:cnfStyle w:evenHBand="true" w:oddHBand="false" w:firstRow="false"/>
        </w:trPr>
        <w:tc>
          <w:tcPr>
            <w:cnfStyle w:evenVBand="false" w:oddVBand="true" w:firstColumn="false"/>
            <w:tcW w:w="33.333333%" w:type="pct"/>
          </w:tcPr>
          <w:p>
            <w:pPr>
              <w:ind w:leftChars="0" w:left="0" w:right="0"/>
            </w:pPr>
            <w:r>
              <w:t>CHF</w:t>
            </w:r>
          </w:p>
        </w:tc>
        <w:tc>
          <w:tcPr>
            <w:cnfStyle w:evenVBand="true" w:oddVBand="false" w:firstColumn="false"/>
            <w:tcW w:w="33.333333%" w:type="pct"/>
          </w:tcPr>
          <w:p>
            <w:pPr>
              <w:ind w:leftChars="0" w:left="0" w:right="0"/>
            </w:pPr>
            <w:r>
              <w:t>Swiss Franc</w:t>
            </w:r>
          </w:p>
        </w:tc>
        <w:tc>
          <w:tcPr>
            <w:cnfStyle w:evenVBand="false" w:oddVBand="true" w:firstColumn="false"/>
            <w:tcW w:w="33.333333%" w:type="pct"/>
          </w:tcPr>
          <w:p>
            <w:pPr>
              <w:ind w:leftChars="0" w:left="0" w:right="0"/>
            </w:pPr>
            <w:r>
              <w:t>Swiss Franc</w:t>
            </w:r>
          </w:p>
        </w:tc>
      </w:tr>
      <w:tr>
        <w:trPr>
          <w:cnfStyle w:evenHBand="false" w:oddHBand="true" w:firstRow="false"/>
        </w:trPr>
        <w:tc>
          <w:tcPr>
            <w:cnfStyle w:evenVBand="false" w:oddVBand="true" w:firstColumn="false"/>
            <w:tcW w:w="33.333333%" w:type="pct"/>
          </w:tcPr>
          <w:p>
            <w:pPr>
              <w:ind w:leftChars="0" w:left="0" w:right="0"/>
            </w:pPr>
            <w:r>
              <w:t>CLP</w:t>
            </w:r>
          </w:p>
        </w:tc>
        <w:tc>
          <w:tcPr>
            <w:cnfStyle w:evenVBand="true" w:oddVBand="false" w:firstColumn="false"/>
            <w:tcW w:w="33.333333%" w:type="pct"/>
          </w:tcPr>
          <w:p>
            <w:pPr>
              <w:ind w:leftChars="0" w:left="0" w:right="0"/>
            </w:pPr>
            <w:r>
              <w:t>Chilean Peso</w:t>
            </w:r>
          </w:p>
        </w:tc>
        <w:tc>
          <w:tcPr>
            <w:cnfStyle w:evenVBand="false" w:oddVBand="true" w:firstColumn="false"/>
            <w:tcW w:w="33.333333%" w:type="pct"/>
          </w:tcPr>
          <w:p>
            <w:pPr>
              <w:ind w:leftChars="0" w:left="0" w:right="0"/>
            </w:pPr>
            <w:r>
              <w:t>Chilean Peso</w:t>
            </w:r>
          </w:p>
        </w:tc>
      </w:tr>
      <w:tr>
        <w:trPr>
          <w:cnfStyle w:evenHBand="true" w:oddHBand="false" w:firstRow="false"/>
        </w:trPr>
        <w:tc>
          <w:tcPr>
            <w:cnfStyle w:evenVBand="false" w:oddVBand="true" w:firstColumn="false"/>
            <w:tcW w:w="33.333333%" w:type="pct"/>
          </w:tcPr>
          <w:p>
            <w:pPr>
              <w:ind w:leftChars="0" w:left="0" w:right="0"/>
            </w:pPr>
            <w:r>
              <w:t>CNY</w:t>
            </w:r>
          </w:p>
        </w:tc>
        <w:tc>
          <w:tcPr>
            <w:cnfStyle w:evenVBand="true" w:oddVBand="false" w:firstColumn="false"/>
            <w:tcW w:w="33.333333%" w:type="pct"/>
          </w:tcPr>
          <w:p>
            <w:pPr>
              <w:ind w:leftChars="0" w:left="0" w:right="0"/>
            </w:pPr>
            <w:r>
              <w:t>Yuan Renminbi</w:t>
            </w:r>
          </w:p>
        </w:tc>
        <w:tc>
          <w:tcPr>
            <w:cnfStyle w:evenVBand="false" w:oddVBand="true" w:firstColumn="false"/>
            <w:tcW w:w="33.333333%" w:type="pct"/>
          </w:tcPr>
          <w:p>
            <w:pPr>
              <w:ind w:leftChars="0" w:left="0" w:right="0"/>
            </w:pPr>
            <w:r>
              <w:t>Yuan Renminbi</w:t>
            </w:r>
          </w:p>
        </w:tc>
      </w:tr>
      <w:tr>
        <w:trPr>
          <w:cnfStyle w:evenHBand="false" w:oddHBand="true" w:firstRow="false"/>
        </w:trPr>
        <w:tc>
          <w:tcPr>
            <w:cnfStyle w:evenVBand="false" w:oddVBand="true" w:firstColumn="false"/>
            <w:tcW w:w="33.333333%" w:type="pct"/>
          </w:tcPr>
          <w:p>
            <w:pPr>
              <w:ind w:leftChars="0" w:left="0" w:right="0"/>
            </w:pPr>
            <w:r>
              <w:t>COP</w:t>
            </w:r>
          </w:p>
        </w:tc>
        <w:tc>
          <w:tcPr>
            <w:cnfStyle w:evenVBand="true" w:oddVBand="false" w:firstColumn="false"/>
            <w:tcW w:w="33.333333%" w:type="pct"/>
          </w:tcPr>
          <w:p>
            <w:pPr>
              <w:ind w:leftChars="0" w:left="0" w:right="0"/>
            </w:pPr>
            <w:r>
              <w:t>Colombian Peso</w:t>
            </w:r>
          </w:p>
        </w:tc>
        <w:tc>
          <w:tcPr>
            <w:cnfStyle w:evenVBand="false" w:oddVBand="true" w:firstColumn="false"/>
            <w:tcW w:w="33.333333%" w:type="pct"/>
          </w:tcPr>
          <w:p>
            <w:pPr>
              <w:ind w:leftChars="0" w:left="0" w:right="0"/>
            </w:pPr>
            <w:r>
              <w:t>Colombian Peso</w:t>
            </w:r>
          </w:p>
        </w:tc>
      </w:tr>
      <w:tr>
        <w:trPr>
          <w:cnfStyle w:evenHBand="true" w:oddHBand="false" w:firstRow="false"/>
        </w:trPr>
        <w:tc>
          <w:tcPr>
            <w:cnfStyle w:evenVBand="false" w:oddVBand="true" w:firstColumn="false"/>
            <w:tcW w:w="33.333333%" w:type="pct"/>
          </w:tcPr>
          <w:p>
            <w:pPr>
              <w:ind w:leftChars="0" w:left="0" w:right="0"/>
            </w:pPr>
            <w:r>
              <w:t>CZK</w:t>
            </w:r>
          </w:p>
        </w:tc>
        <w:tc>
          <w:tcPr>
            <w:cnfStyle w:evenVBand="true" w:oddVBand="false" w:firstColumn="false"/>
            <w:tcW w:w="33.333333%" w:type="pct"/>
          </w:tcPr>
          <w:p>
            <w:pPr>
              <w:ind w:leftChars="0" w:left="0" w:right="0"/>
            </w:pPr>
            <w:r>
              <w:t>Czech Koruna</w:t>
            </w:r>
          </w:p>
        </w:tc>
        <w:tc>
          <w:tcPr>
            <w:cnfStyle w:evenVBand="false" w:oddVBand="true" w:firstColumn="false"/>
            <w:tcW w:w="33.333333%" w:type="pct"/>
          </w:tcPr>
          <w:p>
            <w:pPr>
              <w:ind w:leftChars="0" w:left="0" w:right="0"/>
            </w:pPr>
            <w:r>
              <w:t>Czech Koruna</w:t>
            </w:r>
          </w:p>
        </w:tc>
      </w:tr>
      <w:tr>
        <w:trPr>
          <w:cnfStyle w:evenHBand="false" w:oddHBand="true" w:firstRow="false"/>
        </w:trPr>
        <w:tc>
          <w:tcPr>
            <w:cnfStyle w:evenVBand="false" w:oddVBand="true" w:firstColumn="false"/>
            <w:tcW w:w="33.333333%" w:type="pct"/>
          </w:tcPr>
          <w:p>
            <w:pPr>
              <w:ind w:leftChars="0" w:left="0" w:right="0"/>
            </w:pPr>
            <w:r>
              <w:t>DKK</w:t>
            </w:r>
          </w:p>
        </w:tc>
        <w:tc>
          <w:tcPr>
            <w:cnfStyle w:evenVBand="true" w:oddVBand="false" w:firstColumn="false"/>
            <w:tcW w:w="33.333333%" w:type="pct"/>
          </w:tcPr>
          <w:p>
            <w:pPr>
              <w:ind w:leftChars="0" w:left="0" w:right="0"/>
            </w:pPr>
            <w:r>
              <w:t>Danish Krone</w:t>
            </w:r>
          </w:p>
        </w:tc>
        <w:tc>
          <w:tcPr>
            <w:cnfStyle w:evenVBand="false" w:oddVBand="true" w:firstColumn="false"/>
            <w:tcW w:w="33.333333%" w:type="pct"/>
          </w:tcPr>
          <w:p>
            <w:pPr>
              <w:ind w:leftChars="0" w:left="0" w:right="0"/>
            </w:pPr>
            <w:r>
              <w:t>Danish Krone</w:t>
            </w:r>
          </w:p>
        </w:tc>
      </w:tr>
      <w:tr>
        <w:trPr>
          <w:cnfStyle w:evenHBand="true" w:oddHBand="false" w:firstRow="false"/>
        </w:trPr>
        <w:tc>
          <w:tcPr>
            <w:cnfStyle w:evenVBand="false" w:oddVBand="true" w:firstColumn="false"/>
            <w:tcW w:w="33.333333%" w:type="pct"/>
          </w:tcPr>
          <w:p>
            <w:pPr>
              <w:ind w:leftChars="0" w:left="0" w:right="0"/>
            </w:pPr>
            <w:r>
              <w:t>EGP</w:t>
            </w:r>
          </w:p>
        </w:tc>
        <w:tc>
          <w:tcPr>
            <w:cnfStyle w:evenVBand="true" w:oddVBand="false" w:firstColumn="false"/>
            <w:tcW w:w="33.333333%" w:type="pct"/>
          </w:tcPr>
          <w:p>
            <w:pPr>
              <w:ind w:leftChars="0" w:left="0" w:right="0"/>
            </w:pPr>
            <w:r>
              <w:t>Egyptian Pound</w:t>
            </w:r>
          </w:p>
        </w:tc>
        <w:tc>
          <w:tcPr>
            <w:cnfStyle w:evenVBand="false" w:oddVBand="true" w:firstColumn="false"/>
            <w:tcW w:w="33.333333%" w:type="pct"/>
          </w:tcPr>
          <w:p>
            <w:pPr>
              <w:ind w:leftChars="0" w:left="0" w:right="0"/>
            </w:pPr>
            <w:r>
              <w:t>Egyptian Pound</w:t>
            </w:r>
          </w:p>
        </w:tc>
      </w:tr>
      <w:tr>
        <w:trPr>
          <w:cnfStyle w:evenHBand="false" w:oddHBand="true" w:firstRow="false"/>
        </w:trPr>
        <w:tc>
          <w:tcPr>
            <w:cnfStyle w:evenVBand="false" w:oddVBand="true" w:firstColumn="false"/>
            <w:tcW w:w="33.333333%" w:type="pct"/>
          </w:tcPr>
          <w:p>
            <w:pPr>
              <w:ind w:leftChars="0" w:left="0" w:right="0"/>
            </w:pPr>
            <w:r>
              <w:t>EUR</w:t>
            </w:r>
          </w:p>
        </w:tc>
        <w:tc>
          <w:tcPr>
            <w:cnfStyle w:evenVBand="true" w:oddVBand="false" w:firstColumn="false"/>
            <w:tcW w:w="33.333333%" w:type="pct"/>
          </w:tcPr>
          <w:p>
            <w:pPr>
              <w:ind w:leftChars="0" w:left="0" w:right="0"/>
            </w:pPr>
            <w:r>
              <w:t>Euro</w:t>
            </w:r>
          </w:p>
        </w:tc>
        <w:tc>
          <w:tcPr>
            <w:cnfStyle w:evenVBand="false" w:oddVBand="true" w:firstColumn="false"/>
            <w:tcW w:w="33.333333%" w:type="pct"/>
          </w:tcPr>
          <w:p>
            <w:pPr>
              <w:ind w:leftChars="0" w:left="0" w:right="0"/>
            </w:pPr>
            <w:r>
              <w:t>Euro</w:t>
            </w:r>
          </w:p>
        </w:tc>
      </w:tr>
      <w:tr>
        <w:trPr>
          <w:cnfStyle w:evenHBand="true" w:oddHBand="false" w:firstRow="false"/>
        </w:trPr>
        <w:tc>
          <w:tcPr>
            <w:cnfStyle w:evenVBand="false" w:oddVBand="true" w:firstColumn="false"/>
            <w:tcW w:w="33.333333%" w:type="pct"/>
          </w:tcPr>
          <w:p>
            <w:pPr>
              <w:ind w:leftChars="0" w:left="0" w:right="0"/>
            </w:pPr>
            <w:r>
              <w:t>GBP</w:t>
            </w:r>
          </w:p>
        </w:tc>
        <w:tc>
          <w:tcPr>
            <w:cnfStyle w:evenVBand="true" w:oddVBand="false" w:firstColumn="false"/>
            <w:tcW w:w="33.333333%" w:type="pct"/>
          </w:tcPr>
          <w:p>
            <w:pPr>
              <w:ind w:leftChars="0" w:left="0" w:right="0"/>
            </w:pPr>
            <w:r>
              <w:t>Pound Sterling</w:t>
            </w:r>
          </w:p>
        </w:tc>
        <w:tc>
          <w:tcPr>
            <w:cnfStyle w:evenVBand="false" w:oddVBand="true" w:firstColumn="false"/>
            <w:tcW w:w="33.333333%" w:type="pct"/>
          </w:tcPr>
          <w:p>
            <w:pPr>
              <w:ind w:leftChars="0" w:left="0" w:right="0"/>
            </w:pPr>
            <w:r>
              <w:t>Pound Sterling</w:t>
            </w:r>
          </w:p>
        </w:tc>
      </w:tr>
      <w:tr>
        <w:trPr>
          <w:cnfStyle w:evenHBand="false" w:oddHBand="true" w:firstRow="false"/>
        </w:trPr>
        <w:tc>
          <w:tcPr>
            <w:cnfStyle w:evenVBand="false" w:oddVBand="true" w:firstColumn="false"/>
            <w:tcW w:w="33.333333%" w:type="pct"/>
          </w:tcPr>
          <w:p>
            <w:pPr>
              <w:ind w:leftChars="0" w:left="0" w:right="0"/>
            </w:pPr>
            <w:r>
              <w:t>HKD</w:t>
            </w:r>
          </w:p>
        </w:tc>
        <w:tc>
          <w:tcPr>
            <w:cnfStyle w:evenVBand="true" w:oddVBand="false" w:firstColumn="false"/>
            <w:tcW w:w="33.333333%" w:type="pct"/>
          </w:tcPr>
          <w:p>
            <w:pPr>
              <w:ind w:leftChars="0" w:left="0" w:right="0"/>
            </w:pPr>
            <w:r>
              <w:t>Hong Kong Dollar</w:t>
            </w:r>
          </w:p>
        </w:tc>
        <w:tc>
          <w:tcPr>
            <w:cnfStyle w:evenVBand="false" w:oddVBand="true" w:firstColumn="false"/>
            <w:tcW w:w="33.333333%" w:type="pct"/>
          </w:tcPr>
          <w:p>
            <w:pPr>
              <w:ind w:leftChars="0" w:left="0" w:right="0"/>
            </w:pPr>
            <w:r>
              <w:t>Hong Kong Dollar</w:t>
            </w:r>
          </w:p>
        </w:tc>
      </w:tr>
      <w:tr>
        <w:trPr>
          <w:cnfStyle w:evenHBand="true" w:oddHBand="false" w:firstRow="false"/>
        </w:trPr>
        <w:tc>
          <w:tcPr>
            <w:cnfStyle w:evenVBand="false" w:oddVBand="true" w:firstColumn="false"/>
            <w:tcW w:w="33.333333%" w:type="pct"/>
          </w:tcPr>
          <w:p>
            <w:pPr>
              <w:ind w:leftChars="0" w:left="0" w:right="0"/>
            </w:pPr>
            <w:r>
              <w:t>HRK</w:t>
            </w:r>
          </w:p>
        </w:tc>
        <w:tc>
          <w:tcPr>
            <w:cnfStyle w:evenVBand="true" w:oddVBand="false" w:firstColumn="false"/>
            <w:tcW w:w="33.333333%" w:type="pct"/>
          </w:tcPr>
          <w:p>
            <w:pPr>
              <w:ind w:leftChars="0" w:left="0" w:right="0"/>
            </w:pPr>
            <w:r>
              <w:t>Croatian Kuna</w:t>
            </w:r>
          </w:p>
        </w:tc>
        <w:tc>
          <w:tcPr>
            <w:cnfStyle w:evenVBand="false" w:oddVBand="true" w:firstColumn="false"/>
            <w:tcW w:w="33.333333%" w:type="pct"/>
          </w:tcPr>
          <w:p>
            <w:pPr>
              <w:ind w:leftChars="0" w:left="0" w:right="0"/>
            </w:pPr>
            <w:r>
              <w:t>Croatian Kuna</w:t>
            </w:r>
          </w:p>
        </w:tc>
      </w:tr>
      <w:tr>
        <w:trPr>
          <w:cnfStyle w:evenHBand="false" w:oddHBand="true" w:firstRow="false"/>
        </w:trPr>
        <w:tc>
          <w:tcPr>
            <w:cnfStyle w:evenVBand="false" w:oddVBand="true" w:firstColumn="false"/>
            <w:tcW w:w="33.333333%" w:type="pct"/>
          </w:tcPr>
          <w:p>
            <w:pPr>
              <w:ind w:leftChars="0" w:left="0" w:right="0"/>
            </w:pPr>
            <w:r>
              <w:t>HUF</w:t>
            </w:r>
          </w:p>
        </w:tc>
        <w:tc>
          <w:tcPr>
            <w:cnfStyle w:evenVBand="true" w:oddVBand="false" w:firstColumn="false"/>
            <w:tcW w:w="33.333333%" w:type="pct"/>
          </w:tcPr>
          <w:p>
            <w:pPr>
              <w:ind w:leftChars="0" w:left="0" w:right="0"/>
            </w:pPr>
            <w:r>
              <w:t>Hungarian Forint</w:t>
            </w:r>
          </w:p>
        </w:tc>
        <w:tc>
          <w:tcPr>
            <w:cnfStyle w:evenVBand="false" w:oddVBand="true" w:firstColumn="false"/>
            <w:tcW w:w="33.333333%" w:type="pct"/>
          </w:tcPr>
          <w:p>
            <w:pPr>
              <w:ind w:leftChars="0" w:left="0" w:right="0"/>
            </w:pPr>
            <w:r>
              <w:t>Hungarian Forint</w:t>
            </w:r>
          </w:p>
        </w:tc>
      </w:tr>
      <w:tr>
        <w:trPr>
          <w:cnfStyle w:evenHBand="true" w:oddHBand="false" w:firstRow="false"/>
        </w:trPr>
        <w:tc>
          <w:tcPr>
            <w:cnfStyle w:evenVBand="false" w:oddVBand="true" w:firstColumn="false"/>
            <w:tcW w:w="33.333333%" w:type="pct"/>
          </w:tcPr>
          <w:p>
            <w:pPr>
              <w:ind w:leftChars="0" w:left="0" w:right="0"/>
            </w:pPr>
            <w:r>
              <w:t>IDR</w:t>
            </w:r>
          </w:p>
        </w:tc>
        <w:tc>
          <w:tcPr>
            <w:cnfStyle w:evenVBand="true" w:oddVBand="false" w:firstColumn="false"/>
            <w:tcW w:w="33.333333%" w:type="pct"/>
          </w:tcPr>
          <w:p>
            <w:pPr>
              <w:ind w:leftChars="0" w:left="0" w:right="0"/>
            </w:pPr>
            <w:r>
              <w:t>Rupiah</w:t>
            </w:r>
          </w:p>
        </w:tc>
        <w:tc>
          <w:tcPr>
            <w:cnfStyle w:evenVBand="false" w:oddVBand="true" w:firstColumn="false"/>
            <w:tcW w:w="33.333333%" w:type="pct"/>
          </w:tcPr>
          <w:p>
            <w:pPr>
              <w:ind w:leftChars="0" w:left="0" w:right="0"/>
            </w:pPr>
            <w:r>
              <w:t>Rupiah</w:t>
            </w:r>
          </w:p>
        </w:tc>
      </w:tr>
      <w:tr>
        <w:trPr>
          <w:cnfStyle w:evenHBand="false" w:oddHBand="true" w:firstRow="false"/>
        </w:trPr>
        <w:tc>
          <w:tcPr>
            <w:cnfStyle w:evenVBand="false" w:oddVBand="true" w:firstColumn="false"/>
            <w:tcW w:w="33.333333%" w:type="pct"/>
          </w:tcPr>
          <w:p>
            <w:pPr>
              <w:ind w:leftChars="0" w:left="0" w:right="0"/>
            </w:pPr>
            <w:r>
              <w:t>ILS</w:t>
            </w:r>
          </w:p>
        </w:tc>
        <w:tc>
          <w:tcPr>
            <w:cnfStyle w:evenVBand="true" w:oddVBand="false" w:firstColumn="false"/>
            <w:tcW w:w="33.333333%" w:type="pct"/>
          </w:tcPr>
          <w:p>
            <w:pPr>
              <w:ind w:leftChars="0" w:left="0" w:right="0"/>
            </w:pPr>
            <w:r>
              <w:t>New Israeli Sheqel</w:t>
            </w:r>
          </w:p>
        </w:tc>
        <w:tc>
          <w:tcPr>
            <w:cnfStyle w:evenVBand="false" w:oddVBand="true" w:firstColumn="false"/>
            <w:tcW w:w="33.333333%" w:type="pct"/>
          </w:tcPr>
          <w:p>
            <w:pPr>
              <w:ind w:leftChars="0" w:left="0" w:right="0"/>
            </w:pPr>
            <w:r>
              <w:t>New Israeli Sheqel</w:t>
            </w:r>
          </w:p>
        </w:tc>
      </w:tr>
      <w:tr>
        <w:trPr>
          <w:cnfStyle w:evenHBand="true" w:oddHBand="false" w:firstRow="false"/>
        </w:trPr>
        <w:tc>
          <w:tcPr>
            <w:cnfStyle w:evenVBand="false" w:oddVBand="true" w:firstColumn="false"/>
            <w:tcW w:w="33.333333%" w:type="pct"/>
          </w:tcPr>
          <w:p>
            <w:pPr>
              <w:ind w:leftChars="0" w:left="0" w:right="0"/>
            </w:pPr>
            <w:r>
              <w:t>INR</w:t>
            </w:r>
          </w:p>
        </w:tc>
        <w:tc>
          <w:tcPr>
            <w:cnfStyle w:evenVBand="true" w:oddVBand="false" w:firstColumn="false"/>
            <w:tcW w:w="33.333333%" w:type="pct"/>
          </w:tcPr>
          <w:p>
            <w:pPr>
              <w:ind w:leftChars="0" w:left="0" w:right="0"/>
            </w:pPr>
            <w:r>
              <w:t>Indian Rupee</w:t>
            </w:r>
          </w:p>
        </w:tc>
        <w:tc>
          <w:tcPr>
            <w:cnfStyle w:evenVBand="false" w:oddVBand="true" w:firstColumn="false"/>
            <w:tcW w:w="33.333333%" w:type="pct"/>
          </w:tcPr>
          <w:p>
            <w:pPr>
              <w:ind w:leftChars="0" w:left="0" w:right="0"/>
            </w:pPr>
            <w:r>
              <w:t>Indian Rupee</w:t>
            </w:r>
          </w:p>
        </w:tc>
      </w:tr>
      <w:tr>
        <w:trPr>
          <w:cnfStyle w:evenHBand="false" w:oddHBand="true" w:firstRow="false"/>
        </w:trPr>
        <w:tc>
          <w:tcPr>
            <w:cnfStyle w:evenVBand="false" w:oddVBand="true" w:firstColumn="false"/>
            <w:tcW w:w="33.333333%" w:type="pct"/>
          </w:tcPr>
          <w:p>
            <w:pPr>
              <w:ind w:leftChars="0" w:left="0" w:right="0"/>
            </w:pPr>
            <w:r>
              <w:t>JPY</w:t>
            </w:r>
          </w:p>
        </w:tc>
        <w:tc>
          <w:tcPr>
            <w:cnfStyle w:evenVBand="true" w:oddVBand="false" w:firstColumn="false"/>
            <w:tcW w:w="33.333333%" w:type="pct"/>
          </w:tcPr>
          <w:p>
            <w:pPr>
              <w:ind w:leftChars="0" w:left="0" w:right="0"/>
            </w:pPr>
            <w:r>
              <w:t>Japanese Yen</w:t>
            </w:r>
          </w:p>
        </w:tc>
        <w:tc>
          <w:tcPr>
            <w:cnfStyle w:evenVBand="false" w:oddVBand="true" w:firstColumn="false"/>
            <w:tcW w:w="33.333333%" w:type="pct"/>
          </w:tcPr>
          <w:p>
            <w:pPr>
              <w:ind w:leftChars="0" w:left="0" w:right="0"/>
            </w:pPr>
            <w:r>
              <w:t>Japanese Yen</w:t>
            </w:r>
          </w:p>
        </w:tc>
      </w:tr>
      <w:tr>
        <w:trPr>
          <w:cnfStyle w:evenHBand="true" w:oddHBand="false" w:firstRow="false"/>
        </w:trPr>
        <w:tc>
          <w:tcPr>
            <w:cnfStyle w:evenVBand="false" w:oddVBand="true" w:firstColumn="false"/>
            <w:tcW w:w="33.333333%" w:type="pct"/>
          </w:tcPr>
          <w:p>
            <w:pPr>
              <w:ind w:leftChars="0" w:left="0" w:right="0"/>
            </w:pPr>
            <w:r>
              <w:t>KRW</w:t>
            </w:r>
          </w:p>
        </w:tc>
        <w:tc>
          <w:tcPr>
            <w:cnfStyle w:evenVBand="true" w:oddVBand="false" w:firstColumn="false"/>
            <w:tcW w:w="33.333333%" w:type="pct"/>
          </w:tcPr>
          <w:p>
            <w:pPr>
              <w:ind w:leftChars="0" w:left="0" w:right="0"/>
            </w:pPr>
            <w:r>
              <w:t>South Korean Won</w:t>
            </w:r>
          </w:p>
        </w:tc>
        <w:tc>
          <w:tcPr>
            <w:cnfStyle w:evenVBand="false" w:oddVBand="true" w:firstColumn="false"/>
            <w:tcW w:w="33.333333%" w:type="pct"/>
          </w:tcPr>
          <w:p>
            <w:pPr>
              <w:ind w:leftChars="0" w:left="0" w:right="0"/>
            </w:pPr>
            <w:r>
              <w:t>South Korean Won</w:t>
            </w:r>
          </w:p>
        </w:tc>
      </w:tr>
      <w:tr>
        <w:trPr>
          <w:cnfStyle w:evenHBand="false" w:oddHBand="true" w:firstRow="false"/>
        </w:trPr>
        <w:tc>
          <w:tcPr>
            <w:cnfStyle w:evenVBand="false" w:oddVBand="true" w:firstColumn="false"/>
            <w:tcW w:w="33.333333%" w:type="pct"/>
          </w:tcPr>
          <w:p>
            <w:pPr>
              <w:ind w:leftChars="0" w:left="0" w:right="0"/>
            </w:pPr>
            <w:r>
              <w:t>KZT</w:t>
            </w:r>
          </w:p>
        </w:tc>
        <w:tc>
          <w:tcPr>
            <w:cnfStyle w:evenVBand="true" w:oddVBand="false" w:firstColumn="false"/>
            <w:tcW w:w="33.333333%" w:type="pct"/>
          </w:tcPr>
          <w:p>
            <w:pPr>
              <w:ind w:leftChars="0" w:left="0" w:right="0"/>
            </w:pPr>
            <w:r>
              <w:t>Tenge</w:t>
            </w:r>
          </w:p>
        </w:tc>
        <w:tc>
          <w:tcPr>
            <w:cnfStyle w:evenVBand="false" w:oddVBand="true" w:firstColumn="false"/>
            <w:tcW w:w="33.333333%" w:type="pct"/>
          </w:tcPr>
          <w:p>
            <w:pPr>
              <w:ind w:leftChars="0" w:left="0" w:right="0"/>
            </w:pPr>
            <w:r>
              <w:t>Tenge</w:t>
            </w:r>
          </w:p>
        </w:tc>
      </w:tr>
      <w:tr>
        <w:trPr>
          <w:cnfStyle w:evenHBand="true" w:oddHBand="false" w:firstRow="false"/>
        </w:trPr>
        <w:tc>
          <w:tcPr>
            <w:cnfStyle w:evenVBand="false" w:oddVBand="true" w:firstColumn="false"/>
            <w:tcW w:w="33.333333%" w:type="pct"/>
          </w:tcPr>
          <w:p>
            <w:pPr>
              <w:ind w:leftChars="0" w:left="0" w:right="0"/>
            </w:pPr>
            <w:r>
              <w:t>MXN</w:t>
            </w:r>
          </w:p>
        </w:tc>
        <w:tc>
          <w:tcPr>
            <w:cnfStyle w:evenVBand="true" w:oddVBand="false" w:firstColumn="false"/>
            <w:tcW w:w="33.333333%" w:type="pct"/>
          </w:tcPr>
          <w:p>
            <w:pPr>
              <w:ind w:leftChars="0" w:left="0" w:right="0"/>
            </w:pPr>
            <w:r>
              <w:t>Mexican Peso</w:t>
            </w:r>
          </w:p>
        </w:tc>
        <w:tc>
          <w:tcPr>
            <w:cnfStyle w:evenVBand="false" w:oddVBand="true" w:firstColumn="false"/>
            <w:tcW w:w="33.333333%" w:type="pct"/>
          </w:tcPr>
          <w:p>
            <w:pPr>
              <w:ind w:leftChars="0" w:left="0" w:right="0"/>
            </w:pPr>
            <w:r>
              <w:t>Mexican Peso</w:t>
            </w:r>
          </w:p>
        </w:tc>
      </w:tr>
      <w:tr>
        <w:trPr>
          <w:cnfStyle w:evenHBand="false" w:oddHBand="true" w:firstRow="false"/>
        </w:trPr>
        <w:tc>
          <w:tcPr>
            <w:cnfStyle w:evenVBand="false" w:oddVBand="true" w:firstColumn="false"/>
            <w:tcW w:w="33.333333%" w:type="pct"/>
          </w:tcPr>
          <w:p>
            <w:pPr>
              <w:ind w:leftChars="0" w:left="0" w:right="0"/>
            </w:pPr>
            <w:r>
              <w:t>NOK</w:t>
            </w:r>
          </w:p>
        </w:tc>
        <w:tc>
          <w:tcPr>
            <w:cnfStyle w:evenVBand="true" w:oddVBand="false" w:firstColumn="false"/>
            <w:tcW w:w="33.333333%" w:type="pct"/>
          </w:tcPr>
          <w:p>
            <w:pPr>
              <w:ind w:leftChars="0" w:left="0" w:right="0"/>
            </w:pPr>
            <w:r>
              <w:t>Norwegian Krone</w:t>
            </w:r>
          </w:p>
        </w:tc>
        <w:tc>
          <w:tcPr>
            <w:cnfStyle w:evenVBand="false" w:oddVBand="true" w:firstColumn="false"/>
            <w:tcW w:w="33.333333%" w:type="pct"/>
          </w:tcPr>
          <w:p>
            <w:pPr>
              <w:ind w:leftChars="0" w:left="0" w:right="0"/>
            </w:pPr>
            <w:r>
              <w:t>Norwegian Krone</w:t>
            </w:r>
          </w:p>
        </w:tc>
      </w:tr>
      <w:tr>
        <w:trPr>
          <w:cnfStyle w:evenHBand="true" w:oddHBand="false" w:firstRow="false"/>
        </w:trPr>
        <w:tc>
          <w:tcPr>
            <w:cnfStyle w:evenVBand="false" w:oddVBand="true" w:firstColumn="false"/>
            <w:tcW w:w="33.333333%" w:type="pct"/>
          </w:tcPr>
          <w:p>
            <w:pPr>
              <w:ind w:leftChars="0" w:left="0" w:right="0"/>
            </w:pPr>
            <w:r>
              <w:t>PEN</w:t>
            </w:r>
          </w:p>
        </w:tc>
        <w:tc>
          <w:tcPr>
            <w:cnfStyle w:evenVBand="true" w:oddVBand="false" w:firstColumn="false"/>
            <w:tcW w:w="33.333333%" w:type="pct"/>
          </w:tcPr>
          <w:p>
            <w:pPr>
              <w:ind w:leftChars="0" w:left="0" w:right="0"/>
            </w:pPr>
            <w:r>
              <w:t>Nuevo Sol</w:t>
            </w:r>
          </w:p>
        </w:tc>
        <w:tc>
          <w:tcPr>
            <w:cnfStyle w:evenVBand="false" w:oddVBand="true" w:firstColumn="false"/>
            <w:tcW w:w="33.333333%" w:type="pct"/>
          </w:tcPr>
          <w:p>
            <w:pPr>
              <w:ind w:leftChars="0" w:left="0" w:right="0"/>
            </w:pPr>
            <w:r>
              <w:t>Nuevo Sol</w:t>
            </w:r>
          </w:p>
        </w:tc>
      </w:tr>
      <w:tr>
        <w:trPr>
          <w:cnfStyle w:evenHBand="false" w:oddHBand="true" w:firstRow="false"/>
        </w:trPr>
        <w:tc>
          <w:tcPr>
            <w:cnfStyle w:evenVBand="false" w:oddVBand="true" w:firstColumn="false"/>
            <w:tcW w:w="33.333333%" w:type="pct"/>
          </w:tcPr>
          <w:p>
            <w:pPr>
              <w:ind w:leftChars="0" w:left="0" w:right="0"/>
            </w:pPr>
            <w:r>
              <w:t>PGK</w:t>
            </w:r>
          </w:p>
        </w:tc>
        <w:tc>
          <w:tcPr>
            <w:cnfStyle w:evenVBand="true" w:oddVBand="false" w:firstColumn="false"/>
            <w:tcW w:w="33.333333%" w:type="pct"/>
          </w:tcPr>
          <w:p>
            <w:pPr>
              <w:ind w:leftChars="0" w:left="0" w:right="0"/>
            </w:pPr>
            <w:r>
              <w:t>Kina</w:t>
            </w:r>
          </w:p>
        </w:tc>
        <w:tc>
          <w:tcPr>
            <w:cnfStyle w:evenVBand="false" w:oddVBand="true" w:firstColumn="false"/>
            <w:tcW w:w="33.333333%" w:type="pct"/>
          </w:tcPr>
          <w:p>
            <w:pPr>
              <w:ind w:leftChars="0" w:left="0" w:right="0"/>
            </w:pPr>
            <w:r>
              <w:t>Kina</w:t>
            </w:r>
          </w:p>
        </w:tc>
      </w:tr>
      <w:tr>
        <w:trPr>
          <w:cnfStyle w:evenHBand="true" w:oddHBand="false" w:firstRow="false"/>
        </w:trPr>
        <w:tc>
          <w:tcPr>
            <w:cnfStyle w:evenVBand="false" w:oddVBand="true" w:firstColumn="false"/>
            <w:tcW w:w="33.333333%" w:type="pct"/>
          </w:tcPr>
          <w:p>
            <w:pPr>
              <w:ind w:leftChars="0" w:left="0" w:right="0"/>
            </w:pPr>
            <w:r>
              <w:t>PHP</w:t>
            </w:r>
          </w:p>
        </w:tc>
        <w:tc>
          <w:tcPr>
            <w:cnfStyle w:evenVBand="true" w:oddVBand="false" w:firstColumn="false"/>
            <w:tcW w:w="33.333333%" w:type="pct"/>
          </w:tcPr>
          <w:p>
            <w:pPr>
              <w:ind w:leftChars="0" w:left="0" w:right="0"/>
            </w:pPr>
            <w:r>
              <w:t>Philippine Peso</w:t>
            </w:r>
          </w:p>
        </w:tc>
        <w:tc>
          <w:tcPr>
            <w:cnfStyle w:evenVBand="false" w:oddVBand="true" w:firstColumn="false"/>
            <w:tcW w:w="33.333333%" w:type="pct"/>
          </w:tcPr>
          <w:p>
            <w:pPr>
              <w:ind w:leftChars="0" w:left="0" w:right="0"/>
            </w:pPr>
            <w:r>
              <w:t>Philippine Peso</w:t>
            </w:r>
          </w:p>
        </w:tc>
      </w:tr>
      <w:tr>
        <w:trPr>
          <w:cnfStyle w:evenHBand="false" w:oddHBand="true" w:firstRow="false"/>
        </w:trPr>
        <w:tc>
          <w:tcPr>
            <w:cnfStyle w:evenVBand="false" w:oddVBand="true" w:firstColumn="false"/>
            <w:tcW w:w="33.333333%" w:type="pct"/>
          </w:tcPr>
          <w:p>
            <w:pPr>
              <w:ind w:leftChars="0" w:left="0" w:right="0"/>
            </w:pPr>
            <w:r>
              <w:t>PLN</w:t>
            </w:r>
          </w:p>
        </w:tc>
        <w:tc>
          <w:tcPr>
            <w:cnfStyle w:evenVBand="true" w:oddVBand="false" w:firstColumn="false"/>
            <w:tcW w:w="33.333333%" w:type="pct"/>
          </w:tcPr>
          <w:p>
            <w:pPr>
              <w:ind w:leftChars="0" w:left="0" w:right="0"/>
            </w:pPr>
            <w:r>
              <w:t>Polish Zloty</w:t>
            </w:r>
          </w:p>
        </w:tc>
        <w:tc>
          <w:tcPr>
            <w:cnfStyle w:evenVBand="false" w:oddVBand="true" w:firstColumn="false"/>
            <w:tcW w:w="33.333333%" w:type="pct"/>
          </w:tcPr>
          <w:p>
            <w:pPr>
              <w:ind w:leftChars="0" w:left="0" w:right="0"/>
            </w:pPr>
            <w:r>
              <w:t>Polish Zloty</w:t>
            </w:r>
          </w:p>
        </w:tc>
      </w:tr>
      <w:tr>
        <w:trPr>
          <w:cnfStyle w:evenHBand="true" w:oddHBand="false" w:firstRow="false"/>
        </w:trPr>
        <w:tc>
          <w:tcPr>
            <w:cnfStyle w:evenVBand="false" w:oddVBand="true" w:firstColumn="false"/>
            <w:tcW w:w="33.333333%" w:type="pct"/>
          </w:tcPr>
          <w:p>
            <w:pPr>
              <w:ind w:leftChars="0" w:left="0" w:right="0"/>
            </w:pPr>
            <w:r>
              <w:t>RON</w:t>
            </w:r>
          </w:p>
        </w:tc>
        <w:tc>
          <w:tcPr>
            <w:cnfStyle w:evenVBand="true" w:oddVBand="false" w:firstColumn="false"/>
            <w:tcW w:w="33.333333%" w:type="pct"/>
          </w:tcPr>
          <w:p>
            <w:pPr>
              <w:ind w:leftChars="0" w:left="0" w:right="0"/>
            </w:pPr>
            <w:r>
              <w:t>New Leu</w:t>
            </w:r>
          </w:p>
        </w:tc>
        <w:tc>
          <w:tcPr>
            <w:cnfStyle w:evenVBand="false" w:oddVBand="true" w:firstColumn="false"/>
            <w:tcW w:w="33.333333%" w:type="pct"/>
          </w:tcPr>
          <w:p>
            <w:pPr>
              <w:ind w:leftChars="0" w:left="0" w:right="0"/>
            </w:pPr>
            <w:r>
              <w:t>New Leu</w:t>
            </w:r>
          </w:p>
        </w:tc>
      </w:tr>
      <w:tr>
        <w:trPr>
          <w:cnfStyle w:evenHBand="false" w:oddHBand="true" w:firstRow="false"/>
        </w:trPr>
        <w:tc>
          <w:tcPr>
            <w:cnfStyle w:evenVBand="false" w:oddVBand="true" w:firstColumn="false"/>
            <w:tcW w:w="33.333333%" w:type="pct"/>
          </w:tcPr>
          <w:p>
            <w:pPr>
              <w:ind w:leftChars="0" w:left="0" w:right="0"/>
            </w:pPr>
            <w:r>
              <w:t>RSD</w:t>
            </w:r>
          </w:p>
        </w:tc>
        <w:tc>
          <w:tcPr>
            <w:cnfStyle w:evenVBand="true" w:oddVBand="false" w:firstColumn="false"/>
            <w:tcW w:w="33.333333%" w:type="pct"/>
          </w:tcPr>
          <w:p>
            <w:pPr>
              <w:ind w:leftChars="0" w:left="0" w:right="0"/>
            </w:pPr>
            <w:r>
              <w:t>Serbian Dinar</w:t>
            </w:r>
          </w:p>
        </w:tc>
        <w:tc>
          <w:tcPr>
            <w:cnfStyle w:evenVBand="false" w:oddVBand="true" w:firstColumn="false"/>
            <w:tcW w:w="33.333333%" w:type="pct"/>
          </w:tcPr>
          <w:p>
            <w:pPr>
              <w:ind w:leftChars="0" w:left="0" w:right="0"/>
            </w:pPr>
            <w:r>
              <w:t>Serbian Dinar</w:t>
            </w:r>
          </w:p>
        </w:tc>
      </w:tr>
      <w:tr>
        <w:trPr>
          <w:cnfStyle w:evenHBand="true" w:oddHBand="false" w:firstRow="false"/>
        </w:trPr>
        <w:tc>
          <w:tcPr>
            <w:cnfStyle w:evenVBand="false" w:oddVBand="true" w:firstColumn="false"/>
            <w:tcW w:w="33.333333%" w:type="pct"/>
          </w:tcPr>
          <w:p>
            <w:pPr>
              <w:ind w:leftChars="0" w:left="0" w:right="0"/>
            </w:pPr>
            <w:r>
              <w:t>RUB</w:t>
            </w:r>
          </w:p>
        </w:tc>
        <w:tc>
          <w:tcPr>
            <w:cnfStyle w:evenVBand="true" w:oddVBand="false" w:firstColumn="false"/>
            <w:tcW w:w="33.333333%" w:type="pct"/>
          </w:tcPr>
          <w:p>
            <w:pPr>
              <w:ind w:leftChars="0" w:left="0" w:right="0"/>
            </w:pPr>
            <w:r>
              <w:t>Russian Ruble</w:t>
            </w:r>
          </w:p>
        </w:tc>
        <w:tc>
          <w:tcPr>
            <w:cnfStyle w:evenVBand="false" w:oddVBand="true" w:firstColumn="false"/>
            <w:tcW w:w="33.333333%" w:type="pct"/>
          </w:tcPr>
          <w:p>
            <w:pPr>
              <w:ind w:leftChars="0" w:left="0" w:right="0"/>
            </w:pPr>
            <w:r>
              <w:t>Russian Ruble</w:t>
            </w:r>
          </w:p>
        </w:tc>
      </w:tr>
      <w:tr>
        <w:trPr>
          <w:cnfStyle w:evenHBand="false" w:oddHBand="true" w:firstRow="false"/>
        </w:trPr>
        <w:tc>
          <w:tcPr>
            <w:cnfStyle w:evenVBand="false" w:oddVBand="true" w:firstColumn="false"/>
            <w:tcW w:w="33.333333%" w:type="pct"/>
          </w:tcPr>
          <w:p>
            <w:pPr>
              <w:ind w:leftChars="0" w:left="0" w:right="0"/>
            </w:pPr>
            <w:r>
              <w:t>SEK</w:t>
            </w:r>
          </w:p>
        </w:tc>
        <w:tc>
          <w:tcPr>
            <w:cnfStyle w:evenVBand="true" w:oddVBand="false" w:firstColumn="false"/>
            <w:tcW w:w="33.333333%" w:type="pct"/>
          </w:tcPr>
          <w:p>
            <w:pPr>
              <w:ind w:leftChars="0" w:left="0" w:right="0"/>
            </w:pPr>
            <w:r>
              <w:t>Swedish Krona</w:t>
            </w:r>
          </w:p>
        </w:tc>
        <w:tc>
          <w:tcPr>
            <w:cnfStyle w:evenVBand="false" w:oddVBand="true" w:firstColumn="false"/>
            <w:tcW w:w="33.333333%" w:type="pct"/>
          </w:tcPr>
          <w:p>
            <w:pPr>
              <w:ind w:leftChars="0" w:left="0" w:right="0"/>
            </w:pPr>
            <w:r>
              <w:t>Swedish Krona</w:t>
            </w:r>
          </w:p>
        </w:tc>
      </w:tr>
      <w:tr>
        <w:trPr>
          <w:cnfStyle w:evenHBand="true" w:oddHBand="false" w:firstRow="false"/>
        </w:trPr>
        <w:tc>
          <w:tcPr>
            <w:cnfStyle w:evenVBand="false" w:oddVBand="true" w:firstColumn="false"/>
            <w:tcW w:w="33.333333%" w:type="pct"/>
          </w:tcPr>
          <w:p>
            <w:pPr>
              <w:ind w:leftChars="0" w:left="0" w:right="0"/>
            </w:pPr>
            <w:r>
              <w:t>SGD</w:t>
            </w:r>
          </w:p>
        </w:tc>
        <w:tc>
          <w:tcPr>
            <w:cnfStyle w:evenVBand="true" w:oddVBand="false" w:firstColumn="false"/>
            <w:tcW w:w="33.333333%" w:type="pct"/>
          </w:tcPr>
          <w:p>
            <w:pPr>
              <w:ind w:leftChars="0" w:left="0" w:right="0"/>
            </w:pPr>
            <w:r>
              <w:t>Singapore Dollar</w:t>
            </w:r>
          </w:p>
        </w:tc>
        <w:tc>
          <w:tcPr>
            <w:cnfStyle w:evenVBand="false" w:oddVBand="true" w:firstColumn="false"/>
            <w:tcW w:w="33.333333%" w:type="pct"/>
          </w:tcPr>
          <w:p>
            <w:pPr>
              <w:ind w:leftChars="0" w:left="0" w:right="0"/>
            </w:pPr>
            <w:r>
              <w:t>Singapore Dollar</w:t>
            </w:r>
          </w:p>
        </w:tc>
      </w:tr>
      <w:tr>
        <w:trPr>
          <w:cnfStyle w:evenHBand="false" w:oddHBand="true" w:firstRow="false"/>
        </w:trPr>
        <w:tc>
          <w:tcPr>
            <w:cnfStyle w:evenVBand="false" w:oddVBand="true" w:firstColumn="false"/>
            <w:tcW w:w="33.333333%" w:type="pct"/>
          </w:tcPr>
          <w:p>
            <w:pPr>
              <w:ind w:leftChars="0" w:left="0" w:right="0"/>
            </w:pPr>
            <w:r>
              <w:t>THB</w:t>
            </w:r>
          </w:p>
        </w:tc>
        <w:tc>
          <w:tcPr>
            <w:cnfStyle w:evenVBand="true" w:oddVBand="false" w:firstColumn="false"/>
            <w:tcW w:w="33.333333%" w:type="pct"/>
          </w:tcPr>
          <w:p>
            <w:pPr>
              <w:ind w:leftChars="0" w:left="0" w:right="0"/>
            </w:pPr>
            <w:r>
              <w:t>Thai Baht</w:t>
            </w:r>
          </w:p>
        </w:tc>
        <w:tc>
          <w:tcPr>
            <w:cnfStyle w:evenVBand="false" w:oddVBand="true" w:firstColumn="false"/>
            <w:tcW w:w="33.333333%" w:type="pct"/>
          </w:tcPr>
          <w:p>
            <w:pPr>
              <w:ind w:leftChars="0" w:left="0" w:right="0"/>
            </w:pPr>
            <w:r>
              <w:t>Thai Baht</w:t>
            </w:r>
          </w:p>
        </w:tc>
      </w:tr>
      <w:tr>
        <w:trPr>
          <w:cnfStyle w:evenHBand="true" w:oddHBand="false" w:firstRow="false"/>
        </w:trPr>
        <w:tc>
          <w:tcPr>
            <w:cnfStyle w:evenVBand="false" w:oddVBand="true" w:firstColumn="false"/>
            <w:tcW w:w="33.333333%" w:type="pct"/>
          </w:tcPr>
          <w:p>
            <w:pPr>
              <w:ind w:leftChars="0" w:left="0" w:right="0"/>
            </w:pPr>
            <w:r>
              <w:t>TRY</w:t>
            </w:r>
          </w:p>
        </w:tc>
        <w:tc>
          <w:tcPr>
            <w:cnfStyle w:evenVBand="true" w:oddVBand="false" w:firstColumn="false"/>
            <w:tcW w:w="33.333333%" w:type="pct"/>
          </w:tcPr>
          <w:p>
            <w:pPr>
              <w:ind w:leftChars="0" w:left="0" w:right="0"/>
            </w:pPr>
            <w:r>
              <w:t>New Turkish Lira</w:t>
            </w:r>
          </w:p>
        </w:tc>
        <w:tc>
          <w:tcPr>
            <w:cnfStyle w:evenVBand="false" w:oddVBand="true" w:firstColumn="false"/>
            <w:tcW w:w="33.333333%" w:type="pct"/>
          </w:tcPr>
          <w:p>
            <w:pPr>
              <w:ind w:leftChars="0" w:left="0" w:right="0"/>
            </w:pPr>
            <w:r>
              <w:t>New Turkish Lira</w:t>
            </w:r>
          </w:p>
        </w:tc>
      </w:tr>
      <w:tr>
        <w:trPr>
          <w:cnfStyle w:evenHBand="false" w:oddHBand="true" w:firstRow="false"/>
        </w:trPr>
        <w:tc>
          <w:tcPr>
            <w:cnfStyle w:evenVBand="false" w:oddVBand="true" w:firstColumn="false"/>
            <w:tcW w:w="33.333333%" w:type="pct"/>
          </w:tcPr>
          <w:p>
            <w:pPr>
              <w:ind w:leftChars="0" w:left="0" w:right="0"/>
            </w:pPr>
            <w:r>
              <w:t>TWD</w:t>
            </w:r>
          </w:p>
        </w:tc>
        <w:tc>
          <w:tcPr>
            <w:cnfStyle w:evenVBand="true" w:oddVBand="false" w:firstColumn="false"/>
            <w:tcW w:w="33.333333%" w:type="pct"/>
          </w:tcPr>
          <w:p>
            <w:pPr>
              <w:ind w:leftChars="0" w:left="0" w:right="0"/>
            </w:pPr>
            <w:r>
              <w:t>New Taiwan Dollar</w:t>
            </w:r>
          </w:p>
        </w:tc>
        <w:tc>
          <w:tcPr>
            <w:cnfStyle w:evenVBand="false" w:oddVBand="true" w:firstColumn="false"/>
            <w:tcW w:w="33.333333%" w:type="pct"/>
          </w:tcPr>
          <w:p>
            <w:pPr>
              <w:ind w:leftChars="0" w:left="0" w:right="0"/>
            </w:pPr>
            <w:r>
              <w:t>New Taiwan Dollar</w:t>
            </w:r>
          </w:p>
        </w:tc>
      </w:tr>
      <w:tr>
        <w:trPr>
          <w:cnfStyle w:evenHBand="true" w:oddHBand="false" w:firstRow="false"/>
        </w:trPr>
        <w:tc>
          <w:tcPr>
            <w:cnfStyle w:evenVBand="false" w:oddVBand="true" w:firstColumn="false"/>
            <w:tcW w:w="33.333333%" w:type="pct"/>
          </w:tcPr>
          <w:p>
            <w:pPr>
              <w:ind w:leftChars="0" w:left="0" w:right="0"/>
            </w:pPr>
            <w:r>
              <w:t>UAH</w:t>
            </w:r>
          </w:p>
        </w:tc>
        <w:tc>
          <w:tcPr>
            <w:cnfStyle w:evenVBand="true" w:oddVBand="false" w:firstColumn="false"/>
            <w:tcW w:w="33.333333%" w:type="pct"/>
          </w:tcPr>
          <w:p>
            <w:pPr>
              <w:ind w:leftChars="0" w:left="0" w:right="0"/>
            </w:pPr>
            <w:r>
              <w:t>Hryvnia</w:t>
            </w:r>
          </w:p>
        </w:tc>
        <w:tc>
          <w:tcPr>
            <w:cnfStyle w:evenVBand="false" w:oddVBand="true" w:firstColumn="false"/>
            <w:tcW w:w="33.333333%" w:type="pct"/>
          </w:tcPr>
          <w:p>
            <w:pPr>
              <w:ind w:leftChars="0" w:left="0" w:right="0"/>
            </w:pPr>
            <w:r>
              <w:t>Hryvnia</w:t>
            </w:r>
          </w:p>
        </w:tc>
      </w:tr>
      <w:tr>
        <w:trPr>
          <w:cnfStyle w:evenHBand="false" w:oddHBand="true" w:firstRow="false"/>
        </w:trPr>
        <w:tc>
          <w:tcPr>
            <w:cnfStyle w:evenVBand="false" w:oddVBand="true" w:firstColumn="false"/>
            <w:tcW w:w="33.333333%" w:type="pct"/>
          </w:tcPr>
          <w:p>
            <w:pPr>
              <w:ind w:leftChars="0" w:left="0" w:right="0"/>
            </w:pPr>
            <w:r>
              <w:t>USD</w:t>
            </w:r>
          </w:p>
        </w:tc>
        <w:tc>
          <w:tcPr>
            <w:cnfStyle w:evenVBand="true" w:oddVBand="false" w:firstColumn="false"/>
            <w:tcW w:w="33.333333%" w:type="pct"/>
          </w:tcPr>
          <w:p>
            <w:pPr>
              <w:ind w:leftChars="0" w:left="0" w:right="0"/>
            </w:pPr>
            <w:r>
              <w:t>US Dollar</w:t>
            </w:r>
          </w:p>
        </w:tc>
        <w:tc>
          <w:tcPr>
            <w:cnfStyle w:evenVBand="false" w:oddVBand="true" w:firstColumn="false"/>
            <w:tcW w:w="33.333333%" w:type="pct"/>
          </w:tcPr>
          <w:p>
            <w:pPr>
              <w:ind w:leftChars="0" w:left="0" w:right="0"/>
            </w:pPr>
            <w:r>
              <w:t>US Dollar</w:t>
            </w:r>
          </w:p>
        </w:tc>
      </w:tr>
      <w:tr>
        <w:trPr>
          <w:cnfStyle w:evenHBand="true" w:oddHBand="false" w:firstRow="false"/>
        </w:trPr>
        <w:tc>
          <w:tcPr>
            <w:cnfStyle w:evenVBand="false" w:oddVBand="true" w:firstColumn="false"/>
            <w:tcW w:w="33.333333%" w:type="pct"/>
          </w:tcPr>
          <w:p>
            <w:pPr>
              <w:ind w:leftChars="0" w:left="0" w:right="0"/>
            </w:pPr>
            <w:r>
              <w:t>ZAR</w:t>
            </w:r>
          </w:p>
        </w:tc>
        <w:tc>
          <w:tcPr>
            <w:cnfStyle w:evenVBand="true" w:oddVBand="false" w:firstColumn="false"/>
            <w:tcW w:w="33.333333%" w:type="pct"/>
          </w:tcPr>
          <w:p>
            <w:pPr>
              <w:ind w:leftChars="0" w:left="0" w:right="0"/>
            </w:pPr>
            <w:r>
              <w:t>South African Rand</w:t>
            </w:r>
          </w:p>
        </w:tc>
        <w:tc>
          <w:tcPr>
            <w:cnfStyle w:evenVBand="false" w:oddVBand="true" w:firstColumn="false"/>
            <w:tcW w:w="33.333333%" w:type="pct"/>
          </w:tcPr>
          <w:p>
            <w:pPr>
              <w:ind w:leftChars="0" w:left="0" w:right="0"/>
            </w:pPr>
            <w:r>
              <w:t>South African Rand</w:t>
            </w:r>
          </w:p>
        </w:tc>
      </w:tr>
      <w:tr>
        <w:trPr>
          <w:cnfStyle w:evenHBand="false" w:oddHBand="true" w:firstRow="false"/>
        </w:trPr>
        <w:tc>
          <w:tcPr>
            <w:cnfStyle w:evenVBand="false" w:oddVBand="true" w:firstColumn="false"/>
            <w:tcW w:w="33.333333%" w:type="pct"/>
          </w:tcPr>
          <w:p>
            <w:pPr>
              <w:ind w:leftChars="0" w:left="0" w:right="0"/>
            </w:pPr>
            <w:r>
              <w:t>GRD</w:t>
            </w:r>
          </w:p>
        </w:tc>
        <w:tc>
          <w:tcPr>
            <w:cnfStyle w:evenVBand="true" w:oddVBand="false" w:firstColumn="false"/>
            <w:tcW w:w="33.333333%" w:type="pct"/>
          </w:tcPr>
          <w:p>
            <w:pPr>
              <w:ind w:leftChars="0" w:left="0" w:right="0"/>
            </w:pPr>
            <w:r>
              <w:t>GRD</w:t>
            </w:r>
          </w:p>
        </w:tc>
        <w:tc>
          <w:tcPr>
            <w:cnfStyle w:evenVBand="false" w:oddVBand="true" w:firstColumn="false"/>
            <w:tcW w:w="33.333333%" w:type="pct"/>
          </w:tcPr>
          <w:p>
            <w:pPr>
              <w:ind w:leftChars="0" w:left="0" w:right="0"/>
            </w:pPr>
            <w:r>
              <w:t>Greek Drachma</w:t>
            </w:r>
          </w:p>
        </w:tc>
      </w:tr>
    </w:tbl>
    <w:p>
      <w:pPr>
        <w:pStyle w:val="Table Bottom Margin"/>
      </w:pPr>
    </w:p>
    <w:bookmarkEnd w:id="309"/>
    <w:bookmarkEnd w:id="308"/>
    <w:bookmarkStart w:id="310" w:name="_77c9de23473c152c286ed7a9d7bde81b"/>
    <w:bookmarkStart w:id="311" w:name="_b49bc393b5387576bf99c99d6c2c9cfa"/>
    <w:p>
      <w:pPr>
        <w:pStyle w:val="Heading5"/>
        <w:keepNext/>
      </w:pPr>
      <w:r>
        <w:t>GEN_FRQNCY_ENUM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B</w:t>
            </w:r>
          </w:p>
        </w:tc>
        <w:tc>
          <w:tcPr>
            <w:cnfStyle w:evenVBand="true" w:oddVBand="false" w:firstColumn="false"/>
            <w:tcW w:w="33.333333%" w:type="pct"/>
          </w:tcPr>
          <w:p>
            <w:pPr>
              <w:ind w:leftChars="0" w:left="0" w:right="0"/>
            </w:pPr>
            <w:r>
              <w:t>Daily - businessweek</w:t>
            </w:r>
          </w:p>
        </w:tc>
        <w:tc>
          <w:tcPr>
            <w:cnfStyle w:evenVBand="false" w:oddVBand="true" w:firstColumn="false"/>
            <w:tcW w:w="33.333333%" w:type="pct"/>
          </w:tcPr>
          <w:p>
            <w:pPr>
              <w:ind w:leftChars="0" w:left="0" w:right="0"/>
            </w:pPr>
            <w:r>
              <w:t>Daily - businessweek</w:t>
            </w:r>
          </w:p>
        </w:tc>
      </w:tr>
      <w:tr>
        <w:trPr>
          <w:cnfStyle w:evenHBand="true" w:oddHBand="false" w:firstRow="false"/>
        </w:trPr>
        <w:tc>
          <w:tcPr>
            <w:cnfStyle w:evenVBand="false" w:oddVBand="true" w:firstColumn="false"/>
            <w:tcW w:w="33.333333%" w:type="pct"/>
          </w:tcPr>
          <w:p>
            <w:pPr>
              <w:ind w:leftChars="0" w:left="0" w:right="0"/>
            </w:pPr>
            <w:r>
              <w:t>D</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r>
        <w:trPr>
          <w:cnfStyle w:evenHBand="false" w:oddHBand="true" w:firstRow="false"/>
        </w:trPr>
        <w:tc>
          <w:tcPr>
            <w:cnfStyle w:evenVBand="false" w:oddVBand="true" w:firstColumn="false"/>
            <w:tcW w:w="33.333333%" w:type="pct"/>
          </w:tcPr>
          <w:p>
            <w:pPr>
              <w:ind w:leftChars="0" w:left="0" w:right="0"/>
            </w:pPr>
            <w:r>
              <w:t>H</w:t>
            </w:r>
          </w:p>
        </w:tc>
        <w:tc>
          <w:tcPr>
            <w:cnfStyle w:evenVBand="true" w:oddVBand="false" w:firstColumn="false"/>
            <w:tcW w:w="33.333333%" w:type="pct"/>
          </w:tcPr>
          <w:p>
            <w:pPr>
              <w:ind w:leftChars="0" w:left="0" w:right="0"/>
            </w:pPr>
            <w:r>
              <w:t>Hourly</w:t>
            </w:r>
          </w:p>
        </w:tc>
        <w:tc>
          <w:tcPr>
            <w:cnfStyle w:evenVBand="false" w:oddVBand="true" w:firstColumn="false"/>
            <w:tcW w:w="33.333333%" w:type="pct"/>
          </w:tcPr>
          <w:p>
            <w:pPr>
              <w:ind w:leftChars="0" w:left="0" w:right="0"/>
            </w:pPr>
            <w:r>
              <w:t>Hourly</w:t>
            </w:r>
          </w:p>
        </w:tc>
      </w:tr>
      <w:tr>
        <w:trPr>
          <w:cnfStyle w:evenHBand="true" w:oddHBand="fals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N</w:t>
            </w:r>
          </w:p>
        </w:tc>
        <w:tc>
          <w:tcPr>
            <w:cnfStyle w:evenVBand="true" w:oddVBand="false" w:firstColumn="false"/>
            <w:tcW w:w="33.333333%" w:type="pct"/>
          </w:tcPr>
          <w:p>
            <w:pPr>
              <w:ind w:leftChars="0" w:left="0" w:right="0"/>
            </w:pPr>
            <w:r>
              <w:t>Minutely</w:t>
            </w:r>
          </w:p>
        </w:tc>
        <w:tc>
          <w:tcPr>
            <w:cnfStyle w:evenVBand="false" w:oddVBand="true" w:firstColumn="false"/>
            <w:tcW w:w="33.333333%" w:type="pct"/>
          </w:tcPr>
          <w:p>
            <w:pPr>
              <w:ind w:leftChars="0" w:left="0" w:right="0"/>
            </w:pPr>
            <w:r>
              <w:t>Minutely</w:t>
            </w:r>
          </w:p>
        </w:tc>
      </w:tr>
      <w:tr>
        <w:trPr>
          <w:cnfStyle w:evenHBand="true" w:oddHBand="false" w:firstRow="false"/>
        </w:trPr>
        <w:tc>
          <w:tcPr>
            <w:cnfStyle w:evenVBand="false" w:oddVBand="true" w:firstColumn="false"/>
            <w:tcW w:w="33.333333%" w:type="pct"/>
          </w:tcPr>
          <w:p>
            <w:pPr>
              <w:ind w:leftChars="0" w:left="0" w:right="0"/>
            </w:pPr>
            <w:r>
              <w:t>Q</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Half-yearly, semester</w:t>
            </w:r>
          </w:p>
        </w:tc>
        <w:tc>
          <w:tcPr>
            <w:cnfStyle w:evenVBand="false" w:oddVBand="true" w:firstColumn="false"/>
            <w:tcW w:w="33.333333%" w:type="pct"/>
          </w:tcPr>
          <w:p>
            <w:pPr>
              <w:ind w:leftChars="0" w:left="0" w:right="0"/>
            </w:pPr>
            <w:r>
              <w:t>Half-yearly, semester</w:t>
            </w:r>
          </w:p>
        </w:tc>
      </w:tr>
      <w:tr>
        <w:trPr>
          <w:cnfStyle w:evenHBand="true" w:oddHBand="false" w:firstRow="false"/>
        </w:trPr>
        <w:tc>
          <w:tcPr>
            <w:cnfStyle w:evenVBand="false" w:oddVBand="true" w:firstColumn="false"/>
            <w:tcW w:w="33.333333%" w:type="pct"/>
          </w:tcPr>
          <w:p>
            <w:pPr>
              <w:ind w:leftChars="0" w:left="0" w:right="0"/>
            </w:pPr>
            <w:r>
              <w:t>W</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false" w:oddHBand="true" w:firstRow="false"/>
        </w:trPr>
        <w:tc>
          <w:tcPr>
            <w:cnfStyle w:evenVBand="false" w:oddVBand="true" w:firstColumn="false"/>
            <w:tcW w:w="33.333333%" w:type="pct"/>
          </w:tcPr>
          <w:p>
            <w:pPr>
              <w:ind w:leftChars="0" w:left="0" w:right="0"/>
            </w:pPr>
            <w:r>
              <w:t>A2</w:t>
            </w:r>
          </w:p>
        </w:tc>
        <w:tc>
          <w:tcPr>
            <w:cnfStyle w:evenVBand="true" w:oddVBand="false" w:firstColumn="false"/>
            <w:tcW w:w="33.333333%" w:type="pct"/>
          </w:tcPr>
          <w:p>
            <w:pPr>
              <w:ind w:leftChars="0" w:left="0" w:right="0"/>
            </w:pPr>
            <w:r>
              <w:t>Biennial</w:t>
            </w:r>
          </w:p>
        </w:tc>
        <w:tc>
          <w:tcPr>
            <w:cnfStyle w:evenVBand="false" w:oddVBand="true" w:firstColumn="false"/>
            <w:tcW w:w="33.333333%" w:type="pct"/>
          </w:tcPr>
          <w:p>
            <w:pPr>
              <w:ind w:leftChars="0" w:left="0" w:right="0"/>
            </w:pPr>
            <w:r>
              <w:t>Biennial</w:t>
            </w:r>
          </w:p>
        </w:tc>
      </w:tr>
      <w:tr>
        <w:trPr>
          <w:cnfStyle w:evenHBand="true" w:oddHBand="false" w:firstRow="false"/>
        </w:trPr>
        <w:tc>
          <w:tcPr>
            <w:cnfStyle w:evenVBand="false" w:oddVBand="true" w:firstColumn="false"/>
            <w:tcW w:w="33.333333%" w:type="pct"/>
          </w:tcPr>
          <w:p>
            <w:pPr>
              <w:ind w:leftChars="0" w:left="0" w:right="0"/>
            </w:pPr>
            <w:r>
              <w:t>A3</w:t>
            </w:r>
          </w:p>
        </w:tc>
        <w:tc>
          <w:tcPr>
            <w:cnfStyle w:evenVBand="true" w:oddVBand="false" w:firstColumn="false"/>
            <w:tcW w:w="33.333333%" w:type="pct"/>
          </w:tcPr>
          <w:p>
            <w:pPr>
              <w:ind w:leftChars="0" w:left="0" w:right="0"/>
            </w:pPr>
            <w:r>
              <w:t>Triennial</w:t>
            </w:r>
          </w:p>
        </w:tc>
        <w:tc>
          <w:tcPr>
            <w:cnfStyle w:evenVBand="false" w:oddVBand="true" w:firstColumn="false"/>
            <w:tcW w:w="33.333333%" w:type="pct"/>
          </w:tcPr>
          <w:p>
            <w:pPr>
              <w:ind w:leftChars="0" w:left="0" w:right="0"/>
            </w:pPr>
            <w:r>
              <w:t>Triennial</w:t>
            </w:r>
          </w:p>
        </w:tc>
      </w:tr>
      <w:tr>
        <w:trPr>
          <w:cnfStyle w:evenHBand="false" w:oddHBand="true" w:firstRow="false"/>
        </w:trPr>
        <w:tc>
          <w:tcPr>
            <w:cnfStyle w:evenVBand="false" w:oddVBand="true" w:firstColumn="false"/>
            <w:tcW w:w="33.333333%" w:type="pct"/>
          </w:tcPr>
          <w:p>
            <w:pPr>
              <w:ind w:leftChars="0" w:left="0" w:right="0"/>
            </w:pPr>
            <w:r>
              <w:t>A4</w:t>
            </w:r>
          </w:p>
        </w:tc>
        <w:tc>
          <w:tcPr>
            <w:cnfStyle w:evenVBand="true" w:oddVBand="false" w:firstColumn="false"/>
            <w:tcW w:w="33.333333%" w:type="pct"/>
          </w:tcPr>
          <w:p>
            <w:pPr>
              <w:ind w:leftChars="0" w:left="0" w:right="0"/>
            </w:pPr>
            <w:r>
              <w:t>Quadrennial</w:t>
            </w:r>
          </w:p>
        </w:tc>
        <w:tc>
          <w:tcPr>
            <w:cnfStyle w:evenVBand="false" w:oddVBand="true" w:firstColumn="false"/>
            <w:tcW w:w="33.333333%" w:type="pct"/>
          </w:tcPr>
          <w:p>
            <w:pPr>
              <w:ind w:leftChars="0" w:left="0" w:right="0"/>
            </w:pPr>
            <w:r>
              <w:t>Quadrennial</w:t>
            </w:r>
          </w:p>
        </w:tc>
      </w:tr>
      <w:tr>
        <w:trPr>
          <w:cnfStyle w:evenHBand="true" w:oddHBand="false" w:firstRow="false"/>
        </w:trPr>
        <w:tc>
          <w:tcPr>
            <w:cnfStyle w:evenVBand="false" w:oddVBand="true" w:firstColumn="false"/>
            <w:tcW w:w="33.333333%" w:type="pct"/>
          </w:tcPr>
          <w:p>
            <w:pPr>
              <w:ind w:leftChars="0" w:left="0" w:right="0"/>
            </w:pPr>
            <w:r>
              <w:t>A5</w:t>
            </w:r>
          </w:p>
        </w:tc>
        <w:tc>
          <w:tcPr>
            <w:cnfStyle w:evenVBand="true" w:oddVBand="false" w:firstColumn="false"/>
            <w:tcW w:w="33.333333%" w:type="pct"/>
          </w:tcPr>
          <w:p>
            <w:pPr>
              <w:ind w:leftChars="0" w:left="0" w:right="0"/>
            </w:pPr>
            <w:r>
              <w:t>Quinquennial</w:t>
            </w:r>
          </w:p>
        </w:tc>
        <w:tc>
          <w:tcPr>
            <w:cnfStyle w:evenVBand="false" w:oddVBand="true" w:firstColumn="false"/>
            <w:tcW w:w="33.333333%" w:type="pct"/>
          </w:tcPr>
          <w:p>
            <w:pPr>
              <w:ind w:leftChars="0" w:left="0" w:right="0"/>
            </w:pPr>
            <w:r>
              <w:t>Quinquennial</w:t>
            </w:r>
          </w:p>
        </w:tc>
      </w:tr>
      <w:tr>
        <w:trPr>
          <w:cnfStyle w:evenHBand="false" w:oddHBand="true" w:firstRow="false"/>
        </w:trPr>
        <w:tc>
          <w:tcPr>
            <w:cnfStyle w:evenVBand="false" w:oddVBand="true" w:firstColumn="false"/>
            <w:tcW w:w="33.333333%" w:type="pct"/>
          </w:tcPr>
          <w:p>
            <w:pPr>
              <w:ind w:leftChars="0" w:left="0" w:right="0"/>
            </w:pPr>
            <w:r>
              <w:t>A10</w:t>
            </w:r>
          </w:p>
        </w:tc>
        <w:tc>
          <w:tcPr>
            <w:cnfStyle w:evenVBand="true" w:oddVBand="false" w:firstColumn="false"/>
            <w:tcW w:w="33.333333%" w:type="pct"/>
          </w:tcPr>
          <w:p>
            <w:pPr>
              <w:ind w:leftChars="0" w:left="0" w:right="0"/>
            </w:pPr>
            <w:r>
              <w:t>Decennial</w:t>
            </w:r>
          </w:p>
        </w:tc>
        <w:tc>
          <w:tcPr>
            <w:cnfStyle w:evenVBand="false" w:oddVBand="true" w:firstColumn="false"/>
            <w:tcW w:w="33.333333%" w:type="pct"/>
          </w:tcPr>
          <w:p>
            <w:pPr>
              <w:ind w:leftChars="0" w:left="0" w:right="0"/>
            </w:pPr>
            <w:r>
              <w:t>Decennial</w:t>
            </w:r>
          </w:p>
        </w:tc>
      </w:tr>
      <w:tr>
        <w:trPr>
          <w:cnfStyle w:evenHBand="true" w:oddHBand="false" w:firstRow="false"/>
        </w:trPr>
        <w:tc>
          <w:tcPr>
            <w:cnfStyle w:evenVBand="false" w:oddVBand="true" w:firstColumn="false"/>
            <w:tcW w:w="33.333333%" w:type="pct"/>
          </w:tcPr>
          <w:p>
            <w:pPr>
              <w:ind w:leftChars="0" w:left="0" w:right="0"/>
            </w:pPr>
            <w:r>
              <w:t>A20</w:t>
            </w:r>
          </w:p>
        </w:tc>
        <w:tc>
          <w:tcPr>
            <w:cnfStyle w:evenVBand="true" w:oddVBand="false" w:firstColumn="false"/>
            <w:tcW w:w="33.333333%" w:type="pct"/>
          </w:tcPr>
          <w:p>
            <w:pPr>
              <w:ind w:leftChars="0" w:left="0" w:right="0"/>
            </w:pPr>
            <w:r>
              <w:t>Bidecennial</w:t>
            </w:r>
          </w:p>
        </w:tc>
        <w:tc>
          <w:tcPr>
            <w:cnfStyle w:evenVBand="false" w:oddVBand="true" w:firstColumn="false"/>
            <w:tcW w:w="33.333333%" w:type="pct"/>
          </w:tcPr>
          <w:p>
            <w:pPr>
              <w:ind w:leftChars="0" w:left="0" w:right="0"/>
            </w:pPr>
            <w:r>
              <w:t>Bidecennial</w:t>
            </w:r>
          </w:p>
        </w:tc>
      </w:tr>
      <w:tr>
        <w:trPr>
          <w:cnfStyle w:evenHBand="false" w:oddHBand="true" w:firstRow="false"/>
        </w:trPr>
        <w:tc>
          <w:tcPr>
            <w:cnfStyle w:evenVBand="false" w:oddVBand="true" w:firstColumn="false"/>
            <w:tcW w:w="33.333333%" w:type="pct"/>
          </w:tcPr>
          <w:p>
            <w:pPr>
              <w:ind w:leftChars="0" w:left="0" w:right="0"/>
            </w:pPr>
            <w:r>
              <w:t>A30</w:t>
            </w:r>
          </w:p>
        </w:tc>
        <w:tc>
          <w:tcPr>
            <w:cnfStyle w:evenVBand="true" w:oddVBand="false" w:firstColumn="false"/>
            <w:tcW w:w="33.333333%" w:type="pct"/>
          </w:tcPr>
          <w:p>
            <w:pPr>
              <w:ind w:leftChars="0" w:left="0" w:right="0"/>
            </w:pPr>
            <w:r>
              <w:t>Tridecennial</w:t>
            </w:r>
          </w:p>
        </w:tc>
        <w:tc>
          <w:tcPr>
            <w:cnfStyle w:evenVBand="false" w:oddVBand="true" w:firstColumn="false"/>
            <w:tcW w:w="33.333333%" w:type="pct"/>
          </w:tcPr>
          <w:p>
            <w:pPr>
              <w:ind w:leftChars="0" w:left="0" w:right="0"/>
            </w:pPr>
            <w:r>
              <w:t>Tridecennial</w:t>
            </w:r>
          </w:p>
        </w:tc>
      </w:tr>
      <w:tr>
        <w:trPr>
          <w:cnfStyle w:evenHBand="true" w:oddHBand="false" w:firstRow="false"/>
        </w:trPr>
        <w:tc>
          <w:tcPr>
            <w:cnfStyle w:evenVBand="false" w:oddVBand="true" w:firstColumn="false"/>
            <w:tcW w:w="33.333333%" w:type="pct"/>
          </w:tcPr>
          <w:p>
            <w:pPr>
              <w:ind w:leftChars="0" w:left="0" w:right="0"/>
            </w:pPr>
            <w:r>
              <w:t>A_3</w:t>
            </w:r>
          </w:p>
        </w:tc>
        <w:tc>
          <w:tcPr>
            <w:cnfStyle w:evenVBand="true" w:oddVBand="false" w:firstColumn="false"/>
            <w:tcW w:w="33.333333%" w:type="pct"/>
          </w:tcPr>
          <w:p>
            <w:pPr>
              <w:ind w:leftChars="0" w:left="0" w:right="0"/>
            </w:pPr>
            <w:r>
              <w:t>Three times a year</w:t>
            </w:r>
          </w:p>
        </w:tc>
        <w:tc>
          <w:tcPr>
            <w:cnfStyle w:evenVBand="false" w:oddVBand="true" w:firstColumn="false"/>
            <w:tcW w:w="33.333333%" w:type="pct"/>
          </w:tcPr>
          <w:p>
            <w:pPr>
              <w:ind w:leftChars="0" w:left="0" w:right="0"/>
            </w:pPr>
            <w:r>
              <w:t>Three times a year</w:t>
            </w:r>
          </w:p>
        </w:tc>
      </w:tr>
      <w:tr>
        <w:trPr>
          <w:cnfStyle w:evenHBand="false" w:oddHBand="true" w:firstRow="false"/>
        </w:trPr>
        <w:tc>
          <w:tcPr>
            <w:cnfStyle w:evenVBand="false" w:oddVBand="true" w:firstColumn="false"/>
            <w:tcW w:w="33.333333%" w:type="pct"/>
          </w:tcPr>
          <w:p>
            <w:pPr>
              <w:ind w:leftChars="0" w:left="0" w:right="0"/>
            </w:pPr>
            <w:r>
              <w:t>M2</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M_2</w:t>
            </w:r>
          </w:p>
        </w:tc>
        <w:tc>
          <w:tcPr>
            <w:cnfStyle w:evenVBand="true" w:oddVBand="false" w:firstColumn="false"/>
            <w:tcW w:w="33.333333%" w:type="pct"/>
          </w:tcPr>
          <w:p>
            <w:pPr>
              <w:ind w:leftChars="0" w:left="0" w:right="0"/>
            </w:pPr>
            <w:r>
              <w:t>Semimonthly</w:t>
            </w:r>
          </w:p>
        </w:tc>
        <w:tc>
          <w:tcPr>
            <w:cnfStyle w:evenVBand="false" w:oddVBand="true" w:firstColumn="false"/>
            <w:tcW w:w="33.333333%" w:type="pct"/>
          </w:tcPr>
          <w:p>
            <w:pPr>
              <w:ind w:leftChars="0" w:left="0" w:right="0"/>
            </w:pPr>
            <w:r>
              <w:t>Semimonthly</w:t>
            </w:r>
          </w:p>
        </w:tc>
      </w:tr>
      <w:tr>
        <w:trPr>
          <w:cnfStyle w:evenHBand="false" w:oddHBand="true" w:firstRow="false"/>
        </w:trPr>
        <w:tc>
          <w:tcPr>
            <w:cnfStyle w:evenVBand="false" w:oddVBand="true" w:firstColumn="false"/>
            <w:tcW w:w="33.333333%" w:type="pct"/>
          </w:tcPr>
          <w:p>
            <w:pPr>
              <w:ind w:leftChars="0" w:left="0" w:right="0"/>
            </w:pPr>
            <w:r>
              <w:t>M_3</w:t>
            </w:r>
          </w:p>
        </w:tc>
        <w:tc>
          <w:tcPr>
            <w:cnfStyle w:evenVBand="true" w:oddVBand="false" w:firstColumn="false"/>
            <w:tcW w:w="33.333333%" w:type="pct"/>
          </w:tcPr>
          <w:p>
            <w:pPr>
              <w:ind w:leftChars="0" w:left="0" w:right="0"/>
            </w:pPr>
            <w:r>
              <w:t>Three times a month</w:t>
            </w:r>
          </w:p>
        </w:tc>
        <w:tc>
          <w:tcPr>
            <w:cnfStyle w:evenVBand="false" w:oddVBand="true" w:firstColumn="false"/>
            <w:tcW w:w="33.333333%" w:type="pct"/>
          </w:tcPr>
          <w:p>
            <w:pPr>
              <w:ind w:leftChars="0" w:left="0" w:right="0"/>
            </w:pPr>
            <w:r>
              <w:t>Three times a month</w:t>
            </w:r>
          </w:p>
        </w:tc>
      </w:tr>
      <w:tr>
        <w:trPr>
          <w:cnfStyle w:evenHBand="true" w:oddHBand="false" w:firstRow="false"/>
        </w:trPr>
        <w:tc>
          <w:tcPr>
            <w:cnfStyle w:evenVBand="false" w:oddVBand="true" w:firstColumn="false"/>
            <w:tcW w:w="33.333333%" w:type="pct"/>
          </w:tcPr>
          <w:p>
            <w:pPr>
              <w:ind w:leftChars="0" w:left="0" w:right="0"/>
            </w:pPr>
            <w:r>
              <w:t>W2</w:t>
            </w:r>
          </w:p>
        </w:tc>
        <w:tc>
          <w:tcPr>
            <w:cnfStyle w:evenVBand="true" w:oddVBand="false" w:firstColumn="false"/>
            <w:tcW w:w="33.333333%" w:type="pct"/>
          </w:tcPr>
          <w:p>
            <w:pPr>
              <w:ind w:leftChars="0" w:left="0" w:right="0"/>
            </w:pPr>
            <w:r>
              <w:t>Biweekly</w:t>
            </w:r>
          </w:p>
        </w:tc>
        <w:tc>
          <w:tcPr>
            <w:cnfStyle w:evenVBand="false" w:oddVBand="true" w:firstColumn="false"/>
            <w:tcW w:w="33.333333%" w:type="pct"/>
          </w:tcPr>
          <w:p>
            <w:pPr>
              <w:ind w:leftChars="0" w:left="0" w:right="0"/>
            </w:pPr>
            <w:r>
              <w:t>Biweekly</w:t>
            </w:r>
          </w:p>
        </w:tc>
      </w:tr>
      <w:tr>
        <w:trPr>
          <w:cnfStyle w:evenHBand="false" w:oddHBand="true" w:firstRow="false"/>
        </w:trPr>
        <w:tc>
          <w:tcPr>
            <w:cnfStyle w:evenVBand="false" w:oddVBand="true" w:firstColumn="false"/>
            <w:tcW w:w="33.333333%" w:type="pct"/>
          </w:tcPr>
          <w:p>
            <w:pPr>
              <w:ind w:leftChars="0" w:left="0" w:right="0"/>
            </w:pPr>
            <w:r>
              <w:t>W3</w:t>
            </w:r>
          </w:p>
        </w:tc>
        <w:tc>
          <w:tcPr>
            <w:cnfStyle w:evenVBand="true" w:oddVBand="false" w:firstColumn="false"/>
            <w:tcW w:w="33.333333%" w:type="pct"/>
          </w:tcPr>
          <w:p>
            <w:pPr>
              <w:ind w:leftChars="0" w:left="0" w:right="0"/>
            </w:pPr>
            <w:r>
              <w:t>Triweekly</w:t>
            </w:r>
          </w:p>
        </w:tc>
        <w:tc>
          <w:tcPr>
            <w:cnfStyle w:evenVBand="false" w:oddVBand="true" w:firstColumn="false"/>
            <w:tcW w:w="33.333333%" w:type="pct"/>
          </w:tcPr>
          <w:p>
            <w:pPr>
              <w:ind w:leftChars="0" w:left="0" w:right="0"/>
            </w:pPr>
            <w:r>
              <w:t>Triweekly</w:t>
            </w:r>
          </w:p>
        </w:tc>
      </w:tr>
      <w:tr>
        <w:trPr>
          <w:cnfStyle w:evenHBand="true" w:oddHBand="false" w:firstRow="false"/>
        </w:trPr>
        <w:tc>
          <w:tcPr>
            <w:cnfStyle w:evenVBand="false" w:oddVBand="true" w:firstColumn="false"/>
            <w:tcW w:w="33.333333%" w:type="pct"/>
          </w:tcPr>
          <w:p>
            <w:pPr>
              <w:ind w:leftChars="0" w:left="0" w:right="0"/>
            </w:pPr>
            <w:r>
              <w:t>W4</w:t>
            </w:r>
          </w:p>
        </w:tc>
        <w:tc>
          <w:tcPr>
            <w:cnfStyle w:evenVBand="true" w:oddVBand="false" w:firstColumn="false"/>
            <w:tcW w:w="33.333333%" w:type="pct"/>
          </w:tcPr>
          <w:p>
            <w:pPr>
              <w:ind w:leftChars="0" w:left="0" w:right="0"/>
            </w:pPr>
            <w:r>
              <w:t>Four-weekly</w:t>
            </w:r>
          </w:p>
        </w:tc>
        <w:tc>
          <w:tcPr>
            <w:cnfStyle w:evenVBand="false" w:oddVBand="true" w:firstColumn="false"/>
            <w:tcW w:w="33.333333%" w:type="pct"/>
          </w:tcPr>
          <w:p>
            <w:pPr>
              <w:ind w:leftChars="0" w:left="0" w:right="0"/>
            </w:pPr>
            <w:r>
              <w:t>Four-weekly</w:t>
            </w:r>
          </w:p>
        </w:tc>
      </w:tr>
      <w:tr>
        <w:trPr>
          <w:cnfStyle w:evenHBand="false" w:oddHBand="true" w:firstRow="false"/>
        </w:trPr>
        <w:tc>
          <w:tcPr>
            <w:cnfStyle w:evenVBand="false" w:oddVBand="true" w:firstColumn="false"/>
            <w:tcW w:w="33.333333%" w:type="pct"/>
          </w:tcPr>
          <w:p>
            <w:pPr>
              <w:ind w:leftChars="0" w:left="0" w:right="0"/>
            </w:pPr>
            <w:r>
              <w:t>W_2</w:t>
            </w:r>
          </w:p>
        </w:tc>
        <w:tc>
          <w:tcPr>
            <w:cnfStyle w:evenVBand="true" w:oddVBand="false" w:firstColumn="false"/>
            <w:tcW w:w="33.333333%" w:type="pct"/>
          </w:tcPr>
          <w:p>
            <w:pPr>
              <w:ind w:leftChars="0" w:left="0" w:right="0"/>
            </w:pPr>
            <w:r>
              <w:t>Semiweekly</w:t>
            </w:r>
          </w:p>
        </w:tc>
        <w:tc>
          <w:tcPr>
            <w:cnfStyle w:evenVBand="false" w:oddVBand="true" w:firstColumn="false"/>
            <w:tcW w:w="33.333333%" w:type="pct"/>
          </w:tcPr>
          <w:p>
            <w:pPr>
              <w:ind w:leftChars="0" w:left="0" w:right="0"/>
            </w:pPr>
            <w:r>
              <w:t>Semiweekly</w:t>
            </w:r>
          </w:p>
        </w:tc>
      </w:tr>
      <w:tr>
        <w:trPr>
          <w:cnfStyle w:evenHBand="true" w:oddHBand="false" w:firstRow="false"/>
        </w:trPr>
        <w:tc>
          <w:tcPr>
            <w:cnfStyle w:evenVBand="false" w:oddVBand="true" w:firstColumn="false"/>
            <w:tcW w:w="33.333333%" w:type="pct"/>
          </w:tcPr>
          <w:p>
            <w:pPr>
              <w:ind w:leftChars="0" w:left="0" w:right="0"/>
            </w:pPr>
            <w:r>
              <w:t>W_3</w:t>
            </w:r>
          </w:p>
        </w:tc>
        <w:tc>
          <w:tcPr>
            <w:cnfStyle w:evenVBand="true" w:oddVBand="false" w:firstColumn="false"/>
            <w:tcW w:w="33.333333%" w:type="pct"/>
          </w:tcPr>
          <w:p>
            <w:pPr>
              <w:ind w:leftChars="0" w:left="0" w:right="0"/>
            </w:pPr>
            <w:r>
              <w:t>Three times a week</w:t>
            </w:r>
          </w:p>
        </w:tc>
        <w:tc>
          <w:tcPr>
            <w:cnfStyle w:evenVBand="false" w:oddVBand="true" w:firstColumn="false"/>
            <w:tcW w:w="33.333333%" w:type="pct"/>
          </w:tcPr>
          <w:p>
            <w:pPr>
              <w:ind w:leftChars="0" w:left="0" w:right="0"/>
            </w:pPr>
            <w:r>
              <w:t>Three times a week</w:t>
            </w:r>
          </w:p>
        </w:tc>
      </w:tr>
      <w:tr>
        <w:trPr>
          <w:cnfStyle w:evenHBand="false" w:oddHBand="true" w:firstRow="false"/>
        </w:trPr>
        <w:tc>
          <w:tcPr>
            <w:cnfStyle w:evenVBand="false" w:oddVBand="true" w:firstColumn="false"/>
            <w:tcW w:w="33.333333%" w:type="pct"/>
          </w:tcPr>
          <w:p>
            <w:pPr>
              <w:ind w:leftChars="0" w:left="0" w:right="0"/>
            </w:pPr>
            <w:r>
              <w:t>D_2</w:t>
            </w:r>
          </w:p>
        </w:tc>
        <w:tc>
          <w:tcPr>
            <w:cnfStyle w:evenVBand="true" w:oddVBand="false" w:firstColumn="false"/>
            <w:tcW w:w="33.333333%" w:type="pct"/>
          </w:tcPr>
          <w:p>
            <w:pPr>
              <w:ind w:leftChars="0" w:left="0" w:right="0"/>
            </w:pPr>
            <w:r>
              <w:t>Twice a day</w:t>
            </w:r>
          </w:p>
        </w:tc>
        <w:tc>
          <w:tcPr>
            <w:cnfStyle w:evenVBand="false" w:oddVBand="true" w:firstColumn="false"/>
            <w:tcW w:w="33.333333%" w:type="pct"/>
          </w:tcPr>
          <w:p>
            <w:pPr>
              <w:ind w:leftChars="0" w:left="0" w:right="0"/>
            </w:pPr>
            <w:r>
              <w:t>Twice a day</w:t>
            </w:r>
          </w:p>
        </w:tc>
      </w:tr>
      <w:tr>
        <w:trPr>
          <w:cnfStyle w:evenHBand="true" w:oddHBand="false" w:firstRow="false"/>
        </w:trPr>
        <w:tc>
          <w:tcPr>
            <w:cnfStyle w:evenVBand="false" w:oddVBand="true" w:firstColumn="false"/>
            <w:tcW w:w="33.333333%" w:type="pct"/>
          </w:tcPr>
          <w:p>
            <w:pPr>
              <w:ind w:leftChars="0" w:left="0" w:right="0"/>
            </w:pPr>
            <w:r>
              <w:t>H2</w:t>
            </w:r>
          </w:p>
        </w:tc>
        <w:tc>
          <w:tcPr>
            <w:cnfStyle w:evenVBand="true" w:oddVBand="false" w:firstColumn="false"/>
            <w:tcW w:w="33.333333%" w:type="pct"/>
          </w:tcPr>
          <w:p>
            <w:pPr>
              <w:ind w:leftChars="0" w:left="0" w:right="0"/>
            </w:pPr>
            <w:r>
              <w:t>Bihourly</w:t>
            </w:r>
          </w:p>
        </w:tc>
        <w:tc>
          <w:tcPr>
            <w:cnfStyle w:evenVBand="false" w:oddVBand="true" w:firstColumn="false"/>
            <w:tcW w:w="33.333333%" w:type="pct"/>
          </w:tcPr>
          <w:p>
            <w:pPr>
              <w:ind w:leftChars="0" w:left="0" w:right="0"/>
            </w:pPr>
            <w:r>
              <w:t>Bihourly</w:t>
            </w:r>
          </w:p>
        </w:tc>
      </w:tr>
      <w:tr>
        <w:trPr>
          <w:cnfStyle w:evenHBand="false" w:oddHBand="true" w:firstRow="false"/>
        </w:trPr>
        <w:tc>
          <w:tcPr>
            <w:cnfStyle w:evenVBand="false" w:oddVBand="true" w:firstColumn="false"/>
            <w:tcW w:w="33.333333%" w:type="pct"/>
          </w:tcPr>
          <w:p>
            <w:pPr>
              <w:ind w:leftChars="0" w:left="0" w:right="0"/>
            </w:pPr>
            <w:r>
              <w:t>H3</w:t>
            </w:r>
          </w:p>
        </w:tc>
        <w:tc>
          <w:tcPr>
            <w:cnfStyle w:evenVBand="true" w:oddVBand="false" w:firstColumn="false"/>
            <w:tcW w:w="33.333333%" w:type="pct"/>
          </w:tcPr>
          <w:p>
            <w:pPr>
              <w:ind w:leftChars="0" w:left="0" w:right="0"/>
            </w:pPr>
            <w:r>
              <w:t>Trihourly</w:t>
            </w:r>
          </w:p>
        </w:tc>
        <w:tc>
          <w:tcPr>
            <w:cnfStyle w:evenVBand="false" w:oddVBand="true" w:firstColumn="false"/>
            <w:tcW w:w="33.333333%" w:type="pct"/>
          </w:tcPr>
          <w:p>
            <w:pPr>
              <w:ind w:leftChars="0" w:left="0" w:right="0"/>
            </w:pPr>
            <w:r>
              <w:t>Trihourly</w:t>
            </w:r>
          </w:p>
        </w:tc>
      </w:tr>
      <w:tr>
        <w:trPr>
          <w:cnfStyle w:evenHBand="true" w:oddHBand="false" w:firstRow="false"/>
        </w:trPr>
        <w:tc>
          <w:tcPr>
            <w:cnfStyle w:evenVBand="false" w:oddVBand="true" w:firstColumn="false"/>
            <w:tcW w:w="33.333333%" w:type="pct"/>
          </w:tcPr>
          <w:p>
            <w:pPr>
              <w:ind w:leftChars="0" w:left="0" w:right="0"/>
            </w:pPr>
            <w:r>
              <w:t>I</w:t>
            </w:r>
          </w:p>
        </w:tc>
        <w:tc>
          <w:tcPr>
            <w:cnfStyle w:evenVBand="true" w:oddVBand="false" w:firstColumn="false"/>
            <w:tcW w:w="33.333333%" w:type="pct"/>
          </w:tcPr>
          <w:p>
            <w:pPr>
              <w:ind w:leftChars="0" w:left="0" w:right="0"/>
            </w:pPr>
            <w:r>
              <w:t>Irregular</w:t>
            </w:r>
          </w:p>
        </w:tc>
        <w:tc>
          <w:tcPr>
            <w:cnfStyle w:evenVBand="false" w:oddVBand="true" w:firstColumn="false"/>
            <w:tcW w:w="33.333333%" w:type="pct"/>
          </w:tcPr>
          <w:p>
            <w:pPr>
              <w:ind w:leftChars="0" w:left="0" w:right="0"/>
            </w:pPr>
            <w:r>
              <w:t>Irregular</w:t>
            </w:r>
          </w:p>
        </w:tc>
      </w:tr>
      <w:tr>
        <w:trPr>
          <w:cnfStyle w:evenHBand="false" w:oddHBand="true" w:firstRow="false"/>
        </w:trPr>
        <w:tc>
          <w:tcPr>
            <w:cnfStyle w:evenVBand="false" w:oddVBand="true" w:firstColumn="false"/>
            <w:tcW w:w="33.333333%" w:type="pct"/>
          </w:tcPr>
          <w:p>
            <w:pPr>
              <w:ind w:leftChars="0" w:left="0" w:right="0"/>
            </w:pPr>
            <w:r>
              <w:t>OA</w:t>
            </w:r>
          </w:p>
        </w:tc>
        <w:tc>
          <w:tcPr>
            <w:cnfStyle w:evenVBand="true" w:oddVBand="false" w:firstColumn="false"/>
            <w:tcW w:w="33.333333%" w:type="pct"/>
          </w:tcPr>
          <w:p>
            <w:pPr>
              <w:ind w:leftChars="0" w:left="0" w:right="0"/>
            </w:pPr>
            <w:r>
              <w:t>Occasional annual</w:t>
            </w:r>
          </w:p>
        </w:tc>
        <w:tc>
          <w:tcPr>
            <w:cnfStyle w:evenVBand="false" w:oddVBand="true" w:firstColumn="false"/>
            <w:tcW w:w="33.333333%" w:type="pct"/>
          </w:tcPr>
          <w:p>
            <w:pPr>
              <w:ind w:leftChars="0" w:left="0" w:right="0"/>
            </w:pPr>
            <w:r>
              <w:t>Occasional annual</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Occasional monthly</w:t>
            </w:r>
          </w:p>
        </w:tc>
        <w:tc>
          <w:tcPr>
            <w:cnfStyle w:evenVBand="false" w:oddVBand="true" w:firstColumn="false"/>
            <w:tcW w:w="33.333333%" w:type="pct"/>
          </w:tcPr>
          <w:p>
            <w:pPr>
              <w:ind w:leftChars="0" w:left="0" w:right="0"/>
            </w:pPr>
            <w:r>
              <w:t>Occasional monthly</w:t>
            </w:r>
          </w:p>
        </w:tc>
      </w:tr>
      <w:tr>
        <w:trPr>
          <w:cnfStyle w:evenHBand="false" w:oddHBand="true" w:firstRow="false"/>
        </w:trPr>
        <w:tc>
          <w:tcPr>
            <w:cnfStyle w:evenVBand="false" w:oddVBand="true" w:firstColumn="false"/>
            <w:tcW w:w="33.333333%" w:type="pct"/>
          </w:tcPr>
          <w:p>
            <w:pPr>
              <w:ind w:leftChars="0" w:left="0" w:right="0"/>
            </w:pPr>
            <w:r>
              <w:t>_O</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_U</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r>
        <w:trPr>
          <w:cnfStyle w:evenHBand="false" w:oddHBand="true" w:firstRow="false"/>
        </w:trPr>
        <w:tc>
          <w:tcPr>
            <w:cnfStyle w:evenVBand="false" w:oddVBand="true" w:firstColumn="false"/>
            <w:tcW w:w="33.333333%" w:type="pct"/>
          </w:tcPr>
          <w:p>
            <w:pPr>
              <w:ind w:leftChars="0" w:left="0" w:right="0"/>
            </w:pPr>
            <w:r>
              <w:t>_Z</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bl>
    <w:p>
      <w:pPr>
        <w:pStyle w:val="Table Bottom Margin"/>
      </w:pPr>
    </w:p>
    <w:bookmarkEnd w:id="311"/>
    <w:bookmarkEnd w:id="310"/>
    <w:bookmarkStart w:id="312" w:name="_1f3ab44fbbf40a94fc70cb3a0da5c28d"/>
    <w:bookmarkStart w:id="313" w:name="_9e6b799fd872e15d29910b6936fa07ee"/>
    <w:p>
      <w:pPr>
        <w:pStyle w:val="Heading5"/>
        <w:keepNext/>
      </w:pPr>
      <w:r>
        <w:t>GEN_MRKT_ENUM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3579</w:t>
            </w:r>
          </w:p>
        </w:tc>
        <w:tc>
          <w:tcPr>
            <w:cnfStyle w:evenVBand="true" w:oddVBand="false" w:firstColumn="false"/>
            <w:tcW w:w="33.333333%" w:type="pct"/>
          </w:tcPr>
          <w:p>
            <w:pPr>
              <w:ind w:leftChars="0" w:left="0" w:right="0"/>
            </w:pPr>
            <w:r>
              <w:t>3579</w:t>
            </w:r>
          </w:p>
        </w:tc>
        <w:tc>
          <w:tcPr>
            <w:cnfStyle w:evenVBand="false" w:oddVBand="true" w:firstColumn="false"/>
            <w:tcW w:w="33.333333%" w:type="pct"/>
          </w:tcPr>
          <w:p>
            <w:pPr>
              <w:ind w:leftChars="0" w:left="0" w:right="0"/>
            </w:pPr>
            <w:r>
              <w:t>SSY FUTURES LTD -  FREIGHT SCREEN</w:t>
            </w:r>
          </w:p>
        </w:tc>
      </w:tr>
      <w:tr>
        <w:trPr>
          <w:cnfStyle w:evenHBand="false" w:oddHBand="true" w:firstRow="false"/>
        </w:trPr>
        <w:tc>
          <w:tcPr>
            <w:cnfStyle w:evenVBand="false" w:oddVBand="true" w:firstColumn="false"/>
            <w:tcW w:w="33.333333%" w:type="pct"/>
          </w:tcPr>
          <w:p>
            <w:pPr>
              <w:ind w:leftChars="0" w:left="0" w:right="0"/>
            </w:pPr>
            <w:r>
              <w:t>24EX</w:t>
            </w:r>
          </w:p>
        </w:tc>
        <w:tc>
          <w:tcPr>
            <w:cnfStyle w:evenVBand="true" w:oddVBand="false" w:firstColumn="false"/>
            <w:tcW w:w="33.333333%" w:type="pct"/>
          </w:tcPr>
          <w:p>
            <w:pPr>
              <w:ind w:leftChars="0" w:left="0" w:right="0"/>
            </w:pPr>
            <w:r>
              <w:t>24EX</w:t>
            </w:r>
          </w:p>
        </w:tc>
        <w:tc>
          <w:tcPr>
            <w:cnfStyle w:evenVBand="false" w:oddVBand="true" w:firstColumn="false"/>
            <w:tcW w:w="33.333333%" w:type="pct"/>
          </w:tcPr>
          <w:p>
            <w:pPr>
              <w:ind w:leftChars="0" w:left="0" w:right="0"/>
            </w:pPr>
            <w:r>
              <w:t>24 EXCHANGE</w:t>
            </w:r>
          </w:p>
        </w:tc>
      </w:tr>
      <w:tr>
        <w:trPr>
          <w:cnfStyle w:evenHBand="true" w:oddHBand="false" w:firstRow="false"/>
        </w:trPr>
        <w:tc>
          <w:tcPr>
            <w:cnfStyle w:evenVBand="false" w:oddVBand="true" w:firstColumn="false"/>
            <w:tcW w:w="33.333333%" w:type="pct"/>
          </w:tcPr>
          <w:p>
            <w:pPr>
              <w:ind w:leftChars="0" w:left="0" w:right="0"/>
            </w:pPr>
            <w:r>
              <w:t>360T</w:t>
            </w:r>
          </w:p>
        </w:tc>
        <w:tc>
          <w:tcPr>
            <w:cnfStyle w:evenVBand="true" w:oddVBand="false" w:firstColumn="false"/>
            <w:tcW w:w="33.333333%" w:type="pct"/>
          </w:tcPr>
          <w:p>
            <w:pPr>
              <w:ind w:leftChars="0" w:left="0" w:right="0"/>
            </w:pPr>
            <w:r>
              <w:t>360T</w:t>
            </w:r>
          </w:p>
        </w:tc>
        <w:tc>
          <w:tcPr>
            <w:cnfStyle w:evenVBand="false" w:oddVBand="true" w:firstColumn="false"/>
            <w:tcW w:w="33.333333%" w:type="pct"/>
          </w:tcPr>
          <w:p>
            <w:pPr>
              <w:ind w:leftChars="0" w:left="0" w:right="0"/>
            </w:pPr>
            <w:r>
              <w:t>360T</w:t>
            </w:r>
          </w:p>
        </w:tc>
      </w:tr>
      <w:tr>
        <w:trPr>
          <w:cnfStyle w:evenHBand="false" w:oddHBand="true" w:firstRow="false"/>
        </w:trPr>
        <w:tc>
          <w:tcPr>
            <w:cnfStyle w:evenVBand="false" w:oddVBand="true" w:firstColumn="false"/>
            <w:tcW w:w="33.333333%" w:type="pct"/>
          </w:tcPr>
          <w:p>
            <w:pPr>
              <w:ind w:leftChars="0" w:left="0" w:right="0"/>
            </w:pPr>
            <w:r>
              <w:t>4AXE</w:t>
            </w:r>
          </w:p>
        </w:tc>
        <w:tc>
          <w:tcPr>
            <w:cnfStyle w:evenVBand="true" w:oddVBand="false" w:firstColumn="false"/>
            <w:tcW w:w="33.333333%" w:type="pct"/>
          </w:tcPr>
          <w:p>
            <w:pPr>
              <w:ind w:leftChars="0" w:left="0" w:right="0"/>
            </w:pPr>
            <w:r>
              <w:t>4AXE</w:t>
            </w:r>
          </w:p>
        </w:tc>
        <w:tc>
          <w:tcPr>
            <w:cnfStyle w:evenVBand="false" w:oddVBand="true" w:firstColumn="false"/>
            <w:tcW w:w="33.333333%" w:type="pct"/>
          </w:tcPr>
          <w:p>
            <w:pPr>
              <w:ind w:leftChars="0" w:left="0" w:right="0"/>
            </w:pPr>
            <w:r>
              <w:t>4 AFRICA EXCHANGE (PTY) LTD</w:t>
            </w:r>
          </w:p>
        </w:tc>
      </w:tr>
      <w:tr>
        <w:trPr>
          <w:cnfStyle w:evenHBand="true" w:oddHBand="false" w:firstRow="false"/>
        </w:trPr>
        <w:tc>
          <w:tcPr>
            <w:cnfStyle w:evenVBand="false" w:oddVBand="true" w:firstColumn="false"/>
            <w:tcW w:w="33.333333%" w:type="pct"/>
          </w:tcPr>
          <w:p>
            <w:pPr>
              <w:ind w:leftChars="0" w:left="0" w:right="0"/>
            </w:pPr>
            <w:r>
              <w:t>A2XX</w:t>
            </w:r>
          </w:p>
        </w:tc>
        <w:tc>
          <w:tcPr>
            <w:cnfStyle w:evenVBand="true" w:oddVBand="false" w:firstColumn="false"/>
            <w:tcW w:w="33.333333%" w:type="pct"/>
          </w:tcPr>
          <w:p>
            <w:pPr>
              <w:ind w:leftChars="0" w:left="0" w:right="0"/>
            </w:pPr>
            <w:r>
              <w:t>A2XX</w:t>
            </w:r>
          </w:p>
        </w:tc>
        <w:tc>
          <w:tcPr>
            <w:cnfStyle w:evenVBand="false" w:oddVBand="true" w:firstColumn="false"/>
            <w:tcW w:w="33.333333%" w:type="pct"/>
          </w:tcPr>
          <w:p>
            <w:pPr>
              <w:ind w:leftChars="0" w:left="0" w:right="0"/>
            </w:pPr>
            <w:r>
              <w:t>A2X</w:t>
            </w:r>
          </w:p>
        </w:tc>
      </w:tr>
      <w:tr>
        <w:trPr>
          <w:cnfStyle w:evenHBand="false" w:oddHBand="true" w:firstRow="false"/>
        </w:trPr>
        <w:tc>
          <w:tcPr>
            <w:cnfStyle w:evenVBand="false" w:oddVBand="true" w:firstColumn="false"/>
            <w:tcW w:w="33.333333%" w:type="pct"/>
          </w:tcPr>
          <w:p>
            <w:pPr>
              <w:ind w:leftChars="0" w:left="0" w:right="0"/>
            </w:pPr>
            <w:r>
              <w:t>AACA</w:t>
            </w:r>
          </w:p>
        </w:tc>
        <w:tc>
          <w:tcPr>
            <w:cnfStyle w:evenVBand="true" w:oddVBand="false" w:firstColumn="false"/>
            <w:tcW w:w="33.333333%" w:type="pct"/>
          </w:tcPr>
          <w:p>
            <w:pPr>
              <w:ind w:leftChars="0" w:left="0" w:right="0"/>
            </w:pPr>
            <w:r>
              <w:t>AACA</w:t>
            </w:r>
          </w:p>
        </w:tc>
        <w:tc>
          <w:tcPr>
            <w:cnfStyle w:evenVBand="false" w:oddVBand="true" w:firstColumn="false"/>
            <w:tcW w:w="33.333333%" w:type="pct"/>
          </w:tcPr>
          <w:p>
            <w:pPr>
              <w:ind w:leftChars="0" w:left="0" w:right="0"/>
            </w:pPr>
            <w:r>
              <w:t>CREDIT AGRICOLE CIB - SYSTEMATIC INTERNALISER</w:t>
            </w:r>
          </w:p>
        </w:tc>
      </w:tr>
      <w:tr>
        <w:trPr>
          <w:cnfStyle w:evenHBand="true" w:oddHBand="false" w:firstRow="false"/>
        </w:trPr>
        <w:tc>
          <w:tcPr>
            <w:cnfStyle w:evenVBand="false" w:oddVBand="true" w:firstColumn="false"/>
            <w:tcW w:w="33.333333%" w:type="pct"/>
          </w:tcPr>
          <w:p>
            <w:pPr>
              <w:ind w:leftChars="0" w:left="0" w:right="0"/>
            </w:pPr>
            <w:r>
              <w:t>AAPA</w:t>
            </w:r>
          </w:p>
        </w:tc>
        <w:tc>
          <w:tcPr>
            <w:cnfStyle w:evenVBand="true" w:oddVBand="false" w:firstColumn="false"/>
            <w:tcW w:w="33.333333%" w:type="pct"/>
          </w:tcPr>
          <w:p>
            <w:pPr>
              <w:ind w:leftChars="0" w:left="0" w:right="0"/>
            </w:pPr>
            <w:r>
              <w:t>AAPA</w:t>
            </w:r>
          </w:p>
        </w:tc>
        <w:tc>
          <w:tcPr>
            <w:cnfStyle w:evenVBand="false" w:oddVBand="true" w:firstColumn="false"/>
            <w:tcW w:w="33.333333%" w:type="pct"/>
          </w:tcPr>
          <w:p>
            <w:pPr>
              <w:ind w:leftChars="0" w:left="0" w:right="0"/>
            </w:pPr>
            <w:r>
              <w:t>ATHENS EXCHANGE - APA</w:t>
            </w:r>
          </w:p>
        </w:tc>
      </w:tr>
      <w:tr>
        <w:trPr>
          <w:cnfStyle w:evenHBand="false" w:oddHBand="true" w:firstRow="false"/>
        </w:trPr>
        <w:tc>
          <w:tcPr>
            <w:cnfStyle w:evenVBand="false" w:oddVBand="true" w:firstColumn="false"/>
            <w:tcW w:w="33.333333%" w:type="pct"/>
          </w:tcPr>
          <w:p>
            <w:pPr>
              <w:ind w:leftChars="0" w:left="0" w:right="0"/>
            </w:pPr>
            <w:r>
              <w:t>AATS</w:t>
            </w:r>
          </w:p>
        </w:tc>
        <w:tc>
          <w:tcPr>
            <w:cnfStyle w:evenVBand="true" w:oddVBand="false" w:firstColumn="false"/>
            <w:tcW w:w="33.333333%" w:type="pct"/>
          </w:tcPr>
          <w:p>
            <w:pPr>
              <w:ind w:leftChars="0" w:left="0" w:right="0"/>
            </w:pPr>
            <w:r>
              <w:t>AATS</w:t>
            </w:r>
          </w:p>
        </w:tc>
        <w:tc>
          <w:tcPr>
            <w:cnfStyle w:evenVBand="false" w:oddVBand="true" w:firstColumn="false"/>
            <w:tcW w:w="33.333333%" w:type="pct"/>
          </w:tcPr>
          <w:p>
            <w:pPr>
              <w:ind w:leftChars="0" w:left="0" w:right="0"/>
            </w:pPr>
            <w:r>
              <w:t>ASSENT ATS</w:t>
            </w:r>
          </w:p>
        </w:tc>
      </w:tr>
      <w:tr>
        <w:trPr>
          <w:cnfStyle w:evenHBand="true" w:oddHBand="false" w:firstRow="false"/>
        </w:trPr>
        <w:tc>
          <w:tcPr>
            <w:cnfStyle w:evenVBand="false" w:oddVBand="true" w:firstColumn="false"/>
            <w:tcW w:w="33.333333%" w:type="pct"/>
          </w:tcPr>
          <w:p>
            <w:pPr>
              <w:ind w:leftChars="0" w:left="0" w:right="0"/>
            </w:pPr>
            <w:r>
              <w:t>ABAN</w:t>
            </w:r>
          </w:p>
        </w:tc>
        <w:tc>
          <w:tcPr>
            <w:cnfStyle w:evenVBand="true" w:oddVBand="false" w:firstColumn="false"/>
            <w:tcW w:w="33.333333%" w:type="pct"/>
          </w:tcPr>
          <w:p>
            <w:pPr>
              <w:ind w:leftChars="0" w:left="0" w:right="0"/>
            </w:pPr>
            <w:r>
              <w:t>ABAN</w:t>
            </w:r>
          </w:p>
        </w:tc>
        <w:tc>
          <w:tcPr>
            <w:cnfStyle w:evenVBand="false" w:oddVBand="true" w:firstColumn="false"/>
            <w:tcW w:w="33.333333%" w:type="pct"/>
          </w:tcPr>
          <w:p>
            <w:pPr>
              <w:ind w:leftChars="0" w:left="0" w:right="0"/>
            </w:pPr>
            <w:r>
              <w:t>ABANCA</w:t>
            </w:r>
          </w:p>
        </w:tc>
      </w:tr>
      <w:tr>
        <w:trPr>
          <w:cnfStyle w:evenHBand="false" w:oddHBand="true" w:firstRow="false"/>
        </w:trPr>
        <w:tc>
          <w:tcPr>
            <w:cnfStyle w:evenVBand="false" w:oddVBand="true" w:firstColumn="false"/>
            <w:tcW w:w="33.333333%" w:type="pct"/>
          </w:tcPr>
          <w:p>
            <w:pPr>
              <w:ind w:leftChars="0" w:left="0" w:right="0"/>
            </w:pPr>
            <w:r>
              <w:t>ABFI</w:t>
            </w:r>
          </w:p>
        </w:tc>
        <w:tc>
          <w:tcPr>
            <w:cnfStyle w:evenVBand="true" w:oddVBand="false" w:firstColumn="false"/>
            <w:tcW w:w="33.333333%" w:type="pct"/>
          </w:tcPr>
          <w:p>
            <w:pPr>
              <w:ind w:leftChars="0" w:left="0" w:right="0"/>
            </w:pPr>
            <w:r>
              <w:t>ABFI</w:t>
            </w:r>
          </w:p>
        </w:tc>
        <w:tc>
          <w:tcPr>
            <w:cnfStyle w:evenVBand="false" w:oddVBand="true" w:firstColumn="false"/>
            <w:tcW w:w="33.333333%" w:type="pct"/>
          </w:tcPr>
          <w:p>
            <w:pPr>
              <w:ind w:leftChars="0" w:left="0" w:right="0"/>
            </w:pPr>
            <w:r>
              <w:t>ALPHA BANK - SYSTEMATIC INTERNALISER</w:t>
            </w:r>
          </w:p>
        </w:tc>
      </w:tr>
      <w:tr>
        <w:trPr>
          <w:cnfStyle w:evenHBand="true" w:oddHBand="false" w:firstRow="false"/>
        </w:trPr>
        <w:tc>
          <w:tcPr>
            <w:cnfStyle w:evenVBand="false" w:oddVBand="true" w:firstColumn="false"/>
            <w:tcW w:w="33.333333%" w:type="pct"/>
          </w:tcPr>
          <w:p>
            <w:pPr>
              <w:ind w:leftChars="0" w:left="0" w:right="0"/>
            </w:pPr>
            <w:r>
              <w:t>ABNA</w:t>
            </w:r>
          </w:p>
        </w:tc>
        <w:tc>
          <w:tcPr>
            <w:cnfStyle w:evenVBand="true" w:oddVBand="false" w:firstColumn="false"/>
            <w:tcW w:w="33.333333%" w:type="pct"/>
          </w:tcPr>
          <w:p>
            <w:pPr>
              <w:ind w:leftChars="0" w:left="0" w:right="0"/>
            </w:pPr>
            <w:r>
              <w:t>ABNA</w:t>
            </w:r>
          </w:p>
        </w:tc>
        <w:tc>
          <w:tcPr>
            <w:cnfStyle w:evenVBand="false" w:oddVBand="true" w:firstColumn="false"/>
            <w:tcW w:w="33.333333%" w:type="pct"/>
          </w:tcPr>
          <w:p>
            <w:pPr>
              <w:ind w:leftChars="0" w:left="0" w:right="0"/>
            </w:pPr>
            <w:r>
              <w:t>ABN AMRO BANK NV - SYSTEMATIC INTERNALISER</w:t>
            </w:r>
          </w:p>
        </w:tc>
      </w:tr>
      <w:tr>
        <w:trPr>
          <w:cnfStyle w:evenHBand="false" w:oddHBand="true" w:firstRow="false"/>
        </w:trPr>
        <w:tc>
          <w:tcPr>
            <w:cnfStyle w:evenVBand="false" w:oddVBand="true" w:firstColumn="false"/>
            <w:tcW w:w="33.333333%" w:type="pct"/>
          </w:tcPr>
          <w:p>
            <w:pPr>
              <w:ind w:leftChars="0" w:left="0" w:right="0"/>
            </w:pPr>
            <w:r>
              <w:t>ABNC</w:t>
            </w:r>
          </w:p>
        </w:tc>
        <w:tc>
          <w:tcPr>
            <w:cnfStyle w:evenVBand="true" w:oddVBand="false" w:firstColumn="false"/>
            <w:tcW w:w="33.333333%" w:type="pct"/>
          </w:tcPr>
          <w:p>
            <w:pPr>
              <w:ind w:leftChars="0" w:left="0" w:right="0"/>
            </w:pPr>
            <w:r>
              <w:t>ABNC</w:t>
            </w:r>
          </w:p>
        </w:tc>
        <w:tc>
          <w:tcPr>
            <w:cnfStyle w:evenVBand="false" w:oddVBand="true" w:firstColumn="false"/>
            <w:tcW w:w="33.333333%" w:type="pct"/>
          </w:tcPr>
          <w:p>
            <w:pPr>
              <w:ind w:leftChars="0" w:left="0" w:right="0"/>
            </w:pPr>
            <w:r>
              <w:t>ABN AMRO CLEARING BANK - SYSTEMATIC INTERNALISER</w:t>
            </w:r>
          </w:p>
        </w:tc>
      </w:tr>
      <w:tr>
        <w:trPr>
          <w:cnfStyle w:evenHBand="true" w:oddHBand="false" w:firstRow="false"/>
        </w:trPr>
        <w:tc>
          <w:tcPr>
            <w:cnfStyle w:evenVBand="false" w:oddVBand="true" w:firstColumn="false"/>
            <w:tcW w:w="33.333333%" w:type="pct"/>
          </w:tcPr>
          <w:p>
            <w:pPr>
              <w:ind w:leftChars="0" w:left="0" w:right="0"/>
            </w:pPr>
            <w:r>
              <w:t>ABSI</w:t>
            </w:r>
          </w:p>
        </w:tc>
        <w:tc>
          <w:tcPr>
            <w:cnfStyle w:evenVBand="true" w:oddVBand="false" w:firstColumn="false"/>
            <w:tcW w:w="33.333333%" w:type="pct"/>
          </w:tcPr>
          <w:p>
            <w:pPr>
              <w:ind w:leftChars="0" w:left="0" w:right="0"/>
            </w:pPr>
            <w:r>
              <w:t>ABSI</w:t>
            </w:r>
          </w:p>
        </w:tc>
        <w:tc>
          <w:tcPr>
            <w:cnfStyle w:evenVBand="false" w:oddVBand="true" w:firstColumn="false"/>
            <w:tcW w:w="33.333333%" w:type="pct"/>
          </w:tcPr>
          <w:p>
            <w:pPr>
              <w:ind w:leftChars="0" w:left="0" w:right="0"/>
            </w:pPr>
            <w:r>
              <w:t>ALM. BRAND BANK - SYSTEMATIC INTERNALISER</w:t>
            </w:r>
          </w:p>
        </w:tc>
      </w:tr>
      <w:tr>
        <w:trPr>
          <w:cnfStyle w:evenHBand="false" w:oddHBand="true" w:firstRow="false"/>
        </w:trPr>
        <w:tc>
          <w:tcPr>
            <w:cnfStyle w:evenVBand="false" w:oddVBand="true" w:firstColumn="false"/>
            <w:tcW w:w="33.333333%" w:type="pct"/>
          </w:tcPr>
          <w:p>
            <w:pPr>
              <w:ind w:leftChars="0" w:left="0" w:right="0"/>
            </w:pPr>
            <w:r>
              <w:t>ABUL</w:t>
            </w:r>
          </w:p>
        </w:tc>
        <w:tc>
          <w:tcPr>
            <w:cnfStyle w:evenVBand="true" w:oddVBand="false" w:firstColumn="false"/>
            <w:tcW w:w="33.333333%" w:type="pct"/>
          </w:tcPr>
          <w:p>
            <w:pPr>
              <w:ind w:leftChars="0" w:left="0" w:right="0"/>
            </w:pPr>
            <w:r>
              <w:t>ABUL</w:t>
            </w:r>
          </w:p>
        </w:tc>
        <w:tc>
          <w:tcPr>
            <w:cnfStyle w:evenVBand="false" w:oddVBand="true" w:firstColumn="false"/>
            <w:tcW w:w="33.333333%" w:type="pct"/>
          </w:tcPr>
          <w:p>
            <w:pPr>
              <w:ind w:leftChars="0" w:left="0" w:right="0"/>
            </w:pPr>
            <w:r>
              <w:t>BULGARIAN STOCK EXCHANGE - ALTERNATIVE MARKET</w:t>
            </w:r>
          </w:p>
        </w:tc>
      </w:tr>
      <w:tr>
        <w:trPr>
          <w:cnfStyle w:evenHBand="true" w:oddHBand="false" w:firstRow="false"/>
        </w:trPr>
        <w:tc>
          <w:tcPr>
            <w:cnfStyle w:evenVBand="false" w:oddVBand="true" w:firstColumn="false"/>
            <w:tcW w:w="33.333333%" w:type="pct"/>
          </w:tcPr>
          <w:p>
            <w:pPr>
              <w:ind w:leftChars="0" w:left="0" w:right="0"/>
            </w:pPr>
            <w:r>
              <w:t>ABXX</w:t>
            </w:r>
          </w:p>
        </w:tc>
        <w:tc>
          <w:tcPr>
            <w:cnfStyle w:evenVBand="true" w:oddVBand="false" w:firstColumn="false"/>
            <w:tcW w:w="33.333333%" w:type="pct"/>
          </w:tcPr>
          <w:p>
            <w:pPr>
              <w:ind w:leftChars="0" w:left="0" w:right="0"/>
            </w:pPr>
            <w:r>
              <w:t>ABXX</w:t>
            </w:r>
          </w:p>
        </w:tc>
        <w:tc>
          <w:tcPr>
            <w:cnfStyle w:evenVBand="false" w:oddVBand="true" w:firstColumn="false"/>
            <w:tcW w:w="33.333333%" w:type="pct"/>
          </w:tcPr>
          <w:p>
            <w:pPr>
              <w:ind w:leftChars="0" w:left="0" w:right="0"/>
            </w:pPr>
            <w:r>
              <w:t>YOSHI MARKETS LIMITED</w:t>
            </w:r>
          </w:p>
        </w:tc>
      </w:tr>
      <w:tr>
        <w:trPr>
          <w:cnfStyle w:evenHBand="false" w:oddHBand="true" w:firstRow="false"/>
        </w:trPr>
        <w:tc>
          <w:tcPr>
            <w:cnfStyle w:evenVBand="false" w:oddVBand="true" w:firstColumn="false"/>
            <w:tcW w:w="33.333333%" w:type="pct"/>
          </w:tcPr>
          <w:p>
            <w:pPr>
              <w:ind w:leftChars="0" w:left="0" w:right="0"/>
            </w:pPr>
            <w:r>
              <w:t>ACEX</w:t>
            </w:r>
          </w:p>
        </w:tc>
        <w:tc>
          <w:tcPr>
            <w:cnfStyle w:evenVBand="true" w:oddVBand="false" w:firstColumn="false"/>
            <w:tcW w:w="33.333333%" w:type="pct"/>
          </w:tcPr>
          <w:p>
            <w:pPr>
              <w:ind w:leftChars="0" w:left="0" w:right="0"/>
            </w:pPr>
            <w:r>
              <w:t>ACEX</w:t>
            </w:r>
          </w:p>
        </w:tc>
        <w:tc>
          <w:tcPr>
            <w:cnfStyle w:evenVBand="false" w:oddVBand="true" w:firstColumn="false"/>
            <w:tcW w:w="33.333333%" w:type="pct"/>
          </w:tcPr>
          <w:p>
            <w:pPr>
              <w:ind w:leftChars="0" w:left="0" w:right="0"/>
            </w:pPr>
            <w:r>
              <w:t>ACE DERIVATIVES &amp; COMMODITY EXCHANGE LTD</w:t>
            </w:r>
          </w:p>
        </w:tc>
      </w:tr>
      <w:tr>
        <w:trPr>
          <w:cnfStyle w:evenHBand="true" w:oddHBand="false" w:firstRow="false"/>
        </w:trPr>
        <w:tc>
          <w:tcPr>
            <w:cnfStyle w:evenVBand="false" w:oddVBand="true" w:firstColumn="false"/>
            <w:tcW w:w="33.333333%" w:type="pct"/>
          </w:tcPr>
          <w:p>
            <w:pPr>
              <w:ind w:leftChars="0" w:left="0" w:right="0"/>
            </w:pPr>
            <w:r>
              <w:t>ACKF</w:t>
            </w:r>
          </w:p>
        </w:tc>
        <w:tc>
          <w:tcPr>
            <w:cnfStyle w:evenVBand="true" w:oddVBand="false" w:firstColumn="false"/>
            <w:tcW w:w="33.333333%" w:type="pct"/>
          </w:tcPr>
          <w:p>
            <w:pPr>
              <w:ind w:leftChars="0" w:left="0" w:right="0"/>
            </w:pPr>
            <w:r>
              <w:t>ACKF</w:t>
            </w:r>
          </w:p>
        </w:tc>
        <w:tc>
          <w:tcPr>
            <w:cnfStyle w:evenVBand="false" w:oddVBand="true" w:firstColumn="false"/>
            <w:tcW w:w="33.333333%" w:type="pct"/>
          </w:tcPr>
          <w:p>
            <w:pPr>
              <w:ind w:leftChars="0" w:left="0" w:right="0"/>
            </w:pPr>
            <w:r>
              <w:t>KCG ACKNOWLEDGE FI</w:t>
            </w:r>
          </w:p>
        </w:tc>
      </w:tr>
      <w:tr>
        <w:trPr>
          <w:cnfStyle w:evenHBand="false" w:oddHBand="true" w:firstRow="false"/>
        </w:trPr>
        <w:tc>
          <w:tcPr>
            <w:cnfStyle w:evenVBand="false" w:oddVBand="true" w:firstColumn="false"/>
            <w:tcW w:w="33.333333%" w:type="pct"/>
          </w:tcPr>
          <w:p>
            <w:pPr>
              <w:ind w:leftChars="0" w:left="0" w:right="0"/>
            </w:pPr>
            <w:r>
              <w:t>ADVT</w:t>
            </w:r>
          </w:p>
        </w:tc>
        <w:tc>
          <w:tcPr>
            <w:cnfStyle w:evenVBand="true" w:oddVBand="false" w:firstColumn="false"/>
            <w:tcW w:w="33.333333%" w:type="pct"/>
          </w:tcPr>
          <w:p>
            <w:pPr>
              <w:ind w:leftChars="0" w:left="0" w:right="0"/>
            </w:pPr>
            <w:r>
              <w:t>ADVT</w:t>
            </w:r>
          </w:p>
        </w:tc>
        <w:tc>
          <w:tcPr>
            <w:cnfStyle w:evenVBand="false" w:oddVBand="true" w:firstColumn="false"/>
            <w:tcW w:w="33.333333%" w:type="pct"/>
          </w:tcPr>
          <w:p>
            <w:pPr>
              <w:ind w:leftChars="0" w:left="0" w:right="0"/>
            </w:pPr>
            <w:r>
              <w:t>ADVISE TECHNOLOGIES - APA TRANSPARENCY REPORTING</w:t>
            </w:r>
          </w:p>
        </w:tc>
      </w:tr>
      <w:tr>
        <w:trPr>
          <w:cnfStyle w:evenHBand="true" w:oddHBand="false" w:firstRow="false"/>
        </w:trPr>
        <w:tc>
          <w:tcPr>
            <w:cnfStyle w:evenVBand="false" w:oddVBand="true" w:firstColumn="false"/>
            <w:tcW w:w="33.333333%" w:type="pct"/>
          </w:tcPr>
          <w:p>
            <w:pPr>
              <w:ind w:leftChars="0" w:left="0" w:right="0"/>
            </w:pPr>
            <w:r>
              <w:t>AFDL</w:t>
            </w:r>
          </w:p>
        </w:tc>
        <w:tc>
          <w:tcPr>
            <w:cnfStyle w:evenVBand="true" w:oddVBand="false" w:firstColumn="false"/>
            <w:tcW w:w="33.333333%" w:type="pct"/>
          </w:tcPr>
          <w:p>
            <w:pPr>
              <w:ind w:leftChars="0" w:left="0" w:right="0"/>
            </w:pPr>
            <w:r>
              <w:t>AFDL</w:t>
            </w:r>
          </w:p>
        </w:tc>
        <w:tc>
          <w:tcPr>
            <w:cnfStyle w:evenVBand="false" w:oddVBand="true" w:firstColumn="false"/>
            <w:tcW w:w="33.333333%" w:type="pct"/>
          </w:tcPr>
          <w:p>
            <w:pPr>
              <w:ind w:leftChars="0" w:left="0" w:right="0"/>
            </w:pPr>
            <w:r>
              <w:t>ABIDE FINANCIAL DRSP LIMITED APA</w:t>
            </w:r>
          </w:p>
        </w:tc>
      </w:tr>
      <w:tr>
        <w:trPr>
          <w:cnfStyle w:evenHBand="false" w:oddHBand="true" w:firstRow="false"/>
        </w:trPr>
        <w:tc>
          <w:tcPr>
            <w:cnfStyle w:evenVBand="false" w:oddVBand="true" w:firstColumn="false"/>
            <w:tcW w:w="33.333333%" w:type="pct"/>
          </w:tcPr>
          <w:p>
            <w:pPr>
              <w:ind w:leftChars="0" w:left="0" w:right="0"/>
            </w:pPr>
            <w:r>
              <w:t>AFET</w:t>
            </w:r>
          </w:p>
        </w:tc>
        <w:tc>
          <w:tcPr>
            <w:cnfStyle w:evenVBand="true" w:oddVBand="false" w:firstColumn="false"/>
            <w:tcW w:w="33.333333%" w:type="pct"/>
          </w:tcPr>
          <w:p>
            <w:pPr>
              <w:ind w:leftChars="0" w:left="0" w:right="0"/>
            </w:pPr>
            <w:r>
              <w:t>AFET</w:t>
            </w:r>
          </w:p>
        </w:tc>
        <w:tc>
          <w:tcPr>
            <w:cnfStyle w:evenVBand="false" w:oddVBand="true" w:firstColumn="false"/>
            <w:tcW w:w="33.333333%" w:type="pct"/>
          </w:tcPr>
          <w:p>
            <w:pPr>
              <w:ind w:leftChars="0" w:left="0" w:right="0"/>
            </w:pPr>
            <w:r>
              <w:t>AGRICULTURAL FUTURES EXCHANGE OF THAILAND</w:t>
            </w:r>
          </w:p>
        </w:tc>
      </w:tr>
      <w:tr>
        <w:trPr>
          <w:cnfStyle w:evenHBand="true" w:oddHBand="false" w:firstRow="false"/>
        </w:trPr>
        <w:tc>
          <w:tcPr>
            <w:cnfStyle w:evenVBand="false" w:oddVBand="true" w:firstColumn="false"/>
            <w:tcW w:w="33.333333%" w:type="pct"/>
          </w:tcPr>
          <w:p>
            <w:pPr>
              <w:ind w:leftChars="0" w:left="0" w:right="0"/>
            </w:pPr>
            <w:r>
              <w:t>AFEX</w:t>
            </w:r>
          </w:p>
        </w:tc>
        <w:tc>
          <w:tcPr>
            <w:cnfStyle w:evenVBand="true" w:oddVBand="false" w:firstColumn="false"/>
            <w:tcW w:w="33.333333%" w:type="pct"/>
          </w:tcPr>
          <w:p>
            <w:pPr>
              <w:ind w:leftChars="0" w:left="0" w:right="0"/>
            </w:pPr>
            <w:r>
              <w:t>AFEX</w:t>
            </w:r>
          </w:p>
        </w:tc>
        <w:tc>
          <w:tcPr>
            <w:cnfStyle w:evenVBand="false" w:oddVBand="true" w:firstColumn="false"/>
            <w:tcW w:w="33.333333%" w:type="pct"/>
          </w:tcPr>
          <w:p>
            <w:pPr>
              <w:ind w:leftChars="0" w:left="0" w:right="0"/>
            </w:pPr>
            <w:r>
              <w:t>AFRINEX LIMITED</w:t>
            </w:r>
          </w:p>
        </w:tc>
      </w:tr>
      <w:tr>
        <w:trPr>
          <w:cnfStyle w:evenHBand="false" w:oddHBand="true" w:firstRow="false"/>
        </w:trPr>
        <w:tc>
          <w:tcPr>
            <w:cnfStyle w:evenVBand="false" w:oddVBand="true" w:firstColumn="false"/>
            <w:tcW w:w="33.333333%" w:type="pct"/>
          </w:tcPr>
          <w:p>
            <w:pPr>
              <w:ind w:leftChars="0" w:left="0" w:right="0"/>
            </w:pPr>
            <w:r>
              <w:t>AFSA</w:t>
            </w:r>
          </w:p>
        </w:tc>
        <w:tc>
          <w:tcPr>
            <w:cnfStyle w:evenVBand="true" w:oddVBand="false" w:firstColumn="false"/>
            <w:tcW w:w="33.333333%" w:type="pct"/>
          </w:tcPr>
          <w:p>
            <w:pPr>
              <w:ind w:leftChars="0" w:left="0" w:right="0"/>
            </w:pPr>
            <w:r>
              <w:t>AFSA</w:t>
            </w:r>
          </w:p>
        </w:tc>
        <w:tc>
          <w:tcPr>
            <w:cnfStyle w:evenVBand="false" w:oddVBand="true" w:firstColumn="false"/>
            <w:tcW w:w="33.333333%" w:type="pct"/>
          </w:tcPr>
          <w:p>
            <w:pPr>
              <w:ind w:leftChars="0" w:left="0" w:right="0"/>
            </w:pPr>
            <w:r>
              <w:t>AFS - OTF</w:t>
            </w:r>
          </w:p>
        </w:tc>
      </w:tr>
      <w:tr>
        <w:trPr>
          <w:cnfStyle w:evenHBand="true" w:oddHBand="false" w:firstRow="false"/>
        </w:trPr>
        <w:tc>
          <w:tcPr>
            <w:cnfStyle w:evenVBand="false" w:oddVBand="true" w:firstColumn="false"/>
            <w:tcW w:w="33.333333%" w:type="pct"/>
          </w:tcPr>
          <w:p>
            <w:pPr>
              <w:ind w:leftChars="0" w:left="0" w:right="0"/>
            </w:pPr>
            <w:r>
              <w:t>AFSE</w:t>
            </w:r>
          </w:p>
        </w:tc>
        <w:tc>
          <w:tcPr>
            <w:cnfStyle w:evenVBand="true" w:oddVBand="false" w:firstColumn="false"/>
            <w:tcW w:w="33.333333%" w:type="pct"/>
          </w:tcPr>
          <w:p>
            <w:pPr>
              <w:ind w:leftChars="0" w:left="0" w:right="0"/>
            </w:pPr>
            <w:r>
              <w:t>AFSE</w:t>
            </w:r>
          </w:p>
        </w:tc>
        <w:tc>
          <w:tcPr>
            <w:cnfStyle w:evenVBand="false" w:oddVBand="true" w:firstColumn="false"/>
            <w:tcW w:w="33.333333%" w:type="pct"/>
          </w:tcPr>
          <w:p>
            <w:pPr>
              <w:ind w:leftChars="0" w:left="0" w:right="0"/>
            </w:pPr>
            <w:r>
              <w:t>AFS E-VENUES B.V.</w:t>
            </w:r>
          </w:p>
        </w:tc>
      </w:tr>
      <w:tr>
        <w:trPr>
          <w:cnfStyle w:evenHBand="false" w:oddHBand="true" w:firstRow="false"/>
        </w:trPr>
        <w:tc>
          <w:tcPr>
            <w:cnfStyle w:evenVBand="false" w:oddVBand="true" w:firstColumn="false"/>
            <w:tcW w:w="33.333333%" w:type="pct"/>
          </w:tcPr>
          <w:p>
            <w:pPr>
              <w:ind w:leftChars="0" w:left="0" w:right="0"/>
            </w:pPr>
            <w:r>
              <w:t>AFSI</w:t>
            </w:r>
          </w:p>
        </w:tc>
        <w:tc>
          <w:tcPr>
            <w:cnfStyle w:evenVBand="true" w:oddVBand="false" w:firstColumn="false"/>
            <w:tcW w:w="33.333333%" w:type="pct"/>
          </w:tcPr>
          <w:p>
            <w:pPr>
              <w:ind w:leftChars="0" w:left="0" w:right="0"/>
            </w:pPr>
            <w:r>
              <w:t>AFSI</w:t>
            </w:r>
          </w:p>
        </w:tc>
        <w:tc>
          <w:tcPr>
            <w:cnfStyle w:evenVBand="false" w:oddVBand="true" w:firstColumn="false"/>
            <w:tcW w:w="33.333333%" w:type="pct"/>
          </w:tcPr>
          <w:p>
            <w:pPr>
              <w:ind w:leftChars="0" w:left="0" w:right="0"/>
            </w:pPr>
            <w:r>
              <w:t>AFS - OTF - INTEREST RATE DERIVATIVES</w:t>
            </w:r>
          </w:p>
        </w:tc>
      </w:tr>
      <w:tr>
        <w:trPr>
          <w:cnfStyle w:evenHBand="true" w:oddHBand="false" w:firstRow="false"/>
        </w:trPr>
        <w:tc>
          <w:tcPr>
            <w:cnfStyle w:evenVBand="false" w:oddVBand="true" w:firstColumn="false"/>
            <w:tcW w:w="33.333333%" w:type="pct"/>
          </w:tcPr>
          <w:p>
            <w:pPr>
              <w:ind w:leftChars="0" w:left="0" w:right="0"/>
            </w:pPr>
            <w:r>
              <w:t>AFSL</w:t>
            </w:r>
          </w:p>
        </w:tc>
        <w:tc>
          <w:tcPr>
            <w:cnfStyle w:evenVBand="true" w:oddVBand="false" w:firstColumn="false"/>
            <w:tcW w:w="33.333333%" w:type="pct"/>
          </w:tcPr>
          <w:p>
            <w:pPr>
              <w:ind w:leftChars="0" w:left="0" w:right="0"/>
            </w:pPr>
            <w:r>
              <w:t>AFSL</w:t>
            </w:r>
          </w:p>
        </w:tc>
        <w:tc>
          <w:tcPr>
            <w:cnfStyle w:evenVBand="false" w:oddVBand="true" w:firstColumn="false"/>
            <w:tcW w:w="33.333333%" w:type="pct"/>
          </w:tcPr>
          <w:p>
            <w:pPr>
              <w:ind w:leftChars="0" w:left="0" w:right="0"/>
            </w:pPr>
            <w:r>
              <w:t>AFS - OTF - STRUCTURED PRODUCTS</w:t>
            </w:r>
          </w:p>
        </w:tc>
      </w:tr>
      <w:tr>
        <w:trPr>
          <w:cnfStyle w:evenHBand="false" w:oddHBand="true" w:firstRow="false"/>
        </w:trPr>
        <w:tc>
          <w:tcPr>
            <w:cnfStyle w:evenVBand="false" w:oddVBand="true" w:firstColumn="false"/>
            <w:tcW w:w="33.333333%" w:type="pct"/>
          </w:tcPr>
          <w:p>
            <w:pPr>
              <w:ind w:leftChars="0" w:left="0" w:right="0"/>
            </w:pPr>
            <w:r>
              <w:t>AFSO</w:t>
            </w:r>
          </w:p>
        </w:tc>
        <w:tc>
          <w:tcPr>
            <w:cnfStyle w:evenVBand="true" w:oddVBand="false" w:firstColumn="false"/>
            <w:tcW w:w="33.333333%" w:type="pct"/>
          </w:tcPr>
          <w:p>
            <w:pPr>
              <w:ind w:leftChars="0" w:left="0" w:right="0"/>
            </w:pPr>
            <w:r>
              <w:t>AFSO</w:t>
            </w:r>
          </w:p>
        </w:tc>
        <w:tc>
          <w:tcPr>
            <w:cnfStyle w:evenVBand="false" w:oddVBand="true" w:firstColumn="false"/>
            <w:tcW w:w="33.333333%" w:type="pct"/>
          </w:tcPr>
          <w:p>
            <w:pPr>
              <w:ind w:leftChars="0" w:left="0" w:right="0"/>
            </w:pPr>
            <w:r>
              <w:t>AFS - OTF - BONDS</w:t>
            </w:r>
          </w:p>
        </w:tc>
      </w:tr>
      <w:tr>
        <w:trPr>
          <w:cnfStyle w:evenHBand="true" w:oddHBand="false" w:firstRow="false"/>
        </w:trPr>
        <w:tc>
          <w:tcPr>
            <w:cnfStyle w:evenVBand="false" w:oddVBand="true" w:firstColumn="false"/>
            <w:tcW w:w="33.333333%" w:type="pct"/>
          </w:tcPr>
          <w:p>
            <w:pPr>
              <w:ind w:leftChars="0" w:left="0" w:right="0"/>
            </w:pPr>
            <w:r>
              <w:t>AFSX</w:t>
            </w:r>
          </w:p>
        </w:tc>
        <w:tc>
          <w:tcPr>
            <w:cnfStyle w:evenVBand="true" w:oddVBand="false" w:firstColumn="false"/>
            <w:tcW w:w="33.333333%" w:type="pct"/>
          </w:tcPr>
          <w:p>
            <w:pPr>
              <w:ind w:leftChars="0" w:left="0" w:right="0"/>
            </w:pPr>
            <w:r>
              <w:t>AFSX</w:t>
            </w:r>
          </w:p>
        </w:tc>
        <w:tc>
          <w:tcPr>
            <w:cnfStyle w:evenVBand="false" w:oddVBand="true" w:firstColumn="false"/>
            <w:tcW w:w="33.333333%" w:type="pct"/>
          </w:tcPr>
          <w:p>
            <w:pPr>
              <w:ind w:leftChars="0" w:left="0" w:right="0"/>
            </w:pPr>
            <w:r>
              <w:t>AFS - OTF - FX FORWARDS</w:t>
            </w:r>
          </w:p>
        </w:tc>
      </w:tr>
      <w:tr>
        <w:trPr>
          <w:cnfStyle w:evenHBand="false" w:oddHBand="true" w:firstRow="false"/>
        </w:trPr>
        <w:tc>
          <w:tcPr>
            <w:cnfStyle w:evenVBand="false" w:oddVBand="true" w:firstColumn="false"/>
            <w:tcW w:w="33.333333%" w:type="pct"/>
          </w:tcPr>
          <w:p>
            <w:pPr>
              <w:ind w:leftChars="0" w:left="0" w:right="0"/>
            </w:pPr>
            <w:r>
              <w:t>AGBP</w:t>
            </w:r>
          </w:p>
        </w:tc>
        <w:tc>
          <w:tcPr>
            <w:cnfStyle w:evenVBand="true" w:oddVBand="false" w:firstColumn="false"/>
            <w:tcW w:w="33.333333%" w:type="pct"/>
          </w:tcPr>
          <w:p>
            <w:pPr>
              <w:ind w:leftChars="0" w:left="0" w:right="0"/>
            </w:pPr>
            <w:r>
              <w:t>AGBP</w:t>
            </w:r>
          </w:p>
        </w:tc>
        <w:tc>
          <w:tcPr>
            <w:cnfStyle w:evenVBand="false" w:oddVBand="true" w:firstColumn="false"/>
            <w:tcW w:w="33.333333%" w:type="pct"/>
          </w:tcPr>
          <w:p>
            <w:pPr>
              <w:ind w:leftChars="0" w:left="0" w:right="0"/>
            </w:pPr>
            <w:r>
              <w:t>A AND G BANCA PRIVADA SAU</w:t>
            </w:r>
          </w:p>
        </w:tc>
      </w:tr>
      <w:tr>
        <w:trPr>
          <w:cnfStyle w:evenHBand="true" w:oddHBand="false" w:firstRow="false"/>
        </w:trPr>
        <w:tc>
          <w:tcPr>
            <w:cnfStyle w:evenVBand="false" w:oddVBand="true" w:firstColumn="false"/>
            <w:tcW w:w="33.333333%" w:type="pct"/>
          </w:tcPr>
          <w:p>
            <w:pPr>
              <w:ind w:leftChars="0" w:left="0" w:right="0"/>
            </w:pPr>
            <w:r>
              <w:t>AILT</w:t>
            </w:r>
          </w:p>
        </w:tc>
        <w:tc>
          <w:tcPr>
            <w:cnfStyle w:evenVBand="true" w:oddVBand="false" w:firstColumn="false"/>
            <w:tcW w:w="33.333333%" w:type="pct"/>
          </w:tcPr>
          <w:p>
            <w:pPr>
              <w:ind w:leftChars="0" w:left="0" w:right="0"/>
            </w:pPr>
            <w:r>
              <w:t>AILT</w:t>
            </w:r>
          </w:p>
        </w:tc>
        <w:tc>
          <w:tcPr>
            <w:cnfStyle w:evenVBand="false" w:oddVBand="true" w:firstColumn="false"/>
            <w:tcW w:w="33.333333%" w:type="pct"/>
          </w:tcPr>
          <w:p>
            <w:pPr>
              <w:ind w:leftChars="0" w:left="0" w:right="0"/>
            </w:pPr>
            <w:r>
              <w:t>ARRACO IRELAND LTD</w:t>
            </w:r>
          </w:p>
        </w:tc>
      </w:tr>
      <w:tr>
        <w:trPr>
          <w:cnfStyle w:evenHBand="false" w:oddHBand="true" w:firstRow="false"/>
        </w:trPr>
        <w:tc>
          <w:tcPr>
            <w:cnfStyle w:evenVBand="false" w:oddVBand="true" w:firstColumn="false"/>
            <w:tcW w:w="33.333333%" w:type="pct"/>
          </w:tcPr>
          <w:p>
            <w:pPr>
              <w:ind w:leftChars="0" w:left="0" w:right="0"/>
            </w:pPr>
            <w:r>
              <w:t>AIMX</w:t>
            </w:r>
          </w:p>
        </w:tc>
        <w:tc>
          <w:tcPr>
            <w:cnfStyle w:evenVBand="true" w:oddVBand="false" w:firstColumn="false"/>
            <w:tcW w:w="33.333333%" w:type="pct"/>
          </w:tcPr>
          <w:p>
            <w:pPr>
              <w:ind w:leftChars="0" w:left="0" w:right="0"/>
            </w:pPr>
            <w:r>
              <w:t>AIMX</w:t>
            </w:r>
          </w:p>
        </w:tc>
        <w:tc>
          <w:tcPr>
            <w:cnfStyle w:evenVBand="false" w:oddVBand="true" w:firstColumn="false"/>
            <w:tcW w:w="33.333333%" w:type="pct"/>
          </w:tcPr>
          <w:p>
            <w:pPr>
              <w:ind w:leftChars="0" w:left="0" w:right="0"/>
            </w:pPr>
            <w:r>
              <w:t>LONDON STOCK EXCHANGE - AIM MTF</w:t>
            </w:r>
          </w:p>
        </w:tc>
      </w:tr>
      <w:tr>
        <w:trPr>
          <w:cnfStyle w:evenHBand="true" w:oddHBand="false" w:firstRow="false"/>
        </w:trPr>
        <w:tc>
          <w:tcPr>
            <w:cnfStyle w:evenVBand="false" w:oddVBand="true" w:firstColumn="false"/>
            <w:tcW w:w="33.333333%" w:type="pct"/>
          </w:tcPr>
          <w:p>
            <w:pPr>
              <w:ind w:leftChars="0" w:left="0" w:right="0"/>
            </w:pPr>
            <w:r>
              <w:t>AIXE</w:t>
            </w:r>
          </w:p>
        </w:tc>
        <w:tc>
          <w:tcPr>
            <w:cnfStyle w:evenVBand="true" w:oddVBand="false" w:firstColumn="false"/>
            <w:tcW w:w="33.333333%" w:type="pct"/>
          </w:tcPr>
          <w:p>
            <w:pPr>
              <w:ind w:leftChars="0" w:left="0" w:right="0"/>
            </w:pPr>
            <w:r>
              <w:t>AIXE</w:t>
            </w:r>
          </w:p>
        </w:tc>
        <w:tc>
          <w:tcPr>
            <w:cnfStyle w:evenVBand="false" w:oddVBand="true" w:firstColumn="false"/>
            <w:tcW w:w="33.333333%" w:type="pct"/>
          </w:tcPr>
          <w:p>
            <w:pPr>
              <w:ind w:leftChars="0" w:left="0" w:right="0"/>
            </w:pPr>
            <w:r>
              <w:t>AIXECUTE</w:t>
            </w:r>
          </w:p>
        </w:tc>
      </w:tr>
      <w:tr>
        <w:trPr>
          <w:cnfStyle w:evenHBand="false" w:oddHBand="true" w:firstRow="false"/>
        </w:trPr>
        <w:tc>
          <w:tcPr>
            <w:cnfStyle w:evenVBand="false" w:oddVBand="true" w:firstColumn="false"/>
            <w:tcW w:w="33.333333%" w:type="pct"/>
          </w:tcPr>
          <w:p>
            <w:pPr>
              <w:ind w:leftChars="0" w:left="0" w:right="0"/>
            </w:pPr>
            <w:r>
              <w:t>AIXK</w:t>
            </w:r>
          </w:p>
        </w:tc>
        <w:tc>
          <w:tcPr>
            <w:cnfStyle w:evenVBand="true" w:oddVBand="false" w:firstColumn="false"/>
            <w:tcW w:w="33.333333%" w:type="pct"/>
          </w:tcPr>
          <w:p>
            <w:pPr>
              <w:ind w:leftChars="0" w:left="0" w:right="0"/>
            </w:pPr>
            <w:r>
              <w:t>AIXK</w:t>
            </w:r>
          </w:p>
        </w:tc>
        <w:tc>
          <w:tcPr>
            <w:cnfStyle w:evenVBand="false" w:oddVBand="true" w:firstColumn="false"/>
            <w:tcW w:w="33.333333%" w:type="pct"/>
          </w:tcPr>
          <w:p>
            <w:pPr>
              <w:ind w:leftChars="0" w:left="0" w:right="0"/>
            </w:pPr>
            <w:r>
              <w:t>ASTANA INTERNATIONAL EXCHANGE LTD</w:t>
            </w:r>
          </w:p>
        </w:tc>
      </w:tr>
      <w:tr>
        <w:trPr>
          <w:cnfStyle w:evenHBand="true" w:oddHBand="false" w:firstRow="false"/>
        </w:trPr>
        <w:tc>
          <w:tcPr>
            <w:cnfStyle w:evenVBand="false" w:oddVBand="true" w:firstColumn="false"/>
            <w:tcW w:w="33.333333%" w:type="pct"/>
          </w:tcPr>
          <w:p>
            <w:pPr>
              <w:ind w:leftChars="0" w:left="0" w:right="0"/>
            </w:pPr>
            <w:r>
              <w:t>AKIS</w:t>
            </w:r>
          </w:p>
        </w:tc>
        <w:tc>
          <w:tcPr>
            <w:cnfStyle w:evenVBand="true" w:oddVBand="false" w:firstColumn="false"/>
            <w:tcW w:w="33.333333%" w:type="pct"/>
          </w:tcPr>
          <w:p>
            <w:pPr>
              <w:ind w:leftChars="0" w:left="0" w:right="0"/>
            </w:pPr>
            <w:r>
              <w:t>AKIS</w:t>
            </w:r>
          </w:p>
        </w:tc>
        <w:tc>
          <w:tcPr>
            <w:cnfStyle w:evenVBand="false" w:oddVBand="true" w:firstColumn="false"/>
            <w:tcW w:w="33.333333%" w:type="pct"/>
          </w:tcPr>
          <w:p>
            <w:pPr>
              <w:ind w:leftChars="0" w:left="0" w:right="0"/>
            </w:pPr>
            <w:r>
              <w:t>AKIS - BANCA AKROS - SYSTEMATIC INTERNALISER</w:t>
            </w:r>
          </w:p>
        </w:tc>
      </w:tr>
      <w:tr>
        <w:trPr>
          <w:cnfStyle w:evenHBand="false" w:oddHBand="true" w:firstRow="false"/>
        </w:trPr>
        <w:tc>
          <w:tcPr>
            <w:cnfStyle w:evenVBand="false" w:oddVBand="true" w:firstColumn="false"/>
            <w:tcW w:w="33.333333%" w:type="pct"/>
          </w:tcPr>
          <w:p>
            <w:pPr>
              <w:ind w:leftChars="0" w:left="0" w:right="0"/>
            </w:pPr>
            <w:r>
              <w:t>ALDP</w:t>
            </w:r>
          </w:p>
        </w:tc>
        <w:tc>
          <w:tcPr>
            <w:cnfStyle w:evenVBand="true" w:oddVBand="false" w:firstColumn="false"/>
            <w:tcW w:w="33.333333%" w:type="pct"/>
          </w:tcPr>
          <w:p>
            <w:pPr>
              <w:ind w:leftChars="0" w:left="0" w:right="0"/>
            </w:pPr>
            <w:r>
              <w:t>ALDP</w:t>
            </w:r>
          </w:p>
        </w:tc>
        <w:tc>
          <w:tcPr>
            <w:cnfStyle w:evenVBand="false" w:oddVBand="true" w:firstColumn="false"/>
            <w:tcW w:w="33.333333%" w:type="pct"/>
          </w:tcPr>
          <w:p>
            <w:pPr>
              <w:ind w:leftChars="0" w:left="0" w:right="0"/>
            </w:pPr>
            <w:r>
              <w:t>NYSE ALTERNEXT DARK</w:t>
            </w:r>
          </w:p>
        </w:tc>
      </w:tr>
      <w:tr>
        <w:trPr>
          <w:cnfStyle w:evenHBand="true" w:oddHBand="false" w:firstRow="false"/>
        </w:trPr>
        <w:tc>
          <w:tcPr>
            <w:cnfStyle w:evenVBand="false" w:oddVBand="true" w:firstColumn="false"/>
            <w:tcW w:w="33.333333%" w:type="pct"/>
          </w:tcPr>
          <w:p>
            <w:pPr>
              <w:ind w:leftChars="0" w:left="0" w:right="0"/>
            </w:pPr>
            <w:r>
              <w:t>ALLT</w:t>
            </w:r>
          </w:p>
        </w:tc>
        <w:tc>
          <w:tcPr>
            <w:cnfStyle w:evenVBand="true" w:oddVBand="false" w:firstColumn="false"/>
            <w:tcW w:w="33.333333%" w:type="pct"/>
          </w:tcPr>
          <w:p>
            <w:pPr>
              <w:ind w:leftChars="0" w:left="0" w:right="0"/>
            </w:pPr>
            <w:r>
              <w:t>ALLT</w:t>
            </w:r>
          </w:p>
        </w:tc>
        <w:tc>
          <w:tcPr>
            <w:cnfStyle w:evenVBand="false" w:oddVBand="true" w:firstColumn="false"/>
            <w:tcW w:w="33.333333%" w:type="pct"/>
          </w:tcPr>
          <w:p>
            <w:pPr>
              <w:ind w:leftChars="0" w:left="0" w:right="0"/>
            </w:pPr>
            <w:r>
              <w:t>ALLT - OTF</w:t>
            </w:r>
          </w:p>
        </w:tc>
      </w:tr>
      <w:tr>
        <w:trPr>
          <w:cnfStyle w:evenHBand="false" w:oddHBand="true" w:firstRow="false"/>
        </w:trPr>
        <w:tc>
          <w:tcPr>
            <w:cnfStyle w:evenVBand="false" w:oddVBand="true" w:firstColumn="false"/>
            <w:tcW w:w="33.333333%" w:type="pct"/>
          </w:tcPr>
          <w:p>
            <w:pPr>
              <w:ind w:leftChars="0" w:left="0" w:right="0"/>
            </w:pPr>
            <w:r>
              <w:t>ALSI</w:t>
            </w:r>
          </w:p>
        </w:tc>
        <w:tc>
          <w:tcPr>
            <w:cnfStyle w:evenVBand="true" w:oddVBand="false" w:firstColumn="false"/>
            <w:tcW w:w="33.333333%" w:type="pct"/>
          </w:tcPr>
          <w:p>
            <w:pPr>
              <w:ind w:leftChars="0" w:left="0" w:right="0"/>
            </w:pPr>
            <w:r>
              <w:t>ALSI</w:t>
            </w:r>
          </w:p>
        </w:tc>
        <w:tc>
          <w:tcPr>
            <w:cnfStyle w:evenVBand="false" w:oddVBand="true" w:firstColumn="false"/>
            <w:tcW w:w="33.333333%" w:type="pct"/>
          </w:tcPr>
          <w:p>
            <w:pPr>
              <w:ind w:leftChars="0" w:left="0" w:right="0"/>
            </w:pPr>
            <w:r>
              <w:t>AKTIESELSKABET ARBEJDERNES LANDSBANK - SYSTEMATIC INTERNALISER</w:t>
            </w:r>
          </w:p>
        </w:tc>
      </w:tr>
      <w:tr>
        <w:trPr>
          <w:cnfStyle w:evenHBand="true" w:oddHBand="false" w:firstRow="false"/>
        </w:trPr>
        <w:tc>
          <w:tcPr>
            <w:cnfStyle w:evenVBand="false" w:oddVBand="true" w:firstColumn="false"/>
            <w:tcW w:w="33.333333%" w:type="pct"/>
          </w:tcPr>
          <w:p>
            <w:pPr>
              <w:ind w:leftChars="0" w:left="0" w:right="0"/>
            </w:pPr>
            <w:r>
              <w:t>ALTX</w:t>
            </w:r>
          </w:p>
        </w:tc>
        <w:tc>
          <w:tcPr>
            <w:cnfStyle w:evenVBand="true" w:oddVBand="false" w:firstColumn="false"/>
            <w:tcW w:w="33.333333%" w:type="pct"/>
          </w:tcPr>
          <w:p>
            <w:pPr>
              <w:ind w:leftChars="0" w:left="0" w:right="0"/>
            </w:pPr>
            <w:r>
              <w:t>ALTX</w:t>
            </w:r>
          </w:p>
        </w:tc>
        <w:tc>
          <w:tcPr>
            <w:cnfStyle w:evenVBand="false" w:oddVBand="true" w:firstColumn="false"/>
            <w:tcW w:w="33.333333%" w:type="pct"/>
          </w:tcPr>
          <w:p>
            <w:pPr>
              <w:ind w:leftChars="0" w:left="0" w:right="0"/>
            </w:pPr>
            <w:r>
              <w:t>JSE ALTERNATE EXCHANGE</w:t>
            </w:r>
          </w:p>
        </w:tc>
      </w:tr>
      <w:tr>
        <w:trPr>
          <w:cnfStyle w:evenHBand="false" w:oddHBand="true" w:firstRow="false"/>
        </w:trPr>
        <w:tc>
          <w:tcPr>
            <w:cnfStyle w:evenVBand="false" w:oddVBand="true" w:firstColumn="false"/>
            <w:tcW w:w="33.333333%" w:type="pct"/>
          </w:tcPr>
          <w:p>
            <w:pPr>
              <w:ind w:leftChars="0" w:left="0" w:right="0"/>
            </w:pPr>
            <w:r>
              <w:t>ALXA</w:t>
            </w:r>
          </w:p>
        </w:tc>
        <w:tc>
          <w:tcPr>
            <w:cnfStyle w:evenVBand="true" w:oddVBand="false" w:firstColumn="false"/>
            <w:tcW w:w="33.333333%" w:type="pct"/>
          </w:tcPr>
          <w:p>
            <w:pPr>
              <w:ind w:leftChars="0" w:left="0" w:right="0"/>
            </w:pPr>
            <w:r>
              <w:t>ALXA</w:t>
            </w:r>
          </w:p>
        </w:tc>
        <w:tc>
          <w:tcPr>
            <w:cnfStyle w:evenVBand="false" w:oddVBand="true" w:firstColumn="false"/>
            <w:tcW w:w="33.333333%" w:type="pct"/>
          </w:tcPr>
          <w:p>
            <w:pPr>
              <w:ind w:leftChars="0" w:left="0" w:right="0"/>
            </w:pPr>
            <w:r>
              <w:t>EURONEXT - ALTERNEXT AMSTERDAM</w:t>
            </w:r>
          </w:p>
        </w:tc>
      </w:tr>
      <w:tr>
        <w:trPr>
          <w:cnfStyle w:evenHBand="true" w:oddHBand="false" w:firstRow="false"/>
        </w:trPr>
        <w:tc>
          <w:tcPr>
            <w:cnfStyle w:evenVBand="false" w:oddVBand="true" w:firstColumn="false"/>
            <w:tcW w:w="33.333333%" w:type="pct"/>
          </w:tcPr>
          <w:p>
            <w:pPr>
              <w:ind w:leftChars="0" w:left="0" w:right="0"/>
            </w:pPr>
            <w:r>
              <w:t>ALXB</w:t>
            </w:r>
          </w:p>
        </w:tc>
        <w:tc>
          <w:tcPr>
            <w:cnfStyle w:evenVBand="true" w:oddVBand="false" w:firstColumn="false"/>
            <w:tcW w:w="33.333333%" w:type="pct"/>
          </w:tcPr>
          <w:p>
            <w:pPr>
              <w:ind w:leftChars="0" w:left="0" w:right="0"/>
            </w:pPr>
            <w:r>
              <w:t>ALXB</w:t>
            </w:r>
          </w:p>
        </w:tc>
        <w:tc>
          <w:tcPr>
            <w:cnfStyle w:evenVBand="false" w:oddVBand="true" w:firstColumn="false"/>
            <w:tcW w:w="33.333333%" w:type="pct"/>
          </w:tcPr>
          <w:p>
            <w:pPr>
              <w:ind w:leftChars="0" w:left="0" w:right="0"/>
            </w:pPr>
            <w:r>
              <w:t>EURONEXT GROWTH BRUSSELS</w:t>
            </w:r>
          </w:p>
        </w:tc>
      </w:tr>
      <w:tr>
        <w:trPr>
          <w:cnfStyle w:evenHBand="false" w:oddHBand="true" w:firstRow="false"/>
        </w:trPr>
        <w:tc>
          <w:tcPr>
            <w:cnfStyle w:evenVBand="false" w:oddVBand="true" w:firstColumn="false"/>
            <w:tcW w:w="33.333333%" w:type="pct"/>
          </w:tcPr>
          <w:p>
            <w:pPr>
              <w:ind w:leftChars="0" w:left="0" w:right="0"/>
            </w:pPr>
            <w:r>
              <w:t>ALXL</w:t>
            </w:r>
          </w:p>
        </w:tc>
        <w:tc>
          <w:tcPr>
            <w:cnfStyle w:evenVBand="true" w:oddVBand="false" w:firstColumn="false"/>
            <w:tcW w:w="33.333333%" w:type="pct"/>
          </w:tcPr>
          <w:p>
            <w:pPr>
              <w:ind w:leftChars="0" w:left="0" w:right="0"/>
            </w:pPr>
            <w:r>
              <w:t>ALXL</w:t>
            </w:r>
          </w:p>
        </w:tc>
        <w:tc>
          <w:tcPr>
            <w:cnfStyle w:evenVBand="false" w:oddVBand="true" w:firstColumn="false"/>
            <w:tcW w:w="33.333333%" w:type="pct"/>
          </w:tcPr>
          <w:p>
            <w:pPr>
              <w:ind w:leftChars="0" w:left="0" w:right="0"/>
            </w:pPr>
            <w:r>
              <w:t>EURONEXT GROWTH LISBON</w:t>
            </w:r>
          </w:p>
        </w:tc>
      </w:tr>
      <w:tr>
        <w:trPr>
          <w:cnfStyle w:evenHBand="true" w:oddHBand="false" w:firstRow="false"/>
        </w:trPr>
        <w:tc>
          <w:tcPr>
            <w:cnfStyle w:evenVBand="false" w:oddVBand="true" w:firstColumn="false"/>
            <w:tcW w:w="33.333333%" w:type="pct"/>
          </w:tcPr>
          <w:p>
            <w:pPr>
              <w:ind w:leftChars="0" w:left="0" w:right="0"/>
            </w:pPr>
            <w:r>
              <w:t>ALXP</w:t>
            </w:r>
          </w:p>
        </w:tc>
        <w:tc>
          <w:tcPr>
            <w:cnfStyle w:evenVBand="true" w:oddVBand="false" w:firstColumn="false"/>
            <w:tcW w:w="33.333333%" w:type="pct"/>
          </w:tcPr>
          <w:p>
            <w:pPr>
              <w:ind w:leftChars="0" w:left="0" w:right="0"/>
            </w:pPr>
            <w:r>
              <w:t>ALXP</w:t>
            </w:r>
          </w:p>
        </w:tc>
        <w:tc>
          <w:tcPr>
            <w:cnfStyle w:evenVBand="false" w:oddVBand="true" w:firstColumn="false"/>
            <w:tcW w:w="33.333333%" w:type="pct"/>
          </w:tcPr>
          <w:p>
            <w:pPr>
              <w:ind w:leftChars="0" w:left="0" w:right="0"/>
            </w:pPr>
            <w:r>
              <w:t>EURONEXT GROWTH PARIS</w:t>
            </w:r>
          </w:p>
        </w:tc>
      </w:tr>
      <w:tr>
        <w:trPr>
          <w:cnfStyle w:evenHBand="false" w:oddHBand="true" w:firstRow="false"/>
        </w:trPr>
        <w:tc>
          <w:tcPr>
            <w:cnfStyle w:evenVBand="false" w:oddVBand="true" w:firstColumn="false"/>
            <w:tcW w:w="33.333333%" w:type="pct"/>
          </w:tcPr>
          <w:p>
            <w:pPr>
              <w:ind w:leftChars="0" w:left="0" w:right="0"/>
            </w:pPr>
            <w:r>
              <w:t>AMLG</w:t>
            </w:r>
          </w:p>
        </w:tc>
        <w:tc>
          <w:tcPr>
            <w:cnfStyle w:evenVBand="true" w:oddVBand="false" w:firstColumn="false"/>
            <w:tcW w:w="33.333333%" w:type="pct"/>
          </w:tcPr>
          <w:p>
            <w:pPr>
              <w:ind w:leftChars="0" w:left="0" w:right="0"/>
            </w:pPr>
            <w:r>
              <w:t>AMLG</w:t>
            </w:r>
          </w:p>
        </w:tc>
        <w:tc>
          <w:tcPr>
            <w:cnfStyle w:evenVBand="false" w:oddVBand="true" w:firstColumn="false"/>
            <w:tcW w:w="33.333333%" w:type="pct"/>
          </w:tcPr>
          <w:p>
            <w:pPr>
              <w:ind w:leftChars="0" w:left="0" w:right="0"/>
            </w:pPr>
            <w:r>
              <w:t>AMERICAN LEDGER ATS</w:t>
            </w:r>
          </w:p>
        </w:tc>
      </w:tr>
      <w:tr>
        <w:trPr>
          <w:cnfStyle w:evenHBand="true" w:oddHBand="false" w:firstRow="false"/>
        </w:trPr>
        <w:tc>
          <w:tcPr>
            <w:cnfStyle w:evenVBand="false" w:oddVBand="true" w:firstColumn="false"/>
            <w:tcW w:w="33.333333%" w:type="pct"/>
          </w:tcPr>
          <w:p>
            <w:pPr>
              <w:ind w:leftChars="0" w:left="0" w:right="0"/>
            </w:pPr>
            <w:r>
              <w:t>AMNL</w:t>
            </w:r>
          </w:p>
        </w:tc>
        <w:tc>
          <w:tcPr>
            <w:cnfStyle w:evenVBand="true" w:oddVBand="false" w:firstColumn="false"/>
            <w:tcW w:w="33.333333%" w:type="pct"/>
          </w:tcPr>
          <w:p>
            <w:pPr>
              <w:ind w:leftChars="0" w:left="0" w:right="0"/>
            </w:pPr>
            <w:r>
              <w:t>AMNL</w:t>
            </w:r>
          </w:p>
        </w:tc>
        <w:tc>
          <w:tcPr>
            <w:cnfStyle w:evenVBand="false" w:oddVBand="true" w:firstColumn="false"/>
            <w:tcW w:w="33.333333%" w:type="pct"/>
          </w:tcPr>
          <w:p>
            <w:pPr>
              <w:ind w:leftChars="0" w:left="0" w:right="0"/>
            </w:pPr>
            <w:r>
              <w:t>AMMAN STOCK EXCHANGE - NON-LISTED SECURITIES MARKET</w:t>
            </w:r>
          </w:p>
        </w:tc>
      </w:tr>
      <w:tr>
        <w:trPr>
          <w:cnfStyle w:evenHBand="false" w:oddHBand="true" w:firstRow="false"/>
        </w:trPr>
        <w:tc>
          <w:tcPr>
            <w:cnfStyle w:evenVBand="false" w:oddVBand="true" w:firstColumn="false"/>
            <w:tcW w:w="33.333333%" w:type="pct"/>
          </w:tcPr>
          <w:p>
            <w:pPr>
              <w:ind w:leftChars="0" w:left="0" w:right="0"/>
            </w:pPr>
            <w:r>
              <w:t>AMPX</w:t>
            </w:r>
          </w:p>
        </w:tc>
        <w:tc>
          <w:tcPr>
            <w:cnfStyle w:evenVBand="true" w:oddVBand="false" w:firstColumn="false"/>
            <w:tcW w:w="33.333333%" w:type="pct"/>
          </w:tcPr>
          <w:p>
            <w:pPr>
              <w:ind w:leftChars="0" w:left="0" w:right="0"/>
            </w:pPr>
            <w:r>
              <w:t>AMPX</w:t>
            </w:r>
          </w:p>
        </w:tc>
        <w:tc>
          <w:tcPr>
            <w:cnfStyle w:evenVBand="false" w:oddVBand="true" w:firstColumn="false"/>
            <w:tcW w:w="33.333333%" w:type="pct"/>
          </w:tcPr>
          <w:p>
            <w:pPr>
              <w:ind w:leftChars="0" w:left="0" w:right="0"/>
            </w:pPr>
            <w:r>
              <w:t>ASSET MATCH PRIVATE EXCHANGE</w:t>
            </w:r>
          </w:p>
        </w:tc>
      </w:tr>
      <w:tr>
        <w:trPr>
          <w:cnfStyle w:evenHBand="true" w:oddHBand="false" w:firstRow="false"/>
        </w:trPr>
        <w:tc>
          <w:tcPr>
            <w:cnfStyle w:evenVBand="false" w:oddVBand="true" w:firstColumn="false"/>
            <w:tcW w:w="33.333333%" w:type="pct"/>
          </w:tcPr>
          <w:p>
            <w:pPr>
              <w:ind w:leftChars="0" w:left="0" w:right="0"/>
            </w:pPr>
            <w:r>
              <w:t>AMTS</w:t>
            </w:r>
          </w:p>
        </w:tc>
        <w:tc>
          <w:tcPr>
            <w:cnfStyle w:evenVBand="true" w:oddVBand="false" w:firstColumn="false"/>
            <w:tcW w:w="33.333333%" w:type="pct"/>
          </w:tcPr>
          <w:p>
            <w:pPr>
              <w:ind w:leftChars="0" w:left="0" w:right="0"/>
            </w:pPr>
            <w:r>
              <w:t>AMTS</w:t>
            </w:r>
          </w:p>
        </w:tc>
        <w:tc>
          <w:tcPr>
            <w:cnfStyle w:evenVBand="false" w:oddVBand="true" w:firstColumn="false"/>
            <w:tcW w:w="33.333333%" w:type="pct"/>
          </w:tcPr>
          <w:p>
            <w:pPr>
              <w:ind w:leftChars="0" w:left="0" w:right="0"/>
            </w:pPr>
            <w:r>
              <w:t>MTS NETHERLANDS</w:t>
            </w:r>
          </w:p>
        </w:tc>
      </w:tr>
      <w:tr>
        <w:trPr>
          <w:cnfStyle w:evenHBand="false" w:oddHBand="true" w:firstRow="false"/>
        </w:trPr>
        <w:tc>
          <w:tcPr>
            <w:cnfStyle w:evenVBand="false" w:oddVBand="true" w:firstColumn="false"/>
            <w:tcW w:w="33.333333%" w:type="pct"/>
          </w:tcPr>
          <w:p>
            <w:pPr>
              <w:ind w:leftChars="0" w:left="0" w:right="0"/>
            </w:pPr>
            <w:r>
              <w:t>AMXO</w:t>
            </w:r>
          </w:p>
        </w:tc>
        <w:tc>
          <w:tcPr>
            <w:cnfStyle w:evenVBand="true" w:oddVBand="false" w:firstColumn="false"/>
            <w:tcW w:w="33.333333%" w:type="pct"/>
          </w:tcPr>
          <w:p>
            <w:pPr>
              <w:ind w:leftChars="0" w:left="0" w:right="0"/>
            </w:pPr>
            <w:r>
              <w:t>AMXO</w:t>
            </w:r>
          </w:p>
        </w:tc>
        <w:tc>
          <w:tcPr>
            <w:cnfStyle w:evenVBand="false" w:oddVBand="true" w:firstColumn="false"/>
            <w:tcW w:w="33.333333%" w:type="pct"/>
          </w:tcPr>
          <w:p>
            <w:pPr>
              <w:ind w:leftChars="0" w:left="0" w:right="0"/>
            </w:pPr>
            <w:r>
              <w:t>NYSE AMEX OPTIONS</w:t>
            </w:r>
          </w:p>
        </w:tc>
      </w:tr>
      <w:tr>
        <w:trPr>
          <w:cnfStyle w:evenHBand="true" w:oddHBand="false" w:firstRow="false"/>
        </w:trPr>
        <w:tc>
          <w:tcPr>
            <w:cnfStyle w:evenVBand="false" w:oddVBand="true" w:firstColumn="false"/>
            <w:tcW w:w="33.333333%" w:type="pct"/>
          </w:tcPr>
          <w:p>
            <w:pPr>
              <w:ind w:leftChars="0" w:left="0" w:right="0"/>
            </w:pPr>
            <w:r>
              <w:t>ANLP</w:t>
            </w:r>
          </w:p>
        </w:tc>
        <w:tc>
          <w:tcPr>
            <w:cnfStyle w:evenVBand="true" w:oddVBand="false" w:firstColumn="false"/>
            <w:tcW w:w="33.333333%" w:type="pct"/>
          </w:tcPr>
          <w:p>
            <w:pPr>
              <w:ind w:leftChars="0" w:left="0" w:right="0"/>
            </w:pPr>
            <w:r>
              <w:t>ANLP</w:t>
            </w:r>
          </w:p>
        </w:tc>
        <w:tc>
          <w:tcPr>
            <w:cnfStyle w:evenVBand="false" w:oddVBand="true" w:firstColumn="false"/>
            <w:tcW w:w="33.333333%" w:type="pct"/>
          </w:tcPr>
          <w:p>
            <w:pPr>
              <w:ind w:leftChars="0" w:left="0" w:right="0"/>
            </w:pPr>
            <w:r>
              <w:t>AUSTRALIA AND NEW ZEALAND BANKING GROUP LIMITED</w:t>
            </w:r>
          </w:p>
        </w:tc>
      </w:tr>
      <w:tr>
        <w:trPr>
          <w:cnfStyle w:evenHBand="false" w:oddHBand="true" w:firstRow="false"/>
        </w:trPr>
        <w:tc>
          <w:tcPr>
            <w:cnfStyle w:evenVBand="false" w:oddVBand="true" w:firstColumn="false"/>
            <w:tcW w:w="33.333333%" w:type="pct"/>
          </w:tcPr>
          <w:p>
            <w:pPr>
              <w:ind w:leftChars="0" w:left="0" w:right="0"/>
            </w:pPr>
            <w:r>
              <w:t>ANTS</w:t>
            </w:r>
          </w:p>
        </w:tc>
        <w:tc>
          <w:tcPr>
            <w:cnfStyle w:evenVBand="true" w:oddVBand="false" w:firstColumn="false"/>
            <w:tcW w:w="33.333333%" w:type="pct"/>
          </w:tcPr>
          <w:p>
            <w:pPr>
              <w:ind w:leftChars="0" w:left="0" w:right="0"/>
            </w:pPr>
            <w:r>
              <w:t>ANTS</w:t>
            </w:r>
          </w:p>
        </w:tc>
        <w:tc>
          <w:tcPr>
            <w:cnfStyle w:evenVBand="false" w:oddVBand="true" w:firstColumn="false"/>
            <w:tcW w:w="33.333333%" w:type="pct"/>
          </w:tcPr>
          <w:p>
            <w:pPr>
              <w:ind w:leftChars="0" w:left="0" w:right="0"/>
            </w:pPr>
            <w:r>
              <w:t>ABBEY NATIONAL TREASURY SERVICES PLC - SYSTEMATIC INTERNALISER</w:t>
            </w:r>
          </w:p>
        </w:tc>
      </w:tr>
      <w:tr>
        <w:trPr>
          <w:cnfStyle w:evenHBand="true" w:oddHBand="false" w:firstRow="false"/>
        </w:trPr>
        <w:tc>
          <w:tcPr>
            <w:cnfStyle w:evenVBand="false" w:oddVBand="true" w:firstColumn="false"/>
            <w:tcW w:w="33.333333%" w:type="pct"/>
          </w:tcPr>
          <w:p>
            <w:pPr>
              <w:ind w:leftChars="0" w:left="0" w:right="0"/>
            </w:pPr>
            <w:r>
              <w:t>ANZL</w:t>
            </w:r>
          </w:p>
        </w:tc>
        <w:tc>
          <w:tcPr>
            <w:cnfStyle w:evenVBand="true" w:oddVBand="false" w:firstColumn="false"/>
            <w:tcW w:w="33.333333%" w:type="pct"/>
          </w:tcPr>
          <w:p>
            <w:pPr>
              <w:ind w:leftChars="0" w:left="0" w:right="0"/>
            </w:pPr>
            <w:r>
              <w:t>ANZL</w:t>
            </w:r>
          </w:p>
        </w:tc>
        <w:tc>
          <w:tcPr>
            <w:cnfStyle w:evenVBand="false" w:oddVBand="true" w:firstColumn="false"/>
            <w:tcW w:w="33.333333%" w:type="pct"/>
          </w:tcPr>
          <w:p>
            <w:pPr>
              <w:ind w:leftChars="0" w:left="0" w:right="0"/>
            </w:pPr>
            <w:r>
              <w:t>AUSTRALIA AND NEW ZEALAND BANKING GROUP LIMITED SYSTEMATIC INTERNALISER</w:t>
            </w:r>
          </w:p>
        </w:tc>
      </w:tr>
      <w:tr>
        <w:trPr>
          <w:cnfStyle w:evenHBand="false" w:oddHBand="true" w:firstRow="false"/>
        </w:trPr>
        <w:tc>
          <w:tcPr>
            <w:cnfStyle w:evenVBand="false" w:oddVBand="true" w:firstColumn="false"/>
            <w:tcW w:w="33.333333%" w:type="pct"/>
          </w:tcPr>
          <w:p>
            <w:pPr>
              <w:ind w:leftChars="0" w:left="0" w:right="0"/>
            </w:pPr>
            <w:r>
              <w:t>APAW</w:t>
            </w:r>
          </w:p>
        </w:tc>
        <w:tc>
          <w:tcPr>
            <w:cnfStyle w:evenVBand="true" w:oddVBand="false" w:firstColumn="false"/>
            <w:tcW w:w="33.333333%" w:type="pct"/>
          </w:tcPr>
          <w:p>
            <w:pPr>
              <w:ind w:leftChars="0" w:left="0" w:right="0"/>
            </w:pPr>
            <w:r>
              <w:t>APAW</w:t>
            </w:r>
          </w:p>
        </w:tc>
        <w:tc>
          <w:tcPr>
            <w:cnfStyle w:evenVBand="false" w:oddVBand="true" w:firstColumn="false"/>
            <w:tcW w:w="33.333333%" w:type="pct"/>
          </w:tcPr>
          <w:p>
            <w:pPr>
              <w:ind w:leftChars="0" w:left="0" w:right="0"/>
            </w:pPr>
            <w:r>
              <w:t>WIENER BOERSE AG - APA</w:t>
            </w:r>
          </w:p>
        </w:tc>
      </w:tr>
      <w:tr>
        <w:trPr>
          <w:cnfStyle w:evenHBand="true" w:oddHBand="false" w:firstRow="false"/>
        </w:trPr>
        <w:tc>
          <w:tcPr>
            <w:cnfStyle w:evenVBand="false" w:oddVBand="true" w:firstColumn="false"/>
            <w:tcW w:w="33.333333%" w:type="pct"/>
          </w:tcPr>
          <w:p>
            <w:pPr>
              <w:ind w:leftChars="0" w:left="0" w:right="0"/>
            </w:pPr>
            <w:r>
              <w:t>APCL</w:t>
            </w:r>
          </w:p>
        </w:tc>
        <w:tc>
          <w:tcPr>
            <w:cnfStyle w:evenVBand="true" w:oddVBand="false" w:firstColumn="false"/>
            <w:tcW w:w="33.333333%" w:type="pct"/>
          </w:tcPr>
          <w:p>
            <w:pPr>
              <w:ind w:leftChars="0" w:left="0" w:right="0"/>
            </w:pPr>
            <w:r>
              <w:t>APCL</w:t>
            </w:r>
          </w:p>
        </w:tc>
        <w:tc>
          <w:tcPr>
            <w:cnfStyle w:evenVBand="false" w:oddVBand="true" w:firstColumn="false"/>
            <w:tcW w:w="33.333333%" w:type="pct"/>
          </w:tcPr>
          <w:p>
            <w:pPr>
              <w:ind w:leftChars="0" w:left="0" w:right="0"/>
            </w:pPr>
            <w:r>
              <w:t>ASIA PACIFIC CLEAR</w:t>
            </w:r>
          </w:p>
        </w:tc>
      </w:tr>
      <w:tr>
        <w:trPr>
          <w:cnfStyle w:evenHBand="false" w:oddHBand="true" w:firstRow="false"/>
        </w:trPr>
        <w:tc>
          <w:tcPr>
            <w:cnfStyle w:evenVBand="false" w:oddVBand="true" w:firstColumn="false"/>
            <w:tcW w:w="33.333333%" w:type="pct"/>
          </w:tcPr>
          <w:p>
            <w:pPr>
              <w:ind w:leftChars="0" w:left="0" w:right="0"/>
            </w:pPr>
            <w:r>
              <w:t>APEX</w:t>
            </w:r>
          </w:p>
        </w:tc>
        <w:tc>
          <w:tcPr>
            <w:cnfStyle w:evenVBand="true" w:oddVBand="false" w:firstColumn="false"/>
            <w:tcW w:w="33.333333%" w:type="pct"/>
          </w:tcPr>
          <w:p>
            <w:pPr>
              <w:ind w:leftChars="0" w:left="0" w:right="0"/>
            </w:pPr>
            <w:r>
              <w:t>APEX</w:t>
            </w:r>
          </w:p>
        </w:tc>
        <w:tc>
          <w:tcPr>
            <w:cnfStyle w:evenVBand="false" w:oddVBand="true" w:firstColumn="false"/>
            <w:tcW w:w="33.333333%" w:type="pct"/>
          </w:tcPr>
          <w:p>
            <w:pPr>
              <w:ind w:leftChars="0" w:left="0" w:right="0"/>
            </w:pPr>
            <w:r>
              <w:t>ASIA PACIFIC EXCHANGE</w:t>
            </w:r>
          </w:p>
        </w:tc>
      </w:tr>
      <w:tr>
        <w:trPr>
          <w:cnfStyle w:evenHBand="true" w:oddHBand="false" w:firstRow="false"/>
        </w:trPr>
        <w:tc>
          <w:tcPr>
            <w:cnfStyle w:evenVBand="false" w:oddVBand="true" w:firstColumn="false"/>
            <w:tcW w:w="33.333333%" w:type="pct"/>
          </w:tcPr>
          <w:p>
            <w:pPr>
              <w:ind w:leftChars="0" w:left="0" w:right="0"/>
            </w:pPr>
            <w:r>
              <w:t>APXL</w:t>
            </w:r>
          </w:p>
        </w:tc>
        <w:tc>
          <w:tcPr>
            <w:cnfStyle w:evenVBand="true" w:oddVBand="false" w:firstColumn="false"/>
            <w:tcW w:w="33.333333%" w:type="pct"/>
          </w:tcPr>
          <w:p>
            <w:pPr>
              <w:ind w:leftChars="0" w:left="0" w:right="0"/>
            </w:pPr>
            <w:r>
              <w:t>APXL</w:t>
            </w:r>
          </w:p>
        </w:tc>
        <w:tc>
          <w:tcPr>
            <w:cnfStyle w:evenVBand="false" w:oddVBand="true" w:firstColumn="false"/>
            <w:tcW w:w="33.333333%" w:type="pct"/>
          </w:tcPr>
          <w:p>
            <w:pPr>
              <w:ind w:leftChars="0" w:left="0" w:right="0"/>
            </w:pPr>
            <w:r>
              <w:t>SYDNEY STOCK EXCHANGE LIMITED</w:t>
            </w:r>
          </w:p>
        </w:tc>
      </w:tr>
      <w:tr>
        <w:trPr>
          <w:cnfStyle w:evenHBand="false" w:oddHBand="true" w:firstRow="false"/>
        </w:trPr>
        <w:tc>
          <w:tcPr>
            <w:cnfStyle w:evenVBand="false" w:oddVBand="true" w:firstColumn="false"/>
            <w:tcW w:w="33.333333%" w:type="pct"/>
          </w:tcPr>
          <w:p>
            <w:pPr>
              <w:ind w:leftChars="0" w:left="0" w:right="0"/>
            </w:pPr>
            <w:r>
              <w:t>AQEA</w:t>
            </w:r>
          </w:p>
        </w:tc>
        <w:tc>
          <w:tcPr>
            <w:cnfStyle w:evenVBand="true" w:oddVBand="false" w:firstColumn="false"/>
            <w:tcW w:w="33.333333%" w:type="pct"/>
          </w:tcPr>
          <w:p>
            <w:pPr>
              <w:ind w:leftChars="0" w:left="0" w:right="0"/>
            </w:pPr>
            <w:r>
              <w:t>AQEA</w:t>
            </w:r>
          </w:p>
        </w:tc>
        <w:tc>
          <w:tcPr>
            <w:cnfStyle w:evenVBand="false" w:oddVBand="true" w:firstColumn="false"/>
            <w:tcW w:w="33.333333%" w:type="pct"/>
          </w:tcPr>
          <w:p>
            <w:pPr>
              <w:ind w:leftChars="0" w:left="0" w:right="0"/>
            </w:pPr>
            <w:r>
              <w:t>AQUIS EXCHANGE EUROPE AUCTION ON DEMAND (AOD)</w:t>
            </w:r>
          </w:p>
        </w:tc>
      </w:tr>
      <w:tr>
        <w:trPr>
          <w:cnfStyle w:evenHBand="true" w:oddHBand="false" w:firstRow="false"/>
        </w:trPr>
        <w:tc>
          <w:tcPr>
            <w:cnfStyle w:evenVBand="false" w:oddVBand="true" w:firstColumn="false"/>
            <w:tcW w:w="33.333333%" w:type="pct"/>
          </w:tcPr>
          <w:p>
            <w:pPr>
              <w:ind w:leftChars="0" w:left="0" w:right="0"/>
            </w:pPr>
            <w:r>
              <w:t>AQED</w:t>
            </w:r>
          </w:p>
        </w:tc>
        <w:tc>
          <w:tcPr>
            <w:cnfStyle w:evenVBand="true" w:oddVBand="false" w:firstColumn="false"/>
            <w:tcW w:w="33.333333%" w:type="pct"/>
          </w:tcPr>
          <w:p>
            <w:pPr>
              <w:ind w:leftChars="0" w:left="0" w:right="0"/>
            </w:pPr>
            <w:r>
              <w:t>AQED</w:t>
            </w:r>
          </w:p>
        </w:tc>
        <w:tc>
          <w:tcPr>
            <w:cnfStyle w:evenVBand="false" w:oddVBand="true" w:firstColumn="false"/>
            <w:tcW w:w="33.333333%" w:type="pct"/>
          </w:tcPr>
          <w:p>
            <w:pPr>
              <w:ind w:leftChars="0" w:left="0" w:right="0"/>
            </w:pPr>
            <w:r>
              <w:t>AQUIS EXCHANGE EUROPE NON DISPLAY ORDER BOOK (NDOB)</w:t>
            </w:r>
          </w:p>
        </w:tc>
      </w:tr>
      <w:tr>
        <w:trPr>
          <w:cnfStyle w:evenHBand="false" w:oddHBand="true" w:firstRow="false"/>
        </w:trPr>
        <w:tc>
          <w:tcPr>
            <w:cnfStyle w:evenVBand="false" w:oddVBand="true" w:firstColumn="false"/>
            <w:tcW w:w="33.333333%" w:type="pct"/>
          </w:tcPr>
          <w:p>
            <w:pPr>
              <w:ind w:leftChars="0" w:left="0" w:right="0"/>
            </w:pPr>
            <w:r>
              <w:t>AQEU</w:t>
            </w:r>
          </w:p>
        </w:tc>
        <w:tc>
          <w:tcPr>
            <w:cnfStyle w:evenVBand="true" w:oddVBand="false" w:firstColumn="false"/>
            <w:tcW w:w="33.333333%" w:type="pct"/>
          </w:tcPr>
          <w:p>
            <w:pPr>
              <w:ind w:leftChars="0" w:left="0" w:right="0"/>
            </w:pPr>
            <w:r>
              <w:t>AQEU</w:t>
            </w:r>
          </w:p>
        </w:tc>
        <w:tc>
          <w:tcPr>
            <w:cnfStyle w:evenVBand="false" w:oddVBand="true" w:firstColumn="false"/>
            <w:tcW w:w="33.333333%" w:type="pct"/>
          </w:tcPr>
          <w:p>
            <w:pPr>
              <w:ind w:leftChars="0" w:left="0" w:right="0"/>
            </w:pPr>
            <w:r>
              <w:t>AQUIS EXCHANGE EUROPE</w:t>
            </w:r>
          </w:p>
        </w:tc>
      </w:tr>
      <w:tr>
        <w:trPr>
          <w:cnfStyle w:evenHBand="true" w:oddHBand="false" w:firstRow="false"/>
        </w:trPr>
        <w:tc>
          <w:tcPr>
            <w:cnfStyle w:evenVBand="false" w:oddVBand="true" w:firstColumn="false"/>
            <w:tcW w:w="33.333333%" w:type="pct"/>
          </w:tcPr>
          <w:p>
            <w:pPr>
              <w:ind w:leftChars="0" w:left="0" w:right="0"/>
            </w:pPr>
            <w:r>
              <w:t>AQSD</w:t>
            </w:r>
          </w:p>
        </w:tc>
        <w:tc>
          <w:tcPr>
            <w:cnfStyle w:evenVBand="true" w:oddVBand="false" w:firstColumn="false"/>
            <w:tcW w:w="33.333333%" w:type="pct"/>
          </w:tcPr>
          <w:p>
            <w:pPr>
              <w:ind w:leftChars="0" w:left="0" w:right="0"/>
            </w:pPr>
            <w:r>
              <w:t>AQSD</w:t>
            </w:r>
          </w:p>
        </w:tc>
        <w:tc>
          <w:tcPr>
            <w:cnfStyle w:evenVBand="false" w:oddVBand="true" w:firstColumn="false"/>
            <w:tcW w:w="33.333333%" w:type="pct"/>
          </w:tcPr>
          <w:p>
            <w:pPr>
              <w:ind w:leftChars="0" w:left="0" w:right="0"/>
            </w:pPr>
            <w:r>
              <w:t>AQSE MAIN MARKET (NON-EQUITY)</w:t>
            </w:r>
          </w:p>
        </w:tc>
      </w:tr>
      <w:tr>
        <w:trPr>
          <w:cnfStyle w:evenHBand="false" w:oddHBand="true" w:firstRow="false"/>
        </w:trPr>
        <w:tc>
          <w:tcPr>
            <w:cnfStyle w:evenVBand="false" w:oddVBand="true" w:firstColumn="false"/>
            <w:tcW w:w="33.333333%" w:type="pct"/>
          </w:tcPr>
          <w:p>
            <w:pPr>
              <w:ind w:leftChars="0" w:left="0" w:right="0"/>
            </w:pPr>
            <w:r>
              <w:t>AQSE</w:t>
            </w:r>
          </w:p>
        </w:tc>
        <w:tc>
          <w:tcPr>
            <w:cnfStyle w:evenVBand="true" w:oddVBand="false" w:firstColumn="false"/>
            <w:tcW w:w="33.333333%" w:type="pct"/>
          </w:tcPr>
          <w:p>
            <w:pPr>
              <w:ind w:leftChars="0" w:left="0" w:right="0"/>
            </w:pPr>
            <w:r>
              <w:t>AQSE</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AQSF</w:t>
            </w:r>
          </w:p>
        </w:tc>
        <w:tc>
          <w:tcPr>
            <w:cnfStyle w:evenVBand="true" w:oddVBand="false" w:firstColumn="false"/>
            <w:tcW w:w="33.333333%" w:type="pct"/>
          </w:tcPr>
          <w:p>
            <w:pPr>
              <w:ind w:leftChars="0" w:left="0" w:right="0"/>
            </w:pPr>
            <w:r>
              <w:t>AQSF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AQSG</w:t>
            </w:r>
          </w:p>
        </w:tc>
        <w:tc>
          <w:tcPr>
            <w:cnfStyle w:evenVBand="true" w:oddVBand="false" w:firstColumn="false"/>
            <w:tcW w:w="33.333333%" w:type="pct"/>
          </w:tcPr>
          <w:p>
            <w:pPr>
              <w:ind w:leftChars="0" w:left="0" w:right="0"/>
            </w:pPr>
            <w:r>
              <w:t>AQSG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AQSL</w:t>
            </w:r>
          </w:p>
        </w:tc>
        <w:tc>
          <w:tcPr>
            <w:cnfStyle w:evenVBand="true" w:oddVBand="false" w:firstColumn="false"/>
            <w:tcW w:w="33.333333%" w:type="pct"/>
          </w:tcPr>
          <w:p>
            <w:pPr>
              <w:ind w:leftChars="0" w:left="0" w:right="0"/>
            </w:pPr>
            <w:r>
              <w:t>AQSL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AQSN</w:t>
            </w:r>
          </w:p>
        </w:tc>
        <w:tc>
          <w:tcPr>
            <w:cnfStyle w:evenVBand="true" w:oddVBand="false" w:firstColumn="false"/>
            <w:tcW w:w="33.333333%" w:type="pct"/>
          </w:tcPr>
          <w:p>
            <w:pPr>
              <w:ind w:leftChars="0" w:left="0" w:right="0"/>
            </w:pPr>
            <w:r>
              <w:t>AQSN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AQST</w:t>
            </w:r>
          </w:p>
        </w:tc>
        <w:tc>
          <w:tcPr>
            <w:cnfStyle w:evenVBand="true" w:oddVBand="false" w:firstColumn="false"/>
            <w:tcW w:w="33.333333%" w:type="pct"/>
          </w:tcPr>
          <w:p>
            <w:pPr>
              <w:ind w:leftChars="0" w:left="0" w:right="0"/>
            </w:pPr>
            <w:r>
              <w:t>AQST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AQUA</w:t>
            </w:r>
          </w:p>
        </w:tc>
        <w:tc>
          <w:tcPr>
            <w:cnfStyle w:evenVBand="true" w:oddVBand="false" w:firstColumn="false"/>
            <w:tcW w:w="33.333333%" w:type="pct"/>
          </w:tcPr>
          <w:p>
            <w:pPr>
              <w:ind w:leftChars="0" w:left="0" w:right="0"/>
            </w:pPr>
            <w:r>
              <w:t>AQUA</w:t>
            </w:r>
          </w:p>
        </w:tc>
        <w:tc>
          <w:tcPr>
            <w:cnfStyle w:evenVBand="false" w:oddVBand="true" w:firstColumn="false"/>
            <w:tcW w:w="33.333333%" w:type="pct"/>
          </w:tcPr>
          <w:p>
            <w:pPr>
              <w:ind w:leftChars="0" w:left="0" w:right="0"/>
            </w:pPr>
            <w:r>
              <w:t>AQUA EQUITIES L.P.</w:t>
            </w:r>
          </w:p>
        </w:tc>
      </w:tr>
      <w:tr>
        <w:trPr>
          <w:cnfStyle w:evenHBand="true" w:oddHBand="false" w:firstRow="false"/>
        </w:trPr>
        <w:tc>
          <w:tcPr>
            <w:cnfStyle w:evenVBand="false" w:oddVBand="true" w:firstColumn="false"/>
            <w:tcW w:w="33.333333%" w:type="pct"/>
          </w:tcPr>
          <w:p>
            <w:pPr>
              <w:ind w:leftChars="0" w:left="0" w:right="0"/>
            </w:pPr>
            <w:r>
              <w:t>AQXA</w:t>
            </w:r>
          </w:p>
        </w:tc>
        <w:tc>
          <w:tcPr>
            <w:cnfStyle w:evenVBand="true" w:oddVBand="false" w:firstColumn="false"/>
            <w:tcW w:w="33.333333%" w:type="pct"/>
          </w:tcPr>
          <w:p>
            <w:pPr>
              <w:ind w:leftChars="0" w:left="0" w:right="0"/>
            </w:pPr>
            <w:r>
              <w:t>AQXA</w:t>
            </w:r>
          </w:p>
        </w:tc>
        <w:tc>
          <w:tcPr>
            <w:cnfStyle w:evenVBand="false" w:oddVBand="true" w:firstColumn="false"/>
            <w:tcW w:w="33.333333%" w:type="pct"/>
          </w:tcPr>
          <w:p>
            <w:pPr>
              <w:ind w:leftChars="0" w:left="0" w:right="0"/>
            </w:pPr>
            <w:r>
              <w:t>AQUIS EXCHANGE PLC AUCTION ON DEMAND (AOD)</w:t>
            </w:r>
          </w:p>
        </w:tc>
      </w:tr>
      <w:tr>
        <w:trPr>
          <w:cnfStyle w:evenHBand="false" w:oddHBand="true" w:firstRow="false"/>
        </w:trPr>
        <w:tc>
          <w:tcPr>
            <w:cnfStyle w:evenVBand="false" w:oddVBand="true" w:firstColumn="false"/>
            <w:tcW w:w="33.333333%" w:type="pct"/>
          </w:tcPr>
          <w:p>
            <w:pPr>
              <w:ind w:leftChars="0" w:left="0" w:right="0"/>
            </w:pPr>
            <w:r>
              <w:t>AQXD</w:t>
            </w:r>
          </w:p>
        </w:tc>
        <w:tc>
          <w:tcPr>
            <w:cnfStyle w:evenVBand="true" w:oddVBand="false" w:firstColumn="false"/>
            <w:tcW w:w="33.333333%" w:type="pct"/>
          </w:tcPr>
          <w:p>
            <w:pPr>
              <w:ind w:leftChars="0" w:left="0" w:right="0"/>
            </w:pPr>
            <w:r>
              <w:t>AQXD</w:t>
            </w:r>
          </w:p>
        </w:tc>
        <w:tc>
          <w:tcPr>
            <w:cnfStyle w:evenVBand="false" w:oddVBand="true" w:firstColumn="false"/>
            <w:tcW w:w="33.333333%" w:type="pct"/>
          </w:tcPr>
          <w:p>
            <w:pPr>
              <w:ind w:leftChars="0" w:left="0" w:right="0"/>
            </w:pPr>
            <w:r>
              <w:t>AQUIS EXCHANGE PLC AMP NON DISPLAY ORDER BOOK</w:t>
            </w:r>
          </w:p>
        </w:tc>
      </w:tr>
      <w:tr>
        <w:trPr>
          <w:cnfStyle w:evenHBand="true" w:oddHBand="false" w:firstRow="false"/>
        </w:trPr>
        <w:tc>
          <w:tcPr>
            <w:cnfStyle w:evenVBand="false" w:oddVBand="true" w:firstColumn="false"/>
            <w:tcW w:w="33.333333%" w:type="pct"/>
          </w:tcPr>
          <w:p>
            <w:pPr>
              <w:ind w:leftChars="0" w:left="0" w:right="0"/>
            </w:pPr>
            <w:r>
              <w:t>AQXE</w:t>
            </w:r>
          </w:p>
        </w:tc>
        <w:tc>
          <w:tcPr>
            <w:cnfStyle w:evenVBand="true" w:oddVBand="false" w:firstColumn="false"/>
            <w:tcW w:w="33.333333%" w:type="pct"/>
          </w:tcPr>
          <w:p>
            <w:pPr>
              <w:ind w:leftChars="0" w:left="0" w:right="0"/>
            </w:pPr>
            <w:r>
              <w:t>AQXE</w:t>
            </w:r>
          </w:p>
        </w:tc>
        <w:tc>
          <w:tcPr>
            <w:cnfStyle w:evenVBand="false" w:oddVBand="true" w:firstColumn="false"/>
            <w:tcW w:w="33.333333%" w:type="pct"/>
          </w:tcPr>
          <w:p>
            <w:pPr>
              <w:ind w:leftChars="0" w:left="0" w:right="0"/>
            </w:pPr>
            <w:r>
              <w:t>AQUIS EXCHANGE PLC</w:t>
            </w:r>
          </w:p>
        </w:tc>
      </w:tr>
      <w:tr>
        <w:trPr>
          <w:cnfStyle w:evenHBand="false" w:oddHBand="true" w:firstRow="false"/>
        </w:trPr>
        <w:tc>
          <w:tcPr>
            <w:cnfStyle w:evenVBand="false" w:oddVBand="true" w:firstColumn="false"/>
            <w:tcW w:w="33.333333%" w:type="pct"/>
          </w:tcPr>
          <w:p>
            <w:pPr>
              <w:ind w:leftChars="0" w:left="0" w:right="0"/>
            </w:pPr>
            <w:r>
              <w:t>ARAX</w:t>
            </w:r>
          </w:p>
        </w:tc>
        <w:tc>
          <w:tcPr>
            <w:cnfStyle w:evenVBand="true" w:oddVBand="false" w:firstColumn="false"/>
            <w:tcW w:w="33.333333%" w:type="pct"/>
          </w:tcPr>
          <w:p>
            <w:pPr>
              <w:ind w:leftChars="0" w:left="0" w:right="0"/>
            </w:pPr>
            <w:r>
              <w:t>ARAX</w:t>
            </w:r>
          </w:p>
        </w:tc>
        <w:tc>
          <w:tcPr>
            <w:cnfStyle w:evenVBand="false" w:oddVBand="true" w:firstColumn="false"/>
            <w:tcW w:w="33.333333%" w:type="pct"/>
          </w:tcPr>
          <w:p>
            <w:pPr>
              <w:ind w:leftChars="0" w:left="0" w:right="0"/>
            </w:pPr>
            <w:r>
              <w:t>ARRACO GLOBAL MARKETS LTD</w:t>
            </w:r>
          </w:p>
        </w:tc>
      </w:tr>
      <w:tr>
        <w:trPr>
          <w:cnfStyle w:evenHBand="true" w:oddHBand="false" w:firstRow="false"/>
        </w:trPr>
        <w:tc>
          <w:tcPr>
            <w:cnfStyle w:evenVBand="false" w:oddVBand="true" w:firstColumn="false"/>
            <w:tcW w:w="33.333333%" w:type="pct"/>
          </w:tcPr>
          <w:p>
            <w:pPr>
              <w:ind w:leftChars="0" w:left="0" w:right="0"/>
            </w:pPr>
            <w:r>
              <w:t>ARCD</w:t>
            </w:r>
          </w:p>
        </w:tc>
        <w:tc>
          <w:tcPr>
            <w:cnfStyle w:evenVBand="true" w:oddVBand="false" w:firstColumn="false"/>
            <w:tcW w:w="33.333333%" w:type="pct"/>
          </w:tcPr>
          <w:p>
            <w:pPr>
              <w:ind w:leftChars="0" w:left="0" w:right="0"/>
            </w:pPr>
            <w:r>
              <w:t>ARCD</w:t>
            </w:r>
          </w:p>
        </w:tc>
        <w:tc>
          <w:tcPr>
            <w:cnfStyle w:evenVBand="false" w:oddVBand="true" w:firstColumn="false"/>
            <w:tcW w:w="33.333333%" w:type="pct"/>
          </w:tcPr>
          <w:p>
            <w:pPr>
              <w:ind w:leftChars="0" w:left="0" w:right="0"/>
            </w:pPr>
            <w:r>
              <w:t>ARCA DARK</w:t>
            </w:r>
          </w:p>
        </w:tc>
      </w:tr>
      <w:tr>
        <w:trPr>
          <w:cnfStyle w:evenHBand="false" w:oddHBand="true" w:firstRow="false"/>
        </w:trPr>
        <w:tc>
          <w:tcPr>
            <w:cnfStyle w:evenVBand="false" w:oddVBand="true" w:firstColumn="false"/>
            <w:tcW w:w="33.333333%" w:type="pct"/>
          </w:tcPr>
          <w:p>
            <w:pPr>
              <w:ind w:leftChars="0" w:left="0" w:right="0"/>
            </w:pPr>
            <w:r>
              <w:t>ARCH</w:t>
            </w:r>
          </w:p>
        </w:tc>
        <w:tc>
          <w:tcPr>
            <w:cnfStyle w:evenVBand="true" w:oddVBand="false" w:firstColumn="false"/>
            <w:tcW w:w="33.333333%" w:type="pct"/>
          </w:tcPr>
          <w:p>
            <w:pPr>
              <w:ind w:leftChars="0" w:left="0" w:right="0"/>
            </w:pPr>
            <w:r>
              <w:t>ARCH</w:t>
            </w:r>
          </w:p>
        </w:tc>
        <w:tc>
          <w:tcPr>
            <w:cnfStyle w:evenVBand="false" w:oddVBand="true" w:firstColumn="false"/>
            <w:tcW w:w="33.333333%" w:type="pct"/>
          </w:tcPr>
          <w:p>
            <w:pPr>
              <w:ind w:leftChars="0" w:left="0" w:right="0"/>
            </w:pPr>
            <w:r>
              <w:t>ARCHAX</w:t>
            </w:r>
          </w:p>
        </w:tc>
      </w:tr>
      <w:tr>
        <w:trPr>
          <w:cnfStyle w:evenHBand="true" w:oddHBand="false" w:firstRow="false"/>
        </w:trPr>
        <w:tc>
          <w:tcPr>
            <w:cnfStyle w:evenVBand="false" w:oddVBand="true" w:firstColumn="false"/>
            <w:tcW w:w="33.333333%" w:type="pct"/>
          </w:tcPr>
          <w:p>
            <w:pPr>
              <w:ind w:leftChars="0" w:left="0" w:right="0"/>
            </w:pPr>
            <w:r>
              <w:t>ARCO</w:t>
            </w:r>
          </w:p>
        </w:tc>
        <w:tc>
          <w:tcPr>
            <w:cnfStyle w:evenVBand="true" w:oddVBand="false" w:firstColumn="false"/>
            <w:tcW w:w="33.333333%" w:type="pct"/>
          </w:tcPr>
          <w:p>
            <w:pPr>
              <w:ind w:leftChars="0" w:left="0" w:right="0"/>
            </w:pPr>
            <w:r>
              <w:t>ARCO</w:t>
            </w:r>
          </w:p>
        </w:tc>
        <w:tc>
          <w:tcPr>
            <w:cnfStyle w:evenVBand="false" w:oddVBand="true" w:firstColumn="false"/>
            <w:tcW w:w="33.333333%" w:type="pct"/>
          </w:tcPr>
          <w:p>
            <w:pPr>
              <w:ind w:leftChars="0" w:left="0" w:right="0"/>
            </w:pPr>
            <w:r>
              <w:t>NYSE ARCA OPTIONS</w:t>
            </w:r>
          </w:p>
        </w:tc>
      </w:tr>
      <w:tr>
        <w:trPr>
          <w:cnfStyle w:evenHBand="false" w:oddHBand="true" w:firstRow="false"/>
        </w:trPr>
        <w:tc>
          <w:tcPr>
            <w:cnfStyle w:evenVBand="false" w:oddVBand="true" w:firstColumn="false"/>
            <w:tcW w:w="33.333333%" w:type="pct"/>
          </w:tcPr>
          <w:p>
            <w:pPr>
              <w:ind w:leftChars="0" w:left="0" w:right="0"/>
            </w:pPr>
            <w:r>
              <w:t>ARCX</w:t>
            </w:r>
          </w:p>
        </w:tc>
        <w:tc>
          <w:tcPr>
            <w:cnfStyle w:evenVBand="true" w:oddVBand="false" w:firstColumn="false"/>
            <w:tcW w:w="33.333333%" w:type="pct"/>
          </w:tcPr>
          <w:p>
            <w:pPr>
              <w:ind w:leftChars="0" w:left="0" w:right="0"/>
            </w:pPr>
            <w:r>
              <w:t>ARCX</w:t>
            </w:r>
          </w:p>
        </w:tc>
        <w:tc>
          <w:tcPr>
            <w:cnfStyle w:evenVBand="false" w:oddVBand="true" w:firstColumn="false"/>
            <w:tcW w:w="33.333333%" w:type="pct"/>
          </w:tcPr>
          <w:p>
            <w:pPr>
              <w:ind w:leftChars="0" w:left="0" w:right="0"/>
            </w:pPr>
            <w:r>
              <w:t>NYSE ARCA</w:t>
            </w:r>
          </w:p>
        </w:tc>
      </w:tr>
      <w:tr>
        <w:trPr>
          <w:cnfStyle w:evenHBand="true" w:oddHBand="false" w:firstRow="false"/>
        </w:trPr>
        <w:tc>
          <w:tcPr>
            <w:cnfStyle w:evenVBand="false" w:oddVBand="true" w:firstColumn="false"/>
            <w:tcW w:w="33.333333%" w:type="pct"/>
          </w:tcPr>
          <w:p>
            <w:pPr>
              <w:ind w:leftChars="0" w:left="0" w:right="0"/>
            </w:pPr>
            <w:r>
              <w:t>AREX</w:t>
            </w:r>
          </w:p>
        </w:tc>
        <w:tc>
          <w:tcPr>
            <w:cnfStyle w:evenVBand="true" w:oddVBand="false" w:firstColumn="false"/>
            <w:tcW w:w="33.333333%" w:type="pct"/>
          </w:tcPr>
          <w:p>
            <w:pPr>
              <w:ind w:leftChars="0" w:left="0" w:right="0"/>
            </w:pPr>
            <w:r>
              <w:t>AREX</w:t>
            </w:r>
          </w:p>
        </w:tc>
        <w:tc>
          <w:tcPr>
            <w:cnfStyle w:evenVBand="false" w:oddVBand="true" w:firstColumn="false"/>
            <w:tcW w:w="33.333333%" w:type="pct"/>
          </w:tcPr>
          <w:p>
            <w:pPr>
              <w:ind w:leftChars="0" w:left="0" w:right="0"/>
            </w:pPr>
            <w:r>
              <w:t>AREX - AUTOMATED RECEIVABLES EXCHANGE</w:t>
            </w:r>
          </w:p>
        </w:tc>
      </w:tr>
      <w:tr>
        <w:trPr>
          <w:cnfStyle w:evenHBand="false" w:oddHBand="true" w:firstRow="false"/>
        </w:trPr>
        <w:tc>
          <w:tcPr>
            <w:cnfStyle w:evenVBand="false" w:oddVBand="true" w:firstColumn="false"/>
            <w:tcW w:w="33.333333%" w:type="pct"/>
          </w:tcPr>
          <w:p>
            <w:pPr>
              <w:ind w:leftChars="0" w:left="0" w:right="0"/>
            </w:pPr>
            <w:r>
              <w:t>ARIA</w:t>
            </w:r>
          </w:p>
        </w:tc>
        <w:tc>
          <w:tcPr>
            <w:cnfStyle w:evenVBand="true" w:oddVBand="false" w:firstColumn="false"/>
            <w:tcW w:w="33.333333%" w:type="pct"/>
          </w:tcPr>
          <w:p>
            <w:pPr>
              <w:ind w:leftChars="0" w:left="0" w:right="0"/>
            </w:pPr>
            <w:r>
              <w:t>ARIA</w:t>
            </w:r>
          </w:p>
        </w:tc>
        <w:tc>
          <w:tcPr>
            <w:cnfStyle w:evenVBand="false" w:oddVBand="true" w:firstColumn="false"/>
            <w:tcW w:w="33.333333%" w:type="pct"/>
          </w:tcPr>
          <w:p>
            <w:pPr>
              <w:ind w:leftChars="0" w:left="0" w:right="0"/>
            </w:pPr>
            <w:r>
              <w:t>ARIAN TRADING FACILITY</w:t>
            </w:r>
          </w:p>
        </w:tc>
      </w:tr>
      <w:tr>
        <w:trPr>
          <w:cnfStyle w:evenHBand="true" w:oddHBand="false" w:firstRow="false"/>
        </w:trPr>
        <w:tc>
          <w:tcPr>
            <w:cnfStyle w:evenVBand="false" w:oddVBand="true" w:firstColumn="false"/>
            <w:tcW w:w="33.333333%" w:type="pct"/>
          </w:tcPr>
          <w:p>
            <w:pPr>
              <w:ind w:leftChars="0" w:left="0" w:right="0"/>
            </w:pPr>
            <w:r>
              <w:t>ARKX</w:t>
            </w:r>
          </w:p>
        </w:tc>
        <w:tc>
          <w:tcPr>
            <w:cnfStyle w:evenVBand="true" w:oddVBand="false" w:firstColumn="false"/>
            <w:tcW w:w="33.333333%" w:type="pct"/>
          </w:tcPr>
          <w:p>
            <w:pPr>
              <w:ind w:leftChars="0" w:left="0" w:right="0"/>
            </w:pPr>
            <w:r>
              <w:t>ARKX</w:t>
            </w:r>
          </w:p>
        </w:tc>
        <w:tc>
          <w:tcPr>
            <w:cnfStyle w:evenVBand="false" w:oddVBand="true" w:firstColumn="false"/>
            <w:tcW w:w="33.333333%" w:type="pct"/>
          </w:tcPr>
          <w:p>
            <w:pPr>
              <w:ind w:leftChars="0" w:left="0" w:right="0"/>
            </w:pPr>
            <w:r>
              <w:t>ARKONIS</w:t>
            </w:r>
          </w:p>
        </w:tc>
      </w:tr>
      <w:tr>
        <w:trPr>
          <w:cnfStyle w:evenHBand="false" w:oddHBand="true" w:firstRow="false"/>
        </w:trPr>
        <w:tc>
          <w:tcPr>
            <w:cnfStyle w:evenVBand="false" w:oddVBand="true" w:firstColumn="false"/>
            <w:tcW w:w="33.333333%" w:type="pct"/>
          </w:tcPr>
          <w:p>
            <w:pPr>
              <w:ind w:leftChars="0" w:left="0" w:right="0"/>
            </w:pPr>
            <w:r>
              <w:t>ARTX</w:t>
            </w:r>
          </w:p>
        </w:tc>
        <w:tc>
          <w:tcPr>
            <w:cnfStyle w:evenVBand="true" w:oddVBand="false" w:firstColumn="false"/>
            <w:tcW w:w="33.333333%" w:type="pct"/>
          </w:tcPr>
          <w:p>
            <w:pPr>
              <w:ind w:leftChars="0" w:left="0" w:right="0"/>
            </w:pPr>
            <w:r>
              <w:t>ARTX</w:t>
            </w:r>
          </w:p>
        </w:tc>
        <w:tc>
          <w:tcPr>
            <w:cnfStyle w:evenVBand="false" w:oddVBand="true" w:firstColumn="false"/>
            <w:tcW w:w="33.333333%" w:type="pct"/>
          </w:tcPr>
          <w:p>
            <w:pPr>
              <w:ind w:leftChars="0" w:left="0" w:right="0"/>
            </w:pPr>
            <w:r>
              <w:t>ARTEX EUROPE</w:t>
            </w:r>
          </w:p>
        </w:tc>
      </w:tr>
      <w:tr>
        <w:trPr>
          <w:cnfStyle w:evenHBand="true" w:oddHBand="false" w:firstRow="false"/>
        </w:trPr>
        <w:tc>
          <w:tcPr>
            <w:cnfStyle w:evenVBand="false" w:oddVBand="true" w:firstColumn="false"/>
            <w:tcW w:w="33.333333%" w:type="pct"/>
          </w:tcPr>
          <w:p>
            <w:pPr>
              <w:ind w:leftChars="0" w:left="0" w:right="0"/>
            </w:pPr>
            <w:r>
              <w:t>ASEF</w:t>
            </w:r>
          </w:p>
        </w:tc>
        <w:tc>
          <w:tcPr>
            <w:cnfStyle w:evenVBand="true" w:oddVBand="false" w:firstColumn="false"/>
            <w:tcW w:w="33.333333%" w:type="pct"/>
          </w:tcPr>
          <w:p>
            <w:pPr>
              <w:ind w:leftChars="0" w:left="0" w:right="0"/>
            </w:pPr>
            <w:r>
              <w:t>ASEF</w:t>
            </w:r>
          </w:p>
        </w:tc>
        <w:tc>
          <w:tcPr>
            <w:cnfStyle w:evenVBand="false" w:oddVBand="true" w:firstColumn="false"/>
            <w:tcW w:w="33.333333%" w:type="pct"/>
          </w:tcPr>
          <w:p>
            <w:pPr>
              <w:ind w:leftChars="0" w:left="0" w:right="0"/>
            </w:pPr>
            <w:r>
              <w:t>AEGIS SWAP EXECUTION FACILITY</w:t>
            </w:r>
          </w:p>
        </w:tc>
      </w:tr>
      <w:tr>
        <w:trPr>
          <w:cnfStyle w:evenHBand="false" w:oddHBand="true" w:firstRow="false"/>
        </w:trPr>
        <w:tc>
          <w:tcPr>
            <w:cnfStyle w:evenVBand="false" w:oddVBand="true" w:firstColumn="false"/>
            <w:tcW w:w="33.333333%" w:type="pct"/>
          </w:tcPr>
          <w:p>
            <w:pPr>
              <w:ind w:leftChars="0" w:left="0" w:right="0"/>
            </w:pPr>
            <w:r>
              <w:t>ASEX</w:t>
            </w:r>
          </w:p>
        </w:tc>
        <w:tc>
          <w:tcPr>
            <w:cnfStyle w:evenVBand="true" w:oddVBand="false" w:firstColumn="false"/>
            <w:tcW w:w="33.333333%" w:type="pct"/>
          </w:tcPr>
          <w:p>
            <w:pPr>
              <w:ind w:leftChars="0" w:left="0" w:right="0"/>
            </w:pPr>
            <w:r>
              <w:t>ASEX</w:t>
            </w:r>
          </w:p>
        </w:tc>
        <w:tc>
          <w:tcPr>
            <w:cnfStyle w:evenVBand="false" w:oddVBand="true" w:firstColumn="false"/>
            <w:tcW w:w="33.333333%" w:type="pct"/>
          </w:tcPr>
          <w:p>
            <w:pPr>
              <w:ind w:leftChars="0" w:left="0" w:right="0"/>
            </w:pPr>
            <w:r>
              <w:t>ATHENS STOCK EXCHANGE</w:t>
            </w:r>
          </w:p>
        </w:tc>
      </w:tr>
      <w:tr>
        <w:trPr>
          <w:cnfStyle w:evenHBand="true" w:oddHBand="false" w:firstRow="false"/>
        </w:trPr>
        <w:tc>
          <w:tcPr>
            <w:cnfStyle w:evenVBand="false" w:oddVBand="true" w:firstColumn="false"/>
            <w:tcW w:w="33.333333%" w:type="pct"/>
          </w:tcPr>
          <w:p>
            <w:pPr>
              <w:ind w:leftChars="0" w:left="0" w:right="0"/>
            </w:pPr>
            <w:r>
              <w:t>ASMT</w:t>
            </w:r>
          </w:p>
        </w:tc>
        <w:tc>
          <w:tcPr>
            <w:cnfStyle w:evenVBand="true" w:oddVBand="false" w:firstColumn="false"/>
            <w:tcW w:w="33.333333%" w:type="pct"/>
          </w:tcPr>
          <w:p>
            <w:pPr>
              <w:ind w:leftChars="0" w:left="0" w:right="0"/>
            </w:pPr>
            <w:r>
              <w:t>ASMT</w:t>
            </w:r>
          </w:p>
        </w:tc>
        <w:tc>
          <w:tcPr>
            <w:cnfStyle w:evenVBand="false" w:oddVBand="true" w:firstColumn="false"/>
            <w:tcW w:w="33.333333%" w:type="pct"/>
          </w:tcPr>
          <w:p>
            <w:pPr>
              <w:ind w:leftChars="0" w:left="0" w:right="0"/>
            </w:pPr>
            <w:r>
              <w:t>INTELLIGENTCROSS ASPEN MAKER/TAKER</w:t>
            </w:r>
          </w:p>
        </w:tc>
      </w:tr>
      <w:tr>
        <w:trPr>
          <w:cnfStyle w:evenHBand="false" w:oddHBand="true" w:firstRow="false"/>
        </w:trPr>
        <w:tc>
          <w:tcPr>
            <w:cnfStyle w:evenVBand="false" w:oddVBand="true" w:firstColumn="false"/>
            <w:tcW w:w="33.333333%" w:type="pct"/>
          </w:tcPr>
          <w:p>
            <w:pPr>
              <w:ind w:leftChars="0" w:left="0" w:right="0"/>
            </w:pPr>
            <w:r>
              <w:t>ASPI</w:t>
            </w:r>
          </w:p>
        </w:tc>
        <w:tc>
          <w:tcPr>
            <w:cnfStyle w:evenVBand="true" w:oddVBand="false" w:firstColumn="false"/>
            <w:tcW w:w="33.333333%" w:type="pct"/>
          </w:tcPr>
          <w:p>
            <w:pPr>
              <w:ind w:leftChars="0" w:left="0" w:right="0"/>
            </w:pPr>
            <w:r>
              <w:t>ASPI</w:t>
            </w:r>
          </w:p>
        </w:tc>
        <w:tc>
          <w:tcPr>
            <w:cnfStyle w:evenVBand="false" w:oddVBand="true" w:firstColumn="false"/>
            <w:tcW w:w="33.333333%" w:type="pct"/>
          </w:tcPr>
          <w:p>
            <w:pPr>
              <w:ind w:leftChars="0" w:left="0" w:right="0"/>
            </w:pPr>
            <w:r>
              <w:t>INTELLIGENTCROSS ASPEN INVERTED</w:t>
            </w:r>
          </w:p>
        </w:tc>
      </w:tr>
      <w:tr>
        <w:trPr>
          <w:cnfStyle w:evenHBand="true" w:oddHBand="false" w:firstRow="false"/>
        </w:trPr>
        <w:tc>
          <w:tcPr>
            <w:cnfStyle w:evenVBand="false" w:oddVBand="true" w:firstColumn="false"/>
            <w:tcW w:w="33.333333%" w:type="pct"/>
          </w:tcPr>
          <w:p>
            <w:pPr>
              <w:ind w:leftChars="0" w:left="0" w:right="0"/>
            </w:pPr>
            <w:r>
              <w:t>ASPN</w:t>
            </w:r>
          </w:p>
        </w:tc>
        <w:tc>
          <w:tcPr>
            <w:cnfStyle w:evenVBand="true" w:oddVBand="false" w:firstColumn="false"/>
            <w:tcW w:w="33.333333%" w:type="pct"/>
          </w:tcPr>
          <w:p>
            <w:pPr>
              <w:ind w:leftChars="0" w:left="0" w:right="0"/>
            </w:pPr>
            <w:r>
              <w:t>ASPN</w:t>
            </w:r>
          </w:p>
        </w:tc>
        <w:tc>
          <w:tcPr>
            <w:cnfStyle w:evenVBand="false" w:oddVBand="true" w:firstColumn="false"/>
            <w:tcW w:w="33.333333%" w:type="pct"/>
          </w:tcPr>
          <w:p>
            <w:pPr>
              <w:ind w:leftChars="0" w:left="0" w:right="0"/>
            </w:pPr>
            <w:r>
              <w:t>INTELLIGENTCROSS ASPEN INTELLIGENT BID/OFFER</w:t>
            </w:r>
          </w:p>
        </w:tc>
      </w:tr>
      <w:tr>
        <w:trPr>
          <w:cnfStyle w:evenHBand="false" w:oddHBand="true" w:firstRow="false"/>
        </w:trPr>
        <w:tc>
          <w:tcPr>
            <w:cnfStyle w:evenVBand="false" w:oddVBand="true" w:firstColumn="false"/>
            <w:tcW w:w="33.333333%" w:type="pct"/>
          </w:tcPr>
          <w:p>
            <w:pPr>
              <w:ind w:leftChars="0" w:left="0" w:right="0"/>
            </w:pPr>
            <w:r>
              <w:t>ASTR</w:t>
            </w:r>
          </w:p>
        </w:tc>
        <w:tc>
          <w:tcPr>
            <w:cnfStyle w:evenVBand="true" w:oddVBand="false" w:firstColumn="false"/>
            <w:tcW w:w="33.333333%" w:type="pct"/>
          </w:tcPr>
          <w:p>
            <w:pPr>
              <w:ind w:leftChars="0" w:left="0" w:right="0"/>
            </w:pPr>
            <w:r>
              <w:t>ASTR</w:t>
            </w:r>
          </w:p>
        </w:tc>
        <w:tc>
          <w:tcPr>
            <w:cnfStyle w:evenVBand="false" w:oddVBand="true" w:firstColumn="false"/>
            <w:tcW w:w="33.333333%" w:type="pct"/>
          </w:tcPr>
          <w:p>
            <w:pPr>
              <w:ind w:leftChars="0" w:left="0" w:right="0"/>
            </w:pPr>
            <w:r>
              <w:t>CLEARCORP DEALING SYSTEMS INDIA LIMITED - ASTROID</w:t>
            </w:r>
          </w:p>
        </w:tc>
      </w:tr>
      <w:tr>
        <w:trPr>
          <w:cnfStyle w:evenHBand="true" w:oddHBand="false" w:firstRow="false"/>
        </w:trPr>
        <w:tc>
          <w:tcPr>
            <w:cnfStyle w:evenVBand="false" w:oddVBand="true" w:firstColumn="false"/>
            <w:tcW w:w="33.333333%" w:type="pct"/>
          </w:tcPr>
          <w:p>
            <w:pPr>
              <w:ind w:leftChars="0" w:left="0" w:right="0"/>
            </w:pPr>
            <w:r>
              <w:t>ASXB</w:t>
            </w:r>
          </w:p>
        </w:tc>
        <w:tc>
          <w:tcPr>
            <w:cnfStyle w:evenVBand="true" w:oddVBand="false" w:firstColumn="false"/>
            <w:tcW w:w="33.333333%" w:type="pct"/>
          </w:tcPr>
          <w:p>
            <w:pPr>
              <w:ind w:leftChars="0" w:left="0" w:right="0"/>
            </w:pPr>
            <w:r>
              <w:t>ASXB</w:t>
            </w:r>
          </w:p>
        </w:tc>
        <w:tc>
          <w:tcPr>
            <w:cnfStyle w:evenVBand="false" w:oddVBand="true" w:firstColumn="false"/>
            <w:tcW w:w="33.333333%" w:type="pct"/>
          </w:tcPr>
          <w:p>
            <w:pPr>
              <w:ind w:leftChars="0" w:left="0" w:right="0"/>
            </w:pPr>
            <w:r>
              <w:t>ASX BOOKBUILD</w:t>
            </w:r>
          </w:p>
        </w:tc>
      </w:tr>
      <w:tr>
        <w:trPr>
          <w:cnfStyle w:evenHBand="false" w:oddHBand="true" w:firstRow="false"/>
        </w:trPr>
        <w:tc>
          <w:tcPr>
            <w:cnfStyle w:evenVBand="false" w:oddVBand="true" w:firstColumn="false"/>
            <w:tcW w:w="33.333333%" w:type="pct"/>
          </w:tcPr>
          <w:p>
            <w:pPr>
              <w:ind w:leftChars="0" w:left="0" w:right="0"/>
            </w:pPr>
            <w:r>
              <w:t>ASXC</w:t>
            </w:r>
          </w:p>
        </w:tc>
        <w:tc>
          <w:tcPr>
            <w:cnfStyle w:evenVBand="true" w:oddVBand="false" w:firstColumn="false"/>
            <w:tcW w:w="33.333333%" w:type="pct"/>
          </w:tcPr>
          <w:p>
            <w:pPr>
              <w:ind w:leftChars="0" w:left="0" w:right="0"/>
            </w:pPr>
            <w:r>
              <w:t>ASXC</w:t>
            </w:r>
          </w:p>
        </w:tc>
        <w:tc>
          <w:tcPr>
            <w:cnfStyle w:evenVBand="false" w:oddVBand="true" w:firstColumn="false"/>
            <w:tcW w:w="33.333333%" w:type="pct"/>
          </w:tcPr>
          <w:p>
            <w:pPr>
              <w:ind w:leftChars="0" w:left="0" w:right="0"/>
            </w:pPr>
            <w:r>
              <w:t>ASX - CENTRE POINT</w:t>
            </w:r>
          </w:p>
        </w:tc>
      </w:tr>
      <w:tr>
        <w:trPr>
          <w:cnfStyle w:evenHBand="true" w:oddHBand="false" w:firstRow="false"/>
        </w:trPr>
        <w:tc>
          <w:tcPr>
            <w:cnfStyle w:evenVBand="false" w:oddVBand="true" w:firstColumn="false"/>
            <w:tcW w:w="33.333333%" w:type="pct"/>
          </w:tcPr>
          <w:p>
            <w:pPr>
              <w:ind w:leftChars="0" w:left="0" w:right="0"/>
            </w:pPr>
            <w:r>
              <w:t>ASXP</w:t>
            </w:r>
          </w:p>
        </w:tc>
        <w:tc>
          <w:tcPr>
            <w:cnfStyle w:evenVBand="true" w:oddVBand="false" w:firstColumn="false"/>
            <w:tcW w:w="33.333333%" w:type="pct"/>
          </w:tcPr>
          <w:p>
            <w:pPr>
              <w:ind w:leftChars="0" w:left="0" w:right="0"/>
            </w:pPr>
            <w:r>
              <w:t>ASXP</w:t>
            </w:r>
          </w:p>
        </w:tc>
        <w:tc>
          <w:tcPr>
            <w:cnfStyle w:evenVBand="false" w:oddVBand="true" w:firstColumn="false"/>
            <w:tcW w:w="33.333333%" w:type="pct"/>
          </w:tcPr>
          <w:p>
            <w:pPr>
              <w:ind w:leftChars="0" w:left="0" w:right="0"/>
            </w:pPr>
            <w:r>
              <w:t>ASX - PUREMATCH</w:t>
            </w:r>
          </w:p>
        </w:tc>
      </w:tr>
      <w:tr>
        <w:trPr>
          <w:cnfStyle w:evenHBand="false" w:oddHBand="true" w:firstRow="false"/>
        </w:trPr>
        <w:tc>
          <w:tcPr>
            <w:cnfStyle w:evenVBand="false" w:oddVBand="true" w:firstColumn="false"/>
            <w:tcW w:w="33.333333%" w:type="pct"/>
          </w:tcPr>
          <w:p>
            <w:pPr>
              <w:ind w:leftChars="0" w:left="0" w:right="0"/>
            </w:pPr>
            <w:r>
              <w:t>ASXT</w:t>
            </w:r>
          </w:p>
        </w:tc>
        <w:tc>
          <w:tcPr>
            <w:cnfStyle w:evenVBand="true" w:oddVBand="false" w:firstColumn="false"/>
            <w:tcW w:w="33.333333%" w:type="pct"/>
          </w:tcPr>
          <w:p>
            <w:pPr>
              <w:ind w:leftChars="0" w:left="0" w:right="0"/>
            </w:pPr>
            <w:r>
              <w:t>ASXT</w:t>
            </w:r>
          </w:p>
        </w:tc>
        <w:tc>
          <w:tcPr>
            <w:cnfStyle w:evenVBand="false" w:oddVBand="true" w:firstColumn="false"/>
            <w:tcW w:w="33.333333%" w:type="pct"/>
          </w:tcPr>
          <w:p>
            <w:pPr>
              <w:ind w:leftChars="0" w:left="0" w:right="0"/>
            </w:pPr>
            <w:r>
              <w:t>ASX TRADEMATCH</w:t>
            </w:r>
          </w:p>
        </w:tc>
      </w:tr>
      <w:tr>
        <w:trPr>
          <w:cnfStyle w:evenHBand="true" w:oddHBand="false" w:firstRow="false"/>
        </w:trPr>
        <w:tc>
          <w:tcPr>
            <w:cnfStyle w:evenVBand="false" w:oddVBand="true" w:firstColumn="false"/>
            <w:tcW w:w="33.333333%" w:type="pct"/>
          </w:tcPr>
          <w:p>
            <w:pPr>
              <w:ind w:leftChars="0" w:left="0" w:right="0"/>
            </w:pPr>
            <w:r>
              <w:t>ASXV</w:t>
            </w:r>
          </w:p>
        </w:tc>
        <w:tc>
          <w:tcPr>
            <w:cnfStyle w:evenVBand="true" w:oddVBand="false" w:firstColumn="false"/>
            <w:tcW w:w="33.333333%" w:type="pct"/>
          </w:tcPr>
          <w:p>
            <w:pPr>
              <w:ind w:leftChars="0" w:left="0" w:right="0"/>
            </w:pPr>
            <w:r>
              <w:t>ASXV</w:t>
            </w:r>
          </w:p>
        </w:tc>
        <w:tc>
          <w:tcPr>
            <w:cnfStyle w:evenVBand="false" w:oddVBand="true" w:firstColumn="false"/>
            <w:tcW w:w="33.333333%" w:type="pct"/>
          </w:tcPr>
          <w:p>
            <w:pPr>
              <w:ind w:leftChars="0" w:left="0" w:right="0"/>
            </w:pPr>
            <w:r>
              <w:t>ASX - VOLUMEMATCH</w:t>
            </w:r>
          </w:p>
        </w:tc>
      </w:tr>
      <w:tr>
        <w:trPr>
          <w:cnfStyle w:evenHBand="false" w:oddHBand="true" w:firstRow="false"/>
        </w:trPr>
        <w:tc>
          <w:tcPr>
            <w:cnfStyle w:evenVBand="false" w:oddVBand="true" w:firstColumn="false"/>
            <w:tcW w:w="33.333333%" w:type="pct"/>
          </w:tcPr>
          <w:p>
            <w:pPr>
              <w:ind w:leftChars="0" w:left="0" w:right="0"/>
            </w:pPr>
            <w:r>
              <w:t>ATDF</w:t>
            </w:r>
          </w:p>
        </w:tc>
        <w:tc>
          <w:tcPr>
            <w:cnfStyle w:evenVBand="true" w:oddVBand="false" w:firstColumn="false"/>
            <w:tcW w:w="33.333333%" w:type="pct"/>
          </w:tcPr>
          <w:p>
            <w:pPr>
              <w:ind w:leftChars="0" w:left="0" w:right="0"/>
            </w:pPr>
            <w:r>
              <w:t>ATDF</w:t>
            </w:r>
          </w:p>
        </w:tc>
        <w:tc>
          <w:tcPr>
            <w:cnfStyle w:evenVBand="false" w:oddVBand="true" w:firstColumn="false"/>
            <w:tcW w:w="33.333333%" w:type="pct"/>
          </w:tcPr>
          <w:p>
            <w:pPr>
              <w:ind w:leftChars="0" w:left="0" w:right="0"/>
            </w:pPr>
            <w:r>
              <w:t>AUTOMATED TRADING DESK FINANCIAL SERVICES, LLC</w:t>
            </w:r>
          </w:p>
        </w:tc>
      </w:tr>
      <w:tr>
        <w:trPr>
          <w:cnfStyle w:evenHBand="true" w:oddHBand="false" w:firstRow="false"/>
        </w:trPr>
        <w:tc>
          <w:tcPr>
            <w:cnfStyle w:evenVBand="false" w:oddVBand="true" w:firstColumn="false"/>
            <w:tcW w:w="33.333333%" w:type="pct"/>
          </w:tcPr>
          <w:p>
            <w:pPr>
              <w:ind w:leftChars="0" w:left="0" w:right="0"/>
            </w:pPr>
            <w:r>
              <w:t>ATFX</w:t>
            </w:r>
          </w:p>
        </w:tc>
        <w:tc>
          <w:tcPr>
            <w:cnfStyle w:evenVBand="true" w:oddVBand="false" w:firstColumn="false"/>
            <w:tcW w:w="33.333333%" w:type="pct"/>
          </w:tcPr>
          <w:p>
            <w:pPr>
              <w:ind w:leftChars="0" w:left="0" w:right="0"/>
            </w:pPr>
            <w:r>
              <w:t>ATFX</w:t>
            </w:r>
          </w:p>
        </w:tc>
        <w:tc>
          <w:tcPr>
            <w:cnfStyle w:evenVBand="false" w:oddVBand="true" w:firstColumn="false"/>
            <w:tcW w:w="33.333333%" w:type="pct"/>
          </w:tcPr>
          <w:p>
            <w:pPr>
              <w:ind w:leftChars="0" w:left="0" w:right="0"/>
            </w:pPr>
            <w:r>
              <w:t>ATFUND MTF</w:t>
            </w:r>
          </w:p>
        </w:tc>
      </w:tr>
      <w:tr>
        <w:trPr>
          <w:cnfStyle w:evenHBand="false" w:oddHBand="true" w:firstRow="false"/>
        </w:trPr>
        <w:tc>
          <w:tcPr>
            <w:cnfStyle w:evenVBand="false" w:oddVBand="true" w:firstColumn="false"/>
            <w:tcW w:w="33.333333%" w:type="pct"/>
          </w:tcPr>
          <w:p>
            <w:pPr>
              <w:ind w:leftChars="0" w:left="0" w:right="0"/>
            </w:pPr>
            <w:r>
              <w:t>ATHL</w:t>
            </w:r>
          </w:p>
        </w:tc>
        <w:tc>
          <w:tcPr>
            <w:cnfStyle w:evenVBand="true" w:oddVBand="false" w:firstColumn="false"/>
            <w:tcW w:w="33.333333%" w:type="pct"/>
          </w:tcPr>
          <w:p>
            <w:pPr>
              <w:ind w:leftChars="0" w:left="0" w:right="0"/>
            </w:pPr>
            <w:r>
              <w:t>ATHL</w:t>
            </w:r>
          </w:p>
        </w:tc>
        <w:tc>
          <w:tcPr>
            <w:cnfStyle w:evenVBand="false" w:oddVBand="true" w:firstColumn="false"/>
            <w:tcW w:w="33.333333%" w:type="pct"/>
          </w:tcPr>
          <w:p>
            <w:pPr>
              <w:ind w:leftChars="0" w:left="0" w:right="0"/>
            </w:pPr>
            <w:r>
              <w:t>ATHLOS CAPITAL INVESTMENT SERVICES LTD - SYSTEMATIC INTERNALISER</w:t>
            </w:r>
          </w:p>
        </w:tc>
      </w:tr>
      <w:tr>
        <w:trPr>
          <w:cnfStyle w:evenHBand="true" w:oddHBand="false" w:firstRow="false"/>
        </w:trPr>
        <w:tc>
          <w:tcPr>
            <w:cnfStyle w:evenVBand="false" w:oddVBand="true" w:firstColumn="false"/>
            <w:tcW w:w="33.333333%" w:type="pct"/>
          </w:tcPr>
          <w:p>
            <w:pPr>
              <w:ind w:leftChars="0" w:left="0" w:right="0"/>
            </w:pPr>
            <w:r>
              <w:t>ATLB</w:t>
            </w:r>
          </w:p>
        </w:tc>
        <w:tc>
          <w:tcPr>
            <w:cnfStyle w:evenVBand="true" w:oddVBand="false" w:firstColumn="false"/>
            <w:tcW w:w="33.333333%" w:type="pct"/>
          </w:tcPr>
          <w:p>
            <w:pPr>
              <w:ind w:leftChars="0" w:left="0" w:right="0"/>
            </w:pPr>
            <w:r>
              <w:t>ATLB</w:t>
            </w:r>
          </w:p>
        </w:tc>
        <w:tc>
          <w:tcPr>
            <w:cnfStyle w:evenVBand="false" w:oddVBand="true" w:firstColumn="false"/>
            <w:tcW w:w="33.333333%" w:type="pct"/>
          </w:tcPr>
          <w:p>
            <w:pPr>
              <w:ind w:leftChars="0" w:left="0" w:right="0"/>
            </w:pPr>
            <w:r>
              <w:t>BRAEMAR ATLANTIC SECURITIES LTD</w:t>
            </w:r>
          </w:p>
        </w:tc>
      </w:tr>
      <w:tr>
        <w:trPr>
          <w:cnfStyle w:evenHBand="false" w:oddHBand="true" w:firstRow="false"/>
        </w:trPr>
        <w:tc>
          <w:tcPr>
            <w:cnfStyle w:evenVBand="false" w:oddVBand="true" w:firstColumn="false"/>
            <w:tcW w:w="33.333333%" w:type="pct"/>
          </w:tcPr>
          <w:p>
            <w:pPr>
              <w:ind w:leftChars="0" w:left="0" w:right="0"/>
            </w:pPr>
            <w:r>
              <w:t>ATLN</w:t>
            </w:r>
          </w:p>
        </w:tc>
        <w:tc>
          <w:tcPr>
            <w:cnfStyle w:evenVBand="true" w:oddVBand="false" w:firstColumn="false"/>
            <w:tcW w:w="33.333333%" w:type="pct"/>
          </w:tcPr>
          <w:p>
            <w:pPr>
              <w:ind w:leftChars="0" w:left="0" w:right="0"/>
            </w:pPr>
            <w:r>
              <w:t>ATLN</w:t>
            </w:r>
          </w:p>
        </w:tc>
        <w:tc>
          <w:tcPr>
            <w:cnfStyle w:evenVBand="false" w:oddVBand="true" w:firstColumn="false"/>
            <w:tcW w:w="33.333333%" w:type="pct"/>
          </w:tcPr>
          <w:p>
            <w:pPr>
              <w:ind w:leftChars="0" w:left="0" w:right="0"/>
            </w:pPr>
            <w:r>
              <w:t>ATONLINE LIMITED - SYSTEMATIC INTERNALISER</w:t>
            </w:r>
          </w:p>
        </w:tc>
      </w:tr>
      <w:tr>
        <w:trPr>
          <w:cnfStyle w:evenHBand="true" w:oddHBand="false" w:firstRow="false"/>
        </w:trPr>
        <w:tc>
          <w:tcPr>
            <w:cnfStyle w:evenVBand="false" w:oddVBand="true" w:firstColumn="false"/>
            <w:tcW w:w="33.333333%" w:type="pct"/>
          </w:tcPr>
          <w:p>
            <w:pPr>
              <w:ind w:leftChars="0" w:left="0" w:right="0"/>
            </w:pPr>
            <w:r>
              <w:t>ATSA</w:t>
            </w:r>
          </w:p>
        </w:tc>
        <w:tc>
          <w:tcPr>
            <w:cnfStyle w:evenVBand="true" w:oddVBand="false" w:firstColumn="false"/>
            <w:tcW w:w="33.333333%" w:type="pct"/>
          </w:tcPr>
          <w:p>
            <w:pPr>
              <w:ind w:leftChars="0" w:left="0" w:right="0"/>
            </w:pPr>
            <w:r>
              <w:t>ATSA</w:t>
            </w:r>
          </w:p>
        </w:tc>
        <w:tc>
          <w:tcPr>
            <w:cnfStyle w:evenVBand="false" w:oddVBand="true" w:firstColumn="false"/>
            <w:tcW w:w="33.333333%" w:type="pct"/>
          </w:tcPr>
          <w:p>
            <w:pPr>
              <w:ind w:leftChars="0" w:left="0" w:right="0"/>
            </w:pPr>
            <w:r>
              <w:t>ALPHA VENTURE PLUS</w:t>
            </w:r>
          </w:p>
        </w:tc>
      </w:tr>
      <w:tr>
        <w:trPr>
          <w:cnfStyle w:evenHBand="false" w:oddHBand="true" w:firstRow="false"/>
        </w:trPr>
        <w:tc>
          <w:tcPr>
            <w:cnfStyle w:evenVBand="false" w:oddVBand="true" w:firstColumn="false"/>
            <w:tcW w:w="33.333333%" w:type="pct"/>
          </w:tcPr>
          <w:p>
            <w:pPr>
              <w:ind w:leftChars="0" w:left="0" w:right="0"/>
            </w:pPr>
            <w:r>
              <w:t>AURB</w:t>
            </w:r>
          </w:p>
        </w:tc>
        <w:tc>
          <w:tcPr>
            <w:cnfStyle w:evenVBand="true" w:oddVBand="false" w:firstColumn="false"/>
            <w:tcW w:w="33.333333%" w:type="pct"/>
          </w:tcPr>
          <w:p>
            <w:pPr>
              <w:ind w:leftChars="0" w:left="0" w:right="0"/>
            </w:pPr>
            <w:r>
              <w:t>AURB</w:t>
            </w:r>
          </w:p>
        </w:tc>
        <w:tc>
          <w:tcPr>
            <w:cnfStyle w:evenVBand="false" w:oddVBand="true" w:firstColumn="false"/>
            <w:tcW w:w="33.333333%" w:type="pct"/>
          </w:tcPr>
          <w:p>
            <w:pPr>
              <w:ind w:leftChars="0" w:left="0" w:right="0"/>
            </w:pPr>
            <w:r>
              <w:t>AUREL</w:t>
            </w:r>
          </w:p>
        </w:tc>
      </w:tr>
      <w:tr>
        <w:trPr>
          <w:cnfStyle w:evenHBand="true" w:oddHBand="false" w:firstRow="false"/>
        </w:trPr>
        <w:tc>
          <w:tcPr>
            <w:cnfStyle w:evenVBand="false" w:oddVBand="true" w:firstColumn="false"/>
            <w:tcW w:w="33.333333%" w:type="pct"/>
          </w:tcPr>
          <w:p>
            <w:pPr>
              <w:ind w:leftChars="0" w:left="0" w:right="0"/>
            </w:pPr>
            <w:r>
              <w:t>AURO</w:t>
            </w:r>
          </w:p>
        </w:tc>
        <w:tc>
          <w:tcPr>
            <w:cnfStyle w:evenVBand="true" w:oddVBand="false" w:firstColumn="false"/>
            <w:tcW w:w="33.333333%" w:type="pct"/>
          </w:tcPr>
          <w:p>
            <w:pPr>
              <w:ind w:leftChars="0" w:left="0" w:right="0"/>
            </w:pPr>
            <w:r>
              <w:t>AURO</w:t>
            </w:r>
          </w:p>
        </w:tc>
        <w:tc>
          <w:tcPr>
            <w:cnfStyle w:evenVBand="false" w:oddVBand="true" w:firstColumn="false"/>
            <w:tcW w:w="33.333333%" w:type="pct"/>
          </w:tcPr>
          <w:p>
            <w:pPr>
              <w:ind w:leftChars="0" w:left="0" w:right="0"/>
            </w:pPr>
            <w:r>
              <w:t>AUREL - OTF</w:t>
            </w:r>
          </w:p>
        </w:tc>
      </w:tr>
      <w:tr>
        <w:trPr>
          <w:cnfStyle w:evenHBand="false" w:oddHBand="true" w:firstRow="false"/>
        </w:trPr>
        <w:tc>
          <w:tcPr>
            <w:cnfStyle w:evenVBand="false" w:oddVBand="true" w:firstColumn="false"/>
            <w:tcW w:w="33.333333%" w:type="pct"/>
          </w:tcPr>
          <w:p>
            <w:pPr>
              <w:ind w:leftChars="0" w:left="0" w:right="0"/>
            </w:pPr>
            <w:r>
              <w:t>AUTB</w:t>
            </w:r>
          </w:p>
        </w:tc>
        <w:tc>
          <w:tcPr>
            <w:cnfStyle w:evenVBand="true" w:oddVBand="false" w:firstColumn="false"/>
            <w:tcW w:w="33.333333%" w:type="pct"/>
          </w:tcPr>
          <w:p>
            <w:pPr>
              <w:ind w:leftChars="0" w:left="0" w:right="0"/>
            </w:pPr>
            <w:r>
              <w:t>AUTB</w:t>
            </w:r>
          </w:p>
        </w:tc>
        <w:tc>
          <w:tcPr>
            <w:cnfStyle w:evenVBand="false" w:oddVBand="true" w:firstColumn="false"/>
            <w:tcW w:w="33.333333%" w:type="pct"/>
          </w:tcPr>
          <w:p>
            <w:pPr>
              <w:ind w:leftChars="0" w:left="0" w:right="0"/>
            </w:pPr>
            <w:r>
              <w:t>AUTILLA - BASE METALS</w:t>
            </w:r>
          </w:p>
        </w:tc>
      </w:tr>
      <w:tr>
        <w:trPr>
          <w:cnfStyle w:evenHBand="true" w:oddHBand="false" w:firstRow="false"/>
        </w:trPr>
        <w:tc>
          <w:tcPr>
            <w:cnfStyle w:evenVBand="false" w:oddVBand="true" w:firstColumn="false"/>
            <w:tcW w:w="33.333333%" w:type="pct"/>
          </w:tcPr>
          <w:p>
            <w:pPr>
              <w:ind w:leftChars="0" w:left="0" w:right="0"/>
            </w:pPr>
            <w:r>
              <w:t>AUTO</w:t>
            </w:r>
          </w:p>
        </w:tc>
        <w:tc>
          <w:tcPr>
            <w:cnfStyle w:evenVBand="true" w:oddVBand="false" w:firstColumn="false"/>
            <w:tcW w:w="33.333333%" w:type="pct"/>
          </w:tcPr>
          <w:p>
            <w:pPr>
              <w:ind w:leftChars="0" w:left="0" w:right="0"/>
            </w:pPr>
            <w:r>
              <w:t>AUTO</w:t>
            </w:r>
          </w:p>
        </w:tc>
        <w:tc>
          <w:tcPr>
            <w:cnfStyle w:evenVBand="false" w:oddVBand="true" w:firstColumn="false"/>
            <w:tcW w:w="33.333333%" w:type="pct"/>
          </w:tcPr>
          <w:p>
            <w:pPr>
              <w:ind w:leftChars="0" w:left="0" w:right="0"/>
            </w:pPr>
            <w:r>
              <w:t>AUTOBAHN FX</w:t>
            </w:r>
          </w:p>
        </w:tc>
      </w:tr>
      <w:tr>
        <w:trPr>
          <w:cnfStyle w:evenHBand="false" w:oddHBand="true" w:firstRow="false"/>
        </w:trPr>
        <w:tc>
          <w:tcPr>
            <w:cnfStyle w:evenVBand="false" w:oddVBand="true" w:firstColumn="false"/>
            <w:tcW w:w="33.333333%" w:type="pct"/>
          </w:tcPr>
          <w:p>
            <w:pPr>
              <w:ind w:leftChars="0" w:left="0" w:right="0"/>
            </w:pPr>
            <w:r>
              <w:t>AUTP</w:t>
            </w:r>
          </w:p>
        </w:tc>
        <w:tc>
          <w:tcPr>
            <w:cnfStyle w:evenVBand="true" w:oddVBand="false" w:firstColumn="false"/>
            <w:tcW w:w="33.333333%" w:type="pct"/>
          </w:tcPr>
          <w:p>
            <w:pPr>
              <w:ind w:leftChars="0" w:left="0" w:right="0"/>
            </w:pPr>
            <w:r>
              <w:t>AUTP</w:t>
            </w:r>
          </w:p>
        </w:tc>
        <w:tc>
          <w:tcPr>
            <w:cnfStyle w:evenVBand="false" w:oddVBand="true" w:firstColumn="false"/>
            <w:tcW w:w="33.333333%" w:type="pct"/>
          </w:tcPr>
          <w:p>
            <w:pPr>
              <w:ind w:leftChars="0" w:left="0" w:right="0"/>
            </w:pPr>
            <w:r>
              <w:t>AUTILLA - PRECIOUS METALS</w:t>
            </w:r>
          </w:p>
        </w:tc>
      </w:tr>
      <w:tr>
        <w:trPr>
          <w:cnfStyle w:evenHBand="true" w:oddHBand="false" w:firstRow="false"/>
        </w:trPr>
        <w:tc>
          <w:tcPr>
            <w:cnfStyle w:evenVBand="false" w:oddVBand="true" w:firstColumn="false"/>
            <w:tcW w:w="33.333333%" w:type="pct"/>
          </w:tcPr>
          <w:p>
            <w:pPr>
              <w:ind w:leftChars="0" w:left="0" w:right="0"/>
            </w:pPr>
            <w:r>
              <w:t>AUTX</w:t>
            </w:r>
          </w:p>
        </w:tc>
        <w:tc>
          <w:tcPr>
            <w:cnfStyle w:evenVBand="true" w:oddVBand="false" w:firstColumn="false"/>
            <w:tcW w:w="33.333333%" w:type="pct"/>
          </w:tcPr>
          <w:p>
            <w:pPr>
              <w:ind w:leftChars="0" w:left="0" w:right="0"/>
            </w:pPr>
            <w:r>
              <w:t>AUTX</w:t>
            </w:r>
          </w:p>
        </w:tc>
        <w:tc>
          <w:tcPr>
            <w:cnfStyle w:evenVBand="false" w:oddVBand="true" w:firstColumn="false"/>
            <w:tcW w:w="33.333333%" w:type="pct"/>
          </w:tcPr>
          <w:p>
            <w:pPr>
              <w:ind w:leftChars="0" w:left="0" w:right="0"/>
            </w:pPr>
            <w:r>
              <w:t>AUTILLA</w:t>
            </w:r>
          </w:p>
        </w:tc>
      </w:tr>
      <w:tr>
        <w:trPr>
          <w:cnfStyle w:evenHBand="false" w:oddHBand="true" w:firstRow="false"/>
        </w:trPr>
        <w:tc>
          <w:tcPr>
            <w:cnfStyle w:evenVBand="false" w:oddVBand="true" w:firstColumn="false"/>
            <w:tcW w:w="33.333333%" w:type="pct"/>
          </w:tcPr>
          <w:p>
            <w:pPr>
              <w:ind w:leftChars="0" w:left="0" w:right="0"/>
            </w:pPr>
            <w:r>
              <w:t>AWBX</w:t>
            </w:r>
          </w:p>
        </w:tc>
        <w:tc>
          <w:tcPr>
            <w:cnfStyle w:evenVBand="true" w:oddVBand="false" w:firstColumn="false"/>
            <w:tcW w:w="33.333333%" w:type="pct"/>
          </w:tcPr>
          <w:p>
            <w:pPr>
              <w:ind w:leftChars="0" w:left="0" w:right="0"/>
            </w:pPr>
            <w:r>
              <w:t>AWBX</w:t>
            </w:r>
          </w:p>
        </w:tc>
        <w:tc>
          <w:tcPr>
            <w:cnfStyle w:evenVBand="false" w:oddVBand="true" w:firstColumn="false"/>
            <w:tcW w:w="33.333333%" w:type="pct"/>
          </w:tcPr>
          <w:p>
            <w:pPr>
              <w:ind w:leftChars="0" w:left="0" w:right="0"/>
            </w:pPr>
            <w:r>
              <w:t>AUSTRALIAN WHEAT BOARD</w:t>
            </w:r>
          </w:p>
        </w:tc>
      </w:tr>
      <w:tr>
        <w:trPr>
          <w:cnfStyle w:evenHBand="true" w:oddHBand="false" w:firstRow="false"/>
        </w:trPr>
        <w:tc>
          <w:tcPr>
            <w:cnfStyle w:evenVBand="false" w:oddVBand="true" w:firstColumn="false"/>
            <w:tcW w:w="33.333333%" w:type="pct"/>
          </w:tcPr>
          <w:p>
            <w:pPr>
              <w:ind w:leftChars="0" w:left="0" w:right="0"/>
            </w:pPr>
            <w:r>
              <w:t>AWEX</w:t>
            </w:r>
          </w:p>
        </w:tc>
        <w:tc>
          <w:tcPr>
            <w:cnfStyle w:evenVBand="true" w:oddVBand="false" w:firstColumn="false"/>
            <w:tcW w:w="33.333333%" w:type="pct"/>
          </w:tcPr>
          <w:p>
            <w:pPr>
              <w:ind w:leftChars="0" w:left="0" w:right="0"/>
            </w:pPr>
            <w:r>
              <w:t>AWEX</w:t>
            </w:r>
          </w:p>
        </w:tc>
        <w:tc>
          <w:tcPr>
            <w:cnfStyle w:evenVBand="false" w:oddVBand="true" w:firstColumn="false"/>
            <w:tcW w:w="33.333333%" w:type="pct"/>
          </w:tcPr>
          <w:p>
            <w:pPr>
              <w:ind w:leftChars="0" w:left="0" w:right="0"/>
            </w:pPr>
            <w:r>
              <w:t>AUSTRALIAN WOOL EXCHANGE</w:t>
            </w:r>
          </w:p>
        </w:tc>
      </w:tr>
      <w:tr>
        <w:trPr>
          <w:cnfStyle w:evenHBand="false" w:oddHBand="true" w:firstRow="false"/>
        </w:trPr>
        <w:tc>
          <w:tcPr>
            <w:cnfStyle w:evenVBand="false" w:oddVBand="true" w:firstColumn="false"/>
            <w:tcW w:w="33.333333%" w:type="pct"/>
          </w:tcPr>
          <w:p>
            <w:pPr>
              <w:ind w:leftChars="0" w:left="0" w:right="0"/>
            </w:pPr>
            <w:r>
              <w:t>AXSI</w:t>
            </w:r>
          </w:p>
        </w:tc>
        <w:tc>
          <w:tcPr>
            <w:cnfStyle w:evenVBand="true" w:oddVBand="false" w:firstColumn="false"/>
            <w:tcW w:w="33.333333%" w:type="pct"/>
          </w:tcPr>
          <w:p>
            <w:pPr>
              <w:ind w:leftChars="0" w:left="0" w:right="0"/>
            </w:pPr>
            <w:r>
              <w:t>AXSI</w:t>
            </w:r>
          </w:p>
        </w:tc>
        <w:tc>
          <w:tcPr>
            <w:cnfStyle w:evenVBand="false" w:oddVBand="true" w:firstColumn="false"/>
            <w:tcW w:w="33.333333%" w:type="pct"/>
          </w:tcPr>
          <w:p>
            <w:pPr>
              <w:ind w:leftChars="0" w:left="0" w:right="0"/>
            </w:pPr>
            <w:r>
              <w:t>ALEXANDRIA PANKKIIRILIIKE OYJ - SYSTEMATIC INTERNALISER</w:t>
            </w:r>
          </w:p>
        </w:tc>
      </w:tr>
      <w:tr>
        <w:trPr>
          <w:cnfStyle w:evenHBand="true" w:oddHBand="false" w:firstRow="false"/>
        </w:trPr>
        <w:tc>
          <w:tcPr>
            <w:cnfStyle w:evenVBand="false" w:oddVBand="true" w:firstColumn="false"/>
            <w:tcW w:w="33.333333%" w:type="pct"/>
          </w:tcPr>
          <w:p>
            <w:pPr>
              <w:ind w:leftChars="0" w:left="0" w:right="0"/>
            </w:pPr>
            <w:r>
              <w:t>BAAD</w:t>
            </w:r>
          </w:p>
        </w:tc>
        <w:tc>
          <w:tcPr>
            <w:cnfStyle w:evenVBand="true" w:oddVBand="false" w:firstColumn="false"/>
            <w:tcW w:w="33.333333%" w:type="pct"/>
          </w:tcPr>
          <w:p>
            <w:pPr>
              <w:ind w:leftChars="0" w:left="0" w:right="0"/>
            </w:pPr>
            <w:r>
              <w:t>BAAD</w:t>
            </w:r>
          </w:p>
        </w:tc>
        <w:tc>
          <w:tcPr>
            <w:cnfStyle w:evenVBand="false" w:oddVBand="true" w:firstColumn="false"/>
            <w:tcW w:w="33.333333%" w:type="pct"/>
          </w:tcPr>
          <w:p>
            <w:pPr>
              <w:ind w:leftChars="0" w:left="0" w:right="0"/>
            </w:pPr>
            <w:r>
              <w:t>BAADER BANK - SYSTEMATIC INTERNALISER</w:t>
            </w:r>
          </w:p>
        </w:tc>
      </w:tr>
      <w:tr>
        <w:trPr>
          <w:cnfStyle w:evenHBand="false" w:oddHBand="true" w:firstRow="false"/>
        </w:trPr>
        <w:tc>
          <w:tcPr>
            <w:cnfStyle w:evenVBand="false" w:oddVBand="true" w:firstColumn="false"/>
            <w:tcW w:w="33.333333%" w:type="pct"/>
          </w:tcPr>
          <w:p>
            <w:pPr>
              <w:ind w:leftChars="0" w:left="0" w:right="0"/>
            </w:pPr>
            <w:r>
              <w:t>BACE</w:t>
            </w:r>
          </w:p>
        </w:tc>
        <w:tc>
          <w:tcPr>
            <w:cnfStyle w:evenVBand="true" w:oddVBand="false" w:firstColumn="false"/>
            <w:tcW w:w="33.333333%" w:type="pct"/>
          </w:tcPr>
          <w:p>
            <w:pPr>
              <w:ind w:leftChars="0" w:left="0" w:right="0"/>
            </w:pPr>
            <w:r>
              <w:t>BACE</w:t>
            </w:r>
          </w:p>
        </w:tc>
        <w:tc>
          <w:tcPr>
            <w:cnfStyle w:evenVBand="false" w:oddVBand="true" w:firstColumn="false"/>
            <w:tcW w:w="33.333333%" w:type="pct"/>
          </w:tcPr>
          <w:p>
            <w:pPr>
              <w:ind w:leftChars="0" w:left="0" w:right="0"/>
            </w:pPr>
            <w:r>
              <w:t>BOLSA DE CEREALES DE BUENOS AIRES</w:t>
            </w:r>
          </w:p>
        </w:tc>
      </w:tr>
      <w:tr>
        <w:trPr>
          <w:cnfStyle w:evenHBand="true" w:oddHBand="false" w:firstRow="false"/>
        </w:trPr>
        <w:tc>
          <w:tcPr>
            <w:cnfStyle w:evenVBand="false" w:oddVBand="true" w:firstColumn="false"/>
            <w:tcW w:w="33.333333%" w:type="pct"/>
          </w:tcPr>
          <w:p>
            <w:pPr>
              <w:ind w:leftChars="0" w:left="0" w:right="0"/>
            </w:pPr>
            <w:r>
              <w:t>BACR</w:t>
            </w:r>
          </w:p>
        </w:tc>
        <w:tc>
          <w:tcPr>
            <w:cnfStyle w:evenVBand="true" w:oddVBand="false" w:firstColumn="false"/>
            <w:tcW w:w="33.333333%" w:type="pct"/>
          </w:tcPr>
          <w:p>
            <w:pPr>
              <w:ind w:leftChars="0" w:left="0" w:right="0"/>
            </w:pPr>
            <w:r>
              <w:t>BACR</w:t>
            </w:r>
          </w:p>
        </w:tc>
        <w:tc>
          <w:tcPr>
            <w:cnfStyle w:evenVBand="false" w:oddVBand="true" w:firstColumn="false"/>
            <w:tcW w:w="33.333333%" w:type="pct"/>
          </w:tcPr>
          <w:p>
            <w:pPr>
              <w:ind w:leftChars="0" w:left="0" w:right="0"/>
            </w:pPr>
            <w:r>
              <w:t>BANK OF AMERICA SECURITIES - CENTRAL RISK</w:t>
            </w:r>
          </w:p>
        </w:tc>
      </w:tr>
      <w:tr>
        <w:trPr>
          <w:cnfStyle w:evenHBand="false" w:oddHBand="true" w:firstRow="false"/>
        </w:trPr>
        <w:tc>
          <w:tcPr>
            <w:cnfStyle w:evenVBand="false" w:oddVBand="true" w:firstColumn="false"/>
            <w:tcW w:w="33.333333%" w:type="pct"/>
          </w:tcPr>
          <w:p>
            <w:pPr>
              <w:ind w:leftChars="0" w:left="0" w:right="0"/>
            </w:pPr>
            <w:r>
              <w:t>BAEP</w:t>
            </w:r>
          </w:p>
        </w:tc>
        <w:tc>
          <w:tcPr>
            <w:cnfStyle w:evenVBand="true" w:oddVBand="false" w:firstColumn="false"/>
            <w:tcW w:w="33.333333%" w:type="pct"/>
          </w:tcPr>
          <w:p>
            <w:pPr>
              <w:ind w:leftChars="0" w:left="0" w:right="0"/>
            </w:pPr>
            <w:r>
              <w:t>BAEP</w:t>
            </w:r>
          </w:p>
        </w:tc>
        <w:tc>
          <w:tcPr>
            <w:cnfStyle w:evenVBand="false" w:oddVBand="true" w:firstColumn="false"/>
            <w:tcW w:w="33.333333%" w:type="pct"/>
          </w:tcPr>
          <w:p>
            <w:pPr>
              <w:ind w:leftChars="0" w:left="0" w:right="0"/>
            </w:pPr>
            <w:r>
              <w:t>BANK OF AMERICA MERRILL LYNCH EQUITY SWAP - EXTERNAL PRICE SOURCE</w:t>
            </w:r>
          </w:p>
        </w:tc>
      </w:tr>
      <w:tr>
        <w:trPr>
          <w:cnfStyle w:evenHBand="true" w:oddHBand="false" w:firstRow="false"/>
        </w:trPr>
        <w:tc>
          <w:tcPr>
            <w:cnfStyle w:evenVBand="false" w:oddVBand="true" w:firstColumn="false"/>
            <w:tcW w:w="33.333333%" w:type="pct"/>
          </w:tcPr>
          <w:p>
            <w:pPr>
              <w:ind w:leftChars="0" w:left="0" w:right="0"/>
            </w:pPr>
            <w:r>
              <w:t>BAIK</w:t>
            </w:r>
          </w:p>
        </w:tc>
        <w:tc>
          <w:tcPr>
            <w:cnfStyle w:evenVBand="true" w:oddVBand="false" w:firstColumn="false"/>
            <w:tcW w:w="33.333333%" w:type="pct"/>
          </w:tcPr>
          <w:p>
            <w:pPr>
              <w:ind w:leftChars="0" w:left="0" w:right="0"/>
            </w:pPr>
            <w:r>
              <w:t>BAIK</w:t>
            </w:r>
          </w:p>
        </w:tc>
        <w:tc>
          <w:tcPr>
            <w:cnfStyle w:evenVBand="false" w:oddVBand="true" w:firstColumn="false"/>
            <w:tcW w:w="33.333333%" w:type="pct"/>
          </w:tcPr>
          <w:p>
            <w:pPr>
              <w:ind w:leftChars="0" w:left="0" w:right="0"/>
            </w:pPr>
            <w:r>
              <w:t>BAIKAL</w:t>
            </w:r>
          </w:p>
        </w:tc>
      </w:tr>
      <w:tr>
        <w:trPr>
          <w:cnfStyle w:evenHBand="false" w:oddHBand="true" w:firstRow="false"/>
        </w:trPr>
        <w:tc>
          <w:tcPr>
            <w:cnfStyle w:evenVBand="false" w:oddVBand="true" w:firstColumn="false"/>
            <w:tcW w:w="33.333333%" w:type="pct"/>
          </w:tcPr>
          <w:p>
            <w:pPr>
              <w:ind w:leftChars="0" w:left="0" w:right="0"/>
            </w:pPr>
            <w:r>
              <w:t>BAIP</w:t>
            </w:r>
          </w:p>
        </w:tc>
        <w:tc>
          <w:tcPr>
            <w:cnfStyle w:evenVBand="true" w:oddVBand="false" w:firstColumn="false"/>
            <w:tcW w:w="33.333333%" w:type="pct"/>
          </w:tcPr>
          <w:p>
            <w:pPr>
              <w:ind w:leftChars="0" w:left="0" w:right="0"/>
            </w:pPr>
            <w:r>
              <w:t>BAIP</w:t>
            </w:r>
          </w:p>
        </w:tc>
        <w:tc>
          <w:tcPr>
            <w:cnfStyle w:evenVBand="false" w:oddVBand="true" w:firstColumn="false"/>
            <w:tcW w:w="33.333333%" w:type="pct"/>
          </w:tcPr>
          <w:p>
            <w:pPr>
              <w:ind w:leftChars="0" w:left="0" w:right="0"/>
            </w:pPr>
            <w:r>
              <w:t>BANK OF AMERICA MERRILL LYNCH EQUITY SWAP - INTERNAL PRICE SOURCE</w:t>
            </w:r>
          </w:p>
        </w:tc>
      </w:tr>
      <w:tr>
        <w:trPr>
          <w:cnfStyle w:evenHBand="true" w:oddHBand="false" w:firstRow="false"/>
        </w:trPr>
        <w:tc>
          <w:tcPr>
            <w:cnfStyle w:evenVBand="false" w:oddVBand="true" w:firstColumn="false"/>
            <w:tcW w:w="33.333333%" w:type="pct"/>
          </w:tcPr>
          <w:p>
            <w:pPr>
              <w:ind w:leftChars="0" w:left="0" w:right="0"/>
            </w:pPr>
            <w:r>
              <w:t>BAJD</w:t>
            </w:r>
          </w:p>
        </w:tc>
        <w:tc>
          <w:tcPr>
            <w:cnfStyle w:evenVBand="true" w:oddVBand="false" w:firstColumn="false"/>
            <w:tcW w:w="33.333333%" w:type="pct"/>
          </w:tcPr>
          <w:p>
            <w:pPr>
              <w:ind w:leftChars="0" w:left="0" w:right="0"/>
            </w:pPr>
            <w:r>
              <w:t>BAJD</w:t>
            </w:r>
          </w:p>
        </w:tc>
        <w:tc>
          <w:tcPr>
            <w:cnfStyle w:evenVBand="false" w:oddVBand="true" w:firstColumn="false"/>
            <w:tcW w:w="33.333333%" w:type="pct"/>
          </w:tcPr>
          <w:p>
            <w:pPr>
              <w:ind w:leftChars="0" w:left="0" w:right="0"/>
            </w:pPr>
            <w:r>
              <w:t>BANK OF AMERICA MERRILL LYNCH - JAPAN INSTINCT X</w:t>
            </w:r>
          </w:p>
        </w:tc>
      </w:tr>
      <w:tr>
        <w:trPr>
          <w:cnfStyle w:evenHBand="false" w:oddHBand="true" w:firstRow="false"/>
        </w:trPr>
        <w:tc>
          <w:tcPr>
            <w:cnfStyle w:evenVBand="false" w:oddVBand="true" w:firstColumn="false"/>
            <w:tcW w:w="33.333333%" w:type="pct"/>
          </w:tcPr>
          <w:p>
            <w:pPr>
              <w:ind w:leftChars="0" w:left="0" w:right="0"/>
            </w:pPr>
            <w:r>
              <w:t>BAJM</w:t>
            </w:r>
          </w:p>
        </w:tc>
        <w:tc>
          <w:tcPr>
            <w:cnfStyle w:evenVBand="true" w:oddVBand="false" w:firstColumn="false"/>
            <w:tcW w:w="33.333333%" w:type="pct"/>
          </w:tcPr>
          <w:p>
            <w:pPr>
              <w:ind w:leftChars="0" w:left="0" w:right="0"/>
            </w:pPr>
            <w:r>
              <w:t>BAJM</w:t>
            </w:r>
          </w:p>
        </w:tc>
        <w:tc>
          <w:tcPr>
            <w:cnfStyle w:evenVBand="false" w:oddVBand="true" w:firstColumn="false"/>
            <w:tcW w:w="33.333333%" w:type="pct"/>
          </w:tcPr>
          <w:p>
            <w:pPr>
              <w:ind w:leftChars="0" w:left="0" w:right="0"/>
            </w:pPr>
            <w:r>
              <w:t>BARBADOS STOCK EXCHANGE - JUNIOR MARKET</w:t>
            </w:r>
          </w:p>
        </w:tc>
      </w:tr>
      <w:tr>
        <w:trPr>
          <w:cnfStyle w:evenHBand="true" w:oddHBand="false" w:firstRow="false"/>
        </w:trPr>
        <w:tc>
          <w:tcPr>
            <w:cnfStyle w:evenVBand="false" w:oddVBand="true" w:firstColumn="false"/>
            <w:tcW w:w="33.333333%" w:type="pct"/>
          </w:tcPr>
          <w:p>
            <w:pPr>
              <w:ind w:leftChars="0" w:left="0" w:right="0"/>
            </w:pPr>
            <w:r>
              <w:t>BALT</w:t>
            </w:r>
          </w:p>
        </w:tc>
        <w:tc>
          <w:tcPr>
            <w:cnfStyle w:evenVBand="true" w:oddVBand="false" w:firstColumn="false"/>
            <w:tcW w:w="33.333333%" w:type="pct"/>
          </w:tcPr>
          <w:p>
            <w:pPr>
              <w:ind w:leftChars="0" w:left="0" w:right="0"/>
            </w:pPr>
            <w:r>
              <w:t>BALT</w:t>
            </w:r>
          </w:p>
        </w:tc>
        <w:tc>
          <w:tcPr>
            <w:cnfStyle w:evenVBand="false" w:oddVBand="true" w:firstColumn="false"/>
            <w:tcW w:w="33.333333%" w:type="pct"/>
          </w:tcPr>
          <w:p>
            <w:pPr>
              <w:ind w:leftChars="0" w:left="0" w:right="0"/>
            </w:pPr>
            <w:r>
              <w:t>THE BALTIC EXCHANGE</w:t>
            </w:r>
          </w:p>
        </w:tc>
      </w:tr>
      <w:tr>
        <w:trPr>
          <w:cnfStyle w:evenHBand="false" w:oddHBand="true" w:firstRow="false"/>
        </w:trPr>
        <w:tc>
          <w:tcPr>
            <w:cnfStyle w:evenVBand="false" w:oddVBand="true" w:firstColumn="false"/>
            <w:tcW w:w="33.333333%" w:type="pct"/>
          </w:tcPr>
          <w:p>
            <w:pPr>
              <w:ind w:leftChars="0" w:left="0" w:right="0"/>
            </w:pPr>
            <w:r>
              <w:t>BAML</w:t>
            </w:r>
          </w:p>
        </w:tc>
        <w:tc>
          <w:tcPr>
            <w:cnfStyle w:evenVBand="true" w:oddVBand="false" w:firstColumn="false"/>
            <w:tcW w:w="33.333333%" w:type="pct"/>
          </w:tcPr>
          <w:p>
            <w:pPr>
              <w:ind w:leftChars="0" w:left="0" w:right="0"/>
            </w:pPr>
            <w:r>
              <w:t>BAML</w:t>
            </w:r>
          </w:p>
        </w:tc>
        <w:tc>
          <w:tcPr>
            <w:cnfStyle w:evenVBand="false" w:oddVBand="true" w:firstColumn="false"/>
            <w:tcW w:w="33.333333%" w:type="pct"/>
          </w:tcPr>
          <w:p>
            <w:pPr>
              <w:ind w:leftChars="0" w:left="0" w:right="0"/>
            </w:pPr>
            <w:r>
              <w:t>BANK OF AMERICA - MERRILL LYNCH INSTINCT X ATS</w:t>
            </w:r>
          </w:p>
        </w:tc>
      </w:tr>
      <w:tr>
        <w:trPr>
          <w:cnfStyle w:evenHBand="true" w:oddHBand="false" w:firstRow="false"/>
        </w:trPr>
        <w:tc>
          <w:tcPr>
            <w:cnfStyle w:evenVBand="false" w:oddVBand="true" w:firstColumn="false"/>
            <w:tcW w:w="33.333333%" w:type="pct"/>
          </w:tcPr>
          <w:p>
            <w:pPr>
              <w:ind w:leftChars="0" w:left="0" w:right="0"/>
            </w:pPr>
            <w:r>
              <w:t>BAMP</w:t>
            </w:r>
          </w:p>
        </w:tc>
        <w:tc>
          <w:tcPr>
            <w:cnfStyle w:evenVBand="true" w:oddVBand="false" w:firstColumn="false"/>
            <w:tcW w:w="33.333333%" w:type="pct"/>
          </w:tcPr>
          <w:p>
            <w:pPr>
              <w:ind w:leftChars="0" w:left="0" w:right="0"/>
            </w:pPr>
            <w:r>
              <w:t>BAMP</w:t>
            </w:r>
          </w:p>
        </w:tc>
        <w:tc>
          <w:tcPr>
            <w:cnfStyle w:evenVBand="false" w:oddVBand="true" w:firstColumn="false"/>
            <w:tcW w:w="33.333333%" w:type="pct"/>
          </w:tcPr>
          <w:p>
            <w:pPr>
              <w:ind w:leftChars="0" w:left="0" w:right="0"/>
            </w:pPr>
            <w:r>
              <w:t>MERR POOL XLN</w:t>
            </w:r>
          </w:p>
        </w:tc>
      </w:tr>
      <w:tr>
        <w:trPr>
          <w:cnfStyle w:evenHBand="false" w:oddHBand="true" w:firstRow="false"/>
        </w:trPr>
        <w:tc>
          <w:tcPr>
            <w:cnfStyle w:evenVBand="false" w:oddVBand="true" w:firstColumn="false"/>
            <w:tcW w:w="33.333333%" w:type="pct"/>
          </w:tcPr>
          <w:p>
            <w:pPr>
              <w:ind w:leftChars="0" w:left="0" w:right="0"/>
            </w:pPr>
            <w:r>
              <w:t>BAMX</w:t>
            </w:r>
          </w:p>
        </w:tc>
        <w:tc>
          <w:tcPr>
            <w:cnfStyle w:evenVBand="true" w:oddVBand="false" w:firstColumn="false"/>
            <w:tcW w:w="33.333333%" w:type="pct"/>
          </w:tcPr>
          <w:p>
            <w:pPr>
              <w:ind w:leftChars="0" w:left="0" w:right="0"/>
            </w:pPr>
            <w:r>
              <w:t>BAMX</w:t>
            </w:r>
          </w:p>
        </w:tc>
        <w:tc>
          <w:tcPr>
            <w:cnfStyle w:evenVBand="false" w:oddVBand="true" w:firstColumn="false"/>
            <w:tcW w:w="33.333333%" w:type="pct"/>
          </w:tcPr>
          <w:p>
            <w:pPr>
              <w:ind w:leftChars="0" w:left="0" w:right="0"/>
            </w:pPr>
            <w:r>
              <w:t>BANK OF AMERICA - MERRILL LYNCH GCX</w:t>
            </w:r>
          </w:p>
        </w:tc>
      </w:tr>
      <w:tr>
        <w:trPr>
          <w:cnfStyle w:evenHBand="true" w:oddHBand="false" w:firstRow="false"/>
        </w:trPr>
        <w:tc>
          <w:tcPr>
            <w:cnfStyle w:evenVBand="false" w:oddVBand="true" w:firstColumn="false"/>
            <w:tcW w:w="33.333333%" w:type="pct"/>
          </w:tcPr>
          <w:p>
            <w:pPr>
              <w:ind w:leftChars="0" w:left="0" w:right="0"/>
            </w:pPr>
            <w:r>
              <w:t>BANA</w:t>
            </w:r>
          </w:p>
        </w:tc>
        <w:tc>
          <w:tcPr>
            <w:cnfStyle w:evenVBand="true" w:oddVBand="false" w:firstColumn="false"/>
            <w:tcW w:w="33.333333%" w:type="pct"/>
          </w:tcPr>
          <w:p>
            <w:pPr>
              <w:ind w:leftChars="0" w:left="0" w:right="0"/>
            </w:pPr>
            <w:r>
              <w:t>BANA</w:t>
            </w:r>
          </w:p>
        </w:tc>
        <w:tc>
          <w:tcPr>
            <w:cnfStyle w:evenVBand="false" w:oddVBand="true" w:firstColumn="false"/>
            <w:tcW w:w="33.333333%" w:type="pct"/>
          </w:tcPr>
          <w:p>
            <w:pPr>
              <w:ind w:leftChars="0" w:left="0" w:right="0"/>
            </w:pPr>
            <w:r>
              <w:t>BANK OF AMERICA, NATIONAL ASSOCIATION</w:t>
            </w:r>
          </w:p>
        </w:tc>
      </w:tr>
      <w:tr>
        <w:trPr>
          <w:cnfStyle w:evenHBand="false" w:oddHBand="true" w:firstRow="false"/>
        </w:trPr>
        <w:tc>
          <w:tcPr>
            <w:cnfStyle w:evenVBand="false" w:oddVBand="true" w:firstColumn="false"/>
            <w:tcW w:w="33.333333%" w:type="pct"/>
          </w:tcPr>
          <w:p>
            <w:pPr>
              <w:ind w:leftChars="0" w:left="0" w:right="0"/>
            </w:pPr>
            <w:r>
              <w:t>BAPA</w:t>
            </w:r>
          </w:p>
        </w:tc>
        <w:tc>
          <w:tcPr>
            <w:cnfStyle w:evenVBand="true" w:oddVBand="false" w:firstColumn="false"/>
            <w:tcW w:w="33.333333%" w:type="pct"/>
          </w:tcPr>
          <w:p>
            <w:pPr>
              <w:ind w:leftChars="0" w:left="0" w:right="0"/>
            </w:pPr>
            <w:r>
              <w:t>BAPA</w:t>
            </w:r>
          </w:p>
        </w:tc>
        <w:tc>
          <w:tcPr>
            <w:cnfStyle w:evenVBand="false" w:oddVBand="true" w:firstColumn="false"/>
            <w:tcW w:w="33.333333%" w:type="pct"/>
          </w:tcPr>
          <w:p>
            <w:pPr>
              <w:ind w:leftChars="0" w:left="0" w:right="0"/>
            </w:pPr>
            <w:r>
              <w:t>BLOOMBERG - APA</w:t>
            </w:r>
          </w:p>
        </w:tc>
      </w:tr>
      <w:tr>
        <w:trPr>
          <w:cnfStyle w:evenHBand="true" w:oddHBand="false" w:firstRow="false"/>
        </w:trPr>
        <w:tc>
          <w:tcPr>
            <w:cnfStyle w:evenVBand="false" w:oddVBand="true" w:firstColumn="false"/>
            <w:tcW w:w="33.333333%" w:type="pct"/>
          </w:tcPr>
          <w:p>
            <w:pPr>
              <w:ind w:leftChars="0" w:left="0" w:right="0"/>
            </w:pPr>
            <w:r>
              <w:t>BAPE</w:t>
            </w:r>
          </w:p>
        </w:tc>
        <w:tc>
          <w:tcPr>
            <w:cnfStyle w:evenVBand="true" w:oddVBand="false" w:firstColumn="false"/>
            <w:tcW w:w="33.333333%" w:type="pct"/>
          </w:tcPr>
          <w:p>
            <w:pPr>
              <w:ind w:leftChars="0" w:left="0" w:right="0"/>
            </w:pPr>
            <w:r>
              <w:t>BAPE</w:t>
            </w:r>
          </w:p>
        </w:tc>
        <w:tc>
          <w:tcPr>
            <w:cnfStyle w:evenVBand="false" w:oddVBand="true" w:firstColumn="false"/>
            <w:tcW w:w="33.333333%" w:type="pct"/>
          </w:tcPr>
          <w:p>
            <w:pPr>
              <w:ind w:leftChars="0" w:left="0" w:right="0"/>
            </w:pPr>
            <w:r>
              <w:t>BLOOMBERG DATA REPORTING SERVICES B.V. - APA</w:t>
            </w:r>
          </w:p>
        </w:tc>
      </w:tr>
      <w:tr>
        <w:trPr>
          <w:cnfStyle w:evenHBand="false" w:oddHBand="true" w:firstRow="false"/>
        </w:trPr>
        <w:tc>
          <w:tcPr>
            <w:cnfStyle w:evenVBand="false" w:oddVBand="true" w:firstColumn="false"/>
            <w:tcW w:w="33.333333%" w:type="pct"/>
          </w:tcPr>
          <w:p>
            <w:pPr>
              <w:ind w:leftChars="0" w:left="0" w:right="0"/>
            </w:pPr>
            <w:r>
              <w:t>BAPX</w:t>
            </w:r>
          </w:p>
        </w:tc>
        <w:tc>
          <w:tcPr>
            <w:cnfStyle w:evenVBand="true" w:oddVBand="false" w:firstColumn="false"/>
            <w:tcW w:w="33.333333%" w:type="pct"/>
          </w:tcPr>
          <w:p>
            <w:pPr>
              <w:ind w:leftChars="0" w:left="0" w:right="0"/>
            </w:pPr>
            <w:r>
              <w:t>BAPX</w:t>
            </w:r>
          </w:p>
        </w:tc>
        <w:tc>
          <w:tcPr>
            <w:cnfStyle w:evenVBand="false" w:oddVBand="true" w:firstColumn="false"/>
            <w:tcW w:w="33.333333%" w:type="pct"/>
          </w:tcPr>
          <w:p>
            <w:pPr>
              <w:ind w:leftChars="0" w:left="0" w:right="0"/>
            </w:pPr>
            <w:r>
              <w:t>BALTPOOL</w:t>
            </w:r>
          </w:p>
        </w:tc>
      </w:tr>
      <w:tr>
        <w:trPr>
          <w:cnfStyle w:evenHBand="true" w:oddHBand="false" w:firstRow="false"/>
        </w:trPr>
        <w:tc>
          <w:tcPr>
            <w:cnfStyle w:evenVBand="false" w:oddVBand="true" w:firstColumn="false"/>
            <w:tcW w:w="33.333333%" w:type="pct"/>
          </w:tcPr>
          <w:p>
            <w:pPr>
              <w:ind w:leftChars="0" w:left="0" w:right="0"/>
            </w:pPr>
            <w:r>
              <w:t>BARD</w:t>
            </w:r>
          </w:p>
        </w:tc>
        <w:tc>
          <w:tcPr>
            <w:cnfStyle w:evenVBand="true" w:oddVBand="false" w:firstColumn="false"/>
            <w:tcW w:w="33.333333%" w:type="pct"/>
          </w:tcPr>
          <w:p>
            <w:pPr>
              <w:ind w:leftChars="0" w:left="0" w:right="0"/>
            </w:pPr>
            <w:r>
              <w:t>BARD</w:t>
            </w:r>
          </w:p>
        </w:tc>
        <w:tc>
          <w:tcPr>
            <w:cnfStyle w:evenVBand="false" w:oddVBand="true" w:firstColumn="false"/>
            <w:tcW w:w="33.333333%" w:type="pct"/>
          </w:tcPr>
          <w:p>
            <w:pPr>
              <w:ind w:leftChars="0" w:left="0" w:right="0"/>
            </w:pPr>
            <w:r>
              <w:t>BARCLAYS FX - TRADING</w:t>
            </w:r>
          </w:p>
        </w:tc>
      </w:tr>
      <w:tr>
        <w:trPr>
          <w:cnfStyle w:evenHBand="false" w:oddHBand="true" w:firstRow="false"/>
        </w:trPr>
        <w:tc>
          <w:tcPr>
            <w:cnfStyle w:evenVBand="false" w:oddVBand="true" w:firstColumn="false"/>
            <w:tcW w:w="33.333333%" w:type="pct"/>
          </w:tcPr>
          <w:p>
            <w:pPr>
              <w:ind w:leftChars="0" w:left="0" w:right="0"/>
            </w:pPr>
            <w:r>
              <w:t>BARK</w:t>
            </w:r>
          </w:p>
        </w:tc>
        <w:tc>
          <w:tcPr>
            <w:cnfStyle w:evenVBand="true" w:oddVBand="false" w:firstColumn="false"/>
            <w:tcW w:w="33.333333%" w:type="pct"/>
          </w:tcPr>
          <w:p>
            <w:pPr>
              <w:ind w:leftChars="0" w:left="0" w:right="0"/>
            </w:pPr>
            <w:r>
              <w:t>BARK</w:t>
            </w:r>
          </w:p>
        </w:tc>
        <w:tc>
          <w:tcPr>
            <w:cnfStyle w:evenVBand="false" w:oddVBand="true" w:firstColumn="false"/>
            <w:tcW w:w="33.333333%" w:type="pct"/>
          </w:tcPr>
          <w:p>
            <w:pPr>
              <w:ind w:leftChars="0" w:left="0" w:right="0"/>
            </w:pPr>
            <w:r>
              <w:t>CBOE EUROPE - REGULATED MARKET DARK BOOK</w:t>
            </w:r>
          </w:p>
        </w:tc>
      </w:tr>
      <w:tr>
        <w:trPr>
          <w:cnfStyle w:evenHBand="true" w:oddHBand="false" w:firstRow="false"/>
        </w:trPr>
        <w:tc>
          <w:tcPr>
            <w:cnfStyle w:evenVBand="false" w:oddVBand="true" w:firstColumn="false"/>
            <w:tcW w:w="33.333333%" w:type="pct"/>
          </w:tcPr>
          <w:p>
            <w:pPr>
              <w:ind w:leftChars="0" w:left="0" w:right="0"/>
            </w:pPr>
            <w:r>
              <w:t>BARL</w:t>
            </w:r>
          </w:p>
        </w:tc>
        <w:tc>
          <w:tcPr>
            <w:cnfStyle w:evenVBand="true" w:oddVBand="false" w:firstColumn="false"/>
            <w:tcW w:w="33.333333%" w:type="pct"/>
          </w:tcPr>
          <w:p>
            <w:pPr>
              <w:ind w:leftChars="0" w:left="0" w:right="0"/>
            </w:pPr>
            <w:r>
              <w:t>BARL</w:t>
            </w:r>
          </w:p>
        </w:tc>
        <w:tc>
          <w:tcPr>
            <w:cnfStyle w:evenVBand="false" w:oddVBand="true" w:firstColumn="false"/>
            <w:tcW w:w="33.333333%" w:type="pct"/>
          </w:tcPr>
          <w:p>
            <w:pPr>
              <w:ind w:leftChars="0" w:left="0" w:right="0"/>
            </w:pPr>
            <w:r>
              <w:t>BARCLAYS LIQUID MARKETS</w:t>
            </w:r>
          </w:p>
        </w:tc>
      </w:tr>
      <w:tr>
        <w:trPr>
          <w:cnfStyle w:evenHBand="false" w:oddHBand="true" w:firstRow="false"/>
        </w:trPr>
        <w:tc>
          <w:tcPr>
            <w:cnfStyle w:evenVBand="false" w:oddVBand="true" w:firstColumn="false"/>
            <w:tcW w:w="33.333333%" w:type="pct"/>
          </w:tcPr>
          <w:p>
            <w:pPr>
              <w:ind w:leftChars="0" w:left="0" w:right="0"/>
            </w:pPr>
            <w:r>
              <w:t>BARO</w:t>
            </w:r>
          </w:p>
        </w:tc>
        <w:tc>
          <w:tcPr>
            <w:cnfStyle w:evenVBand="true" w:oddVBand="false" w:firstColumn="false"/>
            <w:tcW w:w="33.333333%" w:type="pct"/>
          </w:tcPr>
          <w:p>
            <w:pPr>
              <w:ind w:leftChars="0" w:left="0" w:right="0"/>
            </w:pPr>
            <w:r>
              <w:t>BARO</w:t>
            </w:r>
          </w:p>
        </w:tc>
        <w:tc>
          <w:tcPr>
            <w:cnfStyle w:evenVBand="false" w:oddVBand="true" w:firstColumn="false"/>
            <w:tcW w:w="33.333333%" w:type="pct"/>
          </w:tcPr>
          <w:p>
            <w:pPr>
              <w:ind w:leftChars="0" w:left="0" w:right="0"/>
            </w:pPr>
            <w:r>
              <w:t>CBOE EUROPE - REGULATED MARKET OFF BOOK</w:t>
            </w:r>
          </w:p>
        </w:tc>
      </w:tr>
      <w:tr>
        <w:trPr>
          <w:cnfStyle w:evenHBand="true" w:oddHBand="false" w:firstRow="false"/>
        </w:trPr>
        <w:tc>
          <w:tcPr>
            <w:cnfStyle w:evenVBand="false" w:oddVBand="true" w:firstColumn="false"/>
            <w:tcW w:w="33.333333%" w:type="pct"/>
          </w:tcPr>
          <w:p>
            <w:pPr>
              <w:ind w:leftChars="0" w:left="0" w:right="0"/>
            </w:pPr>
            <w:r>
              <w:t>BART</w:t>
            </w:r>
          </w:p>
        </w:tc>
        <w:tc>
          <w:tcPr>
            <w:cnfStyle w:evenVBand="true" w:oddVBand="false" w:firstColumn="false"/>
            <w:tcW w:w="33.333333%" w:type="pct"/>
          </w:tcPr>
          <w:p>
            <w:pPr>
              <w:ind w:leftChars="0" w:left="0" w:right="0"/>
            </w:pPr>
            <w:r>
              <w:t>BART</w:t>
            </w:r>
          </w:p>
        </w:tc>
        <w:tc>
          <w:tcPr>
            <w:cnfStyle w:evenVBand="false" w:oddVBand="true" w:firstColumn="false"/>
            <w:tcW w:w="33.333333%" w:type="pct"/>
          </w:tcPr>
          <w:p>
            <w:pPr>
              <w:ind w:leftChars="0" w:left="0" w:right="0"/>
            </w:pPr>
            <w:r>
              <w:t>CBOE EUROPE - REGULATED MARKET INTEGRATED BOOK</w:t>
            </w:r>
          </w:p>
        </w:tc>
      </w:tr>
      <w:tr>
        <w:trPr>
          <w:cnfStyle w:evenHBand="false" w:oddHBand="true" w:firstRow="false"/>
        </w:trPr>
        <w:tc>
          <w:tcPr>
            <w:cnfStyle w:evenVBand="false" w:oddVBand="true" w:firstColumn="false"/>
            <w:tcW w:w="33.333333%" w:type="pct"/>
          </w:tcPr>
          <w:p>
            <w:pPr>
              <w:ind w:leftChars="0" w:left="0" w:right="0"/>
            </w:pPr>
            <w:r>
              <w:t>BARU</w:t>
            </w:r>
          </w:p>
        </w:tc>
        <w:tc>
          <w:tcPr>
            <w:cnfStyle w:evenVBand="true" w:oddVBand="false" w:firstColumn="false"/>
            <w:tcW w:w="33.333333%" w:type="pct"/>
          </w:tcPr>
          <w:p>
            <w:pPr>
              <w:ind w:leftChars="0" w:left="0" w:right="0"/>
            </w:pPr>
            <w:r>
              <w:t>BARU</w:t>
            </w:r>
          </w:p>
        </w:tc>
        <w:tc>
          <w:tcPr>
            <w:cnfStyle w:evenVBand="false" w:oddVBand="true" w:firstColumn="false"/>
            <w:tcW w:w="33.333333%" w:type="pct"/>
          </w:tcPr>
          <w:p>
            <w:pPr>
              <w:ind w:leftChars="0" w:left="0" w:right="0"/>
            </w:pPr>
            <w:r>
              <w:t>CBOE EUROPE - REGULATED MARKET DARK BOOK (NL)</w:t>
            </w:r>
          </w:p>
        </w:tc>
      </w:tr>
      <w:tr>
        <w:trPr>
          <w:cnfStyle w:evenHBand="true" w:oddHBand="false" w:firstRow="false"/>
        </w:trPr>
        <w:tc>
          <w:tcPr>
            <w:cnfStyle w:evenVBand="false" w:oddVBand="true" w:firstColumn="false"/>
            <w:tcW w:w="33.333333%" w:type="pct"/>
          </w:tcPr>
          <w:p>
            <w:pPr>
              <w:ind w:leftChars="0" w:left="0" w:right="0"/>
            </w:pPr>
            <w:r>
              <w:t>BARX</w:t>
            </w:r>
          </w:p>
        </w:tc>
        <w:tc>
          <w:tcPr>
            <w:cnfStyle w:evenVBand="true" w:oddVBand="false" w:firstColumn="false"/>
            <w:tcW w:w="33.333333%" w:type="pct"/>
          </w:tcPr>
          <w:p>
            <w:pPr>
              <w:ind w:leftChars="0" w:left="0" w:right="0"/>
            </w:pPr>
            <w:r>
              <w:t>BARX</w:t>
            </w:r>
          </w:p>
        </w:tc>
        <w:tc>
          <w:tcPr>
            <w:cnfStyle w:evenVBand="false" w:oddVBand="true" w:firstColumn="false"/>
            <w:tcW w:w="33.333333%" w:type="pct"/>
          </w:tcPr>
          <w:p>
            <w:pPr>
              <w:ind w:leftChars="0" w:left="0" w:right="0"/>
            </w:pPr>
            <w:r>
              <w:t>BARCLAYS ATS</w:t>
            </w:r>
          </w:p>
        </w:tc>
      </w:tr>
      <w:tr>
        <w:trPr>
          <w:cnfStyle w:evenHBand="false" w:oddHBand="true" w:firstRow="false"/>
        </w:trPr>
        <w:tc>
          <w:tcPr>
            <w:cnfStyle w:evenVBand="false" w:oddVBand="true" w:firstColumn="false"/>
            <w:tcW w:w="33.333333%" w:type="pct"/>
          </w:tcPr>
          <w:p>
            <w:pPr>
              <w:ind w:leftChars="0" w:left="0" w:right="0"/>
            </w:pPr>
            <w:r>
              <w:t>BASE</w:t>
            </w:r>
          </w:p>
        </w:tc>
        <w:tc>
          <w:tcPr>
            <w:cnfStyle w:evenVBand="true" w:oddVBand="false" w:firstColumn="false"/>
            <w:tcW w:w="33.333333%" w:type="pct"/>
          </w:tcPr>
          <w:p>
            <w:pPr>
              <w:ind w:leftChars="0" w:left="0" w:right="0"/>
            </w:pPr>
            <w:r>
              <w:t>BASE</w:t>
            </w:r>
          </w:p>
        </w:tc>
        <w:tc>
          <w:tcPr>
            <w:cnfStyle w:evenVBand="false" w:oddVBand="true" w:firstColumn="false"/>
            <w:tcW w:w="33.333333%" w:type="pct"/>
          </w:tcPr>
          <w:p>
            <w:pPr>
              <w:ind w:leftChars="0" w:left="0" w:right="0"/>
            </w:pPr>
            <w:r>
              <w:t>BANK OF AMERICA MERRILL LYNCH - SWAP EXECUTIONS</w:t>
            </w:r>
          </w:p>
        </w:tc>
      </w:tr>
      <w:tr>
        <w:trPr>
          <w:cnfStyle w:evenHBand="true" w:oddHBand="false" w:firstRow="false"/>
        </w:trPr>
        <w:tc>
          <w:tcPr>
            <w:cnfStyle w:evenVBand="false" w:oddVBand="true" w:firstColumn="false"/>
            <w:tcW w:w="33.333333%" w:type="pct"/>
          </w:tcPr>
          <w:p>
            <w:pPr>
              <w:ind w:leftChars="0" w:left="0" w:right="0"/>
            </w:pPr>
            <w:r>
              <w:t>BASI</w:t>
            </w:r>
          </w:p>
        </w:tc>
        <w:tc>
          <w:tcPr>
            <w:cnfStyle w:evenVBand="true" w:oddVBand="false" w:firstColumn="false"/>
            <w:tcW w:w="33.333333%" w:type="pct"/>
          </w:tcPr>
          <w:p>
            <w:pPr>
              <w:ind w:leftChars="0" w:left="0" w:right="0"/>
            </w:pPr>
            <w:r>
              <w:t>BASI</w:t>
            </w:r>
          </w:p>
        </w:tc>
        <w:tc>
          <w:tcPr>
            <w:cnfStyle w:evenVBand="false" w:oddVBand="true" w:firstColumn="false"/>
            <w:tcW w:w="33.333333%" w:type="pct"/>
          </w:tcPr>
          <w:p>
            <w:pPr>
              <w:ind w:leftChars="0" w:left="0" w:right="0"/>
            </w:pPr>
            <w:r>
              <w:t>BANK OF AMERICA, NATIONAL ASSOCIATION - LONDON BRANCH OFFICE - SYSTEMATIC INTERNALISER</w:t>
            </w:r>
          </w:p>
        </w:tc>
      </w:tr>
      <w:tr>
        <w:trPr>
          <w:cnfStyle w:evenHBand="false" w:oddHBand="true" w:firstRow="false"/>
        </w:trPr>
        <w:tc>
          <w:tcPr>
            <w:cnfStyle w:evenVBand="false" w:oddVBand="true" w:firstColumn="false"/>
            <w:tcW w:w="33.333333%" w:type="pct"/>
          </w:tcPr>
          <w:p>
            <w:pPr>
              <w:ind w:leftChars="0" w:left="0" w:right="0"/>
            </w:pPr>
            <w:r>
              <w:t>BASP</w:t>
            </w:r>
          </w:p>
        </w:tc>
        <w:tc>
          <w:tcPr>
            <w:cnfStyle w:evenVBand="true" w:oddVBand="false" w:firstColumn="false"/>
            <w:tcW w:w="33.333333%" w:type="pct"/>
          </w:tcPr>
          <w:p>
            <w:pPr>
              <w:ind w:leftChars="0" w:left="0" w:right="0"/>
            </w:pPr>
            <w:r>
              <w:t>BASP</w:t>
            </w:r>
          </w:p>
        </w:tc>
        <w:tc>
          <w:tcPr>
            <w:cnfStyle w:evenVBand="false" w:oddVBand="true" w:firstColumn="false"/>
            <w:tcW w:w="33.333333%" w:type="pct"/>
          </w:tcPr>
          <w:p>
            <w:pPr>
              <w:ind w:leftChars="0" w:left="0" w:right="0"/>
            </w:pPr>
            <w:r>
              <w:t>BANK OF AMERICA SECURITIES EQUITY SWAP - SYNTHETIC PRICE SOURCE</w:t>
            </w:r>
          </w:p>
        </w:tc>
      </w:tr>
      <w:tr>
        <w:trPr>
          <w:cnfStyle w:evenHBand="true" w:oddHBand="false" w:firstRow="false"/>
        </w:trPr>
        <w:tc>
          <w:tcPr>
            <w:cnfStyle w:evenVBand="false" w:oddVBand="true" w:firstColumn="false"/>
            <w:tcW w:w="33.333333%" w:type="pct"/>
          </w:tcPr>
          <w:p>
            <w:pPr>
              <w:ind w:leftChars="0" w:left="0" w:right="0"/>
            </w:pPr>
            <w:r>
              <w:t>BASX</w:t>
            </w:r>
          </w:p>
        </w:tc>
        <w:tc>
          <w:tcPr>
            <w:cnfStyle w:evenVBand="true" w:oddVBand="false" w:firstColumn="false"/>
            <w:tcW w:w="33.333333%" w:type="pct"/>
          </w:tcPr>
          <w:p>
            <w:pPr>
              <w:ind w:leftChars="0" w:left="0" w:right="0"/>
            </w:pPr>
            <w:r>
              <w:t>BASX</w:t>
            </w:r>
          </w:p>
        </w:tc>
        <w:tc>
          <w:tcPr>
            <w:cnfStyle w:evenVBand="false" w:oddVBand="true" w:firstColumn="false"/>
            <w:tcW w:w="33.333333%" w:type="pct"/>
          </w:tcPr>
          <w:p>
            <w:pPr>
              <w:ind w:leftChars="0" w:left="0" w:right="0"/>
            </w:pPr>
            <w:r>
              <w:t>BANK OF AMERICA MERRILL LYNCH - SIMPLEX BLAST X</w:t>
            </w:r>
          </w:p>
        </w:tc>
      </w:tr>
      <w:tr>
        <w:trPr>
          <w:cnfStyle w:evenHBand="false" w:oddHBand="true" w:firstRow="false"/>
        </w:trPr>
        <w:tc>
          <w:tcPr>
            <w:cnfStyle w:evenVBand="false" w:oddVBand="true" w:firstColumn="false"/>
            <w:tcW w:w="33.333333%" w:type="pct"/>
          </w:tcPr>
          <w:p>
            <w:pPr>
              <w:ind w:leftChars="0" w:left="0" w:right="0"/>
            </w:pPr>
            <w:r>
              <w:t>BATD</w:t>
            </w:r>
          </w:p>
        </w:tc>
        <w:tc>
          <w:tcPr>
            <w:cnfStyle w:evenVBand="true" w:oddVBand="false" w:firstColumn="false"/>
            <w:tcW w:w="33.333333%" w:type="pct"/>
          </w:tcPr>
          <w:p>
            <w:pPr>
              <w:ind w:leftChars="0" w:left="0" w:right="0"/>
            </w:pPr>
            <w:r>
              <w:t>BATD</w:t>
            </w:r>
          </w:p>
        </w:tc>
        <w:tc>
          <w:tcPr>
            <w:cnfStyle w:evenVBand="false" w:oddVBand="true" w:firstColumn="false"/>
            <w:tcW w:w="33.333333%" w:type="pct"/>
          </w:tcPr>
          <w:p>
            <w:pPr>
              <w:ind w:leftChars="0" w:left="0" w:right="0"/>
            </w:pPr>
            <w:r>
              <w:t>CBOE EUROPE - BXE DARK ORDER BOOK</w:t>
            </w:r>
          </w:p>
        </w:tc>
      </w:tr>
      <w:tr>
        <w:trPr>
          <w:cnfStyle w:evenHBand="true" w:oddHBand="false" w:firstRow="false"/>
        </w:trPr>
        <w:tc>
          <w:tcPr>
            <w:cnfStyle w:evenVBand="false" w:oddVBand="true" w:firstColumn="false"/>
            <w:tcW w:w="33.333333%" w:type="pct"/>
          </w:tcPr>
          <w:p>
            <w:pPr>
              <w:ind w:leftChars="0" w:left="0" w:right="0"/>
            </w:pPr>
            <w:r>
              <w:t>BATE</w:t>
            </w:r>
          </w:p>
        </w:tc>
        <w:tc>
          <w:tcPr>
            <w:cnfStyle w:evenVBand="true" w:oddVBand="false" w:firstColumn="false"/>
            <w:tcW w:w="33.333333%" w:type="pct"/>
          </w:tcPr>
          <w:p>
            <w:pPr>
              <w:ind w:leftChars="0" w:left="0" w:right="0"/>
            </w:pPr>
            <w:r>
              <w:t>BATE</w:t>
            </w:r>
          </w:p>
        </w:tc>
        <w:tc>
          <w:tcPr>
            <w:cnfStyle w:evenVBand="false" w:oddVBand="true" w:firstColumn="false"/>
            <w:tcW w:w="33.333333%" w:type="pct"/>
          </w:tcPr>
          <w:p>
            <w:pPr>
              <w:ind w:leftChars="0" w:left="0" w:right="0"/>
            </w:pPr>
            <w:r>
              <w:t>CBOE EUROPE - BXE ORDER BOOKS</w:t>
            </w:r>
          </w:p>
        </w:tc>
      </w:tr>
      <w:tr>
        <w:trPr>
          <w:cnfStyle w:evenHBand="false" w:oddHBand="true" w:firstRow="false"/>
        </w:trPr>
        <w:tc>
          <w:tcPr>
            <w:cnfStyle w:evenVBand="false" w:oddVBand="true" w:firstColumn="false"/>
            <w:tcW w:w="33.333333%" w:type="pct"/>
          </w:tcPr>
          <w:p>
            <w:pPr>
              <w:ind w:leftChars="0" w:left="0" w:right="0"/>
            </w:pPr>
            <w:r>
              <w:t>BATF</w:t>
            </w:r>
          </w:p>
        </w:tc>
        <w:tc>
          <w:tcPr>
            <w:cnfStyle w:evenVBand="true" w:oddVBand="false" w:firstColumn="false"/>
            <w:tcW w:w="33.333333%" w:type="pct"/>
          </w:tcPr>
          <w:p>
            <w:pPr>
              <w:ind w:leftChars="0" w:left="0" w:right="0"/>
            </w:pPr>
            <w:r>
              <w:t>BATF</w:t>
            </w:r>
          </w:p>
        </w:tc>
        <w:tc>
          <w:tcPr>
            <w:cnfStyle w:evenVBand="false" w:oddVBand="true" w:firstColumn="false"/>
            <w:tcW w:w="33.333333%" w:type="pct"/>
          </w:tcPr>
          <w:p>
            <w:pPr>
              <w:ind w:leftChars="0" w:left="0" w:right="0"/>
            </w:pPr>
            <w:r>
              <w:t>CBOE EUROPE - BXE OFF-BOOK</w:t>
            </w:r>
          </w:p>
        </w:tc>
      </w:tr>
      <w:tr>
        <w:trPr>
          <w:cnfStyle w:evenHBand="true" w:oddHBand="false" w:firstRow="false"/>
        </w:trPr>
        <w:tc>
          <w:tcPr>
            <w:cnfStyle w:evenVBand="false" w:oddVBand="true" w:firstColumn="false"/>
            <w:tcW w:w="33.333333%" w:type="pct"/>
          </w:tcPr>
          <w:p>
            <w:pPr>
              <w:ind w:leftChars="0" w:left="0" w:right="0"/>
            </w:pPr>
            <w:r>
              <w:t>BATO</w:t>
            </w:r>
          </w:p>
        </w:tc>
        <w:tc>
          <w:tcPr>
            <w:cnfStyle w:evenVBand="true" w:oddVBand="false" w:firstColumn="false"/>
            <w:tcW w:w="33.333333%" w:type="pct"/>
          </w:tcPr>
          <w:p>
            <w:pPr>
              <w:ind w:leftChars="0" w:left="0" w:right="0"/>
            </w:pPr>
            <w:r>
              <w:t>BATO</w:t>
            </w:r>
          </w:p>
        </w:tc>
        <w:tc>
          <w:tcPr>
            <w:cnfStyle w:evenVBand="false" w:oddVBand="true" w:firstColumn="false"/>
            <w:tcW w:w="33.333333%" w:type="pct"/>
          </w:tcPr>
          <w:p>
            <w:pPr>
              <w:ind w:leftChars="0" w:left="0" w:right="0"/>
            </w:pPr>
            <w:r>
              <w:t>CBOE BZX OPTIONS EXCHANGE</w:t>
            </w:r>
          </w:p>
        </w:tc>
      </w:tr>
      <w:tr>
        <w:trPr>
          <w:cnfStyle w:evenHBand="false" w:oddHBand="true" w:firstRow="false"/>
        </w:trPr>
        <w:tc>
          <w:tcPr>
            <w:cnfStyle w:evenVBand="false" w:oddVBand="true" w:firstColumn="false"/>
            <w:tcW w:w="33.333333%" w:type="pct"/>
          </w:tcPr>
          <w:p>
            <w:pPr>
              <w:ind w:leftChars="0" w:left="0" w:right="0"/>
            </w:pPr>
            <w:r>
              <w:t>BATP</w:t>
            </w:r>
          </w:p>
        </w:tc>
        <w:tc>
          <w:tcPr>
            <w:cnfStyle w:evenVBand="true" w:oddVBand="false" w:firstColumn="false"/>
            <w:tcW w:w="33.333333%" w:type="pct"/>
          </w:tcPr>
          <w:p>
            <w:pPr>
              <w:ind w:leftChars="0" w:left="0" w:right="0"/>
            </w:pPr>
            <w:r>
              <w:t>BATP</w:t>
            </w:r>
          </w:p>
        </w:tc>
        <w:tc>
          <w:tcPr>
            <w:cnfStyle w:evenVBand="false" w:oddVBand="true" w:firstColumn="false"/>
            <w:tcW w:w="33.333333%" w:type="pct"/>
          </w:tcPr>
          <w:p>
            <w:pPr>
              <w:ind w:leftChars="0" w:left="0" w:right="0"/>
            </w:pPr>
            <w:r>
              <w:t>CBOE EUROPE - BXE PERIODIC</w:t>
            </w:r>
          </w:p>
        </w:tc>
      </w:tr>
      <w:tr>
        <w:trPr>
          <w:cnfStyle w:evenHBand="true" w:oddHBand="false" w:firstRow="false"/>
        </w:trPr>
        <w:tc>
          <w:tcPr>
            <w:cnfStyle w:evenVBand="false" w:oddVBand="true" w:firstColumn="false"/>
            <w:tcW w:w="33.333333%" w:type="pct"/>
          </w:tcPr>
          <w:p>
            <w:pPr>
              <w:ind w:leftChars="0" w:left="0" w:right="0"/>
            </w:pPr>
            <w:r>
              <w:t>BATS</w:t>
            </w:r>
          </w:p>
        </w:tc>
        <w:tc>
          <w:tcPr>
            <w:cnfStyle w:evenVBand="true" w:oddVBand="false" w:firstColumn="false"/>
            <w:tcW w:w="33.333333%" w:type="pct"/>
          </w:tcPr>
          <w:p>
            <w:pPr>
              <w:ind w:leftChars="0" w:left="0" w:right="0"/>
            </w:pPr>
            <w:r>
              <w:t>BATS</w:t>
            </w:r>
          </w:p>
        </w:tc>
        <w:tc>
          <w:tcPr>
            <w:cnfStyle w:evenVBand="false" w:oddVBand="true" w:firstColumn="false"/>
            <w:tcW w:w="33.333333%" w:type="pct"/>
          </w:tcPr>
          <w:p>
            <w:pPr>
              <w:ind w:leftChars="0" w:left="0" w:right="0"/>
            </w:pPr>
            <w:r>
              <w:t>CBOE BZX U.S. EQUITIES EXCHANGE</w:t>
            </w:r>
          </w:p>
        </w:tc>
      </w:tr>
      <w:tr>
        <w:trPr>
          <w:cnfStyle w:evenHBand="false" w:oddHBand="true" w:firstRow="false"/>
        </w:trPr>
        <w:tc>
          <w:tcPr>
            <w:cnfStyle w:evenVBand="false" w:oddVBand="true" w:firstColumn="false"/>
            <w:tcW w:w="33.333333%" w:type="pct"/>
          </w:tcPr>
          <w:p>
            <w:pPr>
              <w:ind w:leftChars="0" w:left="0" w:right="0"/>
            </w:pPr>
            <w:r>
              <w:t>BATY</w:t>
            </w:r>
          </w:p>
        </w:tc>
        <w:tc>
          <w:tcPr>
            <w:cnfStyle w:evenVBand="true" w:oddVBand="false" w:firstColumn="false"/>
            <w:tcW w:w="33.333333%" w:type="pct"/>
          </w:tcPr>
          <w:p>
            <w:pPr>
              <w:ind w:leftChars="0" w:left="0" w:right="0"/>
            </w:pPr>
            <w:r>
              <w:t>BATY</w:t>
            </w:r>
          </w:p>
        </w:tc>
        <w:tc>
          <w:tcPr>
            <w:cnfStyle w:evenVBand="false" w:oddVBand="true" w:firstColumn="false"/>
            <w:tcW w:w="33.333333%" w:type="pct"/>
          </w:tcPr>
          <w:p>
            <w:pPr>
              <w:ind w:leftChars="0" w:left="0" w:right="0"/>
            </w:pPr>
            <w:r>
              <w:t>CBOE BYX U.S. EQUITIES EXCHANGE</w:t>
            </w:r>
          </w:p>
        </w:tc>
      </w:tr>
      <w:tr>
        <w:trPr>
          <w:cnfStyle w:evenHBand="true" w:oddHBand="false" w:firstRow="false"/>
        </w:trPr>
        <w:tc>
          <w:tcPr>
            <w:cnfStyle w:evenVBand="false" w:oddVBand="true" w:firstColumn="false"/>
            <w:tcW w:w="33.333333%" w:type="pct"/>
          </w:tcPr>
          <w:p>
            <w:pPr>
              <w:ind w:leftChars="0" w:left="0" w:right="0"/>
            </w:pPr>
            <w:r>
              <w:t>BBIE</w:t>
            </w:r>
          </w:p>
        </w:tc>
        <w:tc>
          <w:tcPr>
            <w:cnfStyle w:evenVBand="true" w:oddVBand="false" w:firstColumn="false"/>
            <w:tcW w:w="33.333333%" w:type="pct"/>
          </w:tcPr>
          <w:p>
            <w:pPr>
              <w:ind w:leftChars="0" w:left="0" w:right="0"/>
            </w:pPr>
            <w:r>
              <w:t>BBIE</w:t>
            </w:r>
          </w:p>
        </w:tc>
        <w:tc>
          <w:tcPr>
            <w:cnfStyle w:evenVBand="false" w:oddVBand="true" w:firstColumn="false"/>
            <w:tcW w:w="33.333333%" w:type="pct"/>
          </w:tcPr>
          <w:p>
            <w:pPr>
              <w:ind w:leftChars="0" w:left="0" w:right="0"/>
            </w:pPr>
            <w:r>
              <w:t>BARCLAYS BANK IRELAND PLC</w:t>
            </w:r>
          </w:p>
        </w:tc>
      </w:tr>
      <w:tr>
        <w:trPr>
          <w:cnfStyle w:evenHBand="false" w:oddHBand="true" w:firstRow="false"/>
        </w:trPr>
        <w:tc>
          <w:tcPr>
            <w:cnfStyle w:evenVBand="false" w:oddVBand="true" w:firstColumn="false"/>
            <w:tcW w:w="33.333333%" w:type="pct"/>
          </w:tcPr>
          <w:p>
            <w:pPr>
              <w:ind w:leftChars="0" w:left="0" w:right="0"/>
            </w:pPr>
            <w:r>
              <w:t>BBIS</w:t>
            </w:r>
          </w:p>
        </w:tc>
        <w:tc>
          <w:tcPr>
            <w:cnfStyle w:evenVBand="true" w:oddVBand="false" w:firstColumn="false"/>
            <w:tcW w:w="33.333333%" w:type="pct"/>
          </w:tcPr>
          <w:p>
            <w:pPr>
              <w:ind w:leftChars="0" w:left="0" w:right="0"/>
            </w:pPr>
            <w:r>
              <w:t>BBIS</w:t>
            </w:r>
          </w:p>
        </w:tc>
        <w:tc>
          <w:tcPr>
            <w:cnfStyle w:evenVBand="false" w:oddVBand="true" w:firstColumn="false"/>
            <w:tcW w:w="33.333333%" w:type="pct"/>
          </w:tcPr>
          <w:p>
            <w:pPr>
              <w:ind w:leftChars="0" w:left="0" w:right="0"/>
            </w:pPr>
            <w:r>
              <w:t>BARCLAYS BANK IRELAND PLC - SYSTEMATIC INTERNALISER</w:t>
            </w:r>
          </w:p>
        </w:tc>
      </w:tr>
      <w:tr>
        <w:trPr>
          <w:cnfStyle w:evenHBand="true" w:oddHBand="false" w:firstRow="false"/>
        </w:trPr>
        <w:tc>
          <w:tcPr>
            <w:cnfStyle w:evenVBand="false" w:oddVBand="true" w:firstColumn="false"/>
            <w:tcW w:w="33.333333%" w:type="pct"/>
          </w:tcPr>
          <w:p>
            <w:pPr>
              <w:ind w:leftChars="0" w:left="0" w:right="0"/>
            </w:pPr>
            <w:r>
              <w:t>BBLX</w:t>
            </w:r>
          </w:p>
        </w:tc>
        <w:tc>
          <w:tcPr>
            <w:cnfStyle w:evenVBand="true" w:oddVBand="false" w:firstColumn="false"/>
            <w:tcW w:w="33.333333%" w:type="pct"/>
          </w:tcPr>
          <w:p>
            <w:pPr>
              <w:ind w:leftChars="0" w:left="0" w:right="0"/>
            </w:pPr>
            <w:r>
              <w:t>BBLX</w:t>
            </w:r>
          </w:p>
        </w:tc>
        <w:tc>
          <w:tcPr>
            <w:cnfStyle w:evenVBand="false" w:oddVBand="true" w:firstColumn="false"/>
            <w:tcW w:w="33.333333%" w:type="pct"/>
          </w:tcPr>
          <w:p>
            <w:pPr>
              <w:ind w:leftChars="0" w:left="0" w:right="0"/>
            </w:pPr>
            <w:r>
              <w:t>BONDBLOX EXCHANGE</w:t>
            </w:r>
          </w:p>
        </w:tc>
      </w:tr>
      <w:tr>
        <w:trPr>
          <w:cnfStyle w:evenHBand="false" w:oddHBand="true" w:firstRow="false"/>
        </w:trPr>
        <w:tc>
          <w:tcPr>
            <w:cnfStyle w:evenVBand="false" w:oddVBand="true" w:firstColumn="false"/>
            <w:tcW w:w="33.333333%" w:type="pct"/>
          </w:tcPr>
          <w:p>
            <w:pPr>
              <w:ind w:leftChars="0" w:left="0" w:right="0"/>
            </w:pPr>
            <w:r>
              <w:t>BBOK</w:t>
            </w:r>
          </w:p>
        </w:tc>
        <w:tc>
          <w:tcPr>
            <w:cnfStyle w:evenVBand="true" w:oddVBand="false" w:firstColumn="false"/>
            <w:tcW w:w="33.333333%" w:type="pct"/>
          </w:tcPr>
          <w:p>
            <w:pPr>
              <w:ind w:leftChars="0" w:left="0" w:right="0"/>
            </w:pPr>
            <w:r>
              <w:t>BBOK</w:t>
            </w:r>
          </w:p>
        </w:tc>
        <w:tc>
          <w:tcPr>
            <w:cnfStyle w:evenVBand="false" w:oddVBand="true" w:firstColumn="false"/>
            <w:tcW w:w="33.333333%" w:type="pct"/>
          </w:tcPr>
          <w:p>
            <w:pPr>
              <w:ind w:leftChars="0" w:left="0" w:right="0"/>
            </w:pPr>
            <w:r>
              <w:t>BARCLAYS SINGLE DEALER PLATFORM</w:t>
            </w:r>
          </w:p>
        </w:tc>
      </w:tr>
      <w:tr>
        <w:trPr>
          <w:cnfStyle w:evenHBand="true" w:oddHBand="false" w:firstRow="false"/>
        </w:trPr>
        <w:tc>
          <w:tcPr>
            <w:cnfStyle w:evenVBand="false" w:oddVBand="true" w:firstColumn="false"/>
            <w:tcW w:w="33.333333%" w:type="pct"/>
          </w:tcPr>
          <w:p>
            <w:pPr>
              <w:ind w:leftChars="0" w:left="0" w:right="0"/>
            </w:pPr>
            <w:r>
              <w:t>BBSF</w:t>
            </w:r>
          </w:p>
        </w:tc>
        <w:tc>
          <w:tcPr>
            <w:cnfStyle w:evenVBand="true" w:oddVBand="false" w:firstColumn="false"/>
            <w:tcW w:w="33.333333%" w:type="pct"/>
          </w:tcPr>
          <w:p>
            <w:pPr>
              <w:ind w:leftChars="0" w:left="0" w:right="0"/>
            </w:pPr>
            <w:r>
              <w:t>BBSF</w:t>
            </w:r>
          </w:p>
        </w:tc>
        <w:tc>
          <w:tcPr>
            <w:cnfStyle w:evenVBand="false" w:oddVBand="true" w:firstColumn="false"/>
            <w:tcW w:w="33.333333%" w:type="pct"/>
          </w:tcPr>
          <w:p>
            <w:pPr>
              <w:ind w:leftChars="0" w:left="0" w:right="0"/>
            </w:pPr>
            <w:r>
              <w:t>BLOOMBERG SEF LLC</w:t>
            </w:r>
          </w:p>
        </w:tc>
      </w:tr>
      <w:tr>
        <w:trPr>
          <w:cnfStyle w:evenHBand="false" w:oddHBand="true" w:firstRow="false"/>
        </w:trPr>
        <w:tc>
          <w:tcPr>
            <w:cnfStyle w:evenVBand="false" w:oddVBand="true" w:firstColumn="false"/>
            <w:tcW w:w="33.333333%" w:type="pct"/>
          </w:tcPr>
          <w:p>
            <w:pPr>
              <w:ind w:leftChars="0" w:left="0" w:right="0"/>
            </w:pPr>
            <w:r>
              <w:t>BBSI</w:t>
            </w:r>
          </w:p>
        </w:tc>
        <w:tc>
          <w:tcPr>
            <w:cnfStyle w:evenVBand="true" w:oddVBand="false" w:firstColumn="false"/>
            <w:tcW w:w="33.333333%" w:type="pct"/>
          </w:tcPr>
          <w:p>
            <w:pPr>
              <w:ind w:leftChars="0" w:left="0" w:right="0"/>
            </w:pPr>
            <w:r>
              <w:t>BBSI</w:t>
            </w:r>
          </w:p>
        </w:tc>
        <w:tc>
          <w:tcPr>
            <w:cnfStyle w:evenVBand="false" w:oddVBand="true" w:firstColumn="false"/>
            <w:tcW w:w="33.333333%" w:type="pct"/>
          </w:tcPr>
          <w:p>
            <w:pPr>
              <w:ind w:leftChars="0" w:left="0" w:right="0"/>
            </w:pPr>
            <w:r>
              <w:t>BARCLAYS BANK PLC - SYSTEMATIC INTERNALISER</w:t>
            </w:r>
          </w:p>
        </w:tc>
      </w:tr>
      <w:tr>
        <w:trPr>
          <w:cnfStyle w:evenHBand="true" w:oddHBand="false" w:firstRow="false"/>
        </w:trPr>
        <w:tc>
          <w:tcPr>
            <w:cnfStyle w:evenVBand="false" w:oddVBand="true" w:firstColumn="false"/>
            <w:tcW w:w="33.333333%" w:type="pct"/>
          </w:tcPr>
          <w:p>
            <w:pPr>
              <w:ind w:leftChars="0" w:left="0" w:right="0"/>
            </w:pPr>
            <w:r>
              <w:t>BBSX</w:t>
            </w:r>
          </w:p>
        </w:tc>
        <w:tc>
          <w:tcPr>
            <w:cnfStyle w:evenVBand="true" w:oddVBand="false" w:firstColumn="false"/>
            <w:tcW w:w="33.333333%" w:type="pct"/>
          </w:tcPr>
          <w:p>
            <w:pPr>
              <w:ind w:leftChars="0" w:left="0" w:right="0"/>
            </w:pPr>
            <w:r>
              <w:t>BBSX</w:t>
            </w:r>
          </w:p>
        </w:tc>
        <w:tc>
          <w:tcPr>
            <w:cnfStyle w:evenVBand="false" w:oddVBand="true" w:firstColumn="false"/>
            <w:tcW w:w="33.333333%" w:type="pct"/>
          </w:tcPr>
          <w:p>
            <w:pPr>
              <w:ind w:leftChars="0" w:left="0" w:right="0"/>
            </w:pPr>
            <w:r>
              <w:t>BB SECURITIES LTD</w:t>
            </w:r>
          </w:p>
        </w:tc>
      </w:tr>
      <w:tr>
        <w:trPr>
          <w:cnfStyle w:evenHBand="false" w:oddHBand="true" w:firstRow="false"/>
        </w:trPr>
        <w:tc>
          <w:tcPr>
            <w:cnfStyle w:evenVBand="false" w:oddVBand="true" w:firstColumn="false"/>
            <w:tcW w:w="33.333333%" w:type="pct"/>
          </w:tcPr>
          <w:p>
            <w:pPr>
              <w:ind w:leftChars="0" w:left="0" w:right="0"/>
            </w:pPr>
            <w:r>
              <w:t>BBVA</w:t>
            </w:r>
          </w:p>
        </w:tc>
        <w:tc>
          <w:tcPr>
            <w:cnfStyle w:evenVBand="true" w:oddVBand="false" w:firstColumn="false"/>
            <w:tcW w:w="33.333333%" w:type="pct"/>
          </w:tcPr>
          <w:p>
            <w:pPr>
              <w:ind w:leftChars="0" w:left="0" w:right="0"/>
            </w:pPr>
            <w:r>
              <w:t>BBVA</w:t>
            </w:r>
          </w:p>
        </w:tc>
        <w:tc>
          <w:tcPr>
            <w:cnfStyle w:evenVBand="false" w:oddVBand="true" w:firstColumn="false"/>
            <w:tcW w:w="33.333333%" w:type="pct"/>
          </w:tcPr>
          <w:p>
            <w:pPr>
              <w:ind w:leftChars="0" w:left="0" w:right="0"/>
            </w:pPr>
            <w:r>
              <w:t>BANCO BILBAO VIZCAYA ARGENTARIA S.A - SYSTEMATIC INTERNALISER</w:t>
            </w:r>
          </w:p>
        </w:tc>
      </w:tr>
      <w:tr>
        <w:trPr>
          <w:cnfStyle w:evenHBand="true" w:oddHBand="false" w:firstRow="false"/>
        </w:trPr>
        <w:tc>
          <w:tcPr>
            <w:cnfStyle w:evenVBand="false" w:oddVBand="true" w:firstColumn="false"/>
            <w:tcW w:w="33.333333%" w:type="pct"/>
          </w:tcPr>
          <w:p>
            <w:pPr>
              <w:ind w:leftChars="0" w:left="0" w:right="0"/>
            </w:pPr>
            <w:r>
              <w:t>BBVX</w:t>
            </w:r>
          </w:p>
        </w:tc>
        <w:tc>
          <w:tcPr>
            <w:cnfStyle w:evenVBand="true" w:oddVBand="false" w:firstColumn="false"/>
            <w:tcW w:w="33.333333%" w:type="pct"/>
          </w:tcPr>
          <w:p>
            <w:pPr>
              <w:ind w:leftChars="0" w:left="0" w:right="0"/>
            </w:pPr>
            <w:r>
              <w:t>BBVX</w:t>
            </w:r>
          </w:p>
        </w:tc>
        <w:tc>
          <w:tcPr>
            <w:cnfStyle w:evenVBand="false" w:oddVBand="true" w:firstColumn="false"/>
            <w:tcW w:w="33.333333%" w:type="pct"/>
          </w:tcPr>
          <w:p>
            <w:pPr>
              <w:ind w:leftChars="0" w:left="0" w:right="0"/>
            </w:pPr>
            <w:r>
              <w:t>BANCO BILBAO VIZCAYA ARGENTARIA S.A. - UK - SYSTEMATIC INTERNALISER</w:t>
            </w:r>
          </w:p>
        </w:tc>
      </w:tr>
      <w:tr>
        <w:trPr>
          <w:cnfStyle w:evenHBand="false" w:oddHBand="true" w:firstRow="false"/>
        </w:trPr>
        <w:tc>
          <w:tcPr>
            <w:cnfStyle w:evenVBand="false" w:oddVBand="true" w:firstColumn="false"/>
            <w:tcW w:w="33.333333%" w:type="pct"/>
          </w:tcPr>
          <w:p>
            <w:pPr>
              <w:ind w:leftChars="0" w:left="0" w:right="0"/>
            </w:pPr>
            <w:r>
              <w:t>BCDX</w:t>
            </w:r>
          </w:p>
        </w:tc>
        <w:tc>
          <w:tcPr>
            <w:cnfStyle w:evenVBand="true" w:oddVBand="false" w:firstColumn="false"/>
            <w:tcW w:w="33.333333%" w:type="pct"/>
          </w:tcPr>
          <w:p>
            <w:pPr>
              <w:ind w:leftChars="0" w:left="0" w:right="0"/>
            </w:pPr>
            <w:r>
              <w:t>BCDX</w:t>
            </w:r>
          </w:p>
        </w:tc>
        <w:tc>
          <w:tcPr>
            <w:cnfStyle w:evenVBand="false" w:oddVBand="true" w:firstColumn="false"/>
            <w:tcW w:w="33.333333%" w:type="pct"/>
          </w:tcPr>
          <w:p>
            <w:pPr>
              <w:ind w:leftChars="0" w:left="0" w:right="0"/>
            </w:pPr>
            <w:r>
              <w:t>BARCLAYS DIRECT EX ATS</w:t>
            </w:r>
          </w:p>
        </w:tc>
      </w:tr>
      <w:tr>
        <w:trPr>
          <w:cnfStyle w:evenHBand="true" w:oddHBand="false" w:firstRow="false"/>
        </w:trPr>
        <w:tc>
          <w:tcPr>
            <w:cnfStyle w:evenVBand="false" w:oddVBand="true" w:firstColumn="false"/>
            <w:tcW w:w="33.333333%" w:type="pct"/>
          </w:tcPr>
          <w:p>
            <w:pPr>
              <w:ind w:leftChars="0" w:left="0" w:right="0"/>
            </w:pPr>
            <w:r>
              <w:t>BCEE</w:t>
            </w:r>
          </w:p>
        </w:tc>
        <w:tc>
          <w:tcPr>
            <w:cnfStyle w:evenVBand="true" w:oddVBand="false" w:firstColumn="false"/>
            <w:tcW w:w="33.333333%" w:type="pct"/>
          </w:tcPr>
          <w:p>
            <w:pPr>
              <w:ind w:leftChars="0" w:left="0" w:right="0"/>
            </w:pPr>
            <w:r>
              <w:t>BCEE</w:t>
            </w:r>
          </w:p>
        </w:tc>
        <w:tc>
          <w:tcPr>
            <w:cnfStyle w:evenVBand="false" w:oddVBand="true" w:firstColumn="false"/>
            <w:tcW w:w="33.333333%" w:type="pct"/>
          </w:tcPr>
          <w:p>
            <w:pPr>
              <w:ind w:leftChars="0" w:left="0" w:right="0"/>
            </w:pPr>
            <w:r>
              <w:t>BANQUE ET CAISSE D’EPARGNE DE L’ETAT, LUXEMBOURG - BCEE - SYSTEMATIC INTERNALISER</w:t>
            </w:r>
          </w:p>
        </w:tc>
      </w:tr>
      <w:tr>
        <w:trPr>
          <w:cnfStyle w:evenHBand="false" w:oddHBand="true" w:firstRow="false"/>
        </w:trPr>
        <w:tc>
          <w:tcPr>
            <w:cnfStyle w:evenVBand="false" w:oddVBand="true" w:firstColumn="false"/>
            <w:tcW w:w="33.333333%" w:type="pct"/>
          </w:tcPr>
          <w:p>
            <w:pPr>
              <w:ind w:leftChars="0" w:left="0" w:right="0"/>
            </w:pPr>
            <w:r>
              <w:t>BCFS</w:t>
            </w:r>
          </w:p>
        </w:tc>
        <w:tc>
          <w:tcPr>
            <w:cnfStyle w:evenVBand="true" w:oddVBand="false" w:firstColumn="false"/>
            <w:tcW w:w="33.333333%" w:type="pct"/>
          </w:tcPr>
          <w:p>
            <w:pPr>
              <w:ind w:leftChars="0" w:left="0" w:right="0"/>
            </w:pPr>
            <w:r>
              <w:t>BCFS</w:t>
            </w:r>
          </w:p>
        </w:tc>
        <w:tc>
          <w:tcPr>
            <w:cnfStyle w:evenVBand="false" w:oddVBand="true" w:firstColumn="false"/>
            <w:tcW w:w="33.333333%" w:type="pct"/>
          </w:tcPr>
          <w:p>
            <w:pPr>
              <w:ind w:leftChars="0" w:left="0" w:right="0"/>
            </w:pPr>
            <w:r>
              <w:t>BOLSA DE COMERCIO DE SANTA FE</w:t>
            </w:r>
          </w:p>
        </w:tc>
      </w:tr>
      <w:tr>
        <w:trPr>
          <w:cnfStyle w:evenHBand="true" w:oddHBand="false" w:firstRow="false"/>
        </w:trPr>
        <w:tc>
          <w:tcPr>
            <w:cnfStyle w:evenVBand="false" w:oddVBand="true" w:firstColumn="false"/>
            <w:tcW w:w="33.333333%" w:type="pct"/>
          </w:tcPr>
          <w:p>
            <w:pPr>
              <w:ind w:leftChars="0" w:left="0" w:right="0"/>
            </w:pPr>
            <w:r>
              <w:t>BCMA</w:t>
            </w:r>
          </w:p>
        </w:tc>
        <w:tc>
          <w:tcPr>
            <w:cnfStyle w:evenVBand="true" w:oddVBand="false" w:firstColumn="false"/>
            <w:tcW w:w="33.333333%" w:type="pct"/>
          </w:tcPr>
          <w:p>
            <w:pPr>
              <w:ind w:leftChars="0" w:left="0" w:right="0"/>
            </w:pPr>
            <w:r>
              <w:t>BCMA</w:t>
            </w:r>
          </w:p>
        </w:tc>
        <w:tc>
          <w:tcPr>
            <w:cnfStyle w:evenVBand="false" w:oddVBand="true" w:firstColumn="false"/>
            <w:tcW w:w="33.333333%" w:type="pct"/>
          </w:tcPr>
          <w:p>
            <w:pPr>
              <w:ind w:leftChars="0" w:left="0" w:right="0"/>
            </w:pPr>
            <w:r>
              <w:t>BANCA MARCH S.A. - SYSTEMATIC INTERNALISER</w:t>
            </w:r>
          </w:p>
        </w:tc>
      </w:tr>
      <w:tr>
        <w:trPr>
          <w:cnfStyle w:evenHBand="false" w:oddHBand="true" w:firstRow="false"/>
        </w:trPr>
        <w:tc>
          <w:tcPr>
            <w:cnfStyle w:evenVBand="false" w:oddVBand="true" w:firstColumn="false"/>
            <w:tcW w:w="33.333333%" w:type="pct"/>
          </w:tcPr>
          <w:p>
            <w:pPr>
              <w:ind w:leftChars="0" w:left="0" w:right="0"/>
            </w:pPr>
            <w:r>
              <w:t>BCMM</w:t>
            </w:r>
          </w:p>
        </w:tc>
        <w:tc>
          <w:tcPr>
            <w:cnfStyle w:evenVBand="true" w:oddVBand="false" w:firstColumn="false"/>
            <w:tcW w:w="33.333333%" w:type="pct"/>
          </w:tcPr>
          <w:p>
            <w:pPr>
              <w:ind w:leftChars="0" w:left="0" w:right="0"/>
            </w:pPr>
            <w:r>
              <w:t>BCMM</w:t>
            </w:r>
          </w:p>
        </w:tc>
        <w:tc>
          <w:tcPr>
            <w:cnfStyle w:evenVBand="false" w:oddVBand="true" w:firstColumn="false"/>
            <w:tcW w:w="33.333333%" w:type="pct"/>
          </w:tcPr>
          <w:p>
            <w:pPr>
              <w:ind w:leftChars="0" w:left="0" w:right="0"/>
            </w:pPr>
            <w:r>
              <w:t>BOLSA DE CEREAIS E MERCADORIAS DE MARINGÁ</w:t>
            </w:r>
          </w:p>
        </w:tc>
      </w:tr>
      <w:tr>
        <w:trPr>
          <w:cnfStyle w:evenHBand="true" w:oddHBand="false" w:firstRow="false"/>
        </w:trPr>
        <w:tc>
          <w:tcPr>
            <w:cnfStyle w:evenVBand="false" w:oddVBand="true" w:firstColumn="false"/>
            <w:tcW w:w="33.333333%" w:type="pct"/>
          </w:tcPr>
          <w:p>
            <w:pPr>
              <w:ind w:leftChars="0" w:left="0" w:right="0"/>
            </w:pPr>
            <w:r>
              <w:t>BCRM</w:t>
            </w:r>
          </w:p>
        </w:tc>
        <w:tc>
          <w:tcPr>
            <w:cnfStyle w:evenVBand="true" w:oddVBand="false" w:firstColumn="false"/>
            <w:tcW w:w="33.333333%" w:type="pct"/>
          </w:tcPr>
          <w:p>
            <w:pPr>
              <w:ind w:leftChars="0" w:left="0" w:right="0"/>
            </w:pPr>
            <w:r>
              <w:t>BCRM</w:t>
            </w:r>
          </w:p>
        </w:tc>
        <w:tc>
          <w:tcPr>
            <w:cnfStyle w:evenVBand="false" w:oddVBand="true" w:firstColumn="false"/>
            <w:tcW w:w="33.333333%" w:type="pct"/>
          </w:tcPr>
          <w:p>
            <w:pPr>
              <w:ind w:leftChars="0" w:left="0" w:right="0"/>
            </w:pPr>
            <w:r>
              <w:t>CBOE EUROPE REGULATED MARKETS</w:t>
            </w:r>
          </w:p>
        </w:tc>
      </w:tr>
      <w:tr>
        <w:trPr>
          <w:cnfStyle w:evenHBand="false" w:oddHBand="true" w:firstRow="false"/>
        </w:trPr>
        <w:tc>
          <w:tcPr>
            <w:cnfStyle w:evenVBand="false" w:oddVBand="true" w:firstColumn="false"/>
            <w:tcW w:w="33.333333%" w:type="pct"/>
          </w:tcPr>
          <w:p>
            <w:pPr>
              <w:ind w:leftChars="0" w:left="0" w:right="0"/>
            </w:pPr>
            <w:r>
              <w:t>BCSC</w:t>
            </w:r>
          </w:p>
        </w:tc>
        <w:tc>
          <w:tcPr>
            <w:cnfStyle w:evenVBand="true" w:oddVBand="false" w:firstColumn="false"/>
            <w:tcW w:w="33.333333%" w:type="pct"/>
          </w:tcPr>
          <w:p>
            <w:pPr>
              <w:ind w:leftChars="0" w:left="0" w:right="0"/>
            </w:pPr>
            <w:r>
              <w:t>BCSC</w:t>
            </w:r>
          </w:p>
        </w:tc>
        <w:tc>
          <w:tcPr>
            <w:cnfStyle w:evenVBand="false" w:oddVBand="true" w:firstColumn="false"/>
            <w:tcW w:w="33.333333%" w:type="pct"/>
          </w:tcPr>
          <w:p>
            <w:pPr>
              <w:ind w:leftChars="0" w:left="0" w:right="0"/>
            </w:pPr>
            <w:r>
              <w:t>BROKERCREDITSERVICE (CYPRUS) LIMITED - SYSTEMATIC INTERNALISER</w:t>
            </w:r>
          </w:p>
        </w:tc>
      </w:tr>
      <w:tr>
        <w:trPr>
          <w:cnfStyle w:evenHBand="true" w:oddHBand="false" w:firstRow="false"/>
        </w:trPr>
        <w:tc>
          <w:tcPr>
            <w:cnfStyle w:evenVBand="false" w:oddVBand="true" w:firstColumn="false"/>
            <w:tcW w:w="33.333333%" w:type="pct"/>
          </w:tcPr>
          <w:p>
            <w:pPr>
              <w:ind w:leftChars="0" w:left="0" w:right="0"/>
            </w:pPr>
            <w:r>
              <w:t>BCSE</w:t>
            </w:r>
          </w:p>
        </w:tc>
        <w:tc>
          <w:tcPr>
            <w:cnfStyle w:evenVBand="true" w:oddVBand="false" w:firstColumn="false"/>
            <w:tcW w:w="33.333333%" w:type="pct"/>
          </w:tcPr>
          <w:p>
            <w:pPr>
              <w:ind w:leftChars="0" w:left="0" w:right="0"/>
            </w:pPr>
            <w:r>
              <w:t>BCSE</w:t>
            </w:r>
          </w:p>
        </w:tc>
        <w:tc>
          <w:tcPr>
            <w:cnfStyle w:evenVBand="false" w:oddVBand="true" w:firstColumn="false"/>
            <w:tcW w:w="33.333333%" w:type="pct"/>
          </w:tcPr>
          <w:p>
            <w:pPr>
              <w:ind w:leftChars="0" w:left="0" w:right="0"/>
            </w:pPr>
            <w:r>
              <w:t>BELARUS CURRENCY AND STOCK EXCHANGE</w:t>
            </w:r>
          </w:p>
        </w:tc>
      </w:tr>
      <w:tr>
        <w:trPr>
          <w:cnfStyle w:evenHBand="false" w:oddHBand="true" w:firstRow="false"/>
        </w:trPr>
        <w:tc>
          <w:tcPr>
            <w:cnfStyle w:evenVBand="false" w:oddVBand="true" w:firstColumn="false"/>
            <w:tcW w:w="33.333333%" w:type="pct"/>
          </w:tcPr>
          <w:p>
            <w:pPr>
              <w:ind w:leftChars="0" w:left="0" w:right="0"/>
            </w:pPr>
            <w:r>
              <w:t>BCSI</w:t>
            </w:r>
          </w:p>
        </w:tc>
        <w:tc>
          <w:tcPr>
            <w:cnfStyle w:evenVBand="true" w:oddVBand="false" w:firstColumn="false"/>
            <w:tcW w:w="33.333333%" w:type="pct"/>
          </w:tcPr>
          <w:p>
            <w:pPr>
              <w:ind w:leftChars="0" w:left="0" w:right="0"/>
            </w:pPr>
            <w:r>
              <w:t>BCSI</w:t>
            </w:r>
          </w:p>
        </w:tc>
        <w:tc>
          <w:tcPr>
            <w:cnfStyle w:evenVBand="false" w:oddVBand="true" w:firstColumn="false"/>
            <w:tcW w:w="33.333333%" w:type="pct"/>
          </w:tcPr>
          <w:p>
            <w:pPr>
              <w:ind w:leftChars="0" w:left="0" w:right="0"/>
            </w:pPr>
            <w:r>
              <w:t>BARCLAYS CAPITAL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BCSL</w:t>
            </w:r>
          </w:p>
        </w:tc>
        <w:tc>
          <w:tcPr>
            <w:cnfStyle w:evenVBand="true" w:oddVBand="false" w:firstColumn="false"/>
            <w:tcW w:w="33.333333%" w:type="pct"/>
          </w:tcPr>
          <w:p>
            <w:pPr>
              <w:ind w:leftChars="0" w:left="0" w:right="0"/>
            </w:pPr>
            <w:r>
              <w:t>BCSL</w:t>
            </w:r>
          </w:p>
        </w:tc>
        <w:tc>
          <w:tcPr>
            <w:cnfStyle w:evenVBand="false" w:oddVBand="true" w:firstColumn="false"/>
            <w:tcW w:w="33.333333%" w:type="pct"/>
          </w:tcPr>
          <w:p>
            <w:pPr>
              <w:ind w:leftChars="0" w:left="0" w:right="0"/>
            </w:pPr>
            <w:r>
              <w:t>BARCLAYS CAPITAL SECURITIES LIMITED</w:t>
            </w:r>
          </w:p>
        </w:tc>
      </w:tr>
      <w:tr>
        <w:trPr>
          <w:cnfStyle w:evenHBand="false" w:oddHBand="true" w:firstRow="false"/>
        </w:trPr>
        <w:tc>
          <w:tcPr>
            <w:cnfStyle w:evenVBand="false" w:oddVBand="true" w:firstColumn="false"/>
            <w:tcW w:w="33.333333%" w:type="pct"/>
          </w:tcPr>
          <w:p>
            <w:pPr>
              <w:ind w:leftChars="0" w:left="0" w:right="0"/>
            </w:pPr>
            <w:r>
              <w:t>BCXE</w:t>
            </w:r>
          </w:p>
        </w:tc>
        <w:tc>
          <w:tcPr>
            <w:cnfStyle w:evenVBand="true" w:oddVBand="false" w:firstColumn="false"/>
            <w:tcW w:w="33.333333%" w:type="pct"/>
          </w:tcPr>
          <w:p>
            <w:pPr>
              <w:ind w:leftChars="0" w:left="0" w:right="0"/>
            </w:pPr>
            <w:r>
              <w:t>BCXE</w:t>
            </w:r>
          </w:p>
        </w:tc>
        <w:tc>
          <w:tcPr>
            <w:cnfStyle w:evenVBand="false" w:oddVBand="true" w:firstColumn="false"/>
            <w:tcW w:w="33.333333%" w:type="pct"/>
          </w:tcPr>
          <w:p>
            <w:pPr>
              <w:ind w:leftChars="0" w:left="0" w:right="0"/>
            </w:pPr>
            <w:r>
              <w:t>CBOE EUROPE EQUITIES</w:t>
            </w:r>
          </w:p>
        </w:tc>
      </w:tr>
      <w:tr>
        <w:trPr>
          <w:cnfStyle w:evenHBand="true" w:oddHBand="false" w:firstRow="false"/>
        </w:trPr>
        <w:tc>
          <w:tcPr>
            <w:cnfStyle w:evenVBand="false" w:oddVBand="true" w:firstColumn="false"/>
            <w:tcW w:w="33.333333%" w:type="pct"/>
          </w:tcPr>
          <w:p>
            <w:pPr>
              <w:ind w:leftChars="0" w:left="0" w:right="0"/>
            </w:pPr>
            <w:r>
              <w:t>BDEA</w:t>
            </w:r>
          </w:p>
        </w:tc>
        <w:tc>
          <w:tcPr>
            <w:cnfStyle w:evenVBand="true" w:oddVBand="false" w:firstColumn="false"/>
            <w:tcW w:w="33.333333%" w:type="pct"/>
          </w:tcPr>
          <w:p>
            <w:pPr>
              <w:ind w:leftChars="0" w:left="0" w:right="0"/>
            </w:pPr>
            <w:r>
              <w:t>BDEA</w:t>
            </w:r>
          </w:p>
        </w:tc>
        <w:tc>
          <w:tcPr>
            <w:cnfStyle w:evenVBand="false" w:oddVBand="true" w:firstColumn="false"/>
            <w:tcW w:w="33.333333%" w:type="pct"/>
          </w:tcPr>
          <w:p>
            <w:pPr>
              <w:ind w:leftChars="0" w:left="0" w:right="0"/>
            </w:pPr>
            <w:r>
              <w:t>BAYERNLB - IDEAL FX - SYSTEMATIC INTERNALISER</w:t>
            </w:r>
          </w:p>
        </w:tc>
      </w:tr>
      <w:tr>
        <w:trPr>
          <w:cnfStyle w:evenHBand="false" w:oddHBand="true" w:firstRow="false"/>
        </w:trPr>
        <w:tc>
          <w:tcPr>
            <w:cnfStyle w:evenVBand="false" w:oddVBand="true" w:firstColumn="false"/>
            <w:tcW w:w="33.333333%" w:type="pct"/>
          </w:tcPr>
          <w:p>
            <w:pPr>
              <w:ind w:leftChars="0" w:left="0" w:right="0"/>
            </w:pPr>
            <w:r>
              <w:t>BDSK</w:t>
            </w:r>
          </w:p>
        </w:tc>
        <w:tc>
          <w:tcPr>
            <w:cnfStyle w:evenVBand="true" w:oddVBand="false" w:firstColumn="false"/>
            <w:tcW w:w="33.333333%" w:type="pct"/>
          </w:tcPr>
          <w:p>
            <w:pPr>
              <w:ind w:leftChars="0" w:left="0" w:right="0"/>
            </w:pPr>
            <w:r>
              <w:t>BDSK</w:t>
            </w:r>
          </w:p>
        </w:tc>
        <w:tc>
          <w:tcPr>
            <w:cnfStyle w:evenVBand="false" w:oddVBand="true" w:firstColumn="false"/>
            <w:tcW w:w="33.333333%" w:type="pct"/>
          </w:tcPr>
          <w:p>
            <w:pPr>
              <w:ind w:leftChars="0" w:left="0" w:right="0"/>
            </w:pPr>
            <w:r>
              <w:t>DSK BANK EAD</w:t>
            </w:r>
          </w:p>
        </w:tc>
      </w:tr>
      <w:tr>
        <w:trPr>
          <w:cnfStyle w:evenHBand="true" w:oddHBand="false" w:firstRow="false"/>
        </w:trPr>
        <w:tc>
          <w:tcPr>
            <w:cnfStyle w:evenVBand="false" w:oddVBand="true" w:firstColumn="false"/>
            <w:tcW w:w="33.333333%" w:type="pct"/>
          </w:tcPr>
          <w:p>
            <w:pPr>
              <w:ind w:leftChars="0" w:left="0" w:right="0"/>
            </w:pPr>
            <w:r>
              <w:t>BEAM</w:t>
            </w:r>
          </w:p>
        </w:tc>
        <w:tc>
          <w:tcPr>
            <w:cnfStyle w:evenVBand="true" w:oddVBand="false" w:firstColumn="false"/>
            <w:tcW w:w="33.333333%" w:type="pct"/>
          </w:tcPr>
          <w:p>
            <w:pPr>
              <w:ind w:leftChars="0" w:left="0" w:right="0"/>
            </w:pPr>
            <w:r>
              <w:t>BEAM</w:t>
            </w:r>
          </w:p>
        </w:tc>
        <w:tc>
          <w:tcPr>
            <w:cnfStyle w:evenVBand="false" w:oddVBand="true" w:firstColumn="false"/>
            <w:tcW w:w="33.333333%" w:type="pct"/>
          </w:tcPr>
          <w:p>
            <w:pPr>
              <w:ind w:leftChars="0" w:left="0" w:right="0"/>
            </w:pPr>
            <w:r>
              <w:t>MTS ASSOCIATED MARKETS</w:t>
            </w:r>
          </w:p>
        </w:tc>
      </w:tr>
      <w:tr>
        <w:trPr>
          <w:cnfStyle w:evenHBand="false" w:oddHBand="true" w:firstRow="false"/>
        </w:trPr>
        <w:tc>
          <w:tcPr>
            <w:cnfStyle w:evenVBand="false" w:oddVBand="true" w:firstColumn="false"/>
            <w:tcW w:w="33.333333%" w:type="pct"/>
          </w:tcPr>
          <w:p>
            <w:pPr>
              <w:ind w:leftChars="0" w:left="0" w:right="0"/>
            </w:pPr>
            <w:r>
              <w:t>BEBG</w:t>
            </w:r>
          </w:p>
        </w:tc>
        <w:tc>
          <w:tcPr>
            <w:cnfStyle w:evenVBand="true" w:oddVBand="false" w:firstColumn="false"/>
            <w:tcW w:w="33.333333%" w:type="pct"/>
          </w:tcPr>
          <w:p>
            <w:pPr>
              <w:ind w:leftChars="0" w:left="0" w:right="0"/>
            </w:pPr>
            <w:r>
              <w:t>BEBG</w:t>
            </w:r>
          </w:p>
        </w:tc>
        <w:tc>
          <w:tcPr>
            <w:cnfStyle w:evenVBand="false" w:oddVBand="true" w:firstColumn="false"/>
            <w:tcW w:w="33.333333%" w:type="pct"/>
          </w:tcPr>
          <w:p>
            <w:pPr>
              <w:ind w:leftChars="0" w:left="0" w:right="0"/>
            </w:pPr>
            <w:r>
              <w:t>BULGARIAN ENERGY TRADING PLATFORM</w:t>
            </w:r>
          </w:p>
        </w:tc>
      </w:tr>
      <w:tr>
        <w:trPr>
          <w:cnfStyle w:evenHBand="true" w:oddHBand="false" w:firstRow="false"/>
        </w:trPr>
        <w:tc>
          <w:tcPr>
            <w:cnfStyle w:evenVBand="false" w:oddVBand="true" w:firstColumn="false"/>
            <w:tcW w:w="33.333333%" w:type="pct"/>
          </w:tcPr>
          <w:p>
            <w:pPr>
              <w:ind w:leftChars="0" w:left="0" w:right="0"/>
            </w:pPr>
            <w:r>
              <w:t>BEEX</w:t>
            </w:r>
          </w:p>
        </w:tc>
        <w:tc>
          <w:tcPr>
            <w:cnfStyle w:evenVBand="true" w:oddVBand="false" w:firstColumn="false"/>
            <w:tcW w:w="33.333333%" w:type="pct"/>
          </w:tcPr>
          <w:p>
            <w:pPr>
              <w:ind w:leftChars="0" w:left="0" w:right="0"/>
            </w:pPr>
            <w:r>
              <w:t>BEEX</w:t>
            </w:r>
          </w:p>
        </w:tc>
        <w:tc>
          <w:tcPr>
            <w:cnfStyle w:evenVBand="false" w:oddVBand="true" w:firstColumn="false"/>
            <w:tcW w:w="33.333333%" w:type="pct"/>
          </w:tcPr>
          <w:p>
            <w:pPr>
              <w:ind w:leftChars="0" w:left="0" w:right="0"/>
            </w:pPr>
            <w:r>
              <w:t>BOND ELECTRONIC EXCHANGE</w:t>
            </w:r>
          </w:p>
        </w:tc>
      </w:tr>
      <w:tr>
        <w:trPr>
          <w:cnfStyle w:evenHBand="false" w:oddHBand="true" w:firstRow="false"/>
        </w:trPr>
        <w:tc>
          <w:tcPr>
            <w:cnfStyle w:evenVBand="false" w:oddVBand="true" w:firstColumn="false"/>
            <w:tcW w:w="33.333333%" w:type="pct"/>
          </w:tcPr>
          <w:p>
            <w:pPr>
              <w:ind w:leftChars="0" w:left="0" w:right="0"/>
            </w:pPr>
            <w:r>
              <w:t>BEIS</w:t>
            </w:r>
          </w:p>
        </w:tc>
        <w:tc>
          <w:tcPr>
            <w:cnfStyle w:evenVBand="true" w:oddVBand="false" w:firstColumn="false"/>
            <w:tcW w:w="33.333333%" w:type="pct"/>
          </w:tcPr>
          <w:p>
            <w:pPr>
              <w:ind w:leftChars="0" w:left="0" w:right="0"/>
            </w:pPr>
            <w:r>
              <w:t>BEIS</w:t>
            </w:r>
          </w:p>
        </w:tc>
        <w:tc>
          <w:tcPr>
            <w:cnfStyle w:evenVBand="false" w:oddVBand="true" w:firstColumn="false"/>
            <w:tcW w:w="33.333333%" w:type="pct"/>
          </w:tcPr>
          <w:p>
            <w:pPr>
              <w:ind w:leftChars="0" w:left="0" w:right="0"/>
            </w:pPr>
            <w:r>
              <w:t>BANCA ETICA - SYSTEMATIC INTERNALISER</w:t>
            </w:r>
          </w:p>
        </w:tc>
      </w:tr>
      <w:tr>
        <w:trPr>
          <w:cnfStyle w:evenHBand="true" w:oddHBand="false" w:firstRow="false"/>
        </w:trPr>
        <w:tc>
          <w:tcPr>
            <w:cnfStyle w:evenVBand="false" w:oddVBand="true" w:firstColumn="false"/>
            <w:tcW w:w="33.333333%" w:type="pct"/>
          </w:tcPr>
          <w:p>
            <w:pPr>
              <w:ind w:leftChars="0" w:left="0" w:right="0"/>
            </w:pPr>
            <w:r>
              <w:t>BELB</w:t>
            </w:r>
          </w:p>
        </w:tc>
        <w:tc>
          <w:tcPr>
            <w:cnfStyle w:evenVBand="true" w:oddVBand="false" w:firstColumn="false"/>
            <w:tcW w:w="33.333333%" w:type="pct"/>
          </w:tcPr>
          <w:p>
            <w:pPr>
              <w:ind w:leftChars="0" w:left="0" w:right="0"/>
            </w:pPr>
            <w:r>
              <w:t>BELB</w:t>
            </w:r>
          </w:p>
        </w:tc>
        <w:tc>
          <w:tcPr>
            <w:cnfStyle w:evenVBand="false" w:oddVBand="true" w:firstColumn="false"/>
            <w:tcW w:w="33.333333%" w:type="pct"/>
          </w:tcPr>
          <w:p>
            <w:pPr>
              <w:ind w:leftChars="0" w:left="0" w:right="0"/>
            </w:pPr>
            <w:r>
              <w:t>BELFIUS BANK NV/SA</w:t>
            </w:r>
          </w:p>
        </w:tc>
      </w:tr>
      <w:tr>
        <w:trPr>
          <w:cnfStyle w:evenHBand="false" w:oddHBand="true" w:firstRow="false"/>
        </w:trPr>
        <w:tc>
          <w:tcPr>
            <w:cnfStyle w:evenVBand="false" w:oddVBand="true" w:firstColumn="false"/>
            <w:tcW w:w="33.333333%" w:type="pct"/>
          </w:tcPr>
          <w:p>
            <w:pPr>
              <w:ind w:leftChars="0" w:left="0" w:right="0"/>
            </w:pPr>
            <w:r>
              <w:t>BELF</w:t>
            </w:r>
          </w:p>
        </w:tc>
        <w:tc>
          <w:tcPr>
            <w:cnfStyle w:evenVBand="true" w:oddVBand="false" w:firstColumn="false"/>
            <w:tcW w:w="33.333333%" w:type="pct"/>
          </w:tcPr>
          <w:p>
            <w:pPr>
              <w:ind w:leftChars="0" w:left="0" w:right="0"/>
            </w:pPr>
            <w:r>
              <w:t>BELF</w:t>
            </w:r>
          </w:p>
        </w:tc>
        <w:tc>
          <w:tcPr>
            <w:cnfStyle w:evenVBand="false" w:oddVBand="true" w:firstColumn="false"/>
            <w:tcW w:w="33.333333%" w:type="pct"/>
          </w:tcPr>
          <w:p>
            <w:pPr>
              <w:ind w:leftChars="0" w:left="0" w:right="0"/>
            </w:pPr>
            <w:r>
              <w:t>BELFIUS BANK NV/SA FIXED INCOME - SYSTEMATIC INTERNALISER</w:t>
            </w:r>
          </w:p>
        </w:tc>
      </w:tr>
      <w:tr>
        <w:trPr>
          <w:cnfStyle w:evenHBand="true" w:oddHBand="false" w:firstRow="false"/>
        </w:trPr>
        <w:tc>
          <w:tcPr>
            <w:cnfStyle w:evenVBand="false" w:oddVBand="true" w:firstColumn="false"/>
            <w:tcW w:w="33.333333%" w:type="pct"/>
          </w:tcPr>
          <w:p>
            <w:pPr>
              <w:ind w:leftChars="0" w:left="0" w:right="0"/>
            </w:pPr>
            <w:r>
              <w:t>BERA</w:t>
            </w:r>
          </w:p>
        </w:tc>
        <w:tc>
          <w:tcPr>
            <w:cnfStyle w:evenVBand="true" w:oddVBand="false" w:firstColumn="false"/>
            <w:tcW w:w="33.333333%" w:type="pct"/>
          </w:tcPr>
          <w:p>
            <w:pPr>
              <w:ind w:leftChars="0" w:left="0" w:right="0"/>
            </w:pPr>
            <w:r>
              <w:t>BERA</w:t>
            </w:r>
          </w:p>
        </w:tc>
        <w:tc>
          <w:tcPr>
            <w:cnfStyle w:evenVBand="false" w:oddVBand="true" w:firstColumn="false"/>
            <w:tcW w:w="33.333333%" w:type="pct"/>
          </w:tcPr>
          <w:p>
            <w:pPr>
              <w:ind w:leftChars="0" w:left="0" w:right="0"/>
            </w:pPr>
            <w:r>
              <w:t>BOERSE BERLIN - REGULIERTER MARKT</w:t>
            </w:r>
          </w:p>
        </w:tc>
      </w:tr>
      <w:tr>
        <w:trPr>
          <w:cnfStyle w:evenHBand="false" w:oddHBand="true" w:firstRow="false"/>
        </w:trPr>
        <w:tc>
          <w:tcPr>
            <w:cnfStyle w:evenVBand="false" w:oddVBand="true" w:firstColumn="false"/>
            <w:tcW w:w="33.333333%" w:type="pct"/>
          </w:tcPr>
          <w:p>
            <w:pPr>
              <w:ind w:leftChars="0" w:left="0" w:right="0"/>
            </w:pPr>
            <w:r>
              <w:t>BERB</w:t>
            </w:r>
          </w:p>
        </w:tc>
        <w:tc>
          <w:tcPr>
            <w:cnfStyle w:evenVBand="true" w:oddVBand="false" w:firstColumn="false"/>
            <w:tcW w:w="33.333333%" w:type="pct"/>
          </w:tcPr>
          <w:p>
            <w:pPr>
              <w:ind w:leftChars="0" w:left="0" w:right="0"/>
            </w:pPr>
            <w:r>
              <w:t>BERB</w:t>
            </w:r>
          </w:p>
        </w:tc>
        <w:tc>
          <w:tcPr>
            <w:cnfStyle w:evenVBand="false" w:oddVBand="true" w:firstColumn="false"/>
            <w:tcW w:w="33.333333%" w:type="pct"/>
          </w:tcPr>
          <w:p>
            <w:pPr>
              <w:ind w:leftChars="0" w:left="0" w:right="0"/>
            </w:pPr>
            <w:r>
              <w:t>BOERSE BERLIN - FREIVERKEHR</w:t>
            </w:r>
          </w:p>
        </w:tc>
      </w:tr>
      <w:tr>
        <w:trPr>
          <w:cnfStyle w:evenHBand="true" w:oddHBand="false" w:firstRow="false"/>
        </w:trPr>
        <w:tc>
          <w:tcPr>
            <w:cnfStyle w:evenVBand="false" w:oddVBand="true" w:firstColumn="false"/>
            <w:tcW w:w="33.333333%" w:type="pct"/>
          </w:tcPr>
          <w:p>
            <w:pPr>
              <w:ind w:leftChars="0" w:left="0" w:right="0"/>
            </w:pPr>
            <w:r>
              <w:t>BERC</w:t>
            </w:r>
          </w:p>
        </w:tc>
        <w:tc>
          <w:tcPr>
            <w:cnfStyle w:evenVBand="true" w:oddVBand="false" w:firstColumn="false"/>
            <w:tcW w:w="33.333333%" w:type="pct"/>
          </w:tcPr>
          <w:p>
            <w:pPr>
              <w:ind w:leftChars="0" w:left="0" w:right="0"/>
            </w:pPr>
            <w:r>
              <w:t>BERC</w:t>
            </w:r>
          </w:p>
        </w:tc>
        <w:tc>
          <w:tcPr>
            <w:cnfStyle w:evenVBand="false" w:oddVBand="true" w:firstColumn="false"/>
            <w:tcW w:w="33.333333%" w:type="pct"/>
          </w:tcPr>
          <w:p>
            <w:pPr>
              <w:ind w:leftChars="0" w:left="0" w:right="0"/>
            </w:pPr>
            <w:r>
              <w:t>BOERSE BERLIN - BERLIN SECOND REGULATED MARKET</w:t>
            </w:r>
          </w:p>
        </w:tc>
      </w:tr>
      <w:tr>
        <w:trPr>
          <w:cnfStyle w:evenHBand="false" w:oddHBand="true" w:firstRow="false"/>
        </w:trPr>
        <w:tc>
          <w:tcPr>
            <w:cnfStyle w:evenVBand="false" w:oddVBand="true" w:firstColumn="false"/>
            <w:tcW w:w="33.333333%" w:type="pct"/>
          </w:tcPr>
          <w:p>
            <w:pPr>
              <w:ind w:leftChars="0" w:left="0" w:right="0"/>
            </w:pPr>
            <w:r>
              <w:t>BETA</w:t>
            </w:r>
          </w:p>
        </w:tc>
        <w:tc>
          <w:tcPr>
            <w:cnfStyle w:evenVBand="true" w:oddVBand="false" w:firstColumn="false"/>
            <w:tcW w:w="33.333333%" w:type="pct"/>
          </w:tcPr>
          <w:p>
            <w:pPr>
              <w:ind w:leftChars="0" w:left="0" w:right="0"/>
            </w:pPr>
            <w:r>
              <w:t>BETA</w:t>
            </w:r>
          </w:p>
        </w:tc>
        <w:tc>
          <w:tcPr>
            <w:cnfStyle w:evenVBand="false" w:oddVBand="true" w:firstColumn="false"/>
            <w:tcW w:w="33.333333%" w:type="pct"/>
          </w:tcPr>
          <w:p>
            <w:pPr>
              <w:ind w:leftChars="0" w:left="0" w:right="0"/>
            </w:pPr>
            <w:r>
              <w:t>BETA MARKET</w:t>
            </w:r>
          </w:p>
        </w:tc>
      </w:tr>
      <w:tr>
        <w:trPr>
          <w:cnfStyle w:evenHBand="true" w:oddHBand="false" w:firstRow="false"/>
        </w:trPr>
        <w:tc>
          <w:tcPr>
            <w:cnfStyle w:evenVBand="false" w:oddVBand="true" w:firstColumn="false"/>
            <w:tcW w:w="33.333333%" w:type="pct"/>
          </w:tcPr>
          <w:p>
            <w:pPr>
              <w:ind w:leftChars="0" w:left="0" w:right="0"/>
            </w:pPr>
            <w:r>
              <w:t>BETP</w:t>
            </w:r>
          </w:p>
        </w:tc>
        <w:tc>
          <w:tcPr>
            <w:cnfStyle w:evenVBand="true" w:oddVBand="false" w:firstColumn="false"/>
            <w:tcW w:w="33.333333%" w:type="pct"/>
          </w:tcPr>
          <w:p>
            <w:pPr>
              <w:ind w:leftChars="0" w:left="0" w:right="0"/>
            </w:pPr>
            <w:r>
              <w:t>BETP</w:t>
            </w:r>
          </w:p>
        </w:tc>
        <w:tc>
          <w:tcPr>
            <w:cnfStyle w:evenVBand="false" w:oddVBand="true" w:firstColumn="false"/>
            <w:tcW w:w="33.333333%" w:type="pct"/>
          </w:tcPr>
          <w:p>
            <w:pPr>
              <w:ind w:leftChars="0" w:left="0" w:right="0"/>
            </w:pPr>
            <w:r>
              <w:t>BLOOMBERG TRADEBOOK JAPAN LIMITED</w:t>
            </w:r>
          </w:p>
        </w:tc>
      </w:tr>
      <w:tr>
        <w:trPr>
          <w:cnfStyle w:evenHBand="false" w:oddHBand="true" w:firstRow="false"/>
        </w:trPr>
        <w:tc>
          <w:tcPr>
            <w:cnfStyle w:evenVBand="false" w:oddVBand="true" w:firstColumn="false"/>
            <w:tcW w:w="33.333333%" w:type="pct"/>
          </w:tcPr>
          <w:p>
            <w:pPr>
              <w:ind w:leftChars="0" w:left="0" w:right="0"/>
            </w:pPr>
            <w:r>
              <w:t>BETX</w:t>
            </w:r>
          </w:p>
        </w:tc>
        <w:tc>
          <w:tcPr>
            <w:cnfStyle w:evenVBand="true" w:oddVBand="false" w:firstColumn="false"/>
            <w:tcW w:w="33.333333%" w:type="pct"/>
          </w:tcPr>
          <w:p>
            <w:pPr>
              <w:ind w:leftChars="0" w:left="0" w:right="0"/>
            </w:pPr>
            <w:r>
              <w:t>BETX</w:t>
            </w:r>
          </w:p>
        </w:tc>
        <w:tc>
          <w:tcPr>
            <w:cnfStyle w:evenVBand="false" w:oddVBand="true" w:firstColumn="false"/>
            <w:tcW w:w="33.333333%" w:type="pct"/>
          </w:tcPr>
          <w:p>
            <w:pPr>
              <w:ind w:leftChars="0" w:left="0" w:right="0"/>
            </w:pPr>
            <w:r>
              <w:t>BET OTC BILAT COMMODITY DERIVATIVES</w:t>
            </w:r>
          </w:p>
        </w:tc>
      </w:tr>
      <w:tr>
        <w:trPr>
          <w:cnfStyle w:evenHBand="true" w:oddHBand="false" w:firstRow="false"/>
        </w:trPr>
        <w:tc>
          <w:tcPr>
            <w:cnfStyle w:evenVBand="false" w:oddVBand="true" w:firstColumn="false"/>
            <w:tcW w:w="33.333333%" w:type="pct"/>
          </w:tcPr>
          <w:p>
            <w:pPr>
              <w:ind w:leftChars="0" w:left="0" w:right="0"/>
            </w:pPr>
            <w:r>
              <w:t>BEUD</w:t>
            </w:r>
          </w:p>
        </w:tc>
        <w:tc>
          <w:tcPr>
            <w:cnfStyle w:evenVBand="true" w:oddVBand="false" w:firstColumn="false"/>
            <w:tcW w:w="33.333333%" w:type="pct"/>
          </w:tcPr>
          <w:p>
            <w:pPr>
              <w:ind w:leftChars="0" w:left="0" w:right="0"/>
            </w:pPr>
            <w:r>
              <w:t>BEUD</w:t>
            </w:r>
          </w:p>
        </w:tc>
        <w:tc>
          <w:tcPr>
            <w:cnfStyle w:evenVBand="false" w:oddVBand="true" w:firstColumn="false"/>
            <w:tcW w:w="33.333333%" w:type="pct"/>
          </w:tcPr>
          <w:p>
            <w:pPr>
              <w:ind w:leftChars="0" w:left="0" w:right="0"/>
            </w:pPr>
            <w:r>
              <w:t>CBOE EUROPE - BXE DARK ORDER BOOK (NL)</w:t>
            </w:r>
          </w:p>
        </w:tc>
      </w:tr>
      <w:tr>
        <w:trPr>
          <w:cnfStyle w:evenHBand="false" w:oddHBand="true" w:firstRow="false"/>
        </w:trPr>
        <w:tc>
          <w:tcPr>
            <w:cnfStyle w:evenVBand="false" w:oddVBand="true" w:firstColumn="false"/>
            <w:tcW w:w="33.333333%" w:type="pct"/>
          </w:tcPr>
          <w:p>
            <w:pPr>
              <w:ind w:leftChars="0" w:left="0" w:right="0"/>
            </w:pPr>
            <w:r>
              <w:t>BEUE</w:t>
            </w:r>
          </w:p>
        </w:tc>
        <w:tc>
          <w:tcPr>
            <w:cnfStyle w:evenVBand="true" w:oddVBand="false" w:firstColumn="false"/>
            <w:tcW w:w="33.333333%" w:type="pct"/>
          </w:tcPr>
          <w:p>
            <w:pPr>
              <w:ind w:leftChars="0" w:left="0" w:right="0"/>
            </w:pPr>
            <w:r>
              <w:t>BEUE</w:t>
            </w:r>
          </w:p>
        </w:tc>
        <w:tc>
          <w:tcPr>
            <w:cnfStyle w:evenVBand="false" w:oddVBand="true" w:firstColumn="false"/>
            <w:tcW w:w="33.333333%" w:type="pct"/>
          </w:tcPr>
          <w:p>
            <w:pPr>
              <w:ind w:leftChars="0" w:left="0" w:right="0"/>
            </w:pPr>
            <w:r>
              <w:t>CBOE EUROPE - BXE ORDER BOOKS (NL)</w:t>
            </w:r>
          </w:p>
        </w:tc>
      </w:tr>
      <w:tr>
        <w:trPr>
          <w:cnfStyle w:evenHBand="true" w:oddHBand="false" w:firstRow="false"/>
        </w:trPr>
        <w:tc>
          <w:tcPr>
            <w:cnfStyle w:evenVBand="false" w:oddVBand="true" w:firstColumn="false"/>
            <w:tcW w:w="33.333333%" w:type="pct"/>
          </w:tcPr>
          <w:p>
            <w:pPr>
              <w:ind w:leftChars="0" w:left="0" w:right="0"/>
            </w:pPr>
            <w:r>
              <w:t>BEUF</w:t>
            </w:r>
          </w:p>
        </w:tc>
        <w:tc>
          <w:tcPr>
            <w:cnfStyle w:evenVBand="true" w:oddVBand="false" w:firstColumn="false"/>
            <w:tcW w:w="33.333333%" w:type="pct"/>
          </w:tcPr>
          <w:p>
            <w:pPr>
              <w:ind w:leftChars="0" w:left="0" w:right="0"/>
            </w:pPr>
            <w:r>
              <w:t>BEUF</w:t>
            </w:r>
          </w:p>
        </w:tc>
        <w:tc>
          <w:tcPr>
            <w:cnfStyle w:evenVBand="false" w:oddVBand="true" w:firstColumn="false"/>
            <w:tcW w:w="33.333333%" w:type="pct"/>
          </w:tcPr>
          <w:p>
            <w:pPr>
              <w:ind w:leftChars="0" w:left="0" w:right="0"/>
            </w:pPr>
            <w:r>
              <w:t>CBOE EUROPE - BXE OFF-BOOK (NL)</w:t>
            </w:r>
          </w:p>
        </w:tc>
      </w:tr>
      <w:tr>
        <w:trPr>
          <w:cnfStyle w:evenHBand="false" w:oddHBand="true" w:firstRow="false"/>
        </w:trPr>
        <w:tc>
          <w:tcPr>
            <w:cnfStyle w:evenVBand="false" w:oddVBand="true" w:firstColumn="false"/>
            <w:tcW w:w="33.333333%" w:type="pct"/>
          </w:tcPr>
          <w:p>
            <w:pPr>
              <w:ind w:leftChars="0" w:left="0" w:right="0"/>
            </w:pPr>
            <w:r>
              <w:t>BEUO</w:t>
            </w:r>
          </w:p>
        </w:tc>
        <w:tc>
          <w:tcPr>
            <w:cnfStyle w:evenVBand="true" w:oddVBand="false" w:firstColumn="false"/>
            <w:tcW w:w="33.333333%" w:type="pct"/>
          </w:tcPr>
          <w:p>
            <w:pPr>
              <w:ind w:leftChars="0" w:left="0" w:right="0"/>
            </w:pPr>
            <w:r>
              <w:t>BEUO</w:t>
            </w:r>
          </w:p>
        </w:tc>
        <w:tc>
          <w:tcPr>
            <w:cnfStyle w:evenVBand="false" w:oddVBand="true" w:firstColumn="false"/>
            <w:tcW w:w="33.333333%" w:type="pct"/>
          </w:tcPr>
          <w:p>
            <w:pPr>
              <w:ind w:leftChars="0" w:left="0" w:right="0"/>
            </w:pPr>
            <w:r>
              <w:t>CBOE EUROPE - REGULATED MARKET OFF BOOK (NL)</w:t>
            </w:r>
          </w:p>
        </w:tc>
      </w:tr>
      <w:tr>
        <w:trPr>
          <w:cnfStyle w:evenHBand="true" w:oddHBand="false" w:firstRow="false"/>
        </w:trPr>
        <w:tc>
          <w:tcPr>
            <w:cnfStyle w:evenVBand="false" w:oddVBand="true" w:firstColumn="false"/>
            <w:tcW w:w="33.333333%" w:type="pct"/>
          </w:tcPr>
          <w:p>
            <w:pPr>
              <w:ind w:leftChars="0" w:left="0" w:right="0"/>
            </w:pPr>
            <w:r>
              <w:t>BEUP</w:t>
            </w:r>
          </w:p>
        </w:tc>
        <w:tc>
          <w:tcPr>
            <w:cnfStyle w:evenVBand="true" w:oddVBand="false" w:firstColumn="false"/>
            <w:tcW w:w="33.333333%" w:type="pct"/>
          </w:tcPr>
          <w:p>
            <w:pPr>
              <w:ind w:leftChars="0" w:left="0" w:right="0"/>
            </w:pPr>
            <w:r>
              <w:t>BEUP</w:t>
            </w:r>
          </w:p>
        </w:tc>
        <w:tc>
          <w:tcPr>
            <w:cnfStyle w:evenVBand="false" w:oddVBand="true" w:firstColumn="false"/>
            <w:tcW w:w="33.333333%" w:type="pct"/>
          </w:tcPr>
          <w:p>
            <w:pPr>
              <w:ind w:leftChars="0" w:left="0" w:right="0"/>
            </w:pPr>
            <w:r>
              <w:t>CBOE EUROPE - DXE PERIODIC (NL)</w:t>
            </w:r>
          </w:p>
        </w:tc>
      </w:tr>
      <w:tr>
        <w:trPr>
          <w:cnfStyle w:evenHBand="false" w:oddHBand="true" w:firstRow="false"/>
        </w:trPr>
        <w:tc>
          <w:tcPr>
            <w:cnfStyle w:evenVBand="false" w:oddVBand="true" w:firstColumn="false"/>
            <w:tcW w:w="33.333333%" w:type="pct"/>
          </w:tcPr>
          <w:p>
            <w:pPr>
              <w:ind w:leftChars="0" w:left="0" w:right="0"/>
            </w:pPr>
            <w:r>
              <w:t>BEUT</w:t>
            </w:r>
          </w:p>
        </w:tc>
        <w:tc>
          <w:tcPr>
            <w:cnfStyle w:evenVBand="true" w:oddVBand="false" w:firstColumn="false"/>
            <w:tcW w:w="33.333333%" w:type="pct"/>
          </w:tcPr>
          <w:p>
            <w:pPr>
              <w:ind w:leftChars="0" w:left="0" w:right="0"/>
            </w:pPr>
            <w:r>
              <w:t>BEUT</w:t>
            </w:r>
          </w:p>
        </w:tc>
        <w:tc>
          <w:tcPr>
            <w:cnfStyle w:evenVBand="false" w:oddVBand="true" w:firstColumn="false"/>
            <w:tcW w:w="33.333333%" w:type="pct"/>
          </w:tcPr>
          <w:p>
            <w:pPr>
              <w:ind w:leftChars="0" w:left="0" w:right="0"/>
            </w:pPr>
            <w:r>
              <w:t>CBOE EUROPE - REGULATED MARKET INTEGRATED BOOK (NL)</w:t>
            </w:r>
          </w:p>
        </w:tc>
      </w:tr>
      <w:tr>
        <w:trPr>
          <w:cnfStyle w:evenHBand="true" w:oddHBand="false" w:firstRow="false"/>
        </w:trPr>
        <w:tc>
          <w:tcPr>
            <w:cnfStyle w:evenVBand="false" w:oddVBand="true" w:firstColumn="false"/>
            <w:tcW w:w="33.333333%" w:type="pct"/>
          </w:tcPr>
          <w:p>
            <w:pPr>
              <w:ind w:leftChars="0" w:left="0" w:right="0"/>
            </w:pPr>
            <w:r>
              <w:t>BFEX</w:t>
            </w:r>
          </w:p>
        </w:tc>
        <w:tc>
          <w:tcPr>
            <w:cnfStyle w:evenVBand="true" w:oddVBand="false" w:firstColumn="false"/>
            <w:tcW w:w="33.333333%" w:type="pct"/>
          </w:tcPr>
          <w:p>
            <w:pPr>
              <w:ind w:leftChars="0" w:left="0" w:right="0"/>
            </w:pPr>
            <w:r>
              <w:t>BFEX</w:t>
            </w:r>
          </w:p>
        </w:tc>
        <w:tc>
          <w:tcPr>
            <w:cnfStyle w:evenVBand="false" w:oddVBand="true" w:firstColumn="false"/>
            <w:tcW w:w="33.333333%" w:type="pct"/>
          </w:tcPr>
          <w:p>
            <w:pPr>
              <w:ind w:leftChars="0" w:left="0" w:right="0"/>
            </w:pPr>
            <w:r>
              <w:t>BAHRAIN FINANCIAL EXCHANGE</w:t>
            </w:r>
          </w:p>
        </w:tc>
      </w:tr>
      <w:tr>
        <w:trPr>
          <w:cnfStyle w:evenHBand="false" w:oddHBand="true" w:firstRow="false"/>
        </w:trPr>
        <w:tc>
          <w:tcPr>
            <w:cnfStyle w:evenVBand="false" w:oddVBand="true" w:firstColumn="false"/>
            <w:tcW w:w="33.333333%" w:type="pct"/>
          </w:tcPr>
          <w:p>
            <w:pPr>
              <w:ind w:leftChars="0" w:left="0" w:right="0"/>
            </w:pPr>
            <w:r>
              <w:t>BFPT</w:t>
            </w:r>
          </w:p>
        </w:tc>
        <w:tc>
          <w:tcPr>
            <w:cnfStyle w:evenVBand="true" w:oddVBand="false" w:firstColumn="false"/>
            <w:tcW w:w="33.333333%" w:type="pct"/>
          </w:tcPr>
          <w:p>
            <w:pPr>
              <w:ind w:leftChars="0" w:left="0" w:right="0"/>
            </w:pPr>
            <w:r>
              <w:t>BFPT</w:t>
            </w:r>
          </w:p>
        </w:tc>
        <w:tc>
          <w:tcPr>
            <w:cnfStyle w:evenVBand="false" w:oddVBand="true" w:firstColumn="false"/>
            <w:tcW w:w="33.333333%" w:type="pct"/>
          </w:tcPr>
          <w:p>
            <w:pPr>
              <w:ind w:leftChars="0" w:left="0" w:right="0"/>
            </w:pPr>
            <w:r>
              <w:t>BANCO FINANTIA S.A. - SYSTEMATIC INTERNALISER</w:t>
            </w:r>
          </w:p>
        </w:tc>
      </w:tr>
      <w:tr>
        <w:trPr>
          <w:cnfStyle w:evenHBand="true" w:oddHBand="false" w:firstRow="false"/>
        </w:trPr>
        <w:tc>
          <w:tcPr>
            <w:cnfStyle w:evenVBand="false" w:oddVBand="true" w:firstColumn="false"/>
            <w:tcW w:w="33.333333%" w:type="pct"/>
          </w:tcPr>
          <w:p>
            <w:pPr>
              <w:ind w:leftChars="0" w:left="0" w:right="0"/>
            </w:pPr>
            <w:r>
              <w:t>BGCA</w:t>
            </w:r>
          </w:p>
        </w:tc>
        <w:tc>
          <w:tcPr>
            <w:cnfStyle w:evenVBand="true" w:oddVBand="false" w:firstColumn="false"/>
            <w:tcW w:w="33.333333%" w:type="pct"/>
          </w:tcPr>
          <w:p>
            <w:pPr>
              <w:ind w:leftChars="0" w:left="0" w:right="0"/>
            </w:pPr>
            <w:r>
              <w:t>BGCA</w:t>
            </w:r>
          </w:p>
        </w:tc>
        <w:tc>
          <w:tcPr>
            <w:cnfStyle w:evenVBand="false" w:oddVBand="true" w:firstColumn="false"/>
            <w:tcW w:w="33.333333%" w:type="pct"/>
          </w:tcPr>
          <w:p>
            <w:pPr>
              <w:ind w:leftChars="0" w:left="0" w:right="0"/>
            </w:pPr>
            <w:r>
              <w:t>BGC PARTNERS (AUSTRALIA) PTY LTD</w:t>
            </w:r>
          </w:p>
        </w:tc>
      </w:tr>
      <w:tr>
        <w:trPr>
          <w:cnfStyle w:evenHBand="false" w:oddHBand="true" w:firstRow="false"/>
        </w:trPr>
        <w:tc>
          <w:tcPr>
            <w:cnfStyle w:evenVBand="false" w:oddVBand="true" w:firstColumn="false"/>
            <w:tcW w:w="33.333333%" w:type="pct"/>
          </w:tcPr>
          <w:p>
            <w:pPr>
              <w:ind w:leftChars="0" w:left="0" w:right="0"/>
            </w:pPr>
            <w:r>
              <w:t>BGCB</w:t>
            </w:r>
          </w:p>
        </w:tc>
        <w:tc>
          <w:tcPr>
            <w:cnfStyle w:evenVBand="true" w:oddVBand="false" w:firstColumn="false"/>
            <w:tcW w:w="33.333333%" w:type="pct"/>
          </w:tcPr>
          <w:p>
            <w:pPr>
              <w:ind w:leftChars="0" w:left="0" w:right="0"/>
            </w:pPr>
            <w:r>
              <w:t>BGCB</w:t>
            </w:r>
          </w:p>
        </w:tc>
        <w:tc>
          <w:tcPr>
            <w:cnfStyle w:evenVBand="false" w:oddVBand="true" w:firstColumn="false"/>
            <w:tcW w:w="33.333333%" w:type="pct"/>
          </w:tcPr>
          <w:p>
            <w:pPr>
              <w:ind w:leftChars="0" w:left="0" w:right="0"/>
            </w:pPr>
            <w:r>
              <w:t>BGC BROKERS LP - TRAYPORT</w:t>
            </w:r>
          </w:p>
        </w:tc>
      </w:tr>
      <w:tr>
        <w:trPr>
          <w:cnfStyle w:evenHBand="true" w:oddHBand="false" w:firstRow="false"/>
        </w:trPr>
        <w:tc>
          <w:tcPr>
            <w:cnfStyle w:evenVBand="false" w:oddVBand="true" w:firstColumn="false"/>
            <w:tcW w:w="33.333333%" w:type="pct"/>
          </w:tcPr>
          <w:p>
            <w:pPr>
              <w:ind w:leftChars="0" w:left="0" w:right="0"/>
            </w:pPr>
            <w:r>
              <w:t>BGCD</w:t>
            </w:r>
          </w:p>
        </w:tc>
        <w:tc>
          <w:tcPr>
            <w:cnfStyle w:evenVBand="true" w:oddVBand="false" w:firstColumn="false"/>
            <w:tcW w:w="33.333333%" w:type="pct"/>
          </w:tcPr>
          <w:p>
            <w:pPr>
              <w:ind w:leftChars="0" w:left="0" w:right="0"/>
            </w:pPr>
            <w:r>
              <w:t>BGCD</w:t>
            </w:r>
          </w:p>
        </w:tc>
        <w:tc>
          <w:tcPr>
            <w:cnfStyle w:evenVBand="false" w:oddVBand="true" w:firstColumn="false"/>
            <w:tcW w:w="33.333333%" w:type="pct"/>
          </w:tcPr>
          <w:p>
            <w:pPr>
              <w:ind w:leftChars="0" w:left="0" w:right="0"/>
            </w:pPr>
            <w:r>
              <w:t>BGC DERIVATIVE MARKETS L.P.</w:t>
            </w:r>
          </w:p>
        </w:tc>
      </w:tr>
      <w:tr>
        <w:trPr>
          <w:cnfStyle w:evenHBand="false" w:oddHBand="true" w:firstRow="false"/>
        </w:trPr>
        <w:tc>
          <w:tcPr>
            <w:cnfStyle w:evenVBand="false" w:oddVBand="true" w:firstColumn="false"/>
            <w:tcW w:w="33.333333%" w:type="pct"/>
          </w:tcPr>
          <w:p>
            <w:pPr>
              <w:ind w:leftChars="0" w:left="0" w:right="0"/>
            </w:pPr>
            <w:r>
              <w:t>BGCF</w:t>
            </w:r>
          </w:p>
        </w:tc>
        <w:tc>
          <w:tcPr>
            <w:cnfStyle w:evenVBand="true" w:oddVBand="false" w:firstColumn="false"/>
            <w:tcW w:w="33.333333%" w:type="pct"/>
          </w:tcPr>
          <w:p>
            <w:pPr>
              <w:ind w:leftChars="0" w:left="0" w:right="0"/>
            </w:pPr>
            <w:r>
              <w:t>BGCF</w:t>
            </w:r>
          </w:p>
        </w:tc>
        <w:tc>
          <w:tcPr>
            <w:cnfStyle w:evenVBand="false" w:oddVBand="true" w:firstColumn="false"/>
            <w:tcW w:w="33.333333%" w:type="pct"/>
          </w:tcPr>
          <w:p>
            <w:pPr>
              <w:ind w:leftChars="0" w:left="0" w:right="0"/>
            </w:pPr>
            <w:r>
              <w:t>BGC FINANCIAL INC</w:t>
            </w:r>
          </w:p>
        </w:tc>
      </w:tr>
      <w:tr>
        <w:trPr>
          <w:cnfStyle w:evenHBand="true" w:oddHBand="false" w:firstRow="false"/>
        </w:trPr>
        <w:tc>
          <w:tcPr>
            <w:cnfStyle w:evenVBand="false" w:oddVBand="true" w:firstColumn="false"/>
            <w:tcW w:w="33.333333%" w:type="pct"/>
          </w:tcPr>
          <w:p>
            <w:pPr>
              <w:ind w:leftChars="0" w:left="0" w:right="0"/>
            </w:pPr>
            <w:r>
              <w:t>BGCI</w:t>
            </w:r>
          </w:p>
        </w:tc>
        <w:tc>
          <w:tcPr>
            <w:cnfStyle w:evenVBand="true" w:oddVBand="false" w:firstColumn="false"/>
            <w:tcW w:w="33.333333%" w:type="pct"/>
          </w:tcPr>
          <w:p>
            <w:pPr>
              <w:ind w:leftChars="0" w:left="0" w:right="0"/>
            </w:pPr>
            <w:r>
              <w:t>BGCI</w:t>
            </w:r>
          </w:p>
        </w:tc>
        <w:tc>
          <w:tcPr>
            <w:cnfStyle w:evenVBand="false" w:oddVBand="true" w:firstColumn="false"/>
            <w:tcW w:w="33.333333%" w:type="pct"/>
          </w:tcPr>
          <w:p>
            <w:pPr>
              <w:ind w:leftChars="0" w:left="0" w:right="0"/>
            </w:pPr>
            <w:r>
              <w:t>BGC BROKERS LP</w:t>
            </w:r>
          </w:p>
        </w:tc>
      </w:tr>
      <w:tr>
        <w:trPr>
          <w:cnfStyle w:evenHBand="false" w:oddHBand="true" w:firstRow="false"/>
        </w:trPr>
        <w:tc>
          <w:tcPr>
            <w:cnfStyle w:evenVBand="false" w:oddVBand="true" w:firstColumn="false"/>
            <w:tcW w:w="33.333333%" w:type="pct"/>
          </w:tcPr>
          <w:p>
            <w:pPr>
              <w:ind w:leftChars="0" w:left="0" w:right="0"/>
            </w:pPr>
            <w:r>
              <w:t>BGCM</w:t>
            </w:r>
          </w:p>
        </w:tc>
        <w:tc>
          <w:tcPr>
            <w:cnfStyle w:evenVBand="true" w:oddVBand="false" w:firstColumn="false"/>
            <w:tcW w:w="33.333333%" w:type="pct"/>
          </w:tcPr>
          <w:p>
            <w:pPr>
              <w:ind w:leftChars="0" w:left="0" w:right="0"/>
            </w:pPr>
            <w:r>
              <w:t>BGCM</w:t>
            </w:r>
          </w:p>
        </w:tc>
        <w:tc>
          <w:tcPr>
            <w:cnfStyle w:evenVBand="false" w:oddVBand="true" w:firstColumn="false"/>
            <w:tcW w:w="33.333333%" w:type="pct"/>
          </w:tcPr>
          <w:p>
            <w:pPr>
              <w:ind w:leftChars="0" w:left="0" w:right="0"/>
            </w:pPr>
            <w:r>
              <w:t>BGC BROKERS LP - MTF</w:t>
            </w:r>
          </w:p>
        </w:tc>
      </w:tr>
      <w:tr>
        <w:trPr>
          <w:cnfStyle w:evenHBand="true" w:oddHBand="false" w:firstRow="false"/>
        </w:trPr>
        <w:tc>
          <w:tcPr>
            <w:cnfStyle w:evenVBand="false" w:oddVBand="true" w:firstColumn="false"/>
            <w:tcW w:w="33.333333%" w:type="pct"/>
          </w:tcPr>
          <w:p>
            <w:pPr>
              <w:ind w:leftChars="0" w:left="0" w:right="0"/>
            </w:pPr>
            <w:r>
              <w:t>BGCO</w:t>
            </w:r>
          </w:p>
        </w:tc>
        <w:tc>
          <w:tcPr>
            <w:cnfStyle w:evenVBand="true" w:oddVBand="false" w:firstColumn="false"/>
            <w:tcW w:w="33.333333%" w:type="pct"/>
          </w:tcPr>
          <w:p>
            <w:pPr>
              <w:ind w:leftChars="0" w:left="0" w:right="0"/>
            </w:pPr>
            <w:r>
              <w:t>BGCO</w:t>
            </w:r>
          </w:p>
        </w:tc>
        <w:tc>
          <w:tcPr>
            <w:cnfStyle w:evenVBand="false" w:oddVBand="true" w:firstColumn="false"/>
            <w:tcW w:w="33.333333%" w:type="pct"/>
          </w:tcPr>
          <w:p>
            <w:pPr>
              <w:ind w:leftChars="0" w:left="0" w:right="0"/>
            </w:pPr>
            <w:r>
              <w:t>BGC BROKERS LP - OTF</w:t>
            </w:r>
          </w:p>
        </w:tc>
      </w:tr>
      <w:tr>
        <w:trPr>
          <w:cnfStyle w:evenHBand="false" w:oddHBand="true" w:firstRow="false"/>
        </w:trPr>
        <w:tc>
          <w:tcPr>
            <w:cnfStyle w:evenVBand="false" w:oddVBand="true" w:firstColumn="false"/>
            <w:tcW w:w="33.333333%" w:type="pct"/>
          </w:tcPr>
          <w:p>
            <w:pPr>
              <w:ind w:leftChars="0" w:left="0" w:right="0"/>
            </w:pPr>
            <w:r>
              <w:t>BGFI</w:t>
            </w:r>
          </w:p>
        </w:tc>
        <w:tc>
          <w:tcPr>
            <w:cnfStyle w:evenVBand="true" w:oddVBand="false" w:firstColumn="false"/>
            <w:tcW w:w="33.333333%" w:type="pct"/>
          </w:tcPr>
          <w:p>
            <w:pPr>
              <w:ind w:leftChars="0" w:left="0" w:right="0"/>
            </w:pPr>
            <w:r>
              <w:t>BGFI</w:t>
            </w:r>
          </w:p>
        </w:tc>
        <w:tc>
          <w:tcPr>
            <w:cnfStyle w:evenVBand="false" w:oddVBand="true" w:firstColumn="false"/>
            <w:tcW w:w="33.333333%" w:type="pct"/>
          </w:tcPr>
          <w:p>
            <w:pPr>
              <w:ind w:leftChars="0" w:left="0" w:right="0"/>
            </w:pPr>
            <w:r>
              <w:t>BERENBERG FIXED INCOME - SYSTEMATIC INTERNALISER</w:t>
            </w:r>
          </w:p>
        </w:tc>
      </w:tr>
      <w:tr>
        <w:trPr>
          <w:cnfStyle w:evenHBand="true" w:oddHBand="false" w:firstRow="false"/>
        </w:trPr>
        <w:tc>
          <w:tcPr>
            <w:cnfStyle w:evenVBand="false" w:oddVBand="true" w:firstColumn="false"/>
            <w:tcW w:w="33.333333%" w:type="pct"/>
          </w:tcPr>
          <w:p>
            <w:pPr>
              <w:ind w:leftChars="0" w:left="0" w:right="0"/>
            </w:pPr>
            <w:r>
              <w:t>BGFU</w:t>
            </w:r>
          </w:p>
        </w:tc>
        <w:tc>
          <w:tcPr>
            <w:cnfStyle w:evenVBand="true" w:oddVBand="false" w:firstColumn="false"/>
            <w:tcW w:w="33.333333%" w:type="pct"/>
          </w:tcPr>
          <w:p>
            <w:pPr>
              <w:ind w:leftChars="0" w:left="0" w:right="0"/>
            </w:pPr>
            <w:r>
              <w:t>BGFU</w:t>
            </w:r>
          </w:p>
        </w:tc>
        <w:tc>
          <w:tcPr>
            <w:cnfStyle w:evenVBand="false" w:oddVBand="true" w:firstColumn="false"/>
            <w:tcW w:w="33.333333%" w:type="pct"/>
          </w:tcPr>
          <w:p>
            <w:pPr>
              <w:ind w:leftChars="0" w:left="0" w:right="0"/>
            </w:pPr>
            <w:r>
              <w:t>BERENBERG FIXED INCOME UK - SYSTEMATIC INTERNALISER</w:t>
            </w:r>
          </w:p>
        </w:tc>
      </w:tr>
      <w:tr>
        <w:trPr>
          <w:cnfStyle w:evenHBand="false" w:oddHBand="true" w:firstRow="false"/>
        </w:trPr>
        <w:tc>
          <w:tcPr>
            <w:cnfStyle w:evenVBand="false" w:oddVBand="true" w:firstColumn="false"/>
            <w:tcW w:w="33.333333%" w:type="pct"/>
          </w:tcPr>
          <w:p>
            <w:pPr>
              <w:ind w:leftChars="0" w:left="0" w:right="0"/>
            </w:pPr>
            <w:r>
              <w:t>BGFX</w:t>
            </w:r>
          </w:p>
        </w:tc>
        <w:tc>
          <w:tcPr>
            <w:cnfStyle w:evenVBand="true" w:oddVBand="false" w:firstColumn="false"/>
            <w:tcW w:w="33.333333%" w:type="pct"/>
          </w:tcPr>
          <w:p>
            <w:pPr>
              <w:ind w:leftChars="0" w:left="0" w:right="0"/>
            </w:pPr>
            <w:r>
              <w:t>BGFX</w:t>
            </w:r>
          </w:p>
        </w:tc>
        <w:tc>
          <w:tcPr>
            <w:cnfStyle w:evenVBand="false" w:oddVBand="true" w:firstColumn="false"/>
            <w:tcW w:w="33.333333%" w:type="pct"/>
          </w:tcPr>
          <w:p>
            <w:pPr>
              <w:ind w:leftChars="0" w:left="0" w:right="0"/>
            </w:pPr>
            <w:r>
              <w:t>BERENBERG FX - SYSTEMATIC INTERNALISER</w:t>
            </w:r>
          </w:p>
        </w:tc>
      </w:tr>
      <w:tr>
        <w:trPr>
          <w:cnfStyle w:evenHBand="true" w:oddHBand="false" w:firstRow="false"/>
        </w:trPr>
        <w:tc>
          <w:tcPr>
            <w:cnfStyle w:evenVBand="false" w:oddVBand="true" w:firstColumn="false"/>
            <w:tcW w:w="33.333333%" w:type="pct"/>
          </w:tcPr>
          <w:p>
            <w:pPr>
              <w:ind w:leftChars="0" w:left="0" w:right="0"/>
            </w:pPr>
            <w:r>
              <w:t>BGHX</w:t>
            </w:r>
          </w:p>
        </w:tc>
        <w:tc>
          <w:tcPr>
            <w:cnfStyle w:evenVBand="true" w:oddVBand="false" w:firstColumn="false"/>
            <w:tcW w:w="33.333333%" w:type="pct"/>
          </w:tcPr>
          <w:p>
            <w:pPr>
              <w:ind w:leftChars="0" w:left="0" w:right="0"/>
            </w:pPr>
            <w:r>
              <w:t>BGHX</w:t>
            </w:r>
          </w:p>
        </w:tc>
        <w:tc>
          <w:tcPr>
            <w:cnfStyle w:evenVBand="false" w:oddVBand="true" w:firstColumn="false"/>
            <w:tcW w:w="33.333333%" w:type="pct"/>
          </w:tcPr>
          <w:p>
            <w:pPr>
              <w:ind w:leftChars="0" w:left="0" w:right="0"/>
            </w:pPr>
            <w:r>
              <w:t>BALKAN GAS HUB EAD</w:t>
            </w:r>
          </w:p>
        </w:tc>
      </w:tr>
      <w:tr>
        <w:trPr>
          <w:cnfStyle w:evenHBand="false" w:oddHBand="true" w:firstRow="false"/>
        </w:trPr>
        <w:tc>
          <w:tcPr>
            <w:cnfStyle w:evenVBand="false" w:oddVBand="true" w:firstColumn="false"/>
            <w:tcW w:w="33.333333%" w:type="pct"/>
          </w:tcPr>
          <w:p>
            <w:pPr>
              <w:ind w:leftChars="0" w:left="0" w:right="0"/>
            </w:pPr>
            <w:r>
              <w:t>BGLU</w:t>
            </w:r>
          </w:p>
        </w:tc>
        <w:tc>
          <w:tcPr>
            <w:cnfStyle w:evenVBand="true" w:oddVBand="false" w:firstColumn="false"/>
            <w:tcW w:w="33.333333%" w:type="pct"/>
          </w:tcPr>
          <w:p>
            <w:pPr>
              <w:ind w:leftChars="0" w:left="0" w:right="0"/>
            </w:pPr>
            <w:r>
              <w:t>BGLU</w:t>
            </w:r>
          </w:p>
        </w:tc>
        <w:tc>
          <w:tcPr>
            <w:cnfStyle w:evenVBand="false" w:oddVBand="true" w:firstColumn="false"/>
            <w:tcW w:w="33.333333%" w:type="pct"/>
          </w:tcPr>
          <w:p>
            <w:pPr>
              <w:ind w:leftChars="0" w:left="0" w:right="0"/>
            </w:pPr>
            <w:r>
              <w:t>BGL BNP PARIBAS  - SYSTEMATIC INTERNALISER</w:t>
            </w:r>
          </w:p>
        </w:tc>
      </w:tr>
      <w:tr>
        <w:trPr>
          <w:cnfStyle w:evenHBand="true" w:oddHBand="false" w:firstRow="false"/>
        </w:trPr>
        <w:tc>
          <w:tcPr>
            <w:cnfStyle w:evenVBand="false" w:oddVBand="true" w:firstColumn="false"/>
            <w:tcW w:w="33.333333%" w:type="pct"/>
          </w:tcPr>
          <w:p>
            <w:pPr>
              <w:ind w:leftChars="0" w:left="0" w:right="0"/>
            </w:pPr>
            <w:r>
              <w:t>BGSI</w:t>
            </w:r>
          </w:p>
        </w:tc>
        <w:tc>
          <w:tcPr>
            <w:cnfStyle w:evenVBand="true" w:oddVBand="false" w:firstColumn="false"/>
            <w:tcW w:w="33.333333%" w:type="pct"/>
          </w:tcPr>
          <w:p>
            <w:pPr>
              <w:ind w:leftChars="0" w:left="0" w:right="0"/>
            </w:pPr>
            <w:r>
              <w:t>BGSI</w:t>
            </w:r>
          </w:p>
        </w:tc>
        <w:tc>
          <w:tcPr>
            <w:cnfStyle w:evenVBand="false" w:oddVBand="true" w:firstColumn="false"/>
            <w:tcW w:w="33.333333%" w:type="pct"/>
          </w:tcPr>
          <w:p>
            <w:pPr>
              <w:ind w:leftChars="0" w:left="0" w:right="0"/>
            </w:pPr>
            <w:r>
              <w:t>BERENBERG - SYSTEMATIC - INTERNALISER</w:t>
            </w:r>
          </w:p>
        </w:tc>
      </w:tr>
      <w:tr>
        <w:trPr>
          <w:cnfStyle w:evenHBand="false" w:oddHBand="true" w:firstRow="false"/>
        </w:trPr>
        <w:tc>
          <w:tcPr>
            <w:cnfStyle w:evenVBand="false" w:oddVBand="true" w:firstColumn="false"/>
            <w:tcW w:w="33.333333%" w:type="pct"/>
          </w:tcPr>
          <w:p>
            <w:pPr>
              <w:ind w:leftChars="0" w:left="0" w:right="0"/>
            </w:pPr>
            <w:r>
              <w:t>BGUK</w:t>
            </w:r>
          </w:p>
        </w:tc>
        <w:tc>
          <w:tcPr>
            <w:cnfStyle w:evenVBand="true" w:oddVBand="false" w:firstColumn="false"/>
            <w:tcW w:w="33.333333%" w:type="pct"/>
          </w:tcPr>
          <w:p>
            <w:pPr>
              <w:ind w:leftChars="0" w:left="0" w:right="0"/>
            </w:pPr>
            <w:r>
              <w:t>BGUK</w:t>
            </w:r>
          </w:p>
        </w:tc>
        <w:tc>
          <w:tcPr>
            <w:cnfStyle w:evenVBand="false" w:oddVBand="true" w:firstColumn="false"/>
            <w:tcW w:w="33.333333%" w:type="pct"/>
          </w:tcPr>
          <w:p>
            <w:pPr>
              <w:ind w:leftChars="0" w:left="0" w:right="0"/>
            </w:pPr>
            <w:r>
              <w:t>BERENBERG - SYSTEMATIC INTERNALISER UK</w:t>
            </w:r>
          </w:p>
        </w:tc>
      </w:tr>
      <w:tr>
        <w:trPr>
          <w:cnfStyle w:evenHBand="true" w:oddHBand="false" w:firstRow="false"/>
        </w:trPr>
        <w:tc>
          <w:tcPr>
            <w:cnfStyle w:evenVBand="false" w:oddVBand="true" w:firstColumn="false"/>
            <w:tcW w:w="33.333333%" w:type="pct"/>
          </w:tcPr>
          <w:p>
            <w:pPr>
              <w:ind w:leftChars="0" w:left="0" w:right="0"/>
            </w:pPr>
            <w:r>
              <w:t>BHSF</w:t>
            </w:r>
          </w:p>
        </w:tc>
        <w:tc>
          <w:tcPr>
            <w:cnfStyle w:evenVBand="true" w:oddVBand="false" w:firstColumn="false"/>
            <w:tcW w:w="33.333333%" w:type="pct"/>
          </w:tcPr>
          <w:p>
            <w:pPr>
              <w:ind w:leftChars="0" w:left="0" w:right="0"/>
            </w:pPr>
            <w:r>
              <w:t>BHSF</w:t>
            </w:r>
          </w:p>
        </w:tc>
        <w:tc>
          <w:tcPr>
            <w:cnfStyle w:evenVBand="false" w:oddVBand="true" w:firstColumn="false"/>
            <w:tcW w:w="33.333333%" w:type="pct"/>
          </w:tcPr>
          <w:p>
            <w:pPr>
              <w:ind w:leftChars="0" w:left="0" w:right="0"/>
            </w:pPr>
            <w:r>
              <w:t>CBOE SEF, LLC</w:t>
            </w:r>
          </w:p>
        </w:tc>
      </w:tr>
      <w:tr>
        <w:trPr>
          <w:cnfStyle w:evenHBand="false" w:oddHBand="true" w:firstRow="false"/>
        </w:trPr>
        <w:tc>
          <w:tcPr>
            <w:cnfStyle w:evenVBand="false" w:oddVBand="true" w:firstColumn="false"/>
            <w:tcW w:w="33.333333%" w:type="pct"/>
          </w:tcPr>
          <w:p>
            <w:pPr>
              <w:ind w:leftChars="0" w:left="0" w:right="0"/>
            </w:pPr>
            <w:r>
              <w:t>BHWA</w:t>
            </w:r>
          </w:p>
        </w:tc>
        <w:tc>
          <w:tcPr>
            <w:cnfStyle w:evenVBand="true" w:oddVBand="false" w:firstColumn="false"/>
            <w:tcW w:w="33.333333%" w:type="pct"/>
          </w:tcPr>
          <w:p>
            <w:pPr>
              <w:ind w:leftChars="0" w:left="0" w:right="0"/>
            </w:pPr>
            <w:r>
              <w:t>BHWA</w:t>
            </w:r>
          </w:p>
        </w:tc>
        <w:tc>
          <w:tcPr>
            <w:cnfStyle w:evenVBand="false" w:oddVBand="true" w:firstColumn="false"/>
            <w:tcW w:w="33.333333%" w:type="pct"/>
          </w:tcPr>
          <w:p>
            <w:pPr>
              <w:ind w:leftChars="0" w:left="0" w:right="0"/>
            </w:pPr>
            <w:r>
              <w:t>BANK HANDLOWY W WARSZAWIE S.A. - SYSTEMATIC INTERNALISER</w:t>
            </w:r>
          </w:p>
        </w:tc>
      </w:tr>
      <w:tr>
        <w:trPr>
          <w:cnfStyle w:evenHBand="true" w:oddHBand="false" w:firstRow="false"/>
        </w:trPr>
        <w:tc>
          <w:tcPr>
            <w:cnfStyle w:evenVBand="false" w:oddVBand="true" w:firstColumn="false"/>
            <w:tcW w:w="33.333333%" w:type="pct"/>
          </w:tcPr>
          <w:p>
            <w:pPr>
              <w:ind w:leftChars="0" w:left="0" w:right="0"/>
            </w:pPr>
            <w:r>
              <w:t>BIDS</w:t>
            </w:r>
          </w:p>
        </w:tc>
        <w:tc>
          <w:tcPr>
            <w:cnfStyle w:evenVBand="true" w:oddVBand="false" w:firstColumn="false"/>
            <w:tcW w:w="33.333333%" w:type="pct"/>
          </w:tcPr>
          <w:p>
            <w:pPr>
              <w:ind w:leftChars="0" w:left="0" w:right="0"/>
            </w:pPr>
            <w:r>
              <w:t>BIDS</w:t>
            </w:r>
          </w:p>
        </w:tc>
        <w:tc>
          <w:tcPr>
            <w:cnfStyle w:evenVBand="false" w:oddVBand="true" w:firstColumn="false"/>
            <w:tcW w:w="33.333333%" w:type="pct"/>
          </w:tcPr>
          <w:p>
            <w:pPr>
              <w:ind w:leftChars="0" w:left="0" w:right="0"/>
            </w:pPr>
            <w:r>
              <w:t>BIDS TRADING L.P.</w:t>
            </w:r>
          </w:p>
        </w:tc>
      </w:tr>
      <w:tr>
        <w:trPr>
          <w:cnfStyle w:evenHBand="false" w:oddHBand="true" w:firstRow="false"/>
        </w:trPr>
        <w:tc>
          <w:tcPr>
            <w:cnfStyle w:evenVBand="false" w:oddVBand="true" w:firstColumn="false"/>
            <w:tcW w:w="33.333333%" w:type="pct"/>
          </w:tcPr>
          <w:p>
            <w:pPr>
              <w:ind w:leftChars="0" w:left="0" w:right="0"/>
            </w:pPr>
            <w:r>
              <w:t>BILT</w:t>
            </w:r>
          </w:p>
        </w:tc>
        <w:tc>
          <w:tcPr>
            <w:cnfStyle w:evenVBand="true" w:oddVBand="false" w:firstColumn="false"/>
            <w:tcW w:w="33.333333%" w:type="pct"/>
          </w:tcPr>
          <w:p>
            <w:pPr>
              <w:ind w:leftChars="0" w:left="0" w:right="0"/>
            </w:pPr>
            <w:r>
              <w:t>BILT</w:t>
            </w:r>
          </w:p>
        </w:tc>
        <w:tc>
          <w:tcPr>
            <w:cnfStyle w:evenVBand="false" w:oddVBand="true" w:firstColumn="false"/>
            <w:tcW w:w="33.333333%" w:type="pct"/>
          </w:tcPr>
          <w:p>
            <w:pPr>
              <w:ind w:leftChars="0" w:left="0" w:right="0"/>
            </w:pPr>
            <w:r>
              <w:t>OFF-EXCHANGE TRANSACTIONS - LISTED AND UNLISTED INSTRUMENTS</w:t>
            </w:r>
          </w:p>
        </w:tc>
      </w:tr>
      <w:tr>
        <w:trPr>
          <w:cnfStyle w:evenHBand="true" w:oddHBand="false" w:firstRow="false"/>
        </w:trPr>
        <w:tc>
          <w:tcPr>
            <w:cnfStyle w:evenVBand="false" w:oddVBand="true" w:firstColumn="false"/>
            <w:tcW w:w="33.333333%" w:type="pct"/>
          </w:tcPr>
          <w:p>
            <w:pPr>
              <w:ind w:leftChars="0" w:left="0" w:right="0"/>
            </w:pPr>
            <w:r>
              <w:t>BILU</w:t>
            </w:r>
          </w:p>
        </w:tc>
        <w:tc>
          <w:tcPr>
            <w:cnfStyle w:evenVBand="true" w:oddVBand="false" w:firstColumn="false"/>
            <w:tcW w:w="33.333333%" w:type="pct"/>
          </w:tcPr>
          <w:p>
            <w:pPr>
              <w:ind w:leftChars="0" w:left="0" w:right="0"/>
            </w:pPr>
            <w:r>
              <w:t>BILU</w:t>
            </w:r>
          </w:p>
        </w:tc>
        <w:tc>
          <w:tcPr>
            <w:cnfStyle w:evenVBand="false" w:oddVBand="true" w:firstColumn="false"/>
            <w:tcW w:w="33.333333%" w:type="pct"/>
          </w:tcPr>
          <w:p>
            <w:pPr>
              <w:ind w:leftChars="0" w:left="0" w:right="0"/>
            </w:pPr>
            <w:r>
              <w:t>BANQUE INTERNATIONALE A LUXEMBOURG S.A. - SYSTEMATIC INTERNALISER</w:t>
            </w:r>
          </w:p>
        </w:tc>
      </w:tr>
      <w:tr>
        <w:trPr>
          <w:cnfStyle w:evenHBand="false" w:oddHBand="true" w:firstRow="false"/>
        </w:trPr>
        <w:tc>
          <w:tcPr>
            <w:cnfStyle w:evenVBand="false" w:oddVBand="true" w:firstColumn="false"/>
            <w:tcW w:w="33.333333%" w:type="pct"/>
          </w:tcPr>
          <w:p>
            <w:pPr>
              <w:ind w:leftChars="0" w:left="0" w:right="0"/>
            </w:pPr>
            <w:r>
              <w:t>BINV</w:t>
            </w:r>
          </w:p>
        </w:tc>
        <w:tc>
          <w:tcPr>
            <w:cnfStyle w:evenVBand="true" w:oddVBand="false" w:firstColumn="false"/>
            <w:tcW w:w="33.333333%" w:type="pct"/>
          </w:tcPr>
          <w:p>
            <w:pPr>
              <w:ind w:leftChars="0" w:left="0" w:right="0"/>
            </w:pPr>
            <w:r>
              <w:t>BINV</w:t>
            </w:r>
          </w:p>
        </w:tc>
        <w:tc>
          <w:tcPr>
            <w:cnfStyle w:evenVBand="false" w:oddVBand="true" w:firstColumn="false"/>
            <w:tcW w:w="33.333333%" w:type="pct"/>
          </w:tcPr>
          <w:p>
            <w:pPr>
              <w:ind w:leftChars="0" w:left="0" w:right="0"/>
            </w:pPr>
            <w:r>
              <w:t>BOND INVEST - SYSTEMATIC INTERNALISER</w:t>
            </w:r>
          </w:p>
        </w:tc>
      </w:tr>
      <w:tr>
        <w:trPr>
          <w:cnfStyle w:evenHBand="true" w:oddHBand="false" w:firstRow="false"/>
        </w:trPr>
        <w:tc>
          <w:tcPr>
            <w:cnfStyle w:evenVBand="false" w:oddVBand="true" w:firstColumn="false"/>
            <w:tcW w:w="33.333333%" w:type="pct"/>
          </w:tcPr>
          <w:p>
            <w:pPr>
              <w:ind w:leftChars="0" w:left="0" w:right="0"/>
            </w:pPr>
            <w:r>
              <w:t>BISI</w:t>
            </w:r>
          </w:p>
        </w:tc>
        <w:tc>
          <w:tcPr>
            <w:cnfStyle w:evenVBand="true" w:oddVBand="false" w:firstColumn="false"/>
            <w:tcW w:w="33.333333%" w:type="pct"/>
          </w:tcPr>
          <w:p>
            <w:pPr>
              <w:ind w:leftChars="0" w:left="0" w:right="0"/>
            </w:pPr>
            <w:r>
              <w:t>BISI</w:t>
            </w:r>
          </w:p>
        </w:tc>
        <w:tc>
          <w:tcPr>
            <w:cnfStyle w:evenVBand="false" w:oddVBand="true" w:firstColumn="false"/>
            <w:tcW w:w="33.333333%" w:type="pct"/>
          </w:tcPr>
          <w:p>
            <w:pPr>
              <w:ind w:leftChars="0" w:left="0" w:right="0"/>
            </w:pPr>
            <w:r>
              <w:t>GOLDMAN SACHS INTERNATIONAL BANK - SYSTEMATIC INTERNALISER</w:t>
            </w:r>
          </w:p>
        </w:tc>
      </w:tr>
      <w:tr>
        <w:trPr>
          <w:cnfStyle w:evenHBand="false" w:oddHBand="true" w:firstRow="false"/>
        </w:trPr>
        <w:tc>
          <w:tcPr>
            <w:cnfStyle w:evenVBand="false" w:oddVBand="true" w:firstColumn="false"/>
            <w:tcW w:w="33.333333%" w:type="pct"/>
          </w:tcPr>
          <w:p>
            <w:pPr>
              <w:ind w:leftChars="0" w:left="0" w:right="0"/>
            </w:pPr>
            <w:r>
              <w:t>BIVA</w:t>
            </w:r>
          </w:p>
        </w:tc>
        <w:tc>
          <w:tcPr>
            <w:cnfStyle w:evenVBand="true" w:oddVBand="false" w:firstColumn="false"/>
            <w:tcW w:w="33.333333%" w:type="pct"/>
          </w:tcPr>
          <w:p>
            <w:pPr>
              <w:ind w:leftChars="0" w:left="0" w:right="0"/>
            </w:pPr>
            <w:r>
              <w:t>BIVA</w:t>
            </w:r>
          </w:p>
        </w:tc>
        <w:tc>
          <w:tcPr>
            <w:cnfStyle w:evenVBand="false" w:oddVBand="true" w:firstColumn="false"/>
            <w:tcW w:w="33.333333%" w:type="pct"/>
          </w:tcPr>
          <w:p>
            <w:pPr>
              <w:ind w:leftChars="0" w:left="0" w:right="0"/>
            </w:pPr>
            <w:r>
              <w:t>BOLSA INSTITUCIONAL DE VALORES</w:t>
            </w:r>
          </w:p>
        </w:tc>
      </w:tr>
      <w:tr>
        <w:trPr>
          <w:cnfStyle w:evenHBand="true" w:oddHBand="false" w:firstRow="false"/>
        </w:trPr>
        <w:tc>
          <w:tcPr>
            <w:cnfStyle w:evenVBand="false" w:oddVBand="true" w:firstColumn="false"/>
            <w:tcW w:w="33.333333%" w:type="pct"/>
          </w:tcPr>
          <w:p>
            <w:pPr>
              <w:ind w:leftChars="0" w:left="0" w:right="0"/>
            </w:pPr>
            <w:r>
              <w:t>BJSE</w:t>
            </w:r>
          </w:p>
        </w:tc>
        <w:tc>
          <w:tcPr>
            <w:cnfStyle w:evenVBand="true" w:oddVBand="false" w:firstColumn="false"/>
            <w:tcW w:w="33.333333%" w:type="pct"/>
          </w:tcPr>
          <w:p>
            <w:pPr>
              <w:ind w:leftChars="0" w:left="0" w:right="0"/>
            </w:pPr>
            <w:r>
              <w:t>BJSE</w:t>
            </w:r>
          </w:p>
        </w:tc>
        <w:tc>
          <w:tcPr>
            <w:cnfStyle w:evenVBand="false" w:oddVBand="true" w:firstColumn="false"/>
            <w:tcW w:w="33.333333%" w:type="pct"/>
          </w:tcPr>
          <w:p>
            <w:pPr>
              <w:ind w:leftChars="0" w:left="0" w:right="0"/>
            </w:pPr>
            <w:r>
              <w:t>BEIJING STOCK EXCHANGE</w:t>
            </w:r>
          </w:p>
        </w:tc>
      </w:tr>
      <w:tr>
        <w:trPr>
          <w:cnfStyle w:evenHBand="false" w:oddHBand="true" w:firstRow="false"/>
        </w:trPr>
        <w:tc>
          <w:tcPr>
            <w:cnfStyle w:evenVBand="false" w:oddVBand="true" w:firstColumn="false"/>
            <w:tcW w:w="33.333333%" w:type="pct"/>
          </w:tcPr>
          <w:p>
            <w:pPr>
              <w:ind w:leftChars="0" w:left="0" w:right="0"/>
            </w:pPr>
            <w:r>
              <w:t>BKBF</w:t>
            </w:r>
          </w:p>
        </w:tc>
        <w:tc>
          <w:tcPr>
            <w:cnfStyle w:evenVBand="true" w:oddVBand="false" w:firstColumn="false"/>
            <w:tcW w:w="33.333333%" w:type="pct"/>
          </w:tcPr>
          <w:p>
            <w:pPr>
              <w:ind w:leftChars="0" w:left="0" w:right="0"/>
            </w:pPr>
            <w:r>
              <w:t>BKBF</w:t>
            </w:r>
          </w:p>
        </w:tc>
        <w:tc>
          <w:tcPr>
            <w:cnfStyle w:evenVBand="false" w:oddVBand="true" w:firstColumn="false"/>
            <w:tcW w:w="33.333333%" w:type="pct"/>
          </w:tcPr>
          <w:p>
            <w:pPr>
              <w:ind w:leftChars="0" w:left="0" w:right="0"/>
            </w:pPr>
            <w:r>
              <w:t>BNY MELLON S.A./N.V. - BRUSSELS BRANCH - SYSTEMATIC INTERNALISER</w:t>
            </w:r>
          </w:p>
        </w:tc>
      </w:tr>
      <w:tr>
        <w:trPr>
          <w:cnfStyle w:evenHBand="true" w:oddHBand="false" w:firstRow="false"/>
        </w:trPr>
        <w:tc>
          <w:tcPr>
            <w:cnfStyle w:evenVBand="false" w:oddVBand="true" w:firstColumn="false"/>
            <w:tcW w:w="33.333333%" w:type="pct"/>
          </w:tcPr>
          <w:p>
            <w:pPr>
              <w:ind w:leftChars="0" w:left="0" w:right="0"/>
            </w:pPr>
            <w:r>
              <w:t>BKBR</w:t>
            </w:r>
          </w:p>
        </w:tc>
        <w:tc>
          <w:tcPr>
            <w:cnfStyle w:evenVBand="true" w:oddVBand="false" w:firstColumn="false"/>
            <w:tcW w:w="33.333333%" w:type="pct"/>
          </w:tcPr>
          <w:p>
            <w:pPr>
              <w:ind w:leftChars="0" w:left="0" w:right="0"/>
            </w:pPr>
            <w:r>
              <w:t>BKBR</w:t>
            </w:r>
          </w:p>
        </w:tc>
        <w:tc>
          <w:tcPr>
            <w:cnfStyle w:evenVBand="false" w:oddVBand="true" w:firstColumn="false"/>
            <w:tcW w:w="33.333333%" w:type="pct"/>
          </w:tcPr>
          <w:p>
            <w:pPr>
              <w:ind w:leftChars="0" w:left="0" w:right="0"/>
            </w:pPr>
            <w:r>
              <w:t>BNY MELLON S.A./N.V. - BRUSSELS BRANCH</w:t>
            </w:r>
          </w:p>
        </w:tc>
      </w:tr>
      <w:tr>
        <w:trPr>
          <w:cnfStyle w:evenHBand="false" w:oddHBand="true" w:firstRow="false"/>
        </w:trPr>
        <w:tc>
          <w:tcPr>
            <w:cnfStyle w:evenVBand="false" w:oddVBand="true" w:firstColumn="false"/>
            <w:tcW w:w="33.333333%" w:type="pct"/>
          </w:tcPr>
          <w:p>
            <w:pPr>
              <w:ind w:leftChars="0" w:left="0" w:right="0"/>
            </w:pPr>
            <w:r>
              <w:t>BKDM</w:t>
            </w:r>
          </w:p>
        </w:tc>
        <w:tc>
          <w:tcPr>
            <w:cnfStyle w:evenVBand="true" w:oddVBand="false" w:firstColumn="false"/>
            <w:tcW w:w="33.333333%" w:type="pct"/>
          </w:tcPr>
          <w:p>
            <w:pPr>
              <w:ind w:leftChars="0" w:left="0" w:right="0"/>
            </w:pPr>
            <w:r>
              <w:t>BKDM</w:t>
            </w:r>
          </w:p>
        </w:tc>
        <w:tc>
          <w:tcPr>
            <w:cnfStyle w:evenVBand="false" w:oddVBand="true" w:firstColumn="false"/>
            <w:tcW w:w="33.333333%" w:type="pct"/>
          </w:tcPr>
          <w:p>
            <w:pPr>
              <w:ind w:leftChars="0" w:left="0" w:right="0"/>
            </w:pPr>
            <w:r>
              <w:t>BNY MELLON MARKETS EUROPE LIMITED</w:t>
            </w:r>
          </w:p>
        </w:tc>
      </w:tr>
      <w:tr>
        <w:trPr>
          <w:cnfStyle w:evenHBand="true" w:oddHBand="false" w:firstRow="false"/>
        </w:trPr>
        <w:tc>
          <w:tcPr>
            <w:cnfStyle w:evenVBand="false" w:oddVBand="true" w:firstColumn="false"/>
            <w:tcW w:w="33.333333%" w:type="pct"/>
          </w:tcPr>
          <w:p>
            <w:pPr>
              <w:ind w:leftChars="0" w:left="0" w:right="0"/>
            </w:pPr>
            <w:r>
              <w:t>BKKT</w:t>
            </w:r>
          </w:p>
        </w:tc>
        <w:tc>
          <w:tcPr>
            <w:cnfStyle w:evenVBand="true" w:oddVBand="false" w:firstColumn="false"/>
            <w:tcW w:w="33.333333%" w:type="pct"/>
          </w:tcPr>
          <w:p>
            <w:pPr>
              <w:ind w:leftChars="0" w:left="0" w:right="0"/>
            </w:pPr>
            <w:r>
              <w:t>BKKT</w:t>
            </w:r>
          </w:p>
        </w:tc>
        <w:tc>
          <w:tcPr>
            <w:cnfStyle w:evenVBand="false" w:oddVBand="true" w:firstColumn="false"/>
            <w:tcW w:w="33.333333%" w:type="pct"/>
          </w:tcPr>
          <w:p>
            <w:pPr>
              <w:ind w:leftChars="0" w:left="0" w:right="0"/>
            </w:pPr>
            <w:r>
              <w:t>BAKKT</w:t>
            </w:r>
          </w:p>
        </w:tc>
      </w:tr>
      <w:tr>
        <w:trPr>
          <w:cnfStyle w:evenHBand="false" w:oddHBand="true" w:firstRow="false"/>
        </w:trPr>
        <w:tc>
          <w:tcPr>
            <w:cnfStyle w:evenVBand="false" w:oddVBand="true" w:firstColumn="false"/>
            <w:tcW w:w="33.333333%" w:type="pct"/>
          </w:tcPr>
          <w:p>
            <w:pPr>
              <w:ind w:leftChars="0" w:left="0" w:right="0"/>
            </w:pPr>
            <w:r>
              <w:t>BKLF</w:t>
            </w:r>
          </w:p>
        </w:tc>
        <w:tc>
          <w:tcPr>
            <w:cnfStyle w:evenVBand="true" w:oddVBand="false" w:firstColumn="false"/>
            <w:tcW w:w="33.333333%" w:type="pct"/>
          </w:tcPr>
          <w:p>
            <w:pPr>
              <w:ind w:leftChars="0" w:left="0" w:right="0"/>
            </w:pPr>
            <w:r>
              <w:t>BKLF</w:t>
            </w:r>
          </w:p>
        </w:tc>
        <w:tc>
          <w:tcPr>
            <w:cnfStyle w:evenVBand="false" w:oddVBand="true" w:firstColumn="false"/>
            <w:tcW w:w="33.333333%" w:type="pct"/>
          </w:tcPr>
          <w:p>
            <w:pPr>
              <w:ind w:leftChars="0" w:left="0" w:right="0"/>
            </w:pPr>
            <w:r>
              <w:t>BNY MELLON - SYSTEMATIC INTERNALISER</w:t>
            </w:r>
          </w:p>
        </w:tc>
      </w:tr>
      <w:tr>
        <w:trPr>
          <w:cnfStyle w:evenHBand="true" w:oddHBand="false" w:firstRow="false"/>
        </w:trPr>
        <w:tc>
          <w:tcPr>
            <w:cnfStyle w:evenVBand="false" w:oddVBand="true" w:firstColumn="false"/>
            <w:tcW w:w="33.333333%" w:type="pct"/>
          </w:tcPr>
          <w:p>
            <w:pPr>
              <w:ind w:leftChars="0" w:left="0" w:right="0"/>
            </w:pPr>
            <w:r>
              <w:t>BKLN</w:t>
            </w:r>
          </w:p>
        </w:tc>
        <w:tc>
          <w:tcPr>
            <w:cnfStyle w:evenVBand="true" w:oddVBand="false" w:firstColumn="false"/>
            <w:tcW w:w="33.333333%" w:type="pct"/>
          </w:tcPr>
          <w:p>
            <w:pPr>
              <w:ind w:leftChars="0" w:left="0" w:right="0"/>
            </w:pPr>
            <w:r>
              <w:t>BKLN</w:t>
            </w:r>
          </w:p>
        </w:tc>
        <w:tc>
          <w:tcPr>
            <w:cnfStyle w:evenVBand="false" w:oddVBand="true" w:firstColumn="false"/>
            <w:tcW w:w="33.333333%" w:type="pct"/>
          </w:tcPr>
          <w:p>
            <w:pPr>
              <w:ind w:leftChars="0" w:left="0" w:right="0"/>
            </w:pPr>
            <w:r>
              <w:t>BNY MELLON INTERNATIONAL - LONDON BRANCH</w:t>
            </w:r>
          </w:p>
        </w:tc>
      </w:tr>
      <w:tr>
        <w:trPr>
          <w:cnfStyle w:evenHBand="false" w:oddHBand="true" w:firstRow="false"/>
        </w:trPr>
        <w:tc>
          <w:tcPr>
            <w:cnfStyle w:evenVBand="false" w:oddVBand="true" w:firstColumn="false"/>
            <w:tcW w:w="33.333333%" w:type="pct"/>
          </w:tcPr>
          <w:p>
            <w:pPr>
              <w:ind w:leftChars="0" w:left="0" w:right="0"/>
            </w:pPr>
            <w:r>
              <w:t>BKSK</w:t>
            </w:r>
          </w:p>
        </w:tc>
        <w:tc>
          <w:tcPr>
            <w:cnfStyle w:evenVBand="true" w:oddVBand="false" w:firstColumn="false"/>
            <w:tcW w:w="33.333333%" w:type="pct"/>
          </w:tcPr>
          <w:p>
            <w:pPr>
              <w:ind w:leftChars="0" w:left="0" w:right="0"/>
            </w:pPr>
            <w:r>
              <w:t>BKSK</w:t>
            </w:r>
          </w:p>
        </w:tc>
        <w:tc>
          <w:tcPr>
            <w:cnfStyle w:evenVBand="false" w:oddVBand="true" w:firstColumn="false"/>
            <w:tcW w:w="33.333333%" w:type="pct"/>
          </w:tcPr>
          <w:p>
            <w:pPr>
              <w:ind w:leftChars="0" w:left="0" w:right="0"/>
            </w:pPr>
            <w:r>
              <w:t>BKS BANK AG - SYSTEMATIC INTERNALISER</w:t>
            </w:r>
          </w:p>
        </w:tc>
      </w:tr>
      <w:tr>
        <w:trPr>
          <w:cnfStyle w:evenHBand="true" w:oddHBand="false" w:firstRow="false"/>
        </w:trPr>
        <w:tc>
          <w:tcPr>
            <w:cnfStyle w:evenVBand="false" w:oddVBand="true" w:firstColumn="false"/>
            <w:tcW w:w="33.333333%" w:type="pct"/>
          </w:tcPr>
          <w:p>
            <w:pPr>
              <w:ind w:leftChars="0" w:left="0" w:right="0"/>
            </w:pPr>
            <w:r>
              <w:t>BLBB</w:t>
            </w:r>
          </w:p>
        </w:tc>
        <w:tc>
          <w:tcPr>
            <w:cnfStyle w:evenVBand="true" w:oddVBand="false" w:firstColumn="false"/>
            <w:tcW w:w="33.333333%" w:type="pct"/>
          </w:tcPr>
          <w:p>
            <w:pPr>
              <w:ind w:leftChars="0" w:left="0" w:right="0"/>
            </w:pPr>
            <w:r>
              <w:t>BLBB</w:t>
            </w:r>
          </w:p>
        </w:tc>
        <w:tc>
          <w:tcPr>
            <w:cnfStyle w:evenVBand="false" w:oddVBand="true" w:firstColumn="false"/>
            <w:tcW w:w="33.333333%" w:type="pct"/>
          </w:tcPr>
          <w:p>
            <w:pPr>
              <w:ind w:leftChars="0" w:left="0" w:right="0"/>
            </w:pPr>
            <w:r>
              <w:t>BAYERNLB</w:t>
            </w:r>
          </w:p>
        </w:tc>
      </w:tr>
      <w:tr>
        <w:trPr>
          <w:cnfStyle w:evenHBand="false" w:oddHBand="true" w:firstRow="false"/>
        </w:trPr>
        <w:tc>
          <w:tcPr>
            <w:cnfStyle w:evenVBand="false" w:oddVBand="true" w:firstColumn="false"/>
            <w:tcW w:w="33.333333%" w:type="pct"/>
          </w:tcPr>
          <w:p>
            <w:pPr>
              <w:ind w:leftChars="0" w:left="0" w:right="0"/>
            </w:pPr>
            <w:r>
              <w:t>BLBF</w:t>
            </w:r>
          </w:p>
        </w:tc>
        <w:tc>
          <w:tcPr>
            <w:cnfStyle w:evenVBand="true" w:oddVBand="false" w:firstColumn="false"/>
            <w:tcW w:w="33.333333%" w:type="pct"/>
          </w:tcPr>
          <w:p>
            <w:pPr>
              <w:ind w:leftChars="0" w:left="0" w:right="0"/>
            </w:pPr>
            <w:r>
              <w:t>BLBF</w:t>
            </w:r>
          </w:p>
        </w:tc>
        <w:tc>
          <w:tcPr>
            <w:cnfStyle w:evenVBand="false" w:oddVBand="true" w:firstColumn="false"/>
            <w:tcW w:w="33.333333%" w:type="pct"/>
          </w:tcPr>
          <w:p>
            <w:pPr>
              <w:ind w:leftChars="0" w:left="0" w:right="0"/>
            </w:pPr>
            <w:r>
              <w:t>BANJA LUKA STOCK EXCHANGE - FREE MARKET</w:t>
            </w:r>
          </w:p>
        </w:tc>
      </w:tr>
      <w:tr>
        <w:trPr>
          <w:cnfStyle w:evenHBand="true" w:oddHBand="false" w:firstRow="false"/>
        </w:trPr>
        <w:tc>
          <w:tcPr>
            <w:cnfStyle w:evenVBand="false" w:oddVBand="true" w:firstColumn="false"/>
            <w:tcW w:w="33.333333%" w:type="pct"/>
          </w:tcPr>
          <w:p>
            <w:pPr>
              <w:ind w:leftChars="0" w:left="0" w:right="0"/>
            </w:pPr>
            <w:r>
              <w:t>BLBS</w:t>
            </w:r>
          </w:p>
        </w:tc>
        <w:tc>
          <w:tcPr>
            <w:cnfStyle w:evenVBand="true" w:oddVBand="false" w:firstColumn="false"/>
            <w:tcW w:w="33.333333%" w:type="pct"/>
          </w:tcPr>
          <w:p>
            <w:pPr>
              <w:ind w:leftChars="0" w:left="0" w:right="0"/>
            </w:pPr>
            <w:r>
              <w:t>BLBS</w:t>
            </w:r>
          </w:p>
        </w:tc>
        <w:tc>
          <w:tcPr>
            <w:cnfStyle w:evenVBand="false" w:oddVBand="true" w:firstColumn="false"/>
            <w:tcW w:w="33.333333%" w:type="pct"/>
          </w:tcPr>
          <w:p>
            <w:pPr>
              <w:ind w:leftChars="0" w:left="0" w:right="0"/>
            </w:pPr>
            <w:r>
              <w:t>BAYERNLB - BONDS MARKET - SYSTEMATIC INTERNALISER</w:t>
            </w:r>
          </w:p>
        </w:tc>
      </w:tr>
      <w:tr>
        <w:trPr>
          <w:cnfStyle w:evenHBand="false" w:oddHBand="true" w:firstRow="false"/>
        </w:trPr>
        <w:tc>
          <w:tcPr>
            <w:cnfStyle w:evenVBand="false" w:oddVBand="true" w:firstColumn="false"/>
            <w:tcW w:w="33.333333%" w:type="pct"/>
          </w:tcPr>
          <w:p>
            <w:pPr>
              <w:ind w:leftChars="0" w:left="0" w:right="0"/>
            </w:pPr>
            <w:r>
              <w:t>BLEQ</w:t>
            </w:r>
          </w:p>
        </w:tc>
        <w:tc>
          <w:tcPr>
            <w:cnfStyle w:evenVBand="true" w:oddVBand="false" w:firstColumn="false"/>
            <w:tcW w:w="33.333333%" w:type="pct"/>
          </w:tcPr>
          <w:p>
            <w:pPr>
              <w:ind w:leftChars="0" w:left="0" w:right="0"/>
            </w:pPr>
            <w:r>
              <w:t>BLEQ</w:t>
            </w:r>
          </w:p>
        </w:tc>
        <w:tc>
          <w:tcPr>
            <w:cnfStyle w:evenVBand="false" w:oddVBand="true" w:firstColumn="false"/>
            <w:tcW w:w="33.333333%" w:type="pct"/>
          </w:tcPr>
          <w:p>
            <w:pPr>
              <w:ind w:leftChars="0" w:left="0" w:right="0"/>
            </w:pPr>
            <w:r>
              <w:t>BAYERNLB - EQUITIES MARKET</w:t>
            </w:r>
          </w:p>
        </w:tc>
      </w:tr>
      <w:tr>
        <w:trPr>
          <w:cnfStyle w:evenHBand="true" w:oddHBand="false" w:firstRow="false"/>
        </w:trPr>
        <w:tc>
          <w:tcPr>
            <w:cnfStyle w:evenVBand="false" w:oddVBand="true" w:firstColumn="false"/>
            <w:tcW w:w="33.333333%" w:type="pct"/>
          </w:tcPr>
          <w:p>
            <w:pPr>
              <w:ind w:leftChars="0" w:left="0" w:right="0"/>
            </w:pPr>
            <w:r>
              <w:t>BLEV</w:t>
            </w:r>
          </w:p>
        </w:tc>
        <w:tc>
          <w:tcPr>
            <w:cnfStyle w:evenVBand="true" w:oddVBand="false" w:firstColumn="false"/>
            <w:tcW w:w="33.333333%" w:type="pct"/>
          </w:tcPr>
          <w:p>
            <w:pPr>
              <w:ind w:leftChars="0" w:left="0" w:right="0"/>
            </w:pPr>
            <w:r>
              <w:t>BLEV</w:t>
            </w:r>
          </w:p>
        </w:tc>
        <w:tc>
          <w:tcPr>
            <w:cnfStyle w:evenVBand="false" w:oddVBand="true" w:firstColumn="false"/>
            <w:tcW w:w="33.333333%" w:type="pct"/>
          </w:tcPr>
          <w:p>
            <w:pPr>
              <w:ind w:leftChars="0" w:left="0" w:right="0"/>
            </w:pPr>
            <w:r>
              <w:t>BLOCK EVENT</w:t>
            </w:r>
          </w:p>
        </w:tc>
      </w:tr>
      <w:tr>
        <w:trPr>
          <w:cnfStyle w:evenHBand="false" w:oddHBand="true" w:firstRow="false"/>
        </w:trPr>
        <w:tc>
          <w:tcPr>
            <w:cnfStyle w:evenVBand="false" w:oddVBand="true" w:firstColumn="false"/>
            <w:tcW w:w="33.333333%" w:type="pct"/>
          </w:tcPr>
          <w:p>
            <w:pPr>
              <w:ind w:leftChars="0" w:left="0" w:right="0"/>
            </w:pPr>
            <w:r>
              <w:t>BLFX</w:t>
            </w:r>
          </w:p>
        </w:tc>
        <w:tc>
          <w:tcPr>
            <w:cnfStyle w:evenVBand="true" w:oddVBand="false" w:firstColumn="false"/>
            <w:tcW w:w="33.333333%" w:type="pct"/>
          </w:tcPr>
          <w:p>
            <w:pPr>
              <w:ind w:leftChars="0" w:left="0" w:right="0"/>
            </w:pPr>
            <w:r>
              <w:t>BLFX</w:t>
            </w:r>
          </w:p>
        </w:tc>
        <w:tc>
          <w:tcPr>
            <w:cnfStyle w:evenVBand="false" w:oddVBand="true" w:firstColumn="false"/>
            <w:tcW w:w="33.333333%" w:type="pct"/>
          </w:tcPr>
          <w:p>
            <w:pPr>
              <w:ind w:leftChars="0" w:left="0" w:right="0"/>
            </w:pPr>
            <w:r>
              <w:t>BAYERNLB - FX DERIVATIVES MARKET</w:t>
            </w:r>
          </w:p>
        </w:tc>
      </w:tr>
      <w:tr>
        <w:trPr>
          <w:cnfStyle w:evenHBand="true" w:oddHBand="false" w:firstRow="false"/>
        </w:trPr>
        <w:tc>
          <w:tcPr>
            <w:cnfStyle w:evenVBand="false" w:oddVBand="true" w:firstColumn="false"/>
            <w:tcW w:w="33.333333%" w:type="pct"/>
          </w:tcPr>
          <w:p>
            <w:pPr>
              <w:ind w:leftChars="0" w:left="0" w:right="0"/>
            </w:pPr>
            <w:r>
              <w:t>BLIQ</w:t>
            </w:r>
          </w:p>
        </w:tc>
        <w:tc>
          <w:tcPr>
            <w:cnfStyle w:evenVBand="true" w:oddVBand="false" w:firstColumn="false"/>
            <w:tcW w:w="33.333333%" w:type="pct"/>
          </w:tcPr>
          <w:p>
            <w:pPr>
              <w:ind w:leftChars="0" w:left="0" w:right="0"/>
            </w:pPr>
            <w:r>
              <w:t>BLIQ</w:t>
            </w:r>
          </w:p>
        </w:tc>
        <w:tc>
          <w:tcPr>
            <w:cnfStyle w:evenVBand="false" w:oddVBand="true" w:firstColumn="false"/>
            <w:tcW w:w="33.333333%" w:type="pct"/>
          </w:tcPr>
          <w:p>
            <w:pPr>
              <w:ind w:leftChars="0" w:left="0" w:right="0"/>
            </w:pPr>
            <w:r>
              <w:t>BAYERNLB - LIQP BONDS MARKET</w:t>
            </w:r>
          </w:p>
        </w:tc>
      </w:tr>
      <w:tr>
        <w:trPr>
          <w:cnfStyle w:evenHBand="false" w:oddHBand="true" w:firstRow="false"/>
        </w:trPr>
        <w:tc>
          <w:tcPr>
            <w:cnfStyle w:evenVBand="false" w:oddVBand="true" w:firstColumn="false"/>
            <w:tcW w:w="33.333333%" w:type="pct"/>
          </w:tcPr>
          <w:p>
            <w:pPr>
              <w:ind w:leftChars="0" w:left="0" w:right="0"/>
            </w:pPr>
            <w:r>
              <w:t>BLKX</w:t>
            </w:r>
          </w:p>
        </w:tc>
        <w:tc>
          <w:tcPr>
            <w:cnfStyle w:evenVBand="true" w:oddVBand="false" w:firstColumn="false"/>
            <w:tcW w:w="33.333333%" w:type="pct"/>
          </w:tcPr>
          <w:p>
            <w:pPr>
              <w:ind w:leftChars="0" w:left="0" w:right="0"/>
            </w:pPr>
            <w:r>
              <w:t>BLKX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BLNK</w:t>
            </w:r>
          </w:p>
        </w:tc>
        <w:tc>
          <w:tcPr>
            <w:cnfStyle w:evenVBand="true" w:oddVBand="false" w:firstColumn="false"/>
            <w:tcW w:w="33.333333%" w:type="pct"/>
          </w:tcPr>
          <w:p>
            <w:pPr>
              <w:ind w:leftChars="0" w:left="0" w:right="0"/>
            </w:pPr>
            <w:r>
              <w:t>BLNK</w:t>
            </w:r>
          </w:p>
        </w:tc>
        <w:tc>
          <w:tcPr>
            <w:cnfStyle w:evenVBand="false" w:oddVBand="true" w:firstColumn="false"/>
            <w:tcW w:w="33.333333%" w:type="pct"/>
          </w:tcPr>
          <w:p>
            <w:pPr>
              <w:ind w:leftChars="0" w:left="0" w:right="0"/>
            </w:pPr>
            <w:r>
              <w:t>BLINK MTF</w:t>
            </w:r>
          </w:p>
        </w:tc>
      </w:tr>
      <w:tr>
        <w:trPr>
          <w:cnfStyle w:evenHBand="false" w:oddHBand="true" w:firstRow="false"/>
        </w:trPr>
        <w:tc>
          <w:tcPr>
            <w:cnfStyle w:evenVBand="false" w:oddVBand="true" w:firstColumn="false"/>
            <w:tcW w:w="33.333333%" w:type="pct"/>
          </w:tcPr>
          <w:p>
            <w:pPr>
              <w:ind w:leftChars="0" w:left="0" w:right="0"/>
            </w:pPr>
            <w:r>
              <w:t>BLOX</w:t>
            </w:r>
          </w:p>
        </w:tc>
        <w:tc>
          <w:tcPr>
            <w:cnfStyle w:evenVBand="true" w:oddVBand="false" w:firstColumn="false"/>
            <w:tcW w:w="33.333333%" w:type="pct"/>
          </w:tcPr>
          <w:p>
            <w:pPr>
              <w:ind w:leftChars="0" w:left="0" w:right="0"/>
            </w:pPr>
            <w:r>
              <w:t>BLOX</w:t>
            </w:r>
          </w:p>
        </w:tc>
        <w:tc>
          <w:tcPr>
            <w:cnfStyle w:evenVBand="false" w:oddVBand="true" w:firstColumn="false"/>
            <w:tcW w:w="33.333333%" w:type="pct"/>
          </w:tcPr>
          <w:p>
            <w:pPr>
              <w:ind w:leftChars="0" w:left="0" w:right="0"/>
            </w:pPr>
            <w:r>
              <w:t>BLOCKMATCH  UK DARK</w:t>
            </w:r>
          </w:p>
        </w:tc>
      </w:tr>
      <w:tr>
        <w:trPr>
          <w:cnfStyle w:evenHBand="true" w:oddHBand="false" w:firstRow="false"/>
        </w:trPr>
        <w:tc>
          <w:tcPr>
            <w:cnfStyle w:evenVBand="false" w:oddVBand="true" w:firstColumn="false"/>
            <w:tcW w:w="33.333333%" w:type="pct"/>
          </w:tcPr>
          <w:p>
            <w:pPr>
              <w:ind w:leftChars="0" w:left="0" w:right="0"/>
            </w:pPr>
            <w:r>
              <w:t>BLPX</w:t>
            </w:r>
          </w:p>
        </w:tc>
        <w:tc>
          <w:tcPr>
            <w:cnfStyle w:evenVBand="true" w:oddVBand="false" w:firstColumn="false"/>
            <w:tcW w:w="33.333333%" w:type="pct"/>
          </w:tcPr>
          <w:p>
            <w:pPr>
              <w:ind w:leftChars="0" w:left="0" w:right="0"/>
            </w:pPr>
            <w:r>
              <w:t>BLPX</w:t>
            </w:r>
          </w:p>
        </w:tc>
        <w:tc>
          <w:tcPr>
            <w:cnfStyle w:evenVBand="false" w:oddVBand="true" w:firstColumn="false"/>
            <w:tcW w:w="33.333333%" w:type="pct"/>
          </w:tcPr>
          <w:p>
            <w:pPr>
              <w:ind w:leftChars="0" w:left="0" w:right="0"/>
            </w:pPr>
            <w:r>
              <w:t>BELGIAN POWER EXCHANGE</w:t>
            </w:r>
          </w:p>
        </w:tc>
      </w:tr>
      <w:tr>
        <w:trPr>
          <w:cnfStyle w:evenHBand="false" w:oddHBand="true" w:firstRow="false"/>
        </w:trPr>
        <w:tc>
          <w:tcPr>
            <w:cnfStyle w:evenVBand="false" w:oddVBand="true" w:firstColumn="false"/>
            <w:tcW w:w="33.333333%" w:type="pct"/>
          </w:tcPr>
          <w:p>
            <w:pPr>
              <w:ind w:leftChars="0" w:left="0" w:right="0"/>
            </w:pPr>
            <w:r>
              <w:t>BLTD</w:t>
            </w:r>
          </w:p>
        </w:tc>
        <w:tc>
          <w:tcPr>
            <w:cnfStyle w:evenVBand="true" w:oddVBand="false" w:firstColumn="false"/>
            <w:tcW w:w="33.333333%" w:type="pct"/>
          </w:tcPr>
          <w:p>
            <w:pPr>
              <w:ind w:leftChars="0" w:left="0" w:right="0"/>
            </w:pPr>
            <w:r>
              <w:t>BLTD</w:t>
            </w:r>
          </w:p>
        </w:tc>
        <w:tc>
          <w:tcPr>
            <w:cnfStyle w:evenVBand="false" w:oddVBand="true" w:firstColumn="false"/>
            <w:tcW w:w="33.333333%" w:type="pct"/>
          </w:tcPr>
          <w:p>
            <w:pPr>
              <w:ind w:leftChars="0" w:left="0" w:right="0"/>
            </w:pPr>
            <w:r>
              <w:t>BLOOMBERG TRADEBOOK LLC</w:t>
            </w:r>
          </w:p>
        </w:tc>
      </w:tr>
      <w:tr>
        <w:trPr>
          <w:cnfStyle w:evenHBand="true" w:oddHBand="false" w:firstRow="false"/>
        </w:trPr>
        <w:tc>
          <w:tcPr>
            <w:cnfStyle w:evenVBand="false" w:oddVBand="true" w:firstColumn="false"/>
            <w:tcW w:w="33.333333%" w:type="pct"/>
          </w:tcPr>
          <w:p>
            <w:pPr>
              <w:ind w:leftChars="0" w:left="0" w:right="0"/>
            </w:pPr>
            <w:r>
              <w:t>BLTX</w:t>
            </w:r>
          </w:p>
        </w:tc>
        <w:tc>
          <w:tcPr>
            <w:cnfStyle w:evenVBand="true" w:oddVBand="false" w:firstColumn="false"/>
            <w:tcW w:w="33.333333%" w:type="pct"/>
          </w:tcPr>
          <w:p>
            <w:pPr>
              <w:ind w:leftChars="0" w:left="0" w:right="0"/>
            </w:pPr>
            <w:r>
              <w:t>BLTX</w:t>
            </w:r>
          </w:p>
        </w:tc>
        <w:tc>
          <w:tcPr>
            <w:cnfStyle w:evenVBand="false" w:oddVBand="true" w:firstColumn="false"/>
            <w:tcW w:w="33.333333%" w:type="pct"/>
          </w:tcPr>
          <w:p>
            <w:pPr>
              <w:ind w:leftChars="0" w:left="0" w:right="0"/>
            </w:pPr>
            <w:r>
              <w:t>BALTEX - FREIGHT DERIVATIVES MARKET</w:t>
            </w:r>
          </w:p>
        </w:tc>
      </w:tr>
      <w:tr>
        <w:trPr>
          <w:cnfStyle w:evenHBand="false" w:oddHBand="true" w:firstRow="false"/>
        </w:trPr>
        <w:tc>
          <w:tcPr>
            <w:cnfStyle w:evenVBand="false" w:oddVBand="true" w:firstColumn="false"/>
            <w:tcW w:w="33.333333%" w:type="pct"/>
          </w:tcPr>
          <w:p>
            <w:pPr>
              <w:ind w:leftChars="0" w:left="0" w:right="0"/>
            </w:pPr>
            <w:r>
              <w:t>BLUE</w:t>
            </w:r>
          </w:p>
        </w:tc>
        <w:tc>
          <w:tcPr>
            <w:cnfStyle w:evenVBand="true" w:oddVBand="false" w:firstColumn="false"/>
            <w:tcW w:w="33.333333%" w:type="pct"/>
          </w:tcPr>
          <w:p>
            <w:pPr>
              <w:ind w:leftChars="0" w:left="0" w:right="0"/>
            </w:pPr>
            <w:r>
              <w:t>BLUE</w:t>
            </w:r>
          </w:p>
        </w:tc>
        <w:tc>
          <w:tcPr>
            <w:cnfStyle w:evenVBand="false" w:oddVBand="true" w:firstColumn="false"/>
            <w:tcW w:w="33.333333%" w:type="pct"/>
          </w:tcPr>
          <w:p>
            <w:pPr>
              <w:ind w:leftChars="0" w:left="0" w:right="0"/>
            </w:pPr>
            <w:r>
              <w:t>PRO SECURITIES ATS</w:t>
            </w:r>
          </w:p>
        </w:tc>
      </w:tr>
      <w:tr>
        <w:trPr>
          <w:cnfStyle w:evenHBand="true" w:oddHBand="false" w:firstRow="false"/>
        </w:trPr>
        <w:tc>
          <w:tcPr>
            <w:cnfStyle w:evenVBand="false" w:oddVBand="true" w:firstColumn="false"/>
            <w:tcW w:w="33.333333%" w:type="pct"/>
          </w:tcPr>
          <w:p>
            <w:pPr>
              <w:ind w:leftChars="0" w:left="0" w:right="0"/>
            </w:pPr>
            <w:r>
              <w:t>BLUX</w:t>
            </w:r>
          </w:p>
        </w:tc>
        <w:tc>
          <w:tcPr>
            <w:cnfStyle w:evenVBand="true" w:oddVBand="false" w:firstColumn="false"/>
            <w:tcW w:w="33.333333%" w:type="pct"/>
          </w:tcPr>
          <w:p>
            <w:pPr>
              <w:ind w:leftChars="0" w:left="0" w:right="0"/>
            </w:pPr>
            <w:r>
              <w:t>BLUX</w:t>
            </w:r>
          </w:p>
        </w:tc>
        <w:tc>
          <w:tcPr>
            <w:cnfStyle w:evenVBand="false" w:oddVBand="true" w:firstColumn="false"/>
            <w:tcW w:w="33.333333%" w:type="pct"/>
          </w:tcPr>
          <w:p>
            <w:pPr>
              <w:ind w:leftChars="0" w:left="0" w:right="0"/>
            </w:pPr>
            <w:r>
              <w:t>BANQUE DE LUXEMBOURG - SYSTEMATIC INTERNALISER</w:t>
            </w:r>
          </w:p>
        </w:tc>
      </w:tr>
      <w:tr>
        <w:trPr>
          <w:cnfStyle w:evenHBand="false" w:oddHBand="true" w:firstRow="false"/>
        </w:trPr>
        <w:tc>
          <w:tcPr>
            <w:cnfStyle w:evenVBand="false" w:oddVBand="true" w:firstColumn="false"/>
            <w:tcW w:w="33.333333%" w:type="pct"/>
          </w:tcPr>
          <w:p>
            <w:pPr>
              <w:ind w:leftChars="0" w:left="0" w:right="0"/>
            </w:pPr>
            <w:r>
              <w:t>BLXA</w:t>
            </w:r>
          </w:p>
        </w:tc>
        <w:tc>
          <w:tcPr>
            <w:cnfStyle w:evenVBand="true" w:oddVBand="false" w:firstColumn="false"/>
            <w:tcW w:w="33.333333%" w:type="pct"/>
          </w:tcPr>
          <w:p>
            <w:pPr>
              <w:ind w:leftChars="0" w:left="0" w:right="0"/>
            </w:pPr>
            <w:r>
              <w:t>BLXA</w:t>
            </w:r>
          </w:p>
        </w:tc>
        <w:tc>
          <w:tcPr>
            <w:cnfStyle w:evenVBand="false" w:oddVBand="true" w:firstColumn="false"/>
            <w:tcW w:w="33.333333%" w:type="pct"/>
          </w:tcPr>
          <w:p>
            <w:pPr>
              <w:ind w:leftChars="0" w:left="0" w:right="0"/>
            </w:pPr>
            <w:r>
              <w:t>INSTINET BLX (AU)</w:t>
            </w:r>
          </w:p>
        </w:tc>
      </w:tr>
      <w:tr>
        <w:trPr>
          <w:cnfStyle w:evenHBand="true" w:oddHBand="false" w:firstRow="false"/>
        </w:trPr>
        <w:tc>
          <w:tcPr>
            <w:cnfStyle w:evenVBand="false" w:oddVBand="true" w:firstColumn="false"/>
            <w:tcW w:w="33.333333%" w:type="pct"/>
          </w:tcPr>
          <w:p>
            <w:pPr>
              <w:ind w:leftChars="0" w:left="0" w:right="0"/>
            </w:pPr>
            <w:r>
              <w:t>BMCL</w:t>
            </w:r>
          </w:p>
        </w:tc>
        <w:tc>
          <w:tcPr>
            <w:cnfStyle w:evenVBand="true" w:oddVBand="false" w:firstColumn="false"/>
            <w:tcW w:w="33.333333%" w:type="pct"/>
          </w:tcPr>
          <w:p>
            <w:pPr>
              <w:ind w:leftChars="0" w:left="0" w:right="0"/>
            </w:pPr>
            <w:r>
              <w:t>BMCL</w:t>
            </w:r>
          </w:p>
        </w:tc>
        <w:tc>
          <w:tcPr>
            <w:cnfStyle w:evenVBand="false" w:oddVBand="true" w:firstColumn="false"/>
            <w:tcW w:w="33.333333%" w:type="pct"/>
          </w:tcPr>
          <w:p>
            <w:pPr>
              <w:ind w:leftChars="0" w:left="0" w:right="0"/>
            </w:pPr>
            <w:r>
              <w:t>BME CLEARING S.A.</w:t>
            </w:r>
          </w:p>
        </w:tc>
      </w:tr>
      <w:tr>
        <w:trPr>
          <w:cnfStyle w:evenHBand="false" w:oddHBand="true" w:firstRow="false"/>
        </w:trPr>
        <w:tc>
          <w:tcPr>
            <w:cnfStyle w:evenVBand="false" w:oddVBand="true" w:firstColumn="false"/>
            <w:tcW w:w="33.333333%" w:type="pct"/>
          </w:tcPr>
          <w:p>
            <w:pPr>
              <w:ind w:leftChars="0" w:left="0" w:right="0"/>
            </w:pPr>
            <w:r>
              <w:t>BMCM</w:t>
            </w:r>
          </w:p>
        </w:tc>
        <w:tc>
          <w:tcPr>
            <w:cnfStyle w:evenVBand="true" w:oddVBand="false" w:firstColumn="false"/>
            <w:tcW w:w="33.333333%" w:type="pct"/>
          </w:tcPr>
          <w:p>
            <w:pPr>
              <w:ind w:leftChars="0" w:left="0" w:right="0"/>
            </w:pPr>
            <w:r>
              <w:t>BMCM</w:t>
            </w:r>
          </w:p>
        </w:tc>
        <w:tc>
          <w:tcPr>
            <w:cnfStyle w:evenVBand="false" w:oddVBand="true" w:firstColumn="false"/>
            <w:tcW w:w="33.333333%" w:type="pct"/>
          </w:tcPr>
          <w:p>
            <w:pPr>
              <w:ind w:leftChars="0" w:left="0" w:right="0"/>
            </w:pPr>
            <w:r>
              <w:t>BMO CAPITAL MARKETS LIMITED</w:t>
            </w:r>
          </w:p>
        </w:tc>
      </w:tr>
      <w:tr>
        <w:trPr>
          <w:cnfStyle w:evenHBand="true" w:oddHBand="false" w:firstRow="false"/>
        </w:trPr>
        <w:tc>
          <w:tcPr>
            <w:cnfStyle w:evenVBand="false" w:oddVBand="true" w:firstColumn="false"/>
            <w:tcW w:w="33.333333%" w:type="pct"/>
          </w:tcPr>
          <w:p>
            <w:pPr>
              <w:ind w:leftChars="0" w:left="0" w:right="0"/>
            </w:pPr>
            <w:r>
              <w:t>BMEA</w:t>
            </w:r>
          </w:p>
        </w:tc>
        <w:tc>
          <w:tcPr>
            <w:cnfStyle w:evenVBand="true" w:oddVBand="false" w:firstColumn="false"/>
            <w:tcW w:w="33.333333%" w:type="pct"/>
          </w:tcPr>
          <w:p>
            <w:pPr>
              <w:ind w:leftChars="0" w:left="0" w:right="0"/>
            </w:pPr>
            <w:r>
              <w:t>BMEA</w:t>
            </w:r>
          </w:p>
        </w:tc>
        <w:tc>
          <w:tcPr>
            <w:cnfStyle w:evenVBand="false" w:oddVBand="true" w:firstColumn="false"/>
            <w:tcW w:w="33.333333%" w:type="pct"/>
          </w:tcPr>
          <w:p>
            <w:pPr>
              <w:ind w:leftChars="0" w:left="0" w:right="0"/>
            </w:pPr>
            <w:r>
              <w:t>BME - APA</w:t>
            </w:r>
          </w:p>
        </w:tc>
      </w:tr>
      <w:tr>
        <w:trPr>
          <w:cnfStyle w:evenHBand="false" w:oddHBand="true" w:firstRow="false"/>
        </w:trPr>
        <w:tc>
          <w:tcPr>
            <w:cnfStyle w:evenVBand="false" w:oddVBand="true" w:firstColumn="false"/>
            <w:tcW w:w="33.333333%" w:type="pct"/>
          </w:tcPr>
          <w:p>
            <w:pPr>
              <w:ind w:leftChars="0" w:left="0" w:right="0"/>
            </w:pPr>
            <w:r>
              <w:t>BMEX</w:t>
            </w:r>
          </w:p>
        </w:tc>
        <w:tc>
          <w:tcPr>
            <w:cnfStyle w:evenVBand="true" w:oddVBand="false" w:firstColumn="false"/>
            <w:tcW w:w="33.333333%" w:type="pct"/>
          </w:tcPr>
          <w:p>
            <w:pPr>
              <w:ind w:leftChars="0" w:left="0" w:right="0"/>
            </w:pPr>
            <w:r>
              <w:t>BMEX</w:t>
            </w:r>
          </w:p>
        </w:tc>
        <w:tc>
          <w:tcPr>
            <w:cnfStyle w:evenVBand="false" w:oddVBand="true" w:firstColumn="false"/>
            <w:tcW w:w="33.333333%" w:type="pct"/>
          </w:tcPr>
          <w:p>
            <w:pPr>
              <w:ind w:leftChars="0" w:left="0" w:right="0"/>
            </w:pPr>
            <w:r>
              <w:t>BME - BOLSAS Y MERCADOS ESPANOLES</w:t>
            </w:r>
          </w:p>
        </w:tc>
      </w:tr>
      <w:tr>
        <w:trPr>
          <w:cnfStyle w:evenHBand="true" w:oddHBand="false" w:firstRow="false"/>
        </w:trPr>
        <w:tc>
          <w:tcPr>
            <w:cnfStyle w:evenVBand="false" w:oddVBand="true" w:firstColumn="false"/>
            <w:tcW w:w="33.333333%" w:type="pct"/>
          </w:tcPr>
          <w:p>
            <w:pPr>
              <w:ind w:leftChars="0" w:left="0" w:right="0"/>
            </w:pPr>
            <w:r>
              <w:t>BMFA</w:t>
            </w:r>
          </w:p>
        </w:tc>
        <w:tc>
          <w:tcPr>
            <w:cnfStyle w:evenVBand="true" w:oddVBand="false" w:firstColumn="false"/>
            <w:tcW w:w="33.333333%" w:type="pct"/>
          </w:tcPr>
          <w:p>
            <w:pPr>
              <w:ind w:leftChars="0" w:left="0" w:right="0"/>
            </w:pPr>
            <w:r>
              <w:t>BMFA</w:t>
            </w:r>
          </w:p>
        </w:tc>
        <w:tc>
          <w:tcPr>
            <w:cnfStyle w:evenVBand="false" w:oddVBand="true" w:firstColumn="false"/>
            <w:tcW w:w="33.333333%" w:type="pct"/>
          </w:tcPr>
          <w:p>
            <w:pPr>
              <w:ind w:leftChars="0" w:left="0" w:right="0"/>
            </w:pPr>
            <w:r>
              <w:t>BMFMS-ATS</w:t>
            </w:r>
          </w:p>
        </w:tc>
      </w:tr>
      <w:tr>
        <w:trPr>
          <w:cnfStyle w:evenHBand="false" w:oddHBand="true" w:firstRow="false"/>
        </w:trPr>
        <w:tc>
          <w:tcPr>
            <w:cnfStyle w:evenVBand="false" w:oddVBand="true" w:firstColumn="false"/>
            <w:tcW w:w="33.333333%" w:type="pct"/>
          </w:tcPr>
          <w:p>
            <w:pPr>
              <w:ind w:leftChars="0" w:left="0" w:right="0"/>
            </w:pPr>
            <w:r>
              <w:t>BMFM</w:t>
            </w:r>
          </w:p>
        </w:tc>
        <w:tc>
          <w:tcPr>
            <w:cnfStyle w:evenVBand="true" w:oddVBand="false" w:firstColumn="false"/>
            <w:tcW w:w="33.333333%" w:type="pct"/>
          </w:tcPr>
          <w:p>
            <w:pPr>
              <w:ind w:leftChars="0" w:left="0" w:right="0"/>
            </w:pPr>
            <w:r>
              <w:t>BMFM</w:t>
            </w:r>
          </w:p>
        </w:tc>
        <w:tc>
          <w:tcPr>
            <w:cnfStyle w:evenVBand="false" w:oddVBand="true" w:firstColumn="false"/>
            <w:tcW w:w="33.333333%" w:type="pct"/>
          </w:tcPr>
          <w:p>
            <w:pPr>
              <w:ind w:leftChars="0" w:left="0" w:right="0"/>
            </w:pPr>
            <w:r>
              <w:t>DERIVATIVES REGULATED MARKET - BMFMS</w:t>
            </w:r>
          </w:p>
        </w:tc>
      </w:tr>
      <w:tr>
        <w:trPr>
          <w:cnfStyle w:evenHBand="true" w:oddHBand="false" w:firstRow="false"/>
        </w:trPr>
        <w:tc>
          <w:tcPr>
            <w:cnfStyle w:evenVBand="false" w:oddVBand="true" w:firstColumn="false"/>
            <w:tcW w:w="33.333333%" w:type="pct"/>
          </w:tcPr>
          <w:p>
            <w:pPr>
              <w:ind w:leftChars="0" w:left="0" w:right="0"/>
            </w:pPr>
            <w:r>
              <w:t>BMFX</w:t>
            </w:r>
          </w:p>
        </w:tc>
        <w:tc>
          <w:tcPr>
            <w:cnfStyle w:evenVBand="true" w:oddVBand="false" w:firstColumn="false"/>
            <w:tcW w:w="33.333333%" w:type="pct"/>
          </w:tcPr>
          <w:p>
            <w:pPr>
              <w:ind w:leftChars="0" w:left="0" w:right="0"/>
            </w:pPr>
            <w:r>
              <w:t>BMFX</w:t>
            </w:r>
          </w:p>
        </w:tc>
        <w:tc>
          <w:tcPr>
            <w:cnfStyle w:evenVBand="false" w:oddVBand="true" w:firstColumn="false"/>
            <w:tcW w:w="33.333333%" w:type="pct"/>
          </w:tcPr>
          <w:p>
            <w:pPr>
              <w:ind w:leftChars="0" w:left="0" w:right="0"/>
            </w:pPr>
            <w:r>
              <w:t>SIBIU MONETARY- FINANCIAL AND COMMODITIES EXCHANGE</w:t>
            </w:r>
          </w:p>
        </w:tc>
      </w:tr>
      <w:tr>
        <w:trPr>
          <w:cnfStyle w:evenHBand="false" w:oddHBand="true" w:firstRow="false"/>
        </w:trPr>
        <w:tc>
          <w:tcPr>
            <w:cnfStyle w:evenVBand="false" w:oddVBand="true" w:firstColumn="false"/>
            <w:tcW w:w="33.333333%" w:type="pct"/>
          </w:tcPr>
          <w:p>
            <w:pPr>
              <w:ind w:leftChars="0" w:left="0" w:right="0"/>
            </w:pPr>
            <w:r>
              <w:t>BMLB</w:t>
            </w:r>
          </w:p>
        </w:tc>
        <w:tc>
          <w:tcPr>
            <w:cnfStyle w:evenVBand="true" w:oddVBand="false" w:firstColumn="false"/>
            <w:tcW w:w="33.333333%" w:type="pct"/>
          </w:tcPr>
          <w:p>
            <w:pPr>
              <w:ind w:leftChars="0" w:left="0" w:right="0"/>
            </w:pPr>
            <w:r>
              <w:t>BMLB</w:t>
            </w:r>
          </w:p>
        </w:tc>
        <w:tc>
          <w:tcPr>
            <w:cnfStyle w:evenVBand="false" w:oddVBand="true" w:firstColumn="false"/>
            <w:tcW w:w="33.333333%" w:type="pct"/>
          </w:tcPr>
          <w:p>
            <w:pPr>
              <w:ind w:leftChars="0" w:left="0" w:right="0"/>
            </w:pPr>
            <w:r>
              <w:t>BANK OF MONTREAL - LONDON BRANCH - SYSTEMATIC INTERNALISER</w:t>
            </w:r>
          </w:p>
        </w:tc>
      </w:tr>
      <w:tr>
        <w:trPr>
          <w:cnfStyle w:evenHBand="true" w:oddHBand="false" w:firstRow="false"/>
        </w:trPr>
        <w:tc>
          <w:tcPr>
            <w:cnfStyle w:evenVBand="false" w:oddVBand="true" w:firstColumn="false"/>
            <w:tcW w:w="33.333333%" w:type="pct"/>
          </w:tcPr>
          <w:p>
            <w:pPr>
              <w:ind w:leftChars="0" w:left="0" w:right="0"/>
            </w:pPr>
            <w:r>
              <w:t>BMLI</w:t>
            </w:r>
          </w:p>
        </w:tc>
        <w:tc>
          <w:tcPr>
            <w:cnfStyle w:evenVBand="true" w:oddVBand="false" w:firstColumn="false"/>
            <w:tcW w:w="33.333333%" w:type="pct"/>
          </w:tcPr>
          <w:p>
            <w:pPr>
              <w:ind w:leftChars="0" w:left="0" w:right="0"/>
            </w:pPr>
            <w:r>
              <w:t>BMLI</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BMLS</w:t>
            </w:r>
          </w:p>
        </w:tc>
        <w:tc>
          <w:tcPr>
            <w:cnfStyle w:evenVBand="true" w:oddVBand="false" w:firstColumn="false"/>
            <w:tcW w:w="33.333333%" w:type="pct"/>
          </w:tcPr>
          <w:p>
            <w:pPr>
              <w:ind w:leftChars="0" w:left="0" w:right="0"/>
            </w:pPr>
            <w:r>
              <w:t>BMLS</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BMLX</w:t>
            </w:r>
          </w:p>
        </w:tc>
        <w:tc>
          <w:tcPr>
            <w:cnfStyle w:evenVBand="true" w:oddVBand="false" w:firstColumn="false"/>
            <w:tcW w:w="33.333333%" w:type="pct"/>
          </w:tcPr>
          <w:p>
            <w:pPr>
              <w:ind w:leftChars="0" w:left="0" w:right="0"/>
            </w:pPr>
            <w:r>
              <w:t>BMLX</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BMSI</w:t>
            </w:r>
          </w:p>
        </w:tc>
        <w:tc>
          <w:tcPr>
            <w:cnfStyle w:evenVBand="true" w:oddVBand="false" w:firstColumn="false"/>
            <w:tcW w:w="33.333333%" w:type="pct"/>
          </w:tcPr>
          <w:p>
            <w:pPr>
              <w:ind w:leftChars="0" w:left="0" w:right="0"/>
            </w:pPr>
            <w:r>
              <w:t>BMSI</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BMTF</w:t>
            </w:r>
          </w:p>
        </w:tc>
        <w:tc>
          <w:tcPr>
            <w:cnfStyle w:evenVBand="true" w:oddVBand="false" w:firstColumn="false"/>
            <w:tcW w:w="33.333333%" w:type="pct"/>
          </w:tcPr>
          <w:p>
            <w:pPr>
              <w:ind w:leftChars="0" w:left="0" w:right="0"/>
            </w:pPr>
            <w:r>
              <w:t>BMTF</w:t>
            </w:r>
          </w:p>
        </w:tc>
        <w:tc>
          <w:tcPr>
            <w:cnfStyle w:evenVBand="false" w:oddVBand="true" w:firstColumn="false"/>
            <w:tcW w:w="33.333333%" w:type="pct"/>
          </w:tcPr>
          <w:p>
            <w:pPr>
              <w:ind w:leftChars="0" w:left="0" w:right="0"/>
            </w:pPr>
            <w:r>
              <w:t>BLOOMBERG TRADING FACILITY LIMITED</w:t>
            </w:r>
          </w:p>
        </w:tc>
      </w:tr>
      <w:tr>
        <w:trPr>
          <w:cnfStyle w:evenHBand="false" w:oddHBand="true" w:firstRow="false"/>
        </w:trPr>
        <w:tc>
          <w:tcPr>
            <w:cnfStyle w:evenVBand="false" w:oddVBand="true" w:firstColumn="false"/>
            <w:tcW w:w="33.333333%" w:type="pct"/>
          </w:tcPr>
          <w:p>
            <w:pPr>
              <w:ind w:leftChars="0" w:left="0" w:right="0"/>
            </w:pPr>
            <w:r>
              <w:t>BMTS</w:t>
            </w:r>
          </w:p>
        </w:tc>
        <w:tc>
          <w:tcPr>
            <w:cnfStyle w:evenVBand="true" w:oddVBand="false" w:firstColumn="false"/>
            <w:tcW w:w="33.333333%" w:type="pct"/>
          </w:tcPr>
          <w:p>
            <w:pPr>
              <w:ind w:leftChars="0" w:left="0" w:right="0"/>
            </w:pPr>
            <w:r>
              <w:t>BMTS</w:t>
            </w:r>
          </w:p>
        </w:tc>
        <w:tc>
          <w:tcPr>
            <w:cnfStyle w:evenVBand="false" w:oddVBand="true" w:firstColumn="false"/>
            <w:tcW w:w="33.333333%" w:type="pct"/>
          </w:tcPr>
          <w:p>
            <w:pPr>
              <w:ind w:leftChars="0" w:left="0" w:right="0"/>
            </w:pPr>
            <w:r>
              <w:t>MTS BELGIUM</w:t>
            </w:r>
          </w:p>
        </w:tc>
      </w:tr>
      <w:tr>
        <w:trPr>
          <w:cnfStyle w:evenHBand="true" w:oddHBand="false" w:firstRow="false"/>
        </w:trPr>
        <w:tc>
          <w:tcPr>
            <w:cnfStyle w:evenVBand="false" w:oddVBand="true" w:firstColumn="false"/>
            <w:tcW w:w="33.333333%" w:type="pct"/>
          </w:tcPr>
          <w:p>
            <w:pPr>
              <w:ind w:leftChars="0" w:left="0" w:right="0"/>
            </w:pPr>
            <w:r>
              <w:t>BNDD</w:t>
            </w:r>
          </w:p>
        </w:tc>
        <w:tc>
          <w:tcPr>
            <w:cnfStyle w:evenVBand="true" w:oddVBand="false" w:firstColumn="false"/>
            <w:tcW w:w="33.333333%" w:type="pct"/>
          </w:tcPr>
          <w:p>
            <w:pPr>
              <w:ind w:leftChars="0" w:left="0" w:right="0"/>
            </w:pPr>
            <w:r>
              <w:t>BNDD</w:t>
            </w:r>
          </w:p>
        </w:tc>
        <w:tc>
          <w:tcPr>
            <w:cnfStyle w:evenVBand="false" w:oddVBand="true" w:firstColumn="false"/>
            <w:tcW w:w="33.333333%" w:type="pct"/>
          </w:tcPr>
          <w:p>
            <w:pPr>
              <w:ind w:leftChars="0" w:left="0" w:right="0"/>
            </w:pPr>
            <w:r>
              <w:t>TRADEWEB DIRECT LLC</w:t>
            </w:r>
          </w:p>
        </w:tc>
      </w:tr>
      <w:tr>
        <w:trPr>
          <w:cnfStyle w:evenHBand="false" w:oddHBand="true" w:firstRow="false"/>
        </w:trPr>
        <w:tc>
          <w:tcPr>
            <w:cnfStyle w:evenVBand="false" w:oddVBand="true" w:firstColumn="false"/>
            <w:tcW w:w="33.333333%" w:type="pct"/>
          </w:tcPr>
          <w:p>
            <w:pPr>
              <w:ind w:leftChars="0" w:left="0" w:right="0"/>
            </w:pPr>
            <w:r>
              <w:t>BNLD</w:t>
            </w:r>
          </w:p>
        </w:tc>
        <w:tc>
          <w:tcPr>
            <w:cnfStyle w:evenVBand="true" w:oddVBand="false" w:firstColumn="false"/>
            <w:tcW w:w="33.333333%" w:type="pct"/>
          </w:tcPr>
          <w:p>
            <w:pPr>
              <w:ind w:leftChars="0" w:left="0" w:right="0"/>
            </w:pPr>
            <w:r>
              <w:t>BNLD</w:t>
            </w:r>
          </w:p>
        </w:tc>
        <w:tc>
          <w:tcPr>
            <w:cnfStyle w:evenVBand="false" w:oddVBand="true" w:firstColumn="false"/>
            <w:tcW w:w="33.333333%" w:type="pct"/>
          </w:tcPr>
          <w:p>
            <w:pPr>
              <w:ind w:leftChars="0" w:left="0" w:right="0"/>
            </w:pPr>
            <w:r>
              <w:t>BANCA NAZIONALE DEL LAVORO SPA - SYSTEMATIC INTERNALISER</w:t>
            </w:r>
          </w:p>
        </w:tc>
      </w:tr>
      <w:tr>
        <w:trPr>
          <w:cnfStyle w:evenHBand="true" w:oddHBand="false" w:firstRow="false"/>
        </w:trPr>
        <w:tc>
          <w:tcPr>
            <w:cnfStyle w:evenVBand="false" w:oddVBand="true" w:firstColumn="false"/>
            <w:tcW w:w="33.333333%" w:type="pct"/>
          </w:tcPr>
          <w:p>
            <w:pPr>
              <w:ind w:leftChars="0" w:left="0" w:right="0"/>
            </w:pPr>
            <w:r>
              <w:t>BNPA</w:t>
            </w:r>
          </w:p>
        </w:tc>
        <w:tc>
          <w:tcPr>
            <w:cnfStyle w:evenVBand="true" w:oddVBand="false" w:firstColumn="false"/>
            <w:tcW w:w="33.333333%" w:type="pct"/>
          </w:tcPr>
          <w:p>
            <w:pPr>
              <w:ind w:leftChars="0" w:left="0" w:right="0"/>
            </w:pPr>
            <w:r>
              <w:t>BNPA</w:t>
            </w:r>
          </w:p>
        </w:tc>
        <w:tc>
          <w:tcPr>
            <w:cnfStyle w:evenVBand="false" w:oddVBand="true" w:firstColumn="false"/>
            <w:tcW w:w="33.333333%" w:type="pct"/>
          </w:tcPr>
          <w:p>
            <w:pPr>
              <w:ind w:leftChars="0" w:left="0" w:right="0"/>
            </w:pPr>
            <w:r>
              <w:t>BNP PARIBAS ARBITRAGE SNC - SYSTEMATIC INTERNALISER</w:t>
            </w:r>
          </w:p>
        </w:tc>
      </w:tr>
      <w:tr>
        <w:trPr>
          <w:cnfStyle w:evenHBand="false" w:oddHBand="true" w:firstRow="false"/>
        </w:trPr>
        <w:tc>
          <w:tcPr>
            <w:cnfStyle w:evenVBand="false" w:oddVBand="true" w:firstColumn="false"/>
            <w:tcW w:w="33.333333%" w:type="pct"/>
          </w:tcPr>
          <w:p>
            <w:pPr>
              <w:ind w:leftChars="0" w:left="0" w:right="0"/>
            </w:pPr>
            <w:r>
              <w:t>BNPC</w:t>
            </w:r>
          </w:p>
        </w:tc>
        <w:tc>
          <w:tcPr>
            <w:cnfStyle w:evenVBand="true" w:oddVBand="false" w:firstColumn="false"/>
            <w:tcW w:w="33.333333%" w:type="pct"/>
          </w:tcPr>
          <w:p>
            <w:pPr>
              <w:ind w:leftChars="0" w:left="0" w:right="0"/>
            </w:pPr>
            <w:r>
              <w:t>BNPC</w:t>
            </w:r>
          </w:p>
        </w:tc>
        <w:tc>
          <w:tcPr>
            <w:cnfStyle w:evenVBand="false" w:oddVBand="true" w:firstColumn="false"/>
            <w:tcW w:w="33.333333%" w:type="pct"/>
          </w:tcPr>
          <w:p>
            <w:pPr>
              <w:ind w:leftChars="0" w:left="0" w:right="0"/>
            </w:pPr>
            <w:r>
              <w:t>BNPP CORTEX ATS</w:t>
            </w:r>
          </w:p>
        </w:tc>
      </w:tr>
      <w:tr>
        <w:trPr>
          <w:cnfStyle w:evenHBand="true" w:oddHBand="false" w:firstRow="false"/>
        </w:trPr>
        <w:tc>
          <w:tcPr>
            <w:cnfStyle w:evenVBand="false" w:oddVBand="true" w:firstColumn="false"/>
            <w:tcW w:w="33.333333%" w:type="pct"/>
          </w:tcPr>
          <w:p>
            <w:pPr>
              <w:ind w:leftChars="0" w:left="0" w:right="0"/>
            </w:pPr>
            <w:r>
              <w:t>BNPF</w:t>
            </w:r>
          </w:p>
        </w:tc>
        <w:tc>
          <w:tcPr>
            <w:cnfStyle w:evenVBand="true" w:oddVBand="false" w:firstColumn="false"/>
            <w:tcW w:w="33.333333%" w:type="pct"/>
          </w:tcPr>
          <w:p>
            <w:pPr>
              <w:ind w:leftChars="0" w:left="0" w:right="0"/>
            </w:pPr>
            <w:r>
              <w:t>BNPF</w:t>
            </w:r>
          </w:p>
        </w:tc>
        <w:tc>
          <w:tcPr>
            <w:cnfStyle w:evenVBand="false" w:oddVBand="true" w:firstColumn="false"/>
            <w:tcW w:w="33.333333%" w:type="pct"/>
          </w:tcPr>
          <w:p>
            <w:pPr>
              <w:ind w:leftChars="0" w:left="0" w:right="0"/>
            </w:pPr>
            <w:r>
              <w:t>BNP PARIBAS FORTIS SA/NV- SYSTEMATIC INTERNALISER</w:t>
            </w:r>
          </w:p>
        </w:tc>
      </w:tr>
      <w:tr>
        <w:trPr>
          <w:cnfStyle w:evenHBand="false" w:oddHBand="true" w:firstRow="false"/>
        </w:trPr>
        <w:tc>
          <w:tcPr>
            <w:cnfStyle w:evenVBand="false" w:oddVBand="true" w:firstColumn="false"/>
            <w:tcW w:w="33.333333%" w:type="pct"/>
          </w:tcPr>
          <w:p>
            <w:pPr>
              <w:ind w:leftChars="0" w:left="0" w:right="0"/>
            </w:pPr>
            <w:r>
              <w:t>BNPL</w:t>
            </w:r>
          </w:p>
        </w:tc>
        <w:tc>
          <w:tcPr>
            <w:cnfStyle w:evenVBand="true" w:oddVBand="false" w:firstColumn="false"/>
            <w:tcW w:w="33.333333%" w:type="pct"/>
          </w:tcPr>
          <w:p>
            <w:pPr>
              <w:ind w:leftChars="0" w:left="0" w:right="0"/>
            </w:pPr>
            <w:r>
              <w:t>BNPL</w:t>
            </w:r>
          </w:p>
        </w:tc>
        <w:tc>
          <w:tcPr>
            <w:cnfStyle w:evenVBand="false" w:oddVBand="true" w:firstColumn="false"/>
            <w:tcW w:w="33.333333%" w:type="pct"/>
          </w:tcPr>
          <w:p>
            <w:pPr>
              <w:ind w:leftChars="0" w:left="0" w:right="0"/>
            </w:pPr>
            <w:r>
              <w:t>BNP PARIBAS SA LONDON BRANCH - SYSTEMATIC INTERNALISER</w:t>
            </w:r>
          </w:p>
        </w:tc>
      </w:tr>
      <w:tr>
        <w:trPr>
          <w:cnfStyle w:evenHBand="true" w:oddHBand="false" w:firstRow="false"/>
        </w:trPr>
        <w:tc>
          <w:tcPr>
            <w:cnfStyle w:evenVBand="false" w:oddVBand="true" w:firstColumn="false"/>
            <w:tcW w:w="33.333333%" w:type="pct"/>
          </w:tcPr>
          <w:p>
            <w:pPr>
              <w:ind w:leftChars="0" w:left="0" w:right="0"/>
            </w:pPr>
            <w:r>
              <w:t>BNPP</w:t>
            </w:r>
          </w:p>
        </w:tc>
        <w:tc>
          <w:tcPr>
            <w:cnfStyle w:evenVBand="true" w:oddVBand="false" w:firstColumn="false"/>
            <w:tcW w:w="33.333333%" w:type="pct"/>
          </w:tcPr>
          <w:p>
            <w:pPr>
              <w:ind w:leftChars="0" w:left="0" w:right="0"/>
            </w:pPr>
            <w:r>
              <w:t>BNPP</w:t>
            </w:r>
          </w:p>
        </w:tc>
        <w:tc>
          <w:tcPr>
            <w:cnfStyle w:evenVBand="false" w:oddVBand="true" w:firstColumn="false"/>
            <w:tcW w:w="33.333333%" w:type="pct"/>
          </w:tcPr>
          <w:p>
            <w:pPr>
              <w:ind w:leftChars="0" w:left="0" w:right="0"/>
            </w:pPr>
            <w:r>
              <w:t>BANK BGZ BNP PARIBAS S.A. - SYSTEMATIC INTERNALISER</w:t>
            </w:r>
          </w:p>
        </w:tc>
      </w:tr>
      <w:tr>
        <w:trPr>
          <w:cnfStyle w:evenHBand="false" w:oddHBand="true" w:firstRow="false"/>
        </w:trPr>
        <w:tc>
          <w:tcPr>
            <w:cnfStyle w:evenVBand="false" w:oddVBand="true" w:firstColumn="false"/>
            <w:tcW w:w="33.333333%" w:type="pct"/>
          </w:tcPr>
          <w:p>
            <w:pPr>
              <w:ind w:leftChars="0" w:left="0" w:right="0"/>
            </w:pPr>
            <w:r>
              <w:t>BNPS</w:t>
            </w:r>
          </w:p>
        </w:tc>
        <w:tc>
          <w:tcPr>
            <w:cnfStyle w:evenVBand="true" w:oddVBand="false" w:firstColumn="false"/>
            <w:tcW w:w="33.333333%" w:type="pct"/>
          </w:tcPr>
          <w:p>
            <w:pPr>
              <w:ind w:leftChars="0" w:left="0" w:right="0"/>
            </w:pPr>
            <w:r>
              <w:t>BNPS</w:t>
            </w:r>
          </w:p>
        </w:tc>
        <w:tc>
          <w:tcPr>
            <w:cnfStyle w:evenVBand="false" w:oddVBand="true" w:firstColumn="false"/>
            <w:tcW w:w="33.333333%" w:type="pct"/>
          </w:tcPr>
          <w:p>
            <w:pPr>
              <w:ind w:leftChars="0" w:left="0" w:right="0"/>
            </w:pPr>
            <w:r>
              <w:t>BNP PARIBAS SA - SYSTEMATIC INTERNALISER</w:t>
            </w:r>
          </w:p>
        </w:tc>
      </w:tr>
      <w:tr>
        <w:trPr>
          <w:cnfStyle w:evenHBand="true" w:oddHBand="false" w:firstRow="false"/>
        </w:trPr>
        <w:tc>
          <w:tcPr>
            <w:cnfStyle w:evenVBand="false" w:oddVBand="true" w:firstColumn="false"/>
            <w:tcW w:w="33.333333%" w:type="pct"/>
          </w:tcPr>
          <w:p>
            <w:pPr>
              <w:ind w:leftChars="0" w:left="0" w:right="0"/>
            </w:pPr>
            <w:r>
              <w:t>BNPX</w:t>
            </w:r>
          </w:p>
        </w:tc>
        <w:tc>
          <w:tcPr>
            <w:cnfStyle w:evenVBand="true" w:oddVBand="false" w:firstColumn="false"/>
            <w:tcW w:w="33.333333%" w:type="pct"/>
          </w:tcPr>
          <w:p>
            <w:pPr>
              <w:ind w:leftChars="0" w:left="0" w:right="0"/>
            </w:pPr>
            <w:r>
              <w:t>BNPX</w:t>
            </w:r>
          </w:p>
        </w:tc>
        <w:tc>
          <w:tcPr>
            <w:cnfStyle w:evenVBand="false" w:oddVBand="true" w:firstColumn="false"/>
            <w:tcW w:w="33.333333%" w:type="pct"/>
          </w:tcPr>
          <w:p>
            <w:pPr>
              <w:ind w:leftChars="0" w:left="0" w:right="0"/>
            </w:pPr>
            <w:r>
              <w:t>BNP PARIBAS ALTERNATIVE TRADING SYSTEM</w:t>
            </w:r>
          </w:p>
        </w:tc>
      </w:tr>
      <w:tr>
        <w:trPr>
          <w:cnfStyle w:evenHBand="false" w:oddHBand="true" w:firstRow="false"/>
        </w:trPr>
        <w:tc>
          <w:tcPr>
            <w:cnfStyle w:evenVBand="false" w:oddVBand="true" w:firstColumn="false"/>
            <w:tcW w:w="33.333333%" w:type="pct"/>
          </w:tcPr>
          <w:p>
            <w:pPr>
              <w:ind w:leftChars="0" w:left="0" w:right="0"/>
            </w:pPr>
            <w:r>
              <w:t>BNSX</w:t>
            </w:r>
          </w:p>
        </w:tc>
        <w:tc>
          <w:tcPr>
            <w:cnfStyle w:evenVBand="true" w:oddVBand="false" w:firstColumn="false"/>
            <w:tcW w:w="33.333333%" w:type="pct"/>
          </w:tcPr>
          <w:p>
            <w:pPr>
              <w:ind w:leftChars="0" w:left="0" w:right="0"/>
            </w:pPr>
            <w:r>
              <w:t>BNSX</w:t>
            </w:r>
          </w:p>
        </w:tc>
        <w:tc>
          <w:tcPr>
            <w:cnfStyle w:evenVBand="false" w:oddVBand="true" w:firstColumn="false"/>
            <w:tcW w:w="33.333333%" w:type="pct"/>
          </w:tcPr>
          <w:p>
            <w:pPr>
              <w:ind w:leftChars="0" w:left="0" w:right="0"/>
            </w:pPr>
            <w:r>
              <w:t>THE BANK OF NOVA SCOTIA - SYSTEMATIC INTERNALISER</w:t>
            </w:r>
          </w:p>
        </w:tc>
      </w:tr>
      <w:tr>
        <w:trPr>
          <w:cnfStyle w:evenHBand="true" w:oddHBand="false" w:firstRow="false"/>
        </w:trPr>
        <w:tc>
          <w:tcPr>
            <w:cnfStyle w:evenVBand="false" w:oddVBand="true" w:firstColumn="false"/>
            <w:tcW w:w="33.333333%" w:type="pct"/>
          </w:tcPr>
          <w:p>
            <w:pPr>
              <w:ind w:leftChars="0" w:left="0" w:right="0"/>
            </w:pPr>
            <w:r>
              <w:t>BNTW</w:t>
            </w:r>
          </w:p>
        </w:tc>
        <w:tc>
          <w:tcPr>
            <w:cnfStyle w:evenVBand="true" w:oddVBand="false" w:firstColumn="false"/>
            <w:tcW w:w="33.333333%" w:type="pct"/>
          </w:tcPr>
          <w:p>
            <w:pPr>
              <w:ind w:leftChars="0" w:left="0" w:right="0"/>
            </w:pPr>
            <w:r>
              <w:t>BNTW</w:t>
            </w:r>
          </w:p>
        </w:tc>
        <w:tc>
          <w:tcPr>
            <w:cnfStyle w:evenVBand="false" w:oddVBand="true" w:firstColumn="false"/>
            <w:tcW w:w="33.333333%" w:type="pct"/>
          </w:tcPr>
          <w:p>
            <w:pPr>
              <w:ind w:leftChars="0" w:left="0" w:right="0"/>
            </w:pPr>
            <w:r>
              <w:t>BLOCKMATCH UK NT</w:t>
            </w:r>
          </w:p>
        </w:tc>
      </w:tr>
      <w:tr>
        <w:trPr>
          <w:cnfStyle w:evenHBand="false" w:oddHBand="true" w:firstRow="false"/>
        </w:trPr>
        <w:tc>
          <w:tcPr>
            <w:cnfStyle w:evenVBand="false" w:oddVBand="true" w:firstColumn="false"/>
            <w:tcW w:w="33.333333%" w:type="pct"/>
          </w:tcPr>
          <w:p>
            <w:pPr>
              <w:ind w:leftChars="0" w:left="0" w:right="0"/>
            </w:pPr>
            <w:r>
              <w:t>BNYC</w:t>
            </w:r>
          </w:p>
        </w:tc>
        <w:tc>
          <w:tcPr>
            <w:cnfStyle w:evenVBand="true" w:oddVBand="false" w:firstColumn="false"/>
            <w:tcW w:w="33.333333%" w:type="pct"/>
          </w:tcPr>
          <w:p>
            <w:pPr>
              <w:ind w:leftChars="0" w:left="0" w:right="0"/>
            </w:pPr>
            <w:r>
              <w:t>BNYC</w:t>
            </w:r>
          </w:p>
        </w:tc>
        <w:tc>
          <w:tcPr>
            <w:cnfStyle w:evenVBand="false" w:oddVBand="true" w:firstColumn="false"/>
            <w:tcW w:w="33.333333%" w:type="pct"/>
          </w:tcPr>
          <w:p>
            <w:pPr>
              <w:ind w:leftChars="0" w:left="0" w:right="0"/>
            </w:pPr>
            <w:r>
              <w:t>CONVERGEX</w:t>
            </w:r>
          </w:p>
        </w:tc>
      </w:tr>
      <w:tr>
        <w:trPr>
          <w:cnfStyle w:evenHBand="true" w:oddHBand="false" w:firstRow="false"/>
        </w:trPr>
        <w:tc>
          <w:tcPr>
            <w:cnfStyle w:evenVBand="false" w:oddVBand="true" w:firstColumn="false"/>
            <w:tcW w:w="33.333333%" w:type="pct"/>
          </w:tcPr>
          <w:p>
            <w:pPr>
              <w:ind w:leftChars="0" w:left="0" w:right="0"/>
            </w:pPr>
            <w:r>
              <w:t>BOAL</w:t>
            </w:r>
          </w:p>
        </w:tc>
        <w:tc>
          <w:tcPr>
            <w:cnfStyle w:evenVBand="true" w:oddVBand="false" w:firstColumn="false"/>
            <w:tcW w:w="33.333333%" w:type="pct"/>
          </w:tcPr>
          <w:p>
            <w:pPr>
              <w:ind w:leftChars="0" w:left="0" w:right="0"/>
            </w:pPr>
            <w:r>
              <w:t>BOAL</w:t>
            </w:r>
          </w:p>
        </w:tc>
        <w:tc>
          <w:tcPr>
            <w:cnfStyle w:evenVBand="false" w:oddVBand="true" w:firstColumn="false"/>
            <w:tcW w:w="33.333333%" w:type="pct"/>
          </w:tcPr>
          <w:p>
            <w:pPr>
              <w:ind w:leftChars="0" w:left="0" w:right="0"/>
            </w:pPr>
            <w:r>
              <w:t>BANK OF AMERICA, NATIONAL ASSOCIATION - LONDON BRANCH OFFICE</w:t>
            </w:r>
          </w:p>
        </w:tc>
      </w:tr>
      <w:tr>
        <w:trPr>
          <w:cnfStyle w:evenHBand="false" w:oddHBand="true" w:firstRow="false"/>
        </w:trPr>
        <w:tc>
          <w:tcPr>
            <w:cnfStyle w:evenVBand="false" w:oddVBand="true" w:firstColumn="false"/>
            <w:tcW w:w="33.333333%" w:type="pct"/>
          </w:tcPr>
          <w:p>
            <w:pPr>
              <w:ind w:leftChars="0" w:left="0" w:right="0"/>
            </w:pPr>
            <w:r>
              <w:t>BOAT</w:t>
            </w:r>
          </w:p>
        </w:tc>
        <w:tc>
          <w:tcPr>
            <w:cnfStyle w:evenVBand="true" w:oddVBand="false" w:firstColumn="false"/>
            <w:tcW w:w="33.333333%" w:type="pct"/>
          </w:tcPr>
          <w:p>
            <w:pPr>
              <w:ind w:leftChars="0" w:left="0" w:right="0"/>
            </w:pPr>
            <w:r>
              <w:t>BOAT</w:t>
            </w:r>
          </w:p>
        </w:tc>
        <w:tc>
          <w:tcPr>
            <w:cnfStyle w:evenVBand="false" w:oddVBand="true" w:firstColumn="false"/>
            <w:tcW w:w="33.333333%" w:type="pct"/>
          </w:tcPr>
          <w:p>
            <w:pPr>
              <w:ind w:leftChars="0" w:left="0" w:right="0"/>
            </w:pPr>
            <w:r>
              <w:t>CINNOBER BOAT</w:t>
            </w:r>
          </w:p>
        </w:tc>
      </w:tr>
      <w:tr>
        <w:trPr>
          <w:cnfStyle w:evenHBand="true" w:oddHBand="false" w:firstRow="false"/>
        </w:trPr>
        <w:tc>
          <w:tcPr>
            <w:cnfStyle w:evenVBand="false" w:oddVBand="true" w:firstColumn="false"/>
            <w:tcW w:w="33.333333%" w:type="pct"/>
          </w:tcPr>
          <w:p>
            <w:pPr>
              <w:ind w:leftChars="0" w:left="0" w:right="0"/>
            </w:pPr>
            <w:r>
              <w:t>BOCF</w:t>
            </w:r>
          </w:p>
        </w:tc>
        <w:tc>
          <w:tcPr>
            <w:cnfStyle w:evenVBand="true" w:oddVBand="false" w:firstColumn="false"/>
            <w:tcW w:w="33.333333%" w:type="pct"/>
          </w:tcPr>
          <w:p>
            <w:pPr>
              <w:ind w:leftChars="0" w:left="0" w:right="0"/>
            </w:pPr>
            <w:r>
              <w:t>BOCF</w:t>
            </w:r>
          </w:p>
        </w:tc>
        <w:tc>
          <w:tcPr>
            <w:cnfStyle w:evenVBand="false" w:oddVBand="true" w:firstColumn="false"/>
            <w:tcW w:w="33.333333%" w:type="pct"/>
          </w:tcPr>
          <w:p>
            <w:pPr>
              <w:ind w:leftChars="0" w:left="0" w:right="0"/>
            </w:pPr>
            <w:r>
              <w:t>BANK OF CHINA LIMITED - FRANKFURT BRANCH - SYSTEMATIC INTERNALISER</w:t>
            </w:r>
          </w:p>
        </w:tc>
      </w:tr>
      <w:tr>
        <w:trPr>
          <w:cnfStyle w:evenHBand="false" w:oddHBand="true" w:firstRow="false"/>
        </w:trPr>
        <w:tc>
          <w:tcPr>
            <w:cnfStyle w:evenVBand="false" w:oddVBand="true" w:firstColumn="false"/>
            <w:tcW w:w="33.333333%" w:type="pct"/>
          </w:tcPr>
          <w:p>
            <w:pPr>
              <w:ind w:leftChars="0" w:left="0" w:right="0"/>
            </w:pPr>
            <w:r>
              <w:t>BOFS</w:t>
            </w:r>
          </w:p>
        </w:tc>
        <w:tc>
          <w:tcPr>
            <w:cnfStyle w:evenVBand="true" w:oddVBand="false" w:firstColumn="false"/>
            <w:tcW w:w="33.333333%" w:type="pct"/>
          </w:tcPr>
          <w:p>
            <w:pPr>
              <w:ind w:leftChars="0" w:left="0" w:right="0"/>
            </w:pPr>
            <w:r>
              <w:t>BOFS</w:t>
            </w:r>
          </w:p>
        </w:tc>
        <w:tc>
          <w:tcPr>
            <w:cnfStyle w:evenVBand="false" w:oddVBand="true" w:firstColumn="false"/>
            <w:tcW w:w="33.333333%" w:type="pct"/>
          </w:tcPr>
          <w:p>
            <w:pPr>
              <w:ind w:leftChars="0" w:left="0" w:right="0"/>
            </w:pPr>
            <w:r>
              <w:t>BANK OF SCOTLAND PLC - SYSTEMATIC INTERNALISER</w:t>
            </w:r>
          </w:p>
        </w:tc>
      </w:tr>
      <w:tr>
        <w:trPr>
          <w:cnfStyle w:evenHBand="true" w:oddHBand="false" w:firstRow="false"/>
        </w:trPr>
        <w:tc>
          <w:tcPr>
            <w:cnfStyle w:evenVBand="false" w:oddVBand="true" w:firstColumn="false"/>
            <w:tcW w:w="33.333333%" w:type="pct"/>
          </w:tcPr>
          <w:p>
            <w:pPr>
              <w:ind w:leftChars="0" w:left="0" w:right="0"/>
            </w:pPr>
            <w:r>
              <w:t>BOND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BONDVISION ITALIA</w:t>
            </w:r>
          </w:p>
        </w:tc>
      </w:tr>
      <w:tr>
        <w:trPr>
          <w:cnfStyle w:evenHBand="false" w:oddHBand="true" w:firstRow="false"/>
        </w:trPr>
        <w:tc>
          <w:tcPr>
            <w:cnfStyle w:evenVBand="false" w:oddVBand="true" w:firstColumn="false"/>
            <w:tcW w:w="33.333333%" w:type="pct"/>
          </w:tcPr>
          <w:p>
            <w:pPr>
              <w:ind w:leftChars="0" w:left="0" w:right="0"/>
            </w:pPr>
            <w:r>
              <w:t>BOSC</w:t>
            </w:r>
          </w:p>
        </w:tc>
        <w:tc>
          <w:tcPr>
            <w:cnfStyle w:evenVBand="true" w:oddVBand="false" w:firstColumn="false"/>
            <w:tcW w:w="33.333333%" w:type="pct"/>
          </w:tcPr>
          <w:p>
            <w:pPr>
              <w:ind w:leftChars="0" w:left="0" w:right="0"/>
            </w:pPr>
            <w:r>
              <w:t>BOSC</w:t>
            </w:r>
          </w:p>
        </w:tc>
        <w:tc>
          <w:tcPr>
            <w:cnfStyle w:evenVBand="false" w:oddVBand="true" w:firstColumn="false"/>
            <w:tcW w:w="33.333333%" w:type="pct"/>
          </w:tcPr>
          <w:p>
            <w:pPr>
              <w:ind w:leftChars="0" w:left="0" w:right="0"/>
            </w:pPr>
            <w:r>
              <w:t>BONDSCAPE</w:t>
            </w:r>
          </w:p>
        </w:tc>
      </w:tr>
      <w:tr>
        <w:trPr>
          <w:cnfStyle w:evenHBand="true" w:oddHBand="false" w:firstRow="false"/>
        </w:trPr>
        <w:tc>
          <w:tcPr>
            <w:cnfStyle w:evenVBand="false" w:oddVBand="true" w:firstColumn="false"/>
            <w:tcW w:w="33.333333%" w:type="pct"/>
          </w:tcPr>
          <w:p>
            <w:pPr>
              <w:ind w:leftChars="0" w:left="0" w:right="0"/>
            </w:pPr>
            <w:r>
              <w:t>BOSD</w:t>
            </w:r>
          </w:p>
        </w:tc>
        <w:tc>
          <w:tcPr>
            <w:cnfStyle w:evenVBand="true" w:oddVBand="false" w:firstColumn="false"/>
            <w:tcW w:w="33.333333%" w:type="pct"/>
          </w:tcPr>
          <w:p>
            <w:pPr>
              <w:ind w:leftChars="0" w:left="0" w:right="0"/>
            </w:pPr>
            <w:r>
              <w:t>BOSD</w:t>
            </w:r>
          </w:p>
        </w:tc>
        <w:tc>
          <w:tcPr>
            <w:cnfStyle w:evenVBand="false" w:oddVBand="true" w:firstColumn="false"/>
            <w:tcW w:w="33.333333%" w:type="pct"/>
          </w:tcPr>
          <w:p>
            <w:pPr>
              <w:ind w:leftChars="0" w:left="0" w:right="0"/>
            </w:pPr>
            <w:r>
              <w:t>NASDAQ OMX BX DARK</w:t>
            </w:r>
          </w:p>
        </w:tc>
      </w:tr>
      <w:tr>
        <w:trPr>
          <w:cnfStyle w:evenHBand="false" w:oddHBand="true" w:firstRow="false"/>
        </w:trPr>
        <w:tc>
          <w:tcPr>
            <w:cnfStyle w:evenVBand="false" w:oddVBand="true" w:firstColumn="false"/>
            <w:tcW w:w="33.333333%" w:type="pct"/>
          </w:tcPr>
          <w:p>
            <w:pPr>
              <w:ind w:leftChars="0" w:left="0" w:right="0"/>
            </w:pPr>
            <w:r>
              <w:t>BOSP</w:t>
            </w:r>
          </w:p>
        </w:tc>
        <w:tc>
          <w:tcPr>
            <w:cnfStyle w:evenVBand="true" w:oddVBand="false" w:firstColumn="false"/>
            <w:tcW w:w="33.333333%" w:type="pct"/>
          </w:tcPr>
          <w:p>
            <w:pPr>
              <w:ind w:leftChars="0" w:left="0" w:right="0"/>
            </w:pPr>
            <w:r>
              <w:t>BOSP</w:t>
            </w:r>
          </w:p>
        </w:tc>
        <w:tc>
          <w:tcPr>
            <w:cnfStyle w:evenVBand="false" w:oddVBand="true" w:firstColumn="false"/>
            <w:tcW w:w="33.333333%" w:type="pct"/>
          </w:tcPr>
          <w:p>
            <w:pPr>
              <w:ind w:leftChars="0" w:left="0" w:right="0"/>
            </w:pPr>
            <w:r>
              <w:t>WARSAW STOCK EXCHANGE/BONDS/CATALYST/BONDSPOT/MTF</w:t>
            </w:r>
          </w:p>
        </w:tc>
      </w:tr>
      <w:tr>
        <w:trPr>
          <w:cnfStyle w:evenHBand="true" w:oddHBand="false" w:firstRow="false"/>
        </w:trPr>
        <w:tc>
          <w:tcPr>
            <w:cnfStyle w:evenVBand="false" w:oddVBand="true" w:firstColumn="false"/>
            <w:tcW w:w="33.333333%" w:type="pct"/>
          </w:tcPr>
          <w:p>
            <w:pPr>
              <w:ind w:leftChars="0" w:left="0" w:right="0"/>
            </w:pPr>
            <w:r>
              <w:t>BOTC</w:t>
            </w:r>
          </w:p>
        </w:tc>
        <w:tc>
          <w:tcPr>
            <w:cnfStyle w:evenVBand="true" w:oddVBand="false" w:firstColumn="false"/>
            <w:tcW w:w="33.333333%" w:type="pct"/>
          </w:tcPr>
          <w:p>
            <w:pPr>
              <w:ind w:leftChars="0" w:left="0" w:right="0"/>
            </w:pPr>
            <w:r>
              <w:t>BOTC</w:t>
            </w:r>
          </w:p>
        </w:tc>
        <w:tc>
          <w:tcPr>
            <w:cnfStyle w:evenVBand="false" w:oddVBand="true" w:firstColumn="false"/>
            <w:tcW w:w="33.333333%" w:type="pct"/>
          </w:tcPr>
          <w:p>
            <w:pPr>
              <w:ind w:leftChars="0" w:left="0" w:right="0"/>
            </w:pPr>
            <w:r>
              <w:t>OFF EXCHANGE IDENTIFIER FOR OTC TRADES REPORTED TO CBOE EUROPE</w:t>
            </w:r>
          </w:p>
        </w:tc>
      </w:tr>
      <w:tr>
        <w:trPr>
          <w:cnfStyle w:evenHBand="false" w:oddHBand="true" w:firstRow="false"/>
        </w:trPr>
        <w:tc>
          <w:tcPr>
            <w:cnfStyle w:evenVBand="false" w:oddVBand="true" w:firstColumn="false"/>
            <w:tcW w:w="33.333333%" w:type="pct"/>
          </w:tcPr>
          <w:p>
            <w:pPr>
              <w:ind w:leftChars="0" w:left="0" w:right="0"/>
            </w:pPr>
            <w:r>
              <w:t>BOTE</w:t>
            </w:r>
          </w:p>
        </w:tc>
        <w:tc>
          <w:tcPr>
            <w:cnfStyle w:evenVBand="true" w:oddVBand="false" w:firstColumn="false"/>
            <w:tcW w:w="33.333333%" w:type="pct"/>
          </w:tcPr>
          <w:p>
            <w:pPr>
              <w:ind w:leftChars="0" w:left="0" w:right="0"/>
            </w:pPr>
            <w:r>
              <w:t>BOTE</w:t>
            </w:r>
          </w:p>
        </w:tc>
        <w:tc>
          <w:tcPr>
            <w:cnfStyle w:evenVBand="false" w:oddVBand="true" w:firstColumn="false"/>
            <w:tcW w:w="33.333333%" w:type="pct"/>
          </w:tcPr>
          <w:p>
            <w:pPr>
              <w:ind w:leftChars="0" w:left="0" w:right="0"/>
            </w:pPr>
            <w:r>
              <w:t>BOTSWANA STOCK EXCHANGE - EXCHANGE TRADED FUNDS (ETF)</w:t>
            </w:r>
          </w:p>
        </w:tc>
      </w:tr>
      <w:tr>
        <w:trPr>
          <w:cnfStyle w:evenHBand="true" w:oddHBand="false" w:firstRow="false"/>
        </w:trPr>
        <w:tc>
          <w:tcPr>
            <w:cnfStyle w:evenVBand="false" w:oddVBand="true" w:firstColumn="false"/>
            <w:tcW w:w="33.333333%" w:type="pct"/>
          </w:tcPr>
          <w:p>
            <w:pPr>
              <w:ind w:leftChars="0" w:left="0" w:right="0"/>
            </w:pPr>
            <w:r>
              <w:t>BOTV</w:t>
            </w:r>
          </w:p>
        </w:tc>
        <w:tc>
          <w:tcPr>
            <w:cnfStyle w:evenVBand="true" w:oddVBand="false" w:firstColumn="false"/>
            <w:tcW w:w="33.333333%" w:type="pct"/>
          </w:tcPr>
          <w:p>
            <w:pPr>
              <w:ind w:leftChars="0" w:left="0" w:right="0"/>
            </w:pPr>
            <w:r>
              <w:t>BOTV</w:t>
            </w:r>
          </w:p>
        </w:tc>
        <w:tc>
          <w:tcPr>
            <w:cnfStyle w:evenVBand="false" w:oddVBand="true" w:firstColumn="false"/>
            <w:tcW w:w="33.333333%" w:type="pct"/>
          </w:tcPr>
          <w:p>
            <w:pPr>
              <w:ind w:leftChars="0" w:left="0" w:right="0"/>
            </w:pPr>
            <w:r>
              <w:t>BOTSWANA STOCK EXCHANGE - VENTURE CAPITAL</w:t>
            </w:r>
          </w:p>
        </w:tc>
      </w:tr>
      <w:tr>
        <w:trPr>
          <w:cnfStyle w:evenHBand="false" w:oddHBand="true" w:firstRow="false"/>
        </w:trPr>
        <w:tc>
          <w:tcPr>
            <w:cnfStyle w:evenVBand="false" w:oddVBand="true" w:firstColumn="false"/>
            <w:tcW w:w="33.333333%" w:type="pct"/>
          </w:tcPr>
          <w:p>
            <w:pPr>
              <w:ind w:leftChars="0" w:left="0" w:right="0"/>
            </w:pPr>
            <w:r>
              <w:t>BOVA</w:t>
            </w:r>
          </w:p>
        </w:tc>
        <w:tc>
          <w:tcPr>
            <w:cnfStyle w:evenVBand="true" w:oddVBand="false" w:firstColumn="false"/>
            <w:tcW w:w="33.333333%" w:type="pct"/>
          </w:tcPr>
          <w:p>
            <w:pPr>
              <w:ind w:leftChars="0" w:left="0" w:right="0"/>
            </w:pPr>
            <w:r>
              <w:t>BOVA</w:t>
            </w:r>
          </w:p>
        </w:tc>
        <w:tc>
          <w:tcPr>
            <w:cnfStyle w:evenVBand="false" w:oddVBand="true" w:firstColumn="false"/>
            <w:tcW w:w="33.333333%" w:type="pct"/>
          </w:tcPr>
          <w:p>
            <w:pPr>
              <w:ind w:leftChars="0" w:left="0" w:right="0"/>
            </w:pPr>
            <w:r>
              <w:t>BOLSA DE CORREDORES - BOLSA DE VALORES</w:t>
            </w:r>
          </w:p>
        </w:tc>
      </w:tr>
      <w:tr>
        <w:trPr>
          <w:cnfStyle w:evenHBand="true" w:oddHBand="false" w:firstRow="false"/>
        </w:trPr>
        <w:tc>
          <w:tcPr>
            <w:cnfStyle w:evenVBand="false" w:oddVBand="true" w:firstColumn="false"/>
            <w:tcW w:w="33.333333%" w:type="pct"/>
          </w:tcPr>
          <w:p>
            <w:pPr>
              <w:ind w:leftChars="0" w:left="0" w:right="0"/>
            </w:pPr>
            <w:r>
              <w:t>BOVM</w:t>
            </w:r>
          </w:p>
        </w:tc>
        <w:tc>
          <w:tcPr>
            <w:cnfStyle w:evenVBand="true" w:oddVBand="false" w:firstColumn="false"/>
            <w:tcW w:w="33.333333%" w:type="pct"/>
          </w:tcPr>
          <w:p>
            <w:pPr>
              <w:ind w:leftChars="0" w:left="0" w:right="0"/>
            </w:pPr>
            <w:r>
              <w:t>BOVM</w:t>
            </w:r>
          </w:p>
        </w:tc>
        <w:tc>
          <w:tcPr>
            <w:cnfStyle w:evenVBand="false" w:oddVBand="true" w:firstColumn="false"/>
            <w:tcW w:w="33.333333%" w:type="pct"/>
          </w:tcPr>
          <w:p>
            <w:pPr>
              <w:ind w:leftChars="0" w:left="0" w:right="0"/>
            </w:pPr>
            <w:r>
              <w:t>BOLSA DE VALORES MINAS-ESPÍRITO SANTO-BRASÍLIA</w:t>
            </w:r>
          </w:p>
        </w:tc>
      </w:tr>
      <w:tr>
        <w:trPr>
          <w:cnfStyle w:evenHBand="false" w:oddHBand="true" w:firstRow="false"/>
        </w:trPr>
        <w:tc>
          <w:tcPr>
            <w:cnfStyle w:evenVBand="false" w:oddVBand="true" w:firstColumn="false"/>
            <w:tcW w:w="33.333333%" w:type="pct"/>
          </w:tcPr>
          <w:p>
            <w:pPr>
              <w:ind w:leftChars="0" w:left="0" w:right="0"/>
            </w:pPr>
            <w:r>
              <w:t>BPAS</w:t>
            </w:r>
          </w:p>
        </w:tc>
        <w:tc>
          <w:tcPr>
            <w:cnfStyle w:evenVBand="true" w:oddVBand="false" w:firstColumn="false"/>
            <w:tcW w:w="33.333333%" w:type="pct"/>
          </w:tcPr>
          <w:p>
            <w:pPr>
              <w:ind w:leftChars="0" w:left="0" w:right="0"/>
            </w:pPr>
            <w:r>
              <w:t>BPAS</w:t>
            </w:r>
          </w:p>
        </w:tc>
        <w:tc>
          <w:tcPr>
            <w:cnfStyle w:evenVBand="false" w:oddVBand="true" w:firstColumn="false"/>
            <w:tcW w:w="33.333333%" w:type="pct"/>
          </w:tcPr>
          <w:p>
            <w:pPr>
              <w:ind w:leftChars="0" w:left="0" w:right="0"/>
            </w:pPr>
            <w:r>
              <w:t>BANCA PASSADORE - SYSTEMATIC INTERNALISER</w:t>
            </w:r>
          </w:p>
        </w:tc>
      </w:tr>
      <w:tr>
        <w:trPr>
          <w:cnfStyle w:evenHBand="true" w:oddHBand="false" w:firstRow="false"/>
        </w:trPr>
        <w:tc>
          <w:tcPr>
            <w:cnfStyle w:evenVBand="false" w:oddVBand="true" w:firstColumn="false"/>
            <w:tcW w:w="33.333333%" w:type="pct"/>
          </w:tcPr>
          <w:p>
            <w:pPr>
              <w:ind w:leftChars="0" w:left="0" w:right="0"/>
            </w:pPr>
            <w:r>
              <w:t>BPKO</w:t>
            </w:r>
          </w:p>
        </w:tc>
        <w:tc>
          <w:tcPr>
            <w:cnfStyle w:evenVBand="true" w:oddVBand="false" w:firstColumn="false"/>
            <w:tcW w:w="33.333333%" w:type="pct"/>
          </w:tcPr>
          <w:p>
            <w:pPr>
              <w:ind w:leftChars="0" w:left="0" w:right="0"/>
            </w:pPr>
            <w:r>
              <w:t>BPKO</w:t>
            </w:r>
          </w:p>
        </w:tc>
        <w:tc>
          <w:tcPr>
            <w:cnfStyle w:evenVBand="false" w:oddVBand="true" w:firstColumn="false"/>
            <w:tcW w:w="33.333333%" w:type="pct"/>
          </w:tcPr>
          <w:p>
            <w:pPr>
              <w:ind w:leftChars="0" w:left="0" w:right="0"/>
            </w:pPr>
            <w:r>
              <w:t>PKO BANK POLSKI S.A. - SYSTEMATIC INTERNALISER</w:t>
            </w:r>
          </w:p>
        </w:tc>
      </w:tr>
      <w:tr>
        <w:trPr>
          <w:cnfStyle w:evenHBand="false" w:oddHBand="true" w:firstRow="false"/>
        </w:trPr>
        <w:tc>
          <w:tcPr>
            <w:cnfStyle w:evenVBand="false" w:oddVBand="true" w:firstColumn="false"/>
            <w:tcW w:w="33.333333%" w:type="pct"/>
          </w:tcPr>
          <w:p>
            <w:pPr>
              <w:ind w:leftChars="0" w:left="0" w:right="0"/>
            </w:pPr>
            <w:r>
              <w:t>BPLC</w:t>
            </w:r>
          </w:p>
        </w:tc>
        <w:tc>
          <w:tcPr>
            <w:cnfStyle w:evenVBand="true" w:oddVBand="false" w:firstColumn="false"/>
            <w:tcW w:w="33.333333%" w:type="pct"/>
          </w:tcPr>
          <w:p>
            <w:pPr>
              <w:ind w:leftChars="0" w:left="0" w:right="0"/>
            </w:pPr>
            <w:r>
              <w:t>BPLC</w:t>
            </w:r>
          </w:p>
        </w:tc>
        <w:tc>
          <w:tcPr>
            <w:cnfStyle w:evenVBand="false" w:oddVBand="true" w:firstColumn="false"/>
            <w:tcW w:w="33.333333%" w:type="pct"/>
          </w:tcPr>
          <w:p>
            <w:pPr>
              <w:ind w:leftChars="0" w:left="0" w:right="0"/>
            </w:pPr>
            <w:r>
              <w:t>BARCLAYS BANK PLC</w:t>
            </w:r>
          </w:p>
        </w:tc>
      </w:tr>
      <w:tr>
        <w:trPr>
          <w:cnfStyle w:evenHBand="true" w:oddHBand="false" w:firstRow="false"/>
        </w:trPr>
        <w:tc>
          <w:tcPr>
            <w:cnfStyle w:evenVBand="false" w:oddVBand="true" w:firstColumn="false"/>
            <w:tcW w:w="33.333333%" w:type="pct"/>
          </w:tcPr>
          <w:p>
            <w:pPr>
              <w:ind w:leftChars="0" w:left="0" w:right="0"/>
            </w:pPr>
            <w:r>
              <w:t>BPOL</w:t>
            </w:r>
          </w:p>
        </w:tc>
        <w:tc>
          <w:tcPr>
            <w:cnfStyle w:evenVBand="true" w:oddVBand="false" w:firstColumn="false"/>
            <w:tcW w:w="33.333333%" w:type="pct"/>
          </w:tcPr>
          <w:p>
            <w:pPr>
              <w:ind w:leftChars="0" w:left="0" w:right="0"/>
            </w:pPr>
            <w:r>
              <w:t>BPOL</w:t>
            </w:r>
          </w:p>
        </w:tc>
        <w:tc>
          <w:tcPr>
            <w:cnfStyle w:evenVBand="false" w:oddVBand="true" w:firstColumn="false"/>
            <w:tcW w:w="33.333333%" w:type="pct"/>
          </w:tcPr>
          <w:p>
            <w:pPr>
              <w:ind w:leftChars="0" w:left="0" w:right="0"/>
            </w:pPr>
            <w:r>
              <w:t>BLOOMBERG BPOOL</w:t>
            </w:r>
          </w:p>
        </w:tc>
      </w:tr>
      <w:tr>
        <w:trPr>
          <w:cnfStyle w:evenHBand="false" w:oddHBand="true" w:firstRow="false"/>
        </w:trPr>
        <w:tc>
          <w:tcPr>
            <w:cnfStyle w:evenVBand="false" w:oddVBand="true" w:firstColumn="false"/>
            <w:tcW w:w="33.333333%" w:type="pct"/>
          </w:tcPr>
          <w:p>
            <w:pPr>
              <w:ind w:leftChars="0" w:left="0" w:right="0"/>
            </w:pPr>
            <w:r>
              <w:t>BPSX</w:t>
            </w:r>
          </w:p>
        </w:tc>
        <w:tc>
          <w:tcPr>
            <w:cnfStyle w:evenVBand="true" w:oddVBand="false" w:firstColumn="false"/>
            <w:tcW w:w="33.333333%" w:type="pct"/>
          </w:tcPr>
          <w:p>
            <w:pPr>
              <w:ind w:leftChars="0" w:left="0" w:right="0"/>
            </w:pPr>
            <w:r>
              <w:t>BPSX</w:t>
            </w:r>
          </w:p>
        </w:tc>
        <w:tc>
          <w:tcPr>
            <w:cnfStyle w:evenVBand="false" w:oddVBand="true" w:firstColumn="false"/>
            <w:tcW w:w="33.333333%" w:type="pct"/>
          </w:tcPr>
          <w:p>
            <w:pPr>
              <w:ind w:leftChars="0" w:left="0" w:right="0"/>
            </w:pPr>
            <w:r>
              <w:t>BNP PARIBAS SECURITIES SERVICES - SYSTEMATIC INTERNALISER</w:t>
            </w:r>
          </w:p>
        </w:tc>
      </w:tr>
      <w:tr>
        <w:trPr>
          <w:cnfStyle w:evenHBand="true" w:oddHBand="false" w:firstRow="false"/>
        </w:trPr>
        <w:tc>
          <w:tcPr>
            <w:cnfStyle w:evenVBand="false" w:oddVBand="true" w:firstColumn="false"/>
            <w:tcW w:w="33.333333%" w:type="pct"/>
          </w:tcPr>
          <w:p>
            <w:pPr>
              <w:ind w:leftChars="0" w:left="0" w:right="0"/>
            </w:pPr>
            <w:r>
              <w:t>BRDE</w:t>
            </w:r>
          </w:p>
        </w:tc>
        <w:tc>
          <w:tcPr>
            <w:cnfStyle w:evenVBand="true" w:oddVBand="false" w:firstColumn="false"/>
            <w:tcW w:w="33.333333%" w:type="pct"/>
          </w:tcPr>
          <w:p>
            <w:pPr>
              <w:ind w:leftChars="0" w:left="0" w:right="0"/>
            </w:pPr>
            <w:r>
              <w:t>BRDE</w:t>
            </w:r>
          </w:p>
        </w:tc>
        <w:tc>
          <w:tcPr>
            <w:cnfStyle w:evenVBand="false" w:oddVBand="true" w:firstColumn="false"/>
            <w:tcW w:w="33.333333%" w:type="pct"/>
          </w:tcPr>
          <w:p>
            <w:pPr>
              <w:ind w:leftChars="0" w:left="0" w:right="0"/>
            </w:pPr>
            <w:r>
              <w:t>BRD - GROUPE SOCIETE GENERALE S.A.</w:t>
            </w:r>
          </w:p>
        </w:tc>
      </w:tr>
      <w:tr>
        <w:trPr>
          <w:cnfStyle w:evenHBand="false" w:oddHBand="true" w:firstRow="false"/>
        </w:trPr>
        <w:tc>
          <w:tcPr>
            <w:cnfStyle w:evenVBand="false" w:oddVBand="true" w:firstColumn="false"/>
            <w:tcW w:w="33.333333%" w:type="pct"/>
          </w:tcPr>
          <w:p>
            <w:pPr>
              <w:ind w:leftChars="0" w:left="0" w:right="0"/>
            </w:pPr>
            <w:r>
              <w:t>BRDL</w:t>
            </w:r>
          </w:p>
        </w:tc>
        <w:tc>
          <w:tcPr>
            <w:cnfStyle w:evenVBand="true" w:oddVBand="false" w:firstColumn="false"/>
            <w:tcW w:w="33.333333%" w:type="pct"/>
          </w:tcPr>
          <w:p>
            <w:pPr>
              <w:ind w:leftChars="0" w:left="0" w:right="0"/>
            </w:pPr>
            <w:r>
              <w:t>BRDL</w:t>
            </w:r>
          </w:p>
        </w:tc>
        <w:tc>
          <w:tcPr>
            <w:cnfStyle w:evenVBand="false" w:oddVBand="true" w:firstColumn="false"/>
            <w:tcW w:w="33.333333%" w:type="pct"/>
          </w:tcPr>
          <w:p>
            <w:pPr>
              <w:ind w:leftChars="0" w:left="0" w:right="0"/>
            </w:pPr>
            <w:r>
              <w:t>BRD - GROUPE SOCIETE GENERALE S.A. - LIQUIDITY PROVIDER</w:t>
            </w:r>
          </w:p>
        </w:tc>
      </w:tr>
      <w:tr>
        <w:trPr>
          <w:cnfStyle w:evenHBand="true" w:oddHBand="false" w:firstRow="false"/>
        </w:trPr>
        <w:tc>
          <w:tcPr>
            <w:cnfStyle w:evenVBand="false" w:oddVBand="true" w:firstColumn="false"/>
            <w:tcW w:w="33.333333%" w:type="pct"/>
          </w:tcPr>
          <w:p>
            <w:pPr>
              <w:ind w:leftChars="0" w:left="0" w:right="0"/>
            </w:pPr>
            <w:r>
              <w:t>BRDS</w:t>
            </w:r>
          </w:p>
        </w:tc>
        <w:tc>
          <w:tcPr>
            <w:cnfStyle w:evenVBand="true" w:oddVBand="false" w:firstColumn="false"/>
            <w:tcW w:w="33.333333%" w:type="pct"/>
          </w:tcPr>
          <w:p>
            <w:pPr>
              <w:ind w:leftChars="0" w:left="0" w:right="0"/>
            </w:pPr>
            <w:r>
              <w:t>BRDS</w:t>
            </w:r>
          </w:p>
        </w:tc>
        <w:tc>
          <w:tcPr>
            <w:cnfStyle w:evenVBand="false" w:oddVBand="true" w:firstColumn="false"/>
            <w:tcW w:w="33.333333%" w:type="pct"/>
          </w:tcPr>
          <w:p>
            <w:pPr>
              <w:ind w:leftChars="0" w:left="0" w:right="0"/>
            </w:pPr>
            <w:r>
              <w:t>BRD - GROUPE SOCIETE GENERALE S.A. - SYSTEMATIC INTERNALISER</w:t>
            </w:r>
          </w:p>
        </w:tc>
      </w:tr>
      <w:tr>
        <w:trPr>
          <w:cnfStyle w:evenHBand="false" w:oddHBand="true" w:firstRow="false"/>
        </w:trPr>
        <w:tc>
          <w:tcPr>
            <w:cnfStyle w:evenVBand="false" w:oddVBand="true" w:firstColumn="false"/>
            <w:tcW w:w="33.333333%" w:type="pct"/>
          </w:tcPr>
          <w:p>
            <w:pPr>
              <w:ind w:leftChars="0" w:left="0" w:right="0"/>
            </w:pPr>
            <w:r>
              <w:t>BREA</w:t>
            </w:r>
          </w:p>
        </w:tc>
        <w:tc>
          <w:tcPr>
            <w:cnfStyle w:evenVBand="true" w:oddVBand="false" w:firstColumn="false"/>
            <w:tcW w:w="33.333333%" w:type="pct"/>
          </w:tcPr>
          <w:p>
            <w:pPr>
              <w:ind w:leftChars="0" w:left="0" w:right="0"/>
            </w:pPr>
            <w:r>
              <w:t>BREA</w:t>
            </w:r>
          </w:p>
        </w:tc>
        <w:tc>
          <w:tcPr>
            <w:cnfStyle w:evenVBand="false" w:oddVBand="true" w:firstColumn="false"/>
            <w:tcW w:w="33.333333%" w:type="pct"/>
          </w:tcPr>
          <w:p>
            <w:pPr>
              <w:ind w:leftChars="0" w:left="0" w:right="0"/>
            </w:pPr>
            <w:r>
              <w:t>BANCA REALE - SYSTEMATIC INTERNALISER</w:t>
            </w:r>
          </w:p>
        </w:tc>
      </w:tr>
      <w:tr>
        <w:trPr>
          <w:cnfStyle w:evenHBand="true" w:oddHBand="false" w:firstRow="false"/>
        </w:trPr>
        <w:tc>
          <w:tcPr>
            <w:cnfStyle w:evenVBand="false" w:oddVBand="true" w:firstColumn="false"/>
            <w:tcW w:w="33.333333%" w:type="pct"/>
          </w:tcPr>
          <w:p>
            <w:pPr>
              <w:ind w:leftChars="0" w:left="0" w:right="0"/>
            </w:pPr>
            <w:r>
              <w:t>BRED</w:t>
            </w:r>
          </w:p>
        </w:tc>
        <w:tc>
          <w:tcPr>
            <w:cnfStyle w:evenVBand="true" w:oddVBand="false" w:firstColumn="false"/>
            <w:tcW w:w="33.333333%" w:type="pct"/>
          </w:tcPr>
          <w:p>
            <w:pPr>
              <w:ind w:leftChars="0" w:left="0" w:right="0"/>
            </w:pPr>
            <w:r>
              <w:t>BRED</w:t>
            </w:r>
          </w:p>
        </w:tc>
        <w:tc>
          <w:tcPr>
            <w:cnfStyle w:evenVBand="false" w:oddVBand="true" w:firstColumn="false"/>
            <w:tcW w:w="33.333333%" w:type="pct"/>
          </w:tcPr>
          <w:p>
            <w:pPr>
              <w:ind w:leftChars="0" w:left="0" w:right="0"/>
            </w:pPr>
            <w:r>
              <w:t>BRED BANQUE POPULAIRE - SYSTEMATIC INTERNALISER</w:t>
            </w:r>
          </w:p>
        </w:tc>
      </w:tr>
      <w:tr>
        <w:trPr>
          <w:cnfStyle w:evenHBand="false" w:oddHBand="true" w:firstRow="false"/>
        </w:trPr>
        <w:tc>
          <w:tcPr>
            <w:cnfStyle w:evenVBand="false" w:oddVBand="true" w:firstColumn="false"/>
            <w:tcW w:w="33.333333%" w:type="pct"/>
          </w:tcPr>
          <w:p>
            <w:pPr>
              <w:ind w:leftChars="0" w:left="0" w:right="0"/>
            </w:pPr>
            <w:r>
              <w:t>BRFQ</w:t>
            </w:r>
          </w:p>
        </w:tc>
        <w:tc>
          <w:tcPr>
            <w:cnfStyle w:evenVBand="true" w:oddVBand="false" w:firstColumn="false"/>
            <w:tcW w:w="33.333333%" w:type="pct"/>
          </w:tcPr>
          <w:p>
            <w:pPr>
              <w:ind w:leftChars="0" w:left="0" w:right="0"/>
            </w:pPr>
            <w:r>
              <w:t>BRFQ</w:t>
            </w:r>
          </w:p>
        </w:tc>
        <w:tc>
          <w:tcPr>
            <w:cnfStyle w:evenVBand="false" w:oddVBand="true" w:firstColumn="false"/>
            <w:tcW w:w="33.333333%" w:type="pct"/>
          </w:tcPr>
          <w:p>
            <w:pPr>
              <w:ind w:leftChars="0" w:left="0" w:right="0"/>
            </w:pPr>
            <w:r>
              <w:t>BLOCKMATCH UK RFQ</w:t>
            </w:r>
          </w:p>
        </w:tc>
      </w:tr>
      <w:tr>
        <w:trPr>
          <w:cnfStyle w:evenHBand="true" w:oddHBand="false" w:firstRow="false"/>
        </w:trPr>
        <w:tc>
          <w:tcPr>
            <w:cnfStyle w:evenVBand="false" w:oddVBand="true" w:firstColumn="false"/>
            <w:tcW w:w="33.333333%" w:type="pct"/>
          </w:tcPr>
          <w:p>
            <w:pPr>
              <w:ind w:leftChars="0" w:left="0" w:right="0"/>
            </w:pPr>
            <w:r>
              <w:t>BRGA</w:t>
            </w:r>
          </w:p>
        </w:tc>
        <w:tc>
          <w:tcPr>
            <w:cnfStyle w:evenVBand="true" w:oddVBand="false" w:firstColumn="false"/>
            <w:tcW w:w="33.333333%" w:type="pct"/>
          </w:tcPr>
          <w:p>
            <w:pPr>
              <w:ind w:leftChars="0" w:left="0" w:right="0"/>
            </w:pPr>
            <w:r>
              <w:t>BRGA</w:t>
            </w:r>
          </w:p>
        </w:tc>
        <w:tc>
          <w:tcPr>
            <w:cnfStyle w:evenVBand="false" w:oddVBand="true" w:firstColumn="false"/>
            <w:tcW w:w="33.333333%" w:type="pct"/>
          </w:tcPr>
          <w:p>
            <w:pPr>
              <w:ind w:leftChars="0" w:left="0" w:right="0"/>
            </w:pPr>
            <w:r>
              <w:t>BRYAN GARNIER AND CO LIMITED</w:t>
            </w:r>
          </w:p>
        </w:tc>
      </w:tr>
      <w:tr>
        <w:trPr>
          <w:cnfStyle w:evenHBand="false" w:oddHBand="true" w:firstRow="false"/>
        </w:trPr>
        <w:tc>
          <w:tcPr>
            <w:cnfStyle w:evenVBand="false" w:oddVBand="true" w:firstColumn="false"/>
            <w:tcW w:w="33.333333%" w:type="pct"/>
          </w:tcPr>
          <w:p>
            <w:pPr>
              <w:ind w:leftChars="0" w:left="0" w:right="0"/>
            </w:pPr>
            <w:r>
              <w:t>BRIX</w:t>
            </w:r>
          </w:p>
        </w:tc>
        <w:tc>
          <w:tcPr>
            <w:cnfStyle w:evenVBand="true" w:oddVBand="false" w:firstColumn="false"/>
            <w:tcW w:w="33.333333%" w:type="pct"/>
          </w:tcPr>
          <w:p>
            <w:pPr>
              <w:ind w:leftChars="0" w:left="0" w:right="0"/>
            </w:pPr>
            <w:r>
              <w:t>BRIX</w:t>
            </w:r>
          </w:p>
        </w:tc>
        <w:tc>
          <w:tcPr>
            <w:cnfStyle w:evenVBand="false" w:oddVBand="true" w:firstColumn="false"/>
            <w:tcW w:w="33.333333%" w:type="pct"/>
          </w:tcPr>
          <w:p>
            <w:pPr>
              <w:ind w:leftChars="0" w:left="0" w:right="0"/>
            </w:pPr>
            <w:r>
              <w:t>BRAZILIAN ENERGY EXCHANGE</w:t>
            </w:r>
          </w:p>
        </w:tc>
      </w:tr>
      <w:tr>
        <w:trPr>
          <w:cnfStyle w:evenHBand="true" w:oddHBand="false" w:firstRow="false"/>
        </w:trPr>
        <w:tc>
          <w:tcPr>
            <w:cnfStyle w:evenVBand="false" w:oddVBand="true" w:firstColumn="false"/>
            <w:tcW w:w="33.333333%" w:type="pct"/>
          </w:tcPr>
          <w:p>
            <w:pPr>
              <w:ind w:leftChars="0" w:left="0" w:right="0"/>
            </w:pPr>
            <w:r>
              <w:t>BRMF</w:t>
            </w:r>
          </w:p>
        </w:tc>
        <w:tc>
          <w:tcPr>
            <w:cnfStyle w:evenVBand="true" w:oddVBand="false" w:firstColumn="false"/>
            <w:tcW w:w="33.333333%" w:type="pct"/>
          </w:tcPr>
          <w:p>
            <w:pPr>
              <w:ind w:leftChars="0" w:left="0" w:right="0"/>
            </w:pPr>
            <w:r>
              <w:t>BRMF</w:t>
            </w:r>
          </w:p>
        </w:tc>
        <w:tc>
          <w:tcPr>
            <w:cnfStyle w:evenVBand="false" w:oddVBand="true" w:firstColumn="false"/>
            <w:tcW w:w="33.333333%" w:type="pct"/>
          </w:tcPr>
          <w:p>
            <w:pPr>
              <w:ind w:leftChars="0" w:left="0" w:right="0"/>
            </w:pPr>
            <w:r>
              <w:t>ROMANIAN  COMMODITIES EXCHANGE - BRM-SMT</w:t>
            </w:r>
          </w:p>
        </w:tc>
      </w:tr>
      <w:tr>
        <w:trPr>
          <w:cnfStyle w:evenHBand="false" w:oddHBand="true" w:firstRow="false"/>
        </w:trPr>
        <w:tc>
          <w:tcPr>
            <w:cnfStyle w:evenVBand="false" w:oddVBand="true" w:firstColumn="false"/>
            <w:tcW w:w="33.333333%" w:type="pct"/>
          </w:tcPr>
          <w:p>
            <w:pPr>
              <w:ind w:leftChars="0" w:left="0" w:right="0"/>
            </w:pPr>
            <w:r>
              <w:t>BRNX</w:t>
            </w:r>
          </w:p>
        </w:tc>
        <w:tc>
          <w:tcPr>
            <w:cnfStyle w:evenVBand="true" w:oddVBand="false" w:firstColumn="false"/>
            <w:tcW w:w="33.333333%" w:type="pct"/>
          </w:tcPr>
          <w:p>
            <w:pPr>
              <w:ind w:leftChars="0" w:left="0" w:right="0"/>
            </w:pPr>
            <w:r>
              <w:t>BRNX</w:t>
            </w:r>
          </w:p>
        </w:tc>
        <w:tc>
          <w:tcPr>
            <w:cnfStyle w:evenVBand="false" w:oddVBand="true" w:firstColumn="false"/>
            <w:tcW w:w="33.333333%" w:type="pct"/>
          </w:tcPr>
          <w:p>
            <w:pPr>
              <w:ind w:leftChars="0" w:left="0" w:right="0"/>
            </w:pPr>
            <w:r>
              <w:t>BERNSTEIN CROSS (BERN-X)</w:t>
            </w:r>
          </w:p>
        </w:tc>
      </w:tr>
      <w:tr>
        <w:trPr>
          <w:cnfStyle w:evenHBand="true" w:oddHBand="false" w:firstRow="false"/>
        </w:trPr>
        <w:tc>
          <w:tcPr>
            <w:cnfStyle w:evenVBand="false" w:oddVBand="true" w:firstColumn="false"/>
            <w:tcW w:w="33.333333%" w:type="pct"/>
          </w:tcPr>
          <w:p>
            <w:pPr>
              <w:ind w:leftChars="0" w:left="0" w:right="0"/>
            </w:pPr>
            <w:r>
              <w:t>BSAB</w:t>
            </w:r>
          </w:p>
        </w:tc>
        <w:tc>
          <w:tcPr>
            <w:cnfStyle w:evenVBand="true" w:oddVBand="false" w:firstColumn="false"/>
            <w:tcW w:w="33.333333%" w:type="pct"/>
          </w:tcPr>
          <w:p>
            <w:pPr>
              <w:ind w:leftChars="0" w:left="0" w:right="0"/>
            </w:pPr>
            <w:r>
              <w:t>BSAB</w:t>
            </w:r>
          </w:p>
        </w:tc>
        <w:tc>
          <w:tcPr>
            <w:cnfStyle w:evenVBand="false" w:oddVBand="true" w:firstColumn="false"/>
            <w:tcW w:w="33.333333%" w:type="pct"/>
          </w:tcPr>
          <w:p>
            <w:pPr>
              <w:ind w:leftChars="0" w:left="0" w:right="0"/>
            </w:pPr>
            <w:r>
              <w:t>BANCO DE SABADELL, S.A. -  SYSTEMATIC INTERNALISER</w:t>
            </w:r>
          </w:p>
        </w:tc>
      </w:tr>
      <w:tr>
        <w:trPr>
          <w:cnfStyle w:evenHBand="false" w:oddHBand="true" w:firstRow="false"/>
        </w:trPr>
        <w:tc>
          <w:tcPr>
            <w:cnfStyle w:evenVBand="false" w:oddVBand="true" w:firstColumn="false"/>
            <w:tcW w:w="33.333333%" w:type="pct"/>
          </w:tcPr>
          <w:p>
            <w:pPr>
              <w:ind w:leftChars="0" w:left="0" w:right="0"/>
            </w:pPr>
            <w:r>
              <w:t>BSEX</w:t>
            </w:r>
          </w:p>
        </w:tc>
        <w:tc>
          <w:tcPr>
            <w:cnfStyle w:evenVBand="true" w:oddVBand="false" w:firstColumn="false"/>
            <w:tcW w:w="33.333333%" w:type="pct"/>
          </w:tcPr>
          <w:p>
            <w:pPr>
              <w:ind w:leftChars="0" w:left="0" w:right="0"/>
            </w:pPr>
            <w:r>
              <w:t>BSEX</w:t>
            </w:r>
          </w:p>
        </w:tc>
        <w:tc>
          <w:tcPr>
            <w:cnfStyle w:evenVBand="false" w:oddVBand="true" w:firstColumn="false"/>
            <w:tcW w:w="33.333333%" w:type="pct"/>
          </w:tcPr>
          <w:p>
            <w:pPr>
              <w:ind w:leftChars="0" w:left="0" w:right="0"/>
            </w:pPr>
            <w:r>
              <w:t>BAKU STOCK EXCHANGE</w:t>
            </w:r>
          </w:p>
        </w:tc>
      </w:tr>
      <w:tr>
        <w:trPr>
          <w:cnfStyle w:evenHBand="true" w:oddHBand="false" w:firstRow="false"/>
        </w:trPr>
        <w:tc>
          <w:tcPr>
            <w:cnfStyle w:evenVBand="false" w:oddVBand="true" w:firstColumn="false"/>
            <w:tcW w:w="33.333333%" w:type="pct"/>
          </w:tcPr>
          <w:p>
            <w:pPr>
              <w:ind w:leftChars="0" w:left="0" w:right="0"/>
            </w:pPr>
            <w:r>
              <w:t>BSFX</w:t>
            </w:r>
          </w:p>
        </w:tc>
        <w:tc>
          <w:tcPr>
            <w:cnfStyle w:evenVBand="true" w:oddVBand="false" w:firstColumn="false"/>
            <w:tcW w:w="33.333333%" w:type="pct"/>
          </w:tcPr>
          <w:p>
            <w:pPr>
              <w:ind w:leftChars="0" w:left="0" w:right="0"/>
            </w:pPr>
            <w:r>
              <w:t>BSFX</w:t>
            </w:r>
          </w:p>
        </w:tc>
        <w:tc>
          <w:tcPr>
            <w:cnfStyle w:evenVBand="false" w:oddVBand="true" w:firstColumn="false"/>
            <w:tcW w:w="33.333333%" w:type="pct"/>
          </w:tcPr>
          <w:p>
            <w:pPr>
              <w:ind w:leftChars="0" w:left="0" w:right="0"/>
            </w:pPr>
            <w:r>
              <w:t>BAYERNLB - FX HANDEL - SYSTEMATIC INTERNALISER</w:t>
            </w:r>
          </w:p>
        </w:tc>
      </w:tr>
      <w:tr>
        <w:trPr>
          <w:cnfStyle w:evenHBand="false" w:oddHBand="true" w:firstRow="false"/>
        </w:trPr>
        <w:tc>
          <w:tcPr>
            <w:cnfStyle w:evenVBand="false" w:oddVBand="true" w:firstColumn="false"/>
            <w:tcW w:w="33.333333%" w:type="pct"/>
          </w:tcPr>
          <w:p>
            <w:pPr>
              <w:ind w:leftChars="0" w:left="0" w:right="0"/>
            </w:pPr>
            <w:r>
              <w:t>BSLB</w:t>
            </w:r>
          </w:p>
        </w:tc>
        <w:tc>
          <w:tcPr>
            <w:cnfStyle w:evenVBand="true" w:oddVBand="false" w:firstColumn="false"/>
            <w:tcW w:w="33.333333%" w:type="pct"/>
          </w:tcPr>
          <w:p>
            <w:pPr>
              <w:ind w:leftChars="0" w:left="0" w:right="0"/>
            </w:pPr>
            <w:r>
              <w:t>BSLB</w:t>
            </w:r>
          </w:p>
        </w:tc>
        <w:tc>
          <w:tcPr>
            <w:cnfStyle w:evenVBand="false" w:oddVBand="true" w:firstColumn="false"/>
            <w:tcW w:w="33.333333%" w:type="pct"/>
          </w:tcPr>
          <w:p>
            <w:pPr>
              <w:ind w:leftChars="0" w:left="0" w:right="0"/>
            </w:pPr>
            <w:r>
              <w:t>BANCO SANTANDER, LONDON BRANCH - SYSTEMATIC INTERNALISER</w:t>
            </w:r>
          </w:p>
        </w:tc>
      </w:tr>
      <w:tr>
        <w:trPr>
          <w:cnfStyle w:evenHBand="true" w:oddHBand="false" w:firstRow="false"/>
        </w:trPr>
        <w:tc>
          <w:tcPr>
            <w:cnfStyle w:evenVBand="false" w:oddVBand="true" w:firstColumn="false"/>
            <w:tcW w:w="33.333333%" w:type="pct"/>
          </w:tcPr>
          <w:p>
            <w:pPr>
              <w:ind w:leftChars="0" w:left="0" w:right="0"/>
            </w:pPr>
            <w:r>
              <w:t>BSME</w:t>
            </w:r>
          </w:p>
        </w:tc>
        <w:tc>
          <w:tcPr>
            <w:cnfStyle w:evenVBand="true" w:oddVBand="false" w:firstColumn="false"/>
            <w:tcW w:w="33.333333%" w:type="pct"/>
          </w:tcPr>
          <w:p>
            <w:pPr>
              <w:ind w:leftChars="0" w:left="0" w:right="0"/>
            </w:pPr>
            <w:r>
              <w:t>BSME</w:t>
            </w:r>
          </w:p>
        </w:tc>
        <w:tc>
          <w:tcPr>
            <w:cnfStyle w:evenVBand="false" w:oddVBand="true" w:firstColumn="false"/>
            <w:tcW w:w="33.333333%" w:type="pct"/>
          </w:tcPr>
          <w:p>
            <w:pPr>
              <w:ind w:leftChars="0" w:left="0" w:right="0"/>
            </w:pPr>
            <w:r>
              <w:t>BSE SME</w:t>
            </w:r>
          </w:p>
        </w:tc>
      </w:tr>
      <w:tr>
        <w:trPr>
          <w:cnfStyle w:evenHBand="false" w:oddHBand="true" w:firstRow="false"/>
        </w:trPr>
        <w:tc>
          <w:tcPr>
            <w:cnfStyle w:evenVBand="false" w:oddVBand="true" w:firstColumn="false"/>
            <w:tcW w:w="33.333333%" w:type="pct"/>
          </w:tcPr>
          <w:p>
            <w:pPr>
              <w:ind w:leftChars="0" w:left="0" w:right="0"/>
            </w:pPr>
            <w:r>
              <w:t>BSPL</w:t>
            </w:r>
          </w:p>
        </w:tc>
        <w:tc>
          <w:tcPr>
            <w:cnfStyle w:evenVBand="true" w:oddVBand="false" w:firstColumn="false"/>
            <w:tcW w:w="33.333333%" w:type="pct"/>
          </w:tcPr>
          <w:p>
            <w:pPr>
              <w:ind w:leftChars="0" w:left="0" w:right="0"/>
            </w:pPr>
            <w:r>
              <w:t>BSPL</w:t>
            </w:r>
          </w:p>
        </w:tc>
        <w:tc>
          <w:tcPr>
            <w:cnfStyle w:evenVBand="false" w:oddVBand="true" w:firstColumn="false"/>
            <w:tcW w:w="33.333333%" w:type="pct"/>
          </w:tcPr>
          <w:p>
            <w:pPr>
              <w:ind w:leftChars="0" w:left="0" w:right="0"/>
            </w:pPr>
            <w:r>
              <w:t>BNP PARIBAS SECURITIES SERVICES LONDON BRANCH - SYSTEMATIC INTERNALISER</w:t>
            </w:r>
          </w:p>
        </w:tc>
      </w:tr>
      <w:tr>
        <w:trPr>
          <w:cnfStyle w:evenHBand="true" w:oddHBand="false" w:firstRow="false"/>
        </w:trPr>
        <w:tc>
          <w:tcPr>
            <w:cnfStyle w:evenVBand="false" w:oddVBand="true" w:firstColumn="false"/>
            <w:tcW w:w="33.333333%" w:type="pct"/>
          </w:tcPr>
          <w:p>
            <w:pPr>
              <w:ind w:leftChars="0" w:left="0" w:right="0"/>
            </w:pPr>
            <w:r>
              <w:t>BSTX</w:t>
            </w:r>
          </w:p>
        </w:tc>
        <w:tc>
          <w:tcPr>
            <w:cnfStyle w:evenVBand="true" w:oddVBand="false" w:firstColumn="false"/>
            <w:tcW w:w="33.333333%" w:type="pct"/>
          </w:tcPr>
          <w:p>
            <w:pPr>
              <w:ind w:leftChars="0" w:left="0" w:right="0"/>
            </w:pPr>
            <w:r>
              <w:t>BSTX</w:t>
            </w:r>
          </w:p>
        </w:tc>
        <w:tc>
          <w:tcPr>
            <w:cnfStyle w:evenVBand="false" w:oddVBand="true" w:firstColumn="false"/>
            <w:tcW w:w="33.333333%" w:type="pct"/>
          </w:tcPr>
          <w:p>
            <w:pPr>
              <w:ind w:leftChars="0" w:left="0" w:right="0"/>
            </w:pPr>
            <w:r>
              <w:t>BOSTON SECURITY TOKEN EXCHANGE LLC</w:t>
            </w:r>
          </w:p>
        </w:tc>
      </w:tr>
      <w:tr>
        <w:trPr>
          <w:cnfStyle w:evenHBand="false" w:oddHBand="true" w:firstRow="false"/>
        </w:trPr>
        <w:tc>
          <w:tcPr>
            <w:cnfStyle w:evenVBand="false" w:oddVBand="true" w:firstColumn="false"/>
            <w:tcW w:w="33.333333%" w:type="pct"/>
          </w:tcPr>
          <w:p>
            <w:pPr>
              <w:ind w:leftChars="0" w:left="0" w:right="0"/>
            </w:pPr>
            <w:r>
              <w:t>BTAM</w:t>
            </w:r>
          </w:p>
        </w:tc>
        <w:tc>
          <w:tcPr>
            <w:cnfStyle w:evenVBand="true" w:oddVBand="false" w:firstColumn="false"/>
            <w:tcW w:w="33.333333%" w:type="pct"/>
          </w:tcPr>
          <w:p>
            <w:pPr>
              <w:ind w:leftChars="0" w:left="0" w:right="0"/>
            </w:pPr>
            <w:r>
              <w:t>BTAM</w:t>
            </w:r>
          </w:p>
        </w:tc>
        <w:tc>
          <w:tcPr>
            <w:cnfStyle w:evenVBand="false" w:oddVBand="true" w:firstColumn="false"/>
            <w:tcW w:w="33.333333%" w:type="pct"/>
          </w:tcPr>
          <w:p>
            <w:pPr>
              <w:ind w:leftChars="0" w:left="0" w:right="0"/>
            </w:pPr>
            <w:r>
              <w:t>CME AMSTERDAM B.V.</w:t>
            </w:r>
          </w:p>
        </w:tc>
      </w:tr>
      <w:tr>
        <w:trPr>
          <w:cnfStyle w:evenHBand="true" w:oddHBand="false" w:firstRow="false"/>
        </w:trPr>
        <w:tc>
          <w:tcPr>
            <w:cnfStyle w:evenVBand="false" w:oddVBand="true" w:firstColumn="false"/>
            <w:tcW w:w="33.333333%" w:type="pct"/>
          </w:tcPr>
          <w:p>
            <w:pPr>
              <w:ind w:leftChars="0" w:left="0" w:right="0"/>
            </w:pPr>
            <w:r>
              <w:t>BTBS</w:t>
            </w:r>
          </w:p>
        </w:tc>
        <w:tc>
          <w:tcPr>
            <w:cnfStyle w:evenVBand="true" w:oddVBand="false" w:firstColumn="false"/>
            <w:tcW w:w="33.333333%" w:type="pct"/>
          </w:tcPr>
          <w:p>
            <w:pPr>
              <w:ind w:leftChars="0" w:left="0" w:right="0"/>
            </w:pPr>
            <w:r>
              <w:t>BTBS</w:t>
            </w:r>
          </w:p>
        </w:tc>
        <w:tc>
          <w:tcPr>
            <w:cnfStyle w:evenVBand="false" w:oddVBand="true" w:firstColumn="false"/>
            <w:tcW w:w="33.333333%" w:type="pct"/>
          </w:tcPr>
          <w:p>
            <w:pPr>
              <w:ind w:leftChars="0" w:left="0" w:right="0"/>
            </w:pPr>
            <w:r>
              <w:t>BLOOMBERG TRADEBOOK SINGAPORE PTE LTD</w:t>
            </w:r>
          </w:p>
        </w:tc>
      </w:tr>
      <w:tr>
        <w:trPr>
          <w:cnfStyle w:evenHBand="false" w:oddHBand="true" w:firstRow="false"/>
        </w:trPr>
        <w:tc>
          <w:tcPr>
            <w:cnfStyle w:evenVBand="false" w:oddVBand="true" w:firstColumn="false"/>
            <w:tcW w:w="33.333333%" w:type="pct"/>
          </w:tcPr>
          <w:p>
            <w:pPr>
              <w:ind w:leftChars="0" w:left="0" w:right="0"/>
            </w:pPr>
            <w:r>
              <w:t>BTEC</w:t>
            </w:r>
          </w:p>
        </w:tc>
        <w:tc>
          <w:tcPr>
            <w:cnfStyle w:evenVBand="true" w:oddVBand="false" w:firstColumn="false"/>
            <w:tcW w:w="33.333333%" w:type="pct"/>
          </w:tcPr>
          <w:p>
            <w:pPr>
              <w:ind w:leftChars="0" w:left="0" w:right="0"/>
            </w:pPr>
            <w:r>
              <w:t>BTEC</w:t>
            </w:r>
          </w:p>
        </w:tc>
        <w:tc>
          <w:tcPr>
            <w:cnfStyle w:evenVBand="false" w:oddVBand="true" w:firstColumn="false"/>
            <w:tcW w:w="33.333333%" w:type="pct"/>
          </w:tcPr>
          <w:p>
            <w:pPr>
              <w:ind w:leftChars="0" w:left="0" w:right="0"/>
            </w:pPr>
            <w:r>
              <w:t>ICAP ELECTRONIC BROKING (US)</w:t>
            </w:r>
          </w:p>
        </w:tc>
      </w:tr>
      <w:tr>
        <w:trPr>
          <w:cnfStyle w:evenHBand="true" w:oddHBand="false" w:firstRow="false"/>
        </w:trPr>
        <w:tc>
          <w:tcPr>
            <w:cnfStyle w:evenVBand="false" w:oddVBand="true" w:firstColumn="false"/>
            <w:tcW w:w="33.333333%" w:type="pct"/>
          </w:tcPr>
          <w:p>
            <w:pPr>
              <w:ind w:leftChars="0" w:left="0" w:right="0"/>
            </w:pPr>
            <w:r>
              <w:t>BTEE</w:t>
            </w:r>
          </w:p>
        </w:tc>
        <w:tc>
          <w:tcPr>
            <w:cnfStyle w:evenVBand="true" w:oddVBand="false" w:firstColumn="false"/>
            <w:tcW w:w="33.333333%" w:type="pct"/>
          </w:tcPr>
          <w:p>
            <w:pPr>
              <w:ind w:leftChars="0" w:left="0" w:right="0"/>
            </w:pPr>
            <w:r>
              <w:t>BTEE</w:t>
            </w:r>
          </w:p>
        </w:tc>
        <w:tc>
          <w:tcPr>
            <w:cnfStyle w:evenVBand="false" w:oddVBand="true" w:firstColumn="false"/>
            <w:tcW w:w="33.333333%" w:type="pct"/>
          </w:tcPr>
          <w:p>
            <w:pPr>
              <w:ind w:leftChars="0" w:left="0" w:right="0"/>
            </w:pPr>
            <w:r>
              <w:t>BROKERTEC EUROPE LIMITED - ALL MARKETS</w:t>
            </w:r>
          </w:p>
        </w:tc>
      </w:tr>
      <w:tr>
        <w:trPr>
          <w:cnfStyle w:evenHBand="false" w:oddHBand="true" w:firstRow="false"/>
        </w:trPr>
        <w:tc>
          <w:tcPr>
            <w:cnfStyle w:evenVBand="false" w:oddVBand="true" w:firstColumn="false"/>
            <w:tcW w:w="33.333333%" w:type="pct"/>
          </w:tcPr>
          <w:p>
            <w:pPr>
              <w:ind w:leftChars="0" w:left="0" w:right="0"/>
            </w:pPr>
            <w:r>
              <w:t>BTEQ</w:t>
            </w:r>
          </w:p>
        </w:tc>
        <w:tc>
          <w:tcPr>
            <w:cnfStyle w:evenVBand="true" w:oddVBand="false" w:firstColumn="false"/>
            <w:tcW w:w="33.333333%" w:type="pct"/>
          </w:tcPr>
          <w:p>
            <w:pPr>
              <w:ind w:leftChars="0" w:left="0" w:right="0"/>
            </w:pPr>
            <w:r>
              <w:t>BTEQ</w:t>
            </w:r>
          </w:p>
        </w:tc>
        <w:tc>
          <w:tcPr>
            <w:cnfStyle w:evenVBand="false" w:oddVBand="true" w:firstColumn="false"/>
            <w:tcW w:w="33.333333%" w:type="pct"/>
          </w:tcPr>
          <w:p>
            <w:pPr>
              <w:ind w:leftChars="0" w:left="0" w:right="0"/>
            </w:pPr>
            <w:r>
              <w:t>BROKERTEC AMERICAS LLC - RFQ PLATFORM</w:t>
            </w:r>
          </w:p>
        </w:tc>
      </w:tr>
      <w:tr>
        <w:trPr>
          <w:cnfStyle w:evenHBand="true" w:oddHBand="false" w:firstRow="false"/>
        </w:trPr>
        <w:tc>
          <w:tcPr>
            <w:cnfStyle w:evenVBand="false" w:oddVBand="true" w:firstColumn="false"/>
            <w:tcW w:w="33.333333%" w:type="pct"/>
          </w:tcPr>
          <w:p>
            <w:pPr>
              <w:ind w:leftChars="0" w:left="0" w:right="0"/>
            </w:pPr>
            <w:r>
              <w:t>BTFE</w:t>
            </w:r>
          </w:p>
        </w:tc>
        <w:tc>
          <w:tcPr>
            <w:cnfStyle w:evenVBand="true" w:oddVBand="false" w:firstColumn="false"/>
            <w:tcW w:w="33.333333%" w:type="pct"/>
          </w:tcPr>
          <w:p>
            <w:pPr>
              <w:ind w:leftChars="0" w:left="0" w:right="0"/>
            </w:pPr>
            <w:r>
              <w:t>BTFE</w:t>
            </w:r>
          </w:p>
        </w:tc>
        <w:tc>
          <w:tcPr>
            <w:cnfStyle w:evenVBand="false" w:oddVBand="true" w:firstColumn="false"/>
            <w:tcW w:w="33.333333%" w:type="pct"/>
          </w:tcPr>
          <w:p>
            <w:pPr>
              <w:ind w:leftChars="0" w:left="0" w:right="0"/>
            </w:pPr>
            <w:r>
              <w:t>BLOOMBERG TRADING FACILITY B.V.</w:t>
            </w:r>
          </w:p>
        </w:tc>
      </w:tr>
      <w:tr>
        <w:trPr>
          <w:cnfStyle w:evenHBand="false" w:oddHBand="true" w:firstRow="false"/>
        </w:trPr>
        <w:tc>
          <w:tcPr>
            <w:cnfStyle w:evenVBand="false" w:oddVBand="true" w:firstColumn="false"/>
            <w:tcW w:w="33.333333%" w:type="pct"/>
          </w:tcPr>
          <w:p>
            <w:pPr>
              <w:ind w:leftChars="0" w:left="0" w:right="0"/>
            </w:pPr>
            <w:r>
              <w:t>BTLX</w:t>
            </w:r>
          </w:p>
        </w:tc>
        <w:tc>
          <w:tcPr>
            <w:cnfStyle w:evenVBand="true" w:oddVBand="false" w:firstColumn="false"/>
            <w:tcW w:w="33.333333%" w:type="pct"/>
          </w:tcPr>
          <w:p>
            <w:pPr>
              <w:ind w:leftChars="0" w:left="0" w:right="0"/>
            </w:pPr>
            <w:r>
              <w:t>BTLX</w:t>
            </w:r>
          </w:p>
        </w:tc>
        <w:tc>
          <w:tcPr>
            <w:cnfStyle w:evenVBand="false" w:oddVBand="true" w:firstColumn="false"/>
            <w:tcW w:w="33.333333%" w:type="pct"/>
          </w:tcPr>
          <w:p>
            <w:pPr>
              <w:ind w:leftChars="0" w:left="0" w:right="0"/>
            </w:pPr>
            <w:r>
              <w:t>BTL OTC BILAT COMMODITY DERIVATIVES</w:t>
            </w:r>
          </w:p>
        </w:tc>
      </w:tr>
      <w:tr>
        <w:trPr>
          <w:cnfStyle w:evenHBand="true" w:oddHBand="false" w:firstRow="false"/>
        </w:trPr>
        <w:tc>
          <w:tcPr>
            <w:cnfStyle w:evenVBand="false" w:oddVBand="true" w:firstColumn="false"/>
            <w:tcW w:w="33.333333%" w:type="pct"/>
          </w:tcPr>
          <w:p>
            <w:pPr>
              <w:ind w:leftChars="0" w:left="0" w:right="0"/>
            </w:pPr>
            <w:r>
              <w:t>BTNL</w:t>
            </w:r>
          </w:p>
        </w:tc>
        <w:tc>
          <w:tcPr>
            <w:cnfStyle w:evenVBand="true" w:oddVBand="false" w:firstColumn="false"/>
            <w:tcW w:w="33.333333%" w:type="pct"/>
          </w:tcPr>
          <w:p>
            <w:pPr>
              <w:ind w:leftChars="0" w:left="0" w:right="0"/>
            </w:pPr>
            <w:r>
              <w:t>BTNL</w:t>
            </w:r>
          </w:p>
        </w:tc>
        <w:tc>
          <w:tcPr>
            <w:cnfStyle w:evenVBand="false" w:oddVBand="true" w:firstColumn="false"/>
            <w:tcW w:w="33.333333%" w:type="pct"/>
          </w:tcPr>
          <w:p>
            <w:pPr>
              <w:ind w:leftChars="0" w:left="0" w:right="0"/>
            </w:pPr>
            <w:r>
              <w:t>BITNOMIAL</w:t>
            </w:r>
          </w:p>
        </w:tc>
      </w:tr>
      <w:tr>
        <w:trPr>
          <w:cnfStyle w:evenHBand="false" w:oddHBand="true" w:firstRow="false"/>
        </w:trPr>
        <w:tc>
          <w:tcPr>
            <w:cnfStyle w:evenVBand="false" w:oddVBand="true" w:firstColumn="false"/>
            <w:tcW w:w="33.333333%" w:type="pct"/>
          </w:tcPr>
          <w:p>
            <w:pPr>
              <w:ind w:leftChars="0" w:left="0" w:right="0"/>
            </w:pPr>
            <w:r>
              <w:t>BTQE</w:t>
            </w:r>
          </w:p>
        </w:tc>
        <w:tc>
          <w:tcPr>
            <w:cnfStyle w:evenVBand="true" w:oddVBand="false" w:firstColumn="false"/>
            <w:tcW w:w="33.333333%" w:type="pct"/>
          </w:tcPr>
          <w:p>
            <w:pPr>
              <w:ind w:leftChars="0" w:left="0" w:right="0"/>
            </w:pPr>
            <w:r>
              <w:t>BTQE</w:t>
            </w:r>
          </w:p>
        </w:tc>
        <w:tc>
          <w:tcPr>
            <w:cnfStyle w:evenVBand="false" w:oddVBand="true" w:firstColumn="false"/>
            <w:tcW w:w="33.333333%" w:type="pct"/>
          </w:tcPr>
          <w:p>
            <w:pPr>
              <w:ind w:leftChars="0" w:left="0" w:right="0"/>
            </w:pPr>
            <w:r>
              <w:t>CME AMSTERDAM B.V. - RFQ TRADING PROTOCOL</w:t>
            </w:r>
          </w:p>
        </w:tc>
      </w:tr>
      <w:tr>
        <w:trPr>
          <w:cnfStyle w:evenHBand="true" w:oddHBand="false" w:firstRow="false"/>
        </w:trPr>
        <w:tc>
          <w:tcPr>
            <w:cnfStyle w:evenVBand="false" w:oddVBand="true" w:firstColumn="false"/>
            <w:tcW w:w="33.333333%" w:type="pct"/>
          </w:tcPr>
          <w:p>
            <w:pPr>
              <w:ind w:leftChars="0" w:left="0" w:right="0"/>
            </w:pPr>
            <w:r>
              <w:t>BTQG</w:t>
            </w:r>
          </w:p>
        </w:tc>
        <w:tc>
          <w:tcPr>
            <w:cnfStyle w:evenVBand="true" w:oddVBand="false" w:firstColumn="false"/>
            <w:tcW w:w="33.333333%" w:type="pct"/>
          </w:tcPr>
          <w:p>
            <w:pPr>
              <w:ind w:leftChars="0" w:left="0" w:right="0"/>
            </w:pPr>
            <w:r>
              <w:t>BTQG</w:t>
            </w:r>
          </w:p>
        </w:tc>
        <w:tc>
          <w:tcPr>
            <w:cnfStyle w:evenVBand="false" w:oddVBand="true" w:firstColumn="false"/>
            <w:tcW w:w="33.333333%" w:type="pct"/>
          </w:tcPr>
          <w:p>
            <w:pPr>
              <w:ind w:leftChars="0" w:left="0" w:right="0"/>
            </w:pPr>
            <w:r>
              <w:t>BROKERTEC EUROPE LIMITED - RFQ TRADING PROTOCOL</w:t>
            </w:r>
          </w:p>
        </w:tc>
      </w:tr>
      <w:tr>
        <w:trPr>
          <w:cnfStyle w:evenHBand="false" w:oddHBand="true" w:firstRow="false"/>
        </w:trPr>
        <w:tc>
          <w:tcPr>
            <w:cnfStyle w:evenVBand="false" w:oddVBand="true" w:firstColumn="false"/>
            <w:tcW w:w="33.333333%" w:type="pct"/>
          </w:tcPr>
          <w:p>
            <w:pPr>
              <w:ind w:leftChars="0" w:left="0" w:right="0"/>
            </w:pPr>
            <w:r>
              <w:t>BTRL</w:t>
            </w:r>
          </w:p>
        </w:tc>
        <w:tc>
          <w:tcPr>
            <w:cnfStyle w:evenVBand="true" w:oddVBand="false" w:firstColumn="false"/>
            <w:tcW w:w="33.333333%" w:type="pct"/>
          </w:tcPr>
          <w:p>
            <w:pPr>
              <w:ind w:leftChars="0" w:left="0" w:right="0"/>
            </w:pPr>
            <w:r>
              <w:t>BTRL</w:t>
            </w:r>
          </w:p>
        </w:tc>
        <w:tc>
          <w:tcPr>
            <w:cnfStyle w:evenVBand="false" w:oddVBand="true" w:firstColumn="false"/>
            <w:tcW w:w="33.333333%" w:type="pct"/>
          </w:tcPr>
          <w:p>
            <w:pPr>
              <w:ind w:leftChars="0" w:left="0" w:right="0"/>
            </w:pPr>
            <w:r>
              <w:t>BANCA TRANSILVANIA S.A.</w:t>
            </w:r>
          </w:p>
        </w:tc>
      </w:tr>
      <w:tr>
        <w:trPr>
          <w:cnfStyle w:evenHBand="true" w:oddHBand="false" w:firstRow="false"/>
        </w:trPr>
        <w:tc>
          <w:tcPr>
            <w:cnfStyle w:evenVBand="false" w:oddVBand="true" w:firstColumn="false"/>
            <w:tcW w:w="33.333333%" w:type="pct"/>
          </w:tcPr>
          <w:p>
            <w:pPr>
              <w:ind w:leftChars="0" w:left="0" w:right="0"/>
            </w:pPr>
            <w:r>
              <w:t>BTUN</w:t>
            </w:r>
          </w:p>
        </w:tc>
        <w:tc>
          <w:tcPr>
            <w:cnfStyle w:evenVBand="true" w:oddVBand="false" w:firstColumn="false"/>
            <w:tcW w:w="33.333333%" w:type="pct"/>
          </w:tcPr>
          <w:p>
            <w:pPr>
              <w:ind w:leftChars="0" w:left="0" w:right="0"/>
            </w:pPr>
            <w:r>
              <w:t>BTUN</w:t>
            </w:r>
          </w:p>
        </w:tc>
        <w:tc>
          <w:tcPr>
            <w:cnfStyle w:evenVBand="false" w:oddVBand="true" w:firstColumn="false"/>
            <w:tcW w:w="33.333333%" w:type="pct"/>
          </w:tcPr>
          <w:p>
            <w:pPr>
              <w:ind w:leftChars="0" w:left="0" w:right="0"/>
            </w:pPr>
            <w:r>
              <w:t>TUNIS STOCK EXCHANGE (BOURSE DE TUNIS) - BONDS MARKET</w:t>
            </w:r>
          </w:p>
        </w:tc>
      </w:tr>
      <w:tr>
        <w:trPr>
          <w:cnfStyle w:evenHBand="false" w:oddHBand="true" w:firstRow="false"/>
        </w:trPr>
        <w:tc>
          <w:tcPr>
            <w:cnfStyle w:evenVBand="false" w:oddVBand="true" w:firstColumn="false"/>
            <w:tcW w:w="33.333333%" w:type="pct"/>
          </w:tcPr>
          <w:p>
            <w:pPr>
              <w:ind w:leftChars="0" w:left="0" w:right="0"/>
            </w:pPr>
            <w:r>
              <w:t>BULK</w:t>
            </w:r>
          </w:p>
        </w:tc>
        <w:tc>
          <w:tcPr>
            <w:cnfStyle w:evenVBand="true" w:oddVBand="false" w:firstColumn="false"/>
            <w:tcW w:w="33.333333%" w:type="pct"/>
          </w:tcPr>
          <w:p>
            <w:pPr>
              <w:ind w:leftChars="0" w:left="0" w:right="0"/>
            </w:pPr>
            <w:r>
              <w:t>BULK</w:t>
            </w:r>
          </w:p>
        </w:tc>
        <w:tc>
          <w:tcPr>
            <w:cnfStyle w:evenVBand="false" w:oddVBand="true" w:firstColumn="false"/>
            <w:tcW w:w="33.333333%" w:type="pct"/>
          </w:tcPr>
          <w:p>
            <w:pPr>
              <w:ind w:leftChars="0" w:left="0" w:right="0"/>
            </w:pPr>
            <w:r>
              <w:t>NASDAQ COMMODITIES - BULK COMMODITY</w:t>
            </w:r>
          </w:p>
        </w:tc>
      </w:tr>
      <w:tr>
        <w:trPr>
          <w:cnfStyle w:evenHBand="true" w:oddHBand="false" w:firstRow="false"/>
        </w:trPr>
        <w:tc>
          <w:tcPr>
            <w:cnfStyle w:evenVBand="false" w:oddVBand="true" w:firstColumn="false"/>
            <w:tcW w:w="33.333333%" w:type="pct"/>
          </w:tcPr>
          <w:p>
            <w:pPr>
              <w:ind w:leftChars="0" w:left="0" w:right="0"/>
            </w:pPr>
            <w:r>
              <w:t>BURG</w:t>
            </w:r>
          </w:p>
        </w:tc>
        <w:tc>
          <w:tcPr>
            <w:cnfStyle w:evenVBand="true" w:oddVBand="false" w:firstColumn="false"/>
            <w:tcW w:w="33.333333%" w:type="pct"/>
          </w:tcPr>
          <w:p>
            <w:pPr>
              <w:ind w:leftChars="0" w:left="0" w:right="0"/>
            </w:pPr>
            <w:r>
              <w:t>BURG</w:t>
            </w:r>
          </w:p>
        </w:tc>
        <w:tc>
          <w:tcPr>
            <w:cnfStyle w:evenVBand="false" w:oddVBand="true" w:firstColumn="false"/>
            <w:tcW w:w="33.333333%" w:type="pct"/>
          </w:tcPr>
          <w:p>
            <w:pPr>
              <w:ind w:leftChars="0" w:left="0" w:right="0"/>
            </w:pPr>
            <w:r>
              <w:t>BURGUNDY NORDIC MTF</w:t>
            </w:r>
          </w:p>
        </w:tc>
      </w:tr>
      <w:tr>
        <w:trPr>
          <w:cnfStyle w:evenHBand="false" w:oddHBand="true" w:firstRow="false"/>
        </w:trPr>
        <w:tc>
          <w:tcPr>
            <w:cnfStyle w:evenVBand="false" w:oddVBand="true" w:firstColumn="false"/>
            <w:tcW w:w="33.333333%" w:type="pct"/>
          </w:tcPr>
          <w:p>
            <w:pPr>
              <w:ind w:leftChars="0" w:left="0" w:right="0"/>
            </w:pPr>
            <w:r>
              <w:t>BURM</w:t>
            </w:r>
          </w:p>
        </w:tc>
        <w:tc>
          <w:tcPr>
            <w:cnfStyle w:evenVBand="true" w:oddVBand="false" w:firstColumn="false"/>
            <w:tcW w:w="33.333333%" w:type="pct"/>
          </w:tcPr>
          <w:p>
            <w:pPr>
              <w:ind w:leftChars="0" w:left="0" w:right="0"/>
            </w:pPr>
            <w:r>
              <w:t>BURM</w:t>
            </w:r>
          </w:p>
        </w:tc>
        <w:tc>
          <w:tcPr>
            <w:cnfStyle w:evenVBand="false" w:oddVBand="true" w:firstColumn="false"/>
            <w:tcW w:w="33.333333%" w:type="pct"/>
          </w:tcPr>
          <w:p>
            <w:pPr>
              <w:ind w:leftChars="0" w:left="0" w:right="0"/>
            </w:pPr>
            <w:r>
              <w:t>BURGUNDY REGULATED MARKET</w:t>
            </w:r>
          </w:p>
        </w:tc>
      </w:tr>
      <w:tr>
        <w:trPr>
          <w:cnfStyle w:evenHBand="true" w:oddHBand="false" w:firstRow="false"/>
        </w:trPr>
        <w:tc>
          <w:tcPr>
            <w:cnfStyle w:evenVBand="false" w:oddVBand="true" w:firstColumn="false"/>
            <w:tcW w:w="33.333333%" w:type="pct"/>
          </w:tcPr>
          <w:p>
            <w:pPr>
              <w:ind w:leftChars="0" w:left="0" w:right="0"/>
            </w:pPr>
            <w:r>
              <w:t>BUYN</w:t>
            </w:r>
          </w:p>
        </w:tc>
        <w:tc>
          <w:tcPr>
            <w:cnfStyle w:evenVBand="true" w:oddVBand="false" w:firstColumn="false"/>
            <w:tcW w:w="33.333333%" w:type="pct"/>
          </w:tcPr>
          <w:p>
            <w:pPr>
              <w:ind w:leftChars="0" w:left="0" w:right="0"/>
            </w:pPr>
            <w:r>
              <w:t>BUYN</w:t>
            </w:r>
          </w:p>
        </w:tc>
        <w:tc>
          <w:tcPr>
            <w:cnfStyle w:evenVBand="false" w:oddVBand="true" w:firstColumn="false"/>
            <w:tcW w:w="33.333333%" w:type="pct"/>
          </w:tcPr>
          <w:p>
            <w:pPr>
              <w:ind w:leftChars="0" w:left="0" w:right="0"/>
            </w:pPr>
            <w:r>
              <w:t>LCH LTD - BUY IN</w:t>
            </w:r>
          </w:p>
        </w:tc>
      </w:tr>
      <w:tr>
        <w:trPr>
          <w:cnfStyle w:evenHBand="false" w:oddHBand="true" w:firstRow="false"/>
        </w:trPr>
        <w:tc>
          <w:tcPr>
            <w:cnfStyle w:evenVBand="false" w:oddVBand="true" w:firstColumn="false"/>
            <w:tcW w:w="33.333333%" w:type="pct"/>
          </w:tcPr>
          <w:p>
            <w:pPr>
              <w:ind w:leftChars="0" w:left="0" w:right="0"/>
            </w:pPr>
            <w:r>
              <w:t>BVCA</w:t>
            </w:r>
          </w:p>
        </w:tc>
        <w:tc>
          <w:tcPr>
            <w:cnfStyle w:evenVBand="true" w:oddVBand="false" w:firstColumn="false"/>
            <w:tcW w:w="33.333333%" w:type="pct"/>
          </w:tcPr>
          <w:p>
            <w:pPr>
              <w:ind w:leftChars="0" w:left="0" w:right="0"/>
            </w:pPr>
            <w:r>
              <w:t>BVCA</w:t>
            </w:r>
          </w:p>
        </w:tc>
        <w:tc>
          <w:tcPr>
            <w:cnfStyle w:evenVBand="false" w:oddVBand="true" w:firstColumn="false"/>
            <w:tcW w:w="33.333333%" w:type="pct"/>
          </w:tcPr>
          <w:p>
            <w:pPr>
              <w:ind w:leftChars="0" w:left="0" w:right="0"/>
            </w:pPr>
            <w:r>
              <w:t>CARACAS STOCK EXCHANGE</w:t>
            </w:r>
          </w:p>
        </w:tc>
      </w:tr>
      <w:tr>
        <w:trPr>
          <w:cnfStyle w:evenHBand="true" w:oddHBand="false" w:firstRow="false"/>
        </w:trPr>
        <w:tc>
          <w:tcPr>
            <w:cnfStyle w:evenVBand="false" w:oddVBand="true" w:firstColumn="false"/>
            <w:tcW w:w="33.333333%" w:type="pct"/>
          </w:tcPr>
          <w:p>
            <w:pPr>
              <w:ind w:leftChars="0" w:left="0" w:right="0"/>
            </w:pPr>
            <w:r>
              <w:t>BVMF</w:t>
            </w:r>
          </w:p>
        </w:tc>
        <w:tc>
          <w:tcPr>
            <w:cnfStyle w:evenVBand="true" w:oddVBand="false" w:firstColumn="false"/>
            <w:tcW w:w="33.333333%" w:type="pct"/>
          </w:tcPr>
          <w:p>
            <w:pPr>
              <w:ind w:leftChars="0" w:left="0" w:right="0"/>
            </w:pPr>
            <w:r>
              <w:t>BVMF</w:t>
            </w:r>
          </w:p>
        </w:tc>
        <w:tc>
          <w:tcPr>
            <w:cnfStyle w:evenVBand="false" w:oddVBand="true" w:firstColumn="false"/>
            <w:tcW w:w="33.333333%" w:type="pct"/>
          </w:tcPr>
          <w:p>
            <w:pPr>
              <w:ind w:leftChars="0" w:left="0" w:right="0"/>
            </w:pPr>
            <w:r>
              <w:t>B3 S.A. - BRASIL BOLSA BALCAO</w:t>
            </w:r>
          </w:p>
        </w:tc>
      </w:tr>
      <w:tr>
        <w:trPr>
          <w:cnfStyle w:evenHBand="false" w:oddHBand="true" w:firstRow="false"/>
        </w:trPr>
        <w:tc>
          <w:tcPr>
            <w:cnfStyle w:evenVBand="false" w:oddVBand="true" w:firstColumn="false"/>
            <w:tcW w:w="33.333333%" w:type="pct"/>
          </w:tcPr>
          <w:p>
            <w:pPr>
              <w:ind w:leftChars="0" w:left="0" w:right="0"/>
            </w:pPr>
            <w:r>
              <w:t>BVUK</w:t>
            </w:r>
          </w:p>
        </w:tc>
        <w:tc>
          <w:tcPr>
            <w:cnfStyle w:evenVBand="true" w:oddVBand="false" w:firstColumn="false"/>
            <w:tcW w:w="33.333333%" w:type="pct"/>
          </w:tcPr>
          <w:p>
            <w:pPr>
              <w:ind w:leftChars="0" w:left="0" w:right="0"/>
            </w:pPr>
            <w:r>
              <w:t>BVUK</w:t>
            </w:r>
          </w:p>
        </w:tc>
        <w:tc>
          <w:tcPr>
            <w:cnfStyle w:evenVBand="false" w:oddVBand="true" w:firstColumn="false"/>
            <w:tcW w:w="33.333333%" w:type="pct"/>
          </w:tcPr>
          <w:p>
            <w:pPr>
              <w:ind w:leftChars="0" w:left="0" w:right="0"/>
            </w:pPr>
            <w:r>
              <w:t>BONDVISION UK</w:t>
            </w:r>
          </w:p>
        </w:tc>
      </w:tr>
      <w:tr>
        <w:trPr>
          <w:cnfStyle w:evenHBand="true" w:oddHBand="false" w:firstRow="false"/>
        </w:trPr>
        <w:tc>
          <w:tcPr>
            <w:cnfStyle w:evenVBand="false" w:oddVBand="true" w:firstColumn="false"/>
            <w:tcW w:w="33.333333%" w:type="pct"/>
          </w:tcPr>
          <w:p>
            <w:pPr>
              <w:ind w:leftChars="0" w:left="0" w:right="0"/>
            </w:pPr>
            <w:r>
              <w:t>BVUR</w:t>
            </w:r>
          </w:p>
        </w:tc>
        <w:tc>
          <w:tcPr>
            <w:cnfStyle w:evenVBand="true" w:oddVBand="false" w:firstColumn="false"/>
            <w:tcW w:w="33.333333%" w:type="pct"/>
          </w:tcPr>
          <w:p>
            <w:pPr>
              <w:ind w:leftChars="0" w:left="0" w:right="0"/>
            </w:pPr>
            <w:r>
              <w:t>BVUR</w:t>
            </w:r>
          </w:p>
        </w:tc>
        <w:tc>
          <w:tcPr>
            <w:cnfStyle w:evenVBand="false" w:oddVBand="true" w:firstColumn="false"/>
            <w:tcW w:w="33.333333%" w:type="pct"/>
          </w:tcPr>
          <w:p>
            <w:pPr>
              <w:ind w:leftChars="0" w:left="0" w:right="0"/>
            </w:pPr>
            <w:r>
              <w:t>BOLSA ELECTRONICA DE VALORES DEL URUGUAY</w:t>
            </w:r>
          </w:p>
        </w:tc>
      </w:tr>
      <w:tr>
        <w:trPr>
          <w:cnfStyle w:evenHBand="false" w:oddHBand="true" w:firstRow="false"/>
        </w:trPr>
        <w:tc>
          <w:tcPr>
            <w:cnfStyle w:evenVBand="false" w:oddVBand="true" w:firstColumn="false"/>
            <w:tcW w:w="33.333333%" w:type="pct"/>
          </w:tcPr>
          <w:p>
            <w:pPr>
              <w:ind w:leftChars="0" w:left="0" w:right="0"/>
            </w:pPr>
            <w:r>
              <w:t>BVUS</w:t>
            </w:r>
          </w:p>
        </w:tc>
        <w:tc>
          <w:tcPr>
            <w:cnfStyle w:evenVBand="true" w:oddVBand="false" w:firstColumn="false"/>
            <w:tcW w:w="33.333333%" w:type="pct"/>
          </w:tcPr>
          <w:p>
            <w:pPr>
              <w:ind w:leftChars="0" w:left="0" w:right="0"/>
            </w:pPr>
            <w:r>
              <w:t>BVUS</w:t>
            </w:r>
          </w:p>
        </w:tc>
        <w:tc>
          <w:tcPr>
            <w:cnfStyle w:evenVBand="false" w:oddVBand="true" w:firstColumn="false"/>
            <w:tcW w:w="33.333333%" w:type="pct"/>
          </w:tcPr>
          <w:p>
            <w:pPr>
              <w:ind w:leftChars="0" w:left="0" w:right="0"/>
            </w:pPr>
            <w:r>
              <w:t>BONDVISION US</w:t>
            </w:r>
          </w:p>
        </w:tc>
      </w:tr>
      <w:tr>
        <w:trPr>
          <w:cnfStyle w:evenHBand="true" w:oddHBand="false" w:firstRow="false"/>
        </w:trPr>
        <w:tc>
          <w:tcPr>
            <w:cnfStyle w:evenVBand="false" w:oddVBand="true" w:firstColumn="false"/>
            <w:tcW w:w="33.333333%" w:type="pct"/>
          </w:tcPr>
          <w:p>
            <w:pPr>
              <w:ind w:leftChars="0" w:left="0" w:right="0"/>
            </w:pPr>
            <w:r>
              <w:t>BYXD</w:t>
            </w:r>
          </w:p>
        </w:tc>
        <w:tc>
          <w:tcPr>
            <w:cnfStyle w:evenVBand="true" w:oddVBand="false" w:firstColumn="false"/>
            <w:tcW w:w="33.333333%" w:type="pct"/>
          </w:tcPr>
          <w:p>
            <w:pPr>
              <w:ind w:leftChars="0" w:left="0" w:right="0"/>
            </w:pPr>
            <w:r>
              <w:t>BYXD</w:t>
            </w:r>
          </w:p>
        </w:tc>
        <w:tc>
          <w:tcPr>
            <w:cnfStyle w:evenVBand="false" w:oddVBand="true" w:firstColumn="false"/>
            <w:tcW w:w="33.333333%" w:type="pct"/>
          </w:tcPr>
          <w:p>
            <w:pPr>
              <w:ind w:leftChars="0" w:left="0" w:right="0"/>
            </w:pPr>
            <w:r>
              <w:t>CBOE BYX U.S. EQUITIES EXCHANGE DARK</w:t>
            </w:r>
          </w:p>
        </w:tc>
      </w:tr>
      <w:tr>
        <w:trPr>
          <w:cnfStyle w:evenHBand="false" w:oddHBand="true" w:firstRow="false"/>
        </w:trPr>
        <w:tc>
          <w:tcPr>
            <w:cnfStyle w:evenVBand="false" w:oddVBand="true" w:firstColumn="false"/>
            <w:tcW w:w="33.333333%" w:type="pct"/>
          </w:tcPr>
          <w:p>
            <w:pPr>
              <w:ind w:leftChars="0" w:left="0" w:right="0"/>
            </w:pPr>
            <w:r>
              <w:t>BZXD</w:t>
            </w:r>
          </w:p>
        </w:tc>
        <w:tc>
          <w:tcPr>
            <w:cnfStyle w:evenVBand="true" w:oddVBand="false" w:firstColumn="false"/>
            <w:tcW w:w="33.333333%" w:type="pct"/>
          </w:tcPr>
          <w:p>
            <w:pPr>
              <w:ind w:leftChars="0" w:left="0" w:right="0"/>
            </w:pPr>
            <w:r>
              <w:t>BZXD</w:t>
            </w:r>
          </w:p>
        </w:tc>
        <w:tc>
          <w:tcPr>
            <w:cnfStyle w:evenVBand="false" w:oddVBand="true" w:firstColumn="false"/>
            <w:tcW w:w="33.333333%" w:type="pct"/>
          </w:tcPr>
          <w:p>
            <w:pPr>
              <w:ind w:leftChars="0" w:left="0" w:right="0"/>
            </w:pPr>
            <w:r>
              <w:t>CBOE BZX U.S. EQUITIES EXCHANGE DARK</w:t>
            </w:r>
          </w:p>
        </w:tc>
      </w:tr>
      <w:tr>
        <w:trPr>
          <w:cnfStyle w:evenHBand="true" w:oddHBand="false" w:firstRow="false"/>
        </w:trPr>
        <w:tc>
          <w:tcPr>
            <w:cnfStyle w:evenVBand="false" w:oddVBand="true" w:firstColumn="false"/>
            <w:tcW w:w="33.333333%" w:type="pct"/>
          </w:tcPr>
          <w:p>
            <w:pPr>
              <w:ind w:leftChars="0" w:left="0" w:right="0"/>
            </w:pPr>
            <w:r>
              <w:t>C2OX</w:t>
            </w:r>
          </w:p>
        </w:tc>
        <w:tc>
          <w:tcPr>
            <w:cnfStyle w:evenVBand="true" w:oddVBand="false" w:firstColumn="false"/>
            <w:tcW w:w="33.333333%" w:type="pct"/>
          </w:tcPr>
          <w:p>
            <w:pPr>
              <w:ind w:leftChars="0" w:left="0" w:right="0"/>
            </w:pPr>
            <w:r>
              <w:t>C2OX</w:t>
            </w:r>
          </w:p>
        </w:tc>
        <w:tc>
          <w:tcPr>
            <w:cnfStyle w:evenVBand="false" w:oddVBand="true" w:firstColumn="false"/>
            <w:tcW w:w="33.333333%" w:type="pct"/>
          </w:tcPr>
          <w:p>
            <w:pPr>
              <w:ind w:leftChars="0" w:left="0" w:right="0"/>
            </w:pPr>
            <w:r>
              <w:t>CBOE C2 OPTIONS EXCHANGE</w:t>
            </w:r>
          </w:p>
        </w:tc>
      </w:tr>
      <w:tr>
        <w:trPr>
          <w:cnfStyle w:evenHBand="false" w:oddHBand="true" w:firstRow="false"/>
        </w:trPr>
        <w:tc>
          <w:tcPr>
            <w:cnfStyle w:evenVBand="false" w:oddVBand="true" w:firstColumn="false"/>
            <w:tcW w:w="33.333333%" w:type="pct"/>
          </w:tcPr>
          <w:p>
            <w:pPr>
              <w:ind w:leftChars="0" w:left="0" w:right="0"/>
            </w:pPr>
            <w:r>
              <w:t>CABK</w:t>
            </w:r>
          </w:p>
        </w:tc>
        <w:tc>
          <w:tcPr>
            <w:cnfStyle w:evenVBand="true" w:oddVBand="false" w:firstColumn="false"/>
            <w:tcW w:w="33.333333%" w:type="pct"/>
          </w:tcPr>
          <w:p>
            <w:pPr>
              <w:ind w:leftChars="0" w:left="0" w:right="0"/>
            </w:pPr>
            <w:r>
              <w:t>CABK</w:t>
            </w:r>
          </w:p>
        </w:tc>
        <w:tc>
          <w:tcPr>
            <w:cnfStyle w:evenVBand="false" w:oddVBand="true" w:firstColumn="false"/>
            <w:tcW w:w="33.333333%" w:type="pct"/>
          </w:tcPr>
          <w:p>
            <w:pPr>
              <w:ind w:leftChars="0" w:left="0" w:right="0"/>
            </w:pPr>
            <w:r>
              <w:t>CAIXABANK - SYSTEMATIC INTERNALISER</w:t>
            </w:r>
          </w:p>
        </w:tc>
      </w:tr>
      <w:tr>
        <w:trPr>
          <w:cnfStyle w:evenHBand="true" w:oddHBand="false" w:firstRow="false"/>
        </w:trPr>
        <w:tc>
          <w:tcPr>
            <w:cnfStyle w:evenVBand="false" w:oddVBand="true" w:firstColumn="false"/>
            <w:tcW w:w="33.333333%" w:type="pct"/>
          </w:tcPr>
          <w:p>
            <w:pPr>
              <w:ind w:leftChars="0" w:left="0" w:right="0"/>
            </w:pPr>
            <w:r>
              <w:t>CABV</w:t>
            </w:r>
          </w:p>
        </w:tc>
        <w:tc>
          <w:tcPr>
            <w:cnfStyle w:evenVBand="true" w:oddVBand="false" w:firstColumn="false"/>
            <w:tcW w:w="33.333333%" w:type="pct"/>
          </w:tcPr>
          <w:p>
            <w:pPr>
              <w:ind w:leftChars="0" w:left="0" w:right="0"/>
            </w:pPr>
            <w:r>
              <w:t>CABV</w:t>
            </w:r>
          </w:p>
        </w:tc>
        <w:tc>
          <w:tcPr>
            <w:cnfStyle w:evenVBand="false" w:oddVBand="true" w:firstColumn="false"/>
            <w:tcW w:w="33.333333%" w:type="pct"/>
          </w:tcPr>
          <w:p>
            <w:pPr>
              <w:ind w:leftChars="0" w:left="0" w:right="0"/>
            </w:pPr>
            <w:r>
              <w:t>CME AMSTERDAM B.V. - APA</w:t>
            </w:r>
          </w:p>
        </w:tc>
      </w:tr>
      <w:tr>
        <w:trPr>
          <w:cnfStyle w:evenHBand="false" w:oddHBand="true" w:firstRow="false"/>
        </w:trPr>
        <w:tc>
          <w:tcPr>
            <w:cnfStyle w:evenVBand="false" w:oddVBand="true" w:firstColumn="false"/>
            <w:tcW w:w="33.333333%" w:type="pct"/>
          </w:tcPr>
          <w:p>
            <w:pPr>
              <w:ind w:leftChars="0" w:left="0" w:right="0"/>
            </w:pPr>
            <w:r>
              <w:t>CAES</w:t>
            </w:r>
          </w:p>
        </w:tc>
        <w:tc>
          <w:tcPr>
            <w:cnfStyle w:evenVBand="true" w:oddVBand="false" w:firstColumn="false"/>
            <w:tcW w:w="33.333333%" w:type="pct"/>
          </w:tcPr>
          <w:p>
            <w:pPr>
              <w:ind w:leftChars="0" w:left="0" w:right="0"/>
            </w:pPr>
            <w:r>
              <w:t>CAES</w:t>
            </w:r>
          </w:p>
        </w:tc>
        <w:tc>
          <w:tcPr>
            <w:cnfStyle w:evenVBand="false" w:oddVBand="true" w:firstColumn="false"/>
            <w:tcW w:w="33.333333%" w:type="pct"/>
          </w:tcPr>
          <w:p>
            <w:pPr>
              <w:ind w:leftChars="0" w:left="0" w:right="0"/>
            </w:pPr>
            <w:r>
              <w:t>CREDIT SUISSE AES CROSSFINDER</w:t>
            </w:r>
          </w:p>
        </w:tc>
      </w:tr>
      <w:tr>
        <w:trPr>
          <w:cnfStyle w:evenHBand="true" w:oddHBand="false" w:firstRow="false"/>
        </w:trPr>
        <w:tc>
          <w:tcPr>
            <w:cnfStyle w:evenVBand="false" w:oddVBand="true" w:firstColumn="false"/>
            <w:tcW w:w="33.333333%" w:type="pct"/>
          </w:tcPr>
          <w:p>
            <w:pPr>
              <w:ind w:leftChars="0" w:left="0" w:right="0"/>
            </w:pPr>
            <w:r>
              <w:t>CALH</w:t>
            </w:r>
          </w:p>
        </w:tc>
        <w:tc>
          <w:tcPr>
            <w:cnfStyle w:evenVBand="true" w:oddVBand="false" w:firstColumn="false"/>
            <w:tcW w:w="33.333333%" w:type="pct"/>
          </w:tcPr>
          <w:p>
            <w:pPr>
              <w:ind w:leftChars="0" w:left="0" w:right="0"/>
            </w:pPr>
            <w:r>
              <w:t>CALH</w:t>
            </w:r>
          </w:p>
        </w:tc>
        <w:tc>
          <w:tcPr>
            <w:cnfStyle w:evenVBand="false" w:oddVBand="true" w:firstColumn="false"/>
            <w:tcW w:w="33.333333%" w:type="pct"/>
          </w:tcPr>
          <w:p>
            <w:pPr>
              <w:ind w:leftChars="0" w:left="0" w:right="0"/>
            </w:pPr>
            <w:r>
              <w:t>CLSA AMERICAS - LIQUIDITY HUB</w:t>
            </w:r>
          </w:p>
        </w:tc>
      </w:tr>
      <w:tr>
        <w:trPr>
          <w:cnfStyle w:evenHBand="false" w:oddHBand="true" w:firstRow="false"/>
        </w:trPr>
        <w:tc>
          <w:tcPr>
            <w:cnfStyle w:evenVBand="false" w:oddVBand="true" w:firstColumn="false"/>
            <w:tcW w:w="33.333333%" w:type="pct"/>
          </w:tcPr>
          <w:p>
            <w:pPr>
              <w:ind w:leftChars="0" w:left="0" w:right="0"/>
            </w:pPr>
            <w:r>
              <w:t>CAND</w:t>
            </w:r>
          </w:p>
        </w:tc>
        <w:tc>
          <w:tcPr>
            <w:cnfStyle w:evenVBand="true" w:oddVBand="false" w:firstColumn="false"/>
            <w:tcW w:w="33.333333%" w:type="pct"/>
          </w:tcPr>
          <w:p>
            <w:pPr>
              <w:ind w:leftChars="0" w:left="0" w:right="0"/>
            </w:pPr>
            <w:r>
              <w:t>CAND</w:t>
            </w:r>
          </w:p>
        </w:tc>
        <w:tc>
          <w:tcPr>
            <w:cnfStyle w:evenVBand="false" w:oddVBand="true" w:firstColumn="false"/>
            <w:tcW w:w="33.333333%" w:type="pct"/>
          </w:tcPr>
          <w:p>
            <w:pPr>
              <w:ind w:leftChars="0" w:left="0" w:right="0"/>
            </w:pPr>
            <w:r>
              <w:t>CANDEAL.CA INC</w:t>
            </w:r>
          </w:p>
        </w:tc>
      </w:tr>
      <w:tr>
        <w:trPr>
          <w:cnfStyle w:evenHBand="true" w:oddHBand="false" w:firstRow="false"/>
        </w:trPr>
        <w:tc>
          <w:tcPr>
            <w:cnfStyle w:evenVBand="false" w:oddVBand="true" w:firstColumn="false"/>
            <w:tcW w:w="33.333333%" w:type="pct"/>
          </w:tcPr>
          <w:p>
            <w:pPr>
              <w:ind w:leftChars="0" w:left="0" w:right="0"/>
            </w:pPr>
            <w:r>
              <w:t>CANX</w:t>
            </w:r>
          </w:p>
        </w:tc>
        <w:tc>
          <w:tcPr>
            <w:cnfStyle w:evenVBand="true" w:oddVBand="false" w:firstColumn="false"/>
            <w:tcW w:w="33.333333%" w:type="pct"/>
          </w:tcPr>
          <w:p>
            <w:pPr>
              <w:ind w:leftChars="0" w:left="0" w:right="0"/>
            </w:pPr>
            <w:r>
              <w:t>CANX</w:t>
            </w:r>
          </w:p>
        </w:tc>
        <w:tc>
          <w:tcPr>
            <w:cnfStyle w:evenVBand="false" w:oddVBand="true" w:firstColumn="false"/>
            <w:tcW w:w="33.333333%" w:type="pct"/>
          </w:tcPr>
          <w:p>
            <w:pPr>
              <w:ind w:leftChars="0" w:left="0" w:right="0"/>
            </w:pPr>
            <w:r>
              <w:t>CANNEX FINANCIAL EXCHANGE LTS</w:t>
            </w:r>
          </w:p>
        </w:tc>
      </w:tr>
      <w:tr>
        <w:trPr>
          <w:cnfStyle w:evenHBand="false" w:oddHBand="true" w:firstRow="false"/>
        </w:trPr>
        <w:tc>
          <w:tcPr>
            <w:cnfStyle w:evenVBand="false" w:oddVBand="true" w:firstColumn="false"/>
            <w:tcW w:w="33.333333%" w:type="pct"/>
          </w:tcPr>
          <w:p>
            <w:pPr>
              <w:ind w:leftChars="0" w:left="0" w:right="0"/>
            </w:pPr>
            <w:r>
              <w:t>CAPA</w:t>
            </w:r>
          </w:p>
        </w:tc>
        <w:tc>
          <w:tcPr>
            <w:cnfStyle w:evenVBand="true" w:oddVBand="false" w:firstColumn="false"/>
            <w:tcW w:w="33.333333%" w:type="pct"/>
          </w:tcPr>
          <w:p>
            <w:pPr>
              <w:ind w:leftChars="0" w:left="0" w:right="0"/>
            </w:pPr>
            <w:r>
              <w:t>CAPA</w:t>
            </w:r>
          </w:p>
        </w:tc>
        <w:tc>
          <w:tcPr>
            <w:cnfStyle w:evenVBand="false" w:oddVBand="true" w:firstColumn="false"/>
            <w:tcW w:w="33.333333%" w:type="pct"/>
          </w:tcPr>
          <w:p>
            <w:pPr>
              <w:ind w:leftChars="0" w:left="0" w:right="0"/>
            </w:pPr>
            <w:r>
              <w:t>CBOE EUROPE - APA (NL)</w:t>
            </w:r>
          </w:p>
        </w:tc>
      </w:tr>
      <w:tr>
        <w:trPr>
          <w:cnfStyle w:evenHBand="true" w:oddHBand="false" w:firstRow="false"/>
        </w:trPr>
        <w:tc>
          <w:tcPr>
            <w:cnfStyle w:evenVBand="false" w:oddVBand="true" w:firstColumn="false"/>
            <w:tcW w:w="33.333333%" w:type="pct"/>
          </w:tcPr>
          <w:p>
            <w:pPr>
              <w:ind w:leftChars="0" w:left="0" w:right="0"/>
            </w:pPr>
            <w:r>
              <w:t>CAPI</w:t>
            </w:r>
          </w:p>
        </w:tc>
        <w:tc>
          <w:tcPr>
            <w:cnfStyle w:evenVBand="true" w:oddVBand="false" w:firstColumn="false"/>
            <w:tcW w:w="33.333333%" w:type="pct"/>
          </w:tcPr>
          <w:p>
            <w:pPr>
              <w:ind w:leftChars="0" w:left="0" w:right="0"/>
            </w:pPr>
            <w:r>
              <w:t>CAPI</w:t>
            </w:r>
          </w:p>
        </w:tc>
        <w:tc>
          <w:tcPr>
            <w:cnfStyle w:evenVBand="false" w:oddVBand="true" w:firstColumn="false"/>
            <w:tcW w:w="33.333333%" w:type="pct"/>
          </w:tcPr>
          <w:p>
            <w:pPr>
              <w:ind w:leftChars="0" w:left="0" w:right="0"/>
            </w:pPr>
            <w:r>
              <w:t>CAPI - OTF</w:t>
            </w:r>
          </w:p>
        </w:tc>
      </w:tr>
      <w:tr>
        <w:trPr>
          <w:cnfStyle w:evenHBand="false" w:oddHBand="true" w:firstRow="false"/>
        </w:trPr>
        <w:tc>
          <w:tcPr>
            <w:cnfStyle w:evenVBand="false" w:oddVBand="true" w:firstColumn="false"/>
            <w:tcW w:w="33.333333%" w:type="pct"/>
          </w:tcPr>
          <w:p>
            <w:pPr>
              <w:ind w:leftChars="0" w:left="0" w:right="0"/>
            </w:pPr>
            <w:r>
              <w:t>CAPL</w:t>
            </w:r>
          </w:p>
        </w:tc>
        <w:tc>
          <w:tcPr>
            <w:cnfStyle w:evenVBand="true" w:oddVBand="false" w:firstColumn="false"/>
            <w:tcW w:w="33.333333%" w:type="pct"/>
          </w:tcPr>
          <w:p>
            <w:pPr>
              <w:ind w:leftChars="0" w:left="0" w:right="0"/>
            </w:pPr>
            <w:r>
              <w:t>CAPL</w:t>
            </w:r>
          </w:p>
        </w:tc>
        <w:tc>
          <w:tcPr>
            <w:cnfStyle w:evenVBand="false" w:oddVBand="true" w:firstColumn="false"/>
            <w:tcW w:w="33.333333%" w:type="pct"/>
          </w:tcPr>
          <w:p>
            <w:pPr>
              <w:ind w:leftChars="0" w:left="0" w:right="0"/>
            </w:pPr>
            <w:r>
              <w:t>CREDIT AGRICOLE BANK POLSKA S.A. - SYSTEMATIC INTERNALISER</w:t>
            </w:r>
          </w:p>
        </w:tc>
      </w:tr>
      <w:tr>
        <w:trPr>
          <w:cnfStyle w:evenHBand="true" w:oddHBand="false" w:firstRow="false"/>
        </w:trPr>
        <w:tc>
          <w:tcPr>
            <w:cnfStyle w:evenVBand="false" w:oddVBand="true" w:firstColumn="false"/>
            <w:tcW w:w="33.333333%" w:type="pct"/>
          </w:tcPr>
          <w:p>
            <w:pPr>
              <w:ind w:leftChars="0" w:left="0" w:right="0"/>
            </w:pPr>
            <w:r>
              <w:t>CASI</w:t>
            </w:r>
          </w:p>
        </w:tc>
        <w:tc>
          <w:tcPr>
            <w:cnfStyle w:evenVBand="true" w:oddVBand="false" w:firstColumn="false"/>
            <w:tcW w:w="33.333333%" w:type="pct"/>
          </w:tcPr>
          <w:p>
            <w:pPr>
              <w:ind w:leftChars="0" w:left="0" w:right="0"/>
            </w:pPr>
            <w:r>
              <w:t>CASI</w:t>
            </w:r>
          </w:p>
        </w:tc>
        <w:tc>
          <w:tcPr>
            <w:cnfStyle w:evenVBand="false" w:oddVBand="true" w:firstColumn="false"/>
            <w:tcW w:w="33.333333%" w:type="pct"/>
          </w:tcPr>
          <w:p>
            <w:pPr>
              <w:ind w:leftChars="0" w:left="0" w:right="0"/>
            </w:pPr>
            <w:r>
              <w:t>CARNEGIE INVESTMENT BANK AB - SYSTEMATIC INTERNALISER</w:t>
            </w:r>
          </w:p>
        </w:tc>
      </w:tr>
      <w:tr>
        <w:trPr>
          <w:cnfStyle w:evenHBand="false" w:oddHBand="true" w:firstRow="false"/>
        </w:trPr>
        <w:tc>
          <w:tcPr>
            <w:cnfStyle w:evenVBand="false" w:oddVBand="true" w:firstColumn="false"/>
            <w:tcW w:w="33.333333%" w:type="pct"/>
          </w:tcPr>
          <w:p>
            <w:pPr>
              <w:ind w:leftChars="0" w:left="0" w:right="0"/>
            </w:pPr>
            <w:r>
              <w:t>CATS</w:t>
            </w:r>
          </w:p>
        </w:tc>
        <w:tc>
          <w:tcPr>
            <w:cnfStyle w:evenVBand="true" w:oddVBand="false" w:firstColumn="false"/>
            <w:tcW w:w="33.333333%" w:type="pct"/>
          </w:tcPr>
          <w:p>
            <w:pPr>
              <w:ind w:leftChars="0" w:left="0" w:right="0"/>
            </w:pPr>
            <w:r>
              <w:t>CATS</w:t>
            </w:r>
          </w:p>
        </w:tc>
        <w:tc>
          <w:tcPr>
            <w:cnfStyle w:evenVBand="false" w:oddVBand="true" w:firstColumn="false"/>
            <w:tcW w:w="33.333333%" w:type="pct"/>
          </w:tcPr>
          <w:p>
            <w:pPr>
              <w:ind w:leftChars="0" w:left="0" w:right="0"/>
            </w:pPr>
            <w:r>
              <w:t>CATS</w:t>
            </w:r>
          </w:p>
        </w:tc>
      </w:tr>
      <w:tr>
        <w:trPr>
          <w:cnfStyle w:evenHBand="true" w:oddHBand="false" w:firstRow="false"/>
        </w:trPr>
        <w:tc>
          <w:tcPr>
            <w:cnfStyle w:evenVBand="false" w:oddVBand="true" w:firstColumn="false"/>
            <w:tcW w:w="33.333333%" w:type="pct"/>
          </w:tcPr>
          <w:p>
            <w:pPr>
              <w:ind w:leftChars="0" w:left="0" w:right="0"/>
            </w:pPr>
            <w:r>
              <w:t>CAVD</w:t>
            </w:r>
          </w:p>
        </w:tc>
        <w:tc>
          <w:tcPr>
            <w:cnfStyle w:evenVBand="true" w:oddVBand="false" w:firstColumn="false"/>
            <w:tcW w:w="33.333333%" w:type="pct"/>
          </w:tcPr>
          <w:p>
            <w:pPr>
              <w:ind w:leftChars="0" w:left="0" w:right="0"/>
            </w:pPr>
            <w:r>
              <w:t>CAVD</w:t>
            </w:r>
          </w:p>
        </w:tc>
        <w:tc>
          <w:tcPr>
            <w:cnfStyle w:evenVBand="false" w:oddVBand="true" w:firstColumn="false"/>
            <w:tcW w:w="33.333333%" w:type="pct"/>
          </w:tcPr>
          <w:p>
            <w:pPr>
              <w:ind w:leftChars="0" w:left="0" w:right="0"/>
            </w:pPr>
            <w:r>
              <w:t>CAVENDISH MARKETS B.V.</w:t>
            </w:r>
          </w:p>
        </w:tc>
      </w:tr>
      <w:tr>
        <w:trPr>
          <w:cnfStyle w:evenHBand="false" w:oddHBand="true" w:firstRow="false"/>
        </w:trPr>
        <w:tc>
          <w:tcPr>
            <w:cnfStyle w:evenVBand="false" w:oddVBand="true" w:firstColumn="false"/>
            <w:tcW w:w="33.333333%" w:type="pct"/>
          </w:tcPr>
          <w:p>
            <w:pPr>
              <w:ind w:leftChars="0" w:left="0" w:right="0"/>
            </w:pPr>
            <w:r>
              <w:t>CAVE</w:t>
            </w:r>
          </w:p>
        </w:tc>
        <w:tc>
          <w:tcPr>
            <w:cnfStyle w:evenVBand="true" w:oddVBand="false" w:firstColumn="false"/>
            <w:tcW w:w="33.333333%" w:type="pct"/>
          </w:tcPr>
          <w:p>
            <w:pPr>
              <w:ind w:leftChars="0" w:left="0" w:right="0"/>
            </w:pPr>
            <w:r>
              <w:t>CAVE</w:t>
            </w:r>
          </w:p>
        </w:tc>
        <w:tc>
          <w:tcPr>
            <w:cnfStyle w:evenVBand="false" w:oddVBand="true" w:firstColumn="false"/>
            <w:tcW w:w="33.333333%" w:type="pct"/>
          </w:tcPr>
          <w:p>
            <w:pPr>
              <w:ind w:leftChars="0" w:left="0" w:right="0"/>
            </w:pPr>
            <w:r>
              <w:t>CAVEAT EMPTOR</w:t>
            </w:r>
          </w:p>
        </w:tc>
      </w:tr>
      <w:tr>
        <w:trPr>
          <w:cnfStyle w:evenHBand="true" w:oddHBand="false" w:firstRow="false"/>
        </w:trPr>
        <w:tc>
          <w:tcPr>
            <w:cnfStyle w:evenVBand="false" w:oddVBand="true" w:firstColumn="false"/>
            <w:tcW w:w="33.333333%" w:type="pct"/>
          </w:tcPr>
          <w:p>
            <w:pPr>
              <w:ind w:leftChars="0" w:left="0" w:right="0"/>
            </w:pPr>
            <w:r>
              <w:t>CAZE</w:t>
            </w:r>
          </w:p>
        </w:tc>
        <w:tc>
          <w:tcPr>
            <w:cnfStyle w:evenVBand="true" w:oddVBand="false" w:firstColumn="false"/>
            <w:tcW w:w="33.333333%" w:type="pct"/>
          </w:tcPr>
          <w:p>
            <w:pPr>
              <w:ind w:leftChars="0" w:left="0" w:right="0"/>
            </w:pPr>
            <w:r>
              <w:t>CAZE</w:t>
            </w:r>
          </w:p>
        </w:tc>
        <w:tc>
          <w:tcPr>
            <w:cnfStyle w:evenVBand="false" w:oddVBand="true" w:firstColumn="false"/>
            <w:tcW w:w="33.333333%" w:type="pct"/>
          </w:tcPr>
          <w:p>
            <w:pPr>
              <w:ind w:leftChars="0" w:left="0" w:right="0"/>
            </w:pPr>
            <w:r>
              <w:t>THE CAZENOVE MTF</w:t>
            </w:r>
          </w:p>
        </w:tc>
      </w:tr>
      <w:tr>
        <w:trPr>
          <w:cnfStyle w:evenHBand="false" w:oddHBand="true" w:firstRow="false"/>
        </w:trPr>
        <w:tc>
          <w:tcPr>
            <w:cnfStyle w:evenVBand="false" w:oddVBand="true" w:firstColumn="false"/>
            <w:tcW w:w="33.333333%" w:type="pct"/>
          </w:tcPr>
          <w:p>
            <w:pPr>
              <w:ind w:leftChars="0" w:left="0" w:right="0"/>
            </w:pPr>
            <w:r>
              <w:t>CBAE</w:t>
            </w:r>
          </w:p>
        </w:tc>
        <w:tc>
          <w:tcPr>
            <w:cnfStyle w:evenVBand="true" w:oddVBand="false" w:firstColumn="false"/>
            <w:tcW w:w="33.333333%" w:type="pct"/>
          </w:tcPr>
          <w:p>
            <w:pPr>
              <w:ind w:leftChars="0" w:left="0" w:right="0"/>
            </w:pPr>
            <w:r>
              <w:t>CBAE</w:t>
            </w:r>
          </w:p>
        </w:tc>
        <w:tc>
          <w:tcPr>
            <w:cnfStyle w:evenVBand="false" w:oddVBand="true" w:firstColumn="false"/>
            <w:tcW w:w="33.333333%" w:type="pct"/>
          </w:tcPr>
          <w:p>
            <w:pPr>
              <w:ind w:leftChars="0" w:left="0" w:right="0"/>
            </w:pPr>
            <w:r>
              <w:t>COMMONWEALTH BANK OF AUSTRALIA (EUROPE) N.V. - SYSTEMATIC INTERNALISER</w:t>
            </w:r>
          </w:p>
        </w:tc>
      </w:tr>
      <w:tr>
        <w:trPr>
          <w:cnfStyle w:evenHBand="true" w:oddHBand="false" w:firstRow="false"/>
        </w:trPr>
        <w:tc>
          <w:tcPr>
            <w:cnfStyle w:evenVBand="false" w:oddVBand="true" w:firstColumn="false"/>
            <w:tcW w:w="33.333333%" w:type="pct"/>
          </w:tcPr>
          <w:p>
            <w:pPr>
              <w:ind w:leftChars="0" w:left="0" w:right="0"/>
            </w:pPr>
            <w:r>
              <w:t>CBAL</w:t>
            </w:r>
          </w:p>
        </w:tc>
        <w:tc>
          <w:tcPr>
            <w:cnfStyle w:evenVBand="true" w:oddVBand="false" w:firstColumn="false"/>
            <w:tcW w:w="33.333333%" w:type="pct"/>
          </w:tcPr>
          <w:p>
            <w:pPr>
              <w:ind w:leftChars="0" w:left="0" w:right="0"/>
            </w:pPr>
            <w:r>
              <w:t>CBAL</w:t>
            </w:r>
          </w:p>
        </w:tc>
        <w:tc>
          <w:tcPr>
            <w:cnfStyle w:evenVBand="false" w:oddVBand="true" w:firstColumn="false"/>
            <w:tcW w:w="33.333333%" w:type="pct"/>
          </w:tcPr>
          <w:p>
            <w:pPr>
              <w:ind w:leftChars="0" w:left="0" w:right="0"/>
            </w:pPr>
            <w:r>
              <w:t>COMMONWEALTH BANK OF AUSTRALIA - LONDON BRANCH - SYSTEMATIC INTERNALISER</w:t>
            </w:r>
          </w:p>
        </w:tc>
      </w:tr>
      <w:tr>
        <w:trPr>
          <w:cnfStyle w:evenHBand="false" w:oddHBand="true" w:firstRow="false"/>
        </w:trPr>
        <w:tc>
          <w:tcPr>
            <w:cnfStyle w:evenVBand="false" w:oddVBand="true" w:firstColumn="false"/>
            <w:tcW w:w="33.333333%" w:type="pct"/>
          </w:tcPr>
          <w:p>
            <w:pPr>
              <w:ind w:leftChars="0" w:left="0" w:right="0"/>
            </w:pPr>
            <w:r>
              <w:t>CBKA</w:t>
            </w:r>
          </w:p>
        </w:tc>
        <w:tc>
          <w:tcPr>
            <w:cnfStyle w:evenVBand="true" w:oddVBand="false" w:firstColumn="false"/>
            <w:tcW w:w="33.333333%" w:type="pct"/>
          </w:tcPr>
          <w:p>
            <w:pPr>
              <w:ind w:leftChars="0" w:left="0" w:right="0"/>
            </w:pPr>
            <w:r>
              <w:t>CBKA</w:t>
            </w:r>
          </w:p>
        </w:tc>
        <w:tc>
          <w:tcPr>
            <w:cnfStyle w:evenVBand="false" w:oddVBand="true" w:firstColumn="false"/>
            <w:tcW w:w="33.333333%" w:type="pct"/>
          </w:tcPr>
          <w:p>
            <w:pPr>
              <w:ind w:leftChars="0" w:left="0" w:right="0"/>
            </w:pPr>
            <w:r>
              <w:t>COMMERZBANK AG</w:t>
            </w:r>
          </w:p>
        </w:tc>
      </w:tr>
      <w:tr>
        <w:trPr>
          <w:cnfStyle w:evenHBand="true" w:oddHBand="false" w:firstRow="false"/>
        </w:trPr>
        <w:tc>
          <w:tcPr>
            <w:cnfStyle w:evenVBand="false" w:oddVBand="true" w:firstColumn="false"/>
            <w:tcW w:w="33.333333%" w:type="pct"/>
          </w:tcPr>
          <w:p>
            <w:pPr>
              <w:ind w:leftChars="0" w:left="0" w:right="0"/>
            </w:pPr>
            <w:r>
              <w:t>CBKC</w:t>
            </w:r>
          </w:p>
        </w:tc>
        <w:tc>
          <w:tcPr>
            <w:cnfStyle w:evenVBand="true" w:oddVBand="false" w:firstColumn="false"/>
            <w:tcW w:w="33.333333%" w:type="pct"/>
          </w:tcPr>
          <w:p>
            <w:pPr>
              <w:ind w:leftChars="0" w:left="0" w:right="0"/>
            </w:pPr>
            <w:r>
              <w:t>CBKC</w:t>
            </w:r>
          </w:p>
        </w:tc>
        <w:tc>
          <w:tcPr>
            <w:cnfStyle w:evenVBand="false" w:oddVBand="true" w:firstColumn="false"/>
            <w:tcW w:w="33.333333%" w:type="pct"/>
          </w:tcPr>
          <w:p>
            <w:pPr>
              <w:ind w:leftChars="0" w:left="0" w:right="0"/>
            </w:pPr>
            <w:r>
              <w:t>COMMERZBANK  COMMODITY DERIVATIVES - SYSTEMATIC INTERNALISER</w:t>
            </w:r>
          </w:p>
        </w:tc>
      </w:tr>
      <w:tr>
        <w:trPr>
          <w:cnfStyle w:evenHBand="false" w:oddHBand="true" w:firstRow="false"/>
        </w:trPr>
        <w:tc>
          <w:tcPr>
            <w:cnfStyle w:evenVBand="false" w:oddVBand="true" w:firstColumn="false"/>
            <w:tcW w:w="33.333333%" w:type="pct"/>
          </w:tcPr>
          <w:p>
            <w:pPr>
              <w:ind w:leftChars="0" w:left="0" w:right="0"/>
            </w:pPr>
            <w:r>
              <w:t>CBKD</w:t>
            </w:r>
          </w:p>
        </w:tc>
        <w:tc>
          <w:tcPr>
            <w:cnfStyle w:evenVBand="true" w:oddVBand="false" w:firstColumn="false"/>
            <w:tcW w:w="33.333333%" w:type="pct"/>
          </w:tcPr>
          <w:p>
            <w:pPr>
              <w:ind w:leftChars="0" w:left="0" w:right="0"/>
            </w:pPr>
            <w:r>
              <w:t>CBKD</w:t>
            </w:r>
          </w:p>
        </w:tc>
        <w:tc>
          <w:tcPr>
            <w:cnfStyle w:evenVBand="false" w:oddVBand="true" w:firstColumn="false"/>
            <w:tcW w:w="33.333333%" w:type="pct"/>
          </w:tcPr>
          <w:p>
            <w:pPr>
              <w:ind w:leftChars="0" w:left="0" w:right="0"/>
            </w:pPr>
            <w:r>
              <w:t>COMMERZBANK EQUITY DERIVATIVES - SYSTEMATIC INTERNALISER</w:t>
            </w:r>
          </w:p>
        </w:tc>
      </w:tr>
      <w:tr>
        <w:trPr>
          <w:cnfStyle w:evenHBand="true" w:oddHBand="false" w:firstRow="false"/>
        </w:trPr>
        <w:tc>
          <w:tcPr>
            <w:cnfStyle w:evenVBand="false" w:oddVBand="true" w:firstColumn="false"/>
            <w:tcW w:w="33.333333%" w:type="pct"/>
          </w:tcPr>
          <w:p>
            <w:pPr>
              <w:ind w:leftChars="0" w:left="0" w:right="0"/>
            </w:pPr>
            <w:r>
              <w:t>CBKE</w:t>
            </w:r>
          </w:p>
        </w:tc>
        <w:tc>
          <w:tcPr>
            <w:cnfStyle w:evenVBand="true" w:oddVBand="false" w:firstColumn="false"/>
            <w:tcW w:w="33.333333%" w:type="pct"/>
          </w:tcPr>
          <w:p>
            <w:pPr>
              <w:ind w:leftChars="0" w:left="0" w:right="0"/>
            </w:pPr>
            <w:r>
              <w:t>CBKE</w:t>
            </w:r>
          </w:p>
        </w:tc>
        <w:tc>
          <w:tcPr>
            <w:cnfStyle w:evenVBand="false" w:oddVBand="true" w:firstColumn="false"/>
            <w:tcW w:w="33.333333%" w:type="pct"/>
          </w:tcPr>
          <w:p>
            <w:pPr>
              <w:ind w:leftChars="0" w:left="0" w:right="0"/>
            </w:pPr>
            <w:r>
              <w:t>COMMERZBANK EQUITY - SYSTEMATIC INTERNALISER</w:t>
            </w:r>
          </w:p>
        </w:tc>
      </w:tr>
      <w:tr>
        <w:trPr>
          <w:cnfStyle w:evenHBand="false" w:oddHBand="true" w:firstRow="false"/>
        </w:trPr>
        <w:tc>
          <w:tcPr>
            <w:cnfStyle w:evenVBand="false" w:oddVBand="true" w:firstColumn="false"/>
            <w:tcW w:w="33.333333%" w:type="pct"/>
          </w:tcPr>
          <w:p>
            <w:pPr>
              <w:ind w:leftChars="0" w:left="0" w:right="0"/>
            </w:pPr>
            <w:r>
              <w:t>CBKF</w:t>
            </w:r>
          </w:p>
        </w:tc>
        <w:tc>
          <w:tcPr>
            <w:cnfStyle w:evenVBand="true" w:oddVBand="false" w:firstColumn="false"/>
            <w:tcW w:w="33.333333%" w:type="pct"/>
          </w:tcPr>
          <w:p>
            <w:pPr>
              <w:ind w:leftChars="0" w:left="0" w:right="0"/>
            </w:pPr>
            <w:r>
              <w:t>CBKF</w:t>
            </w:r>
          </w:p>
        </w:tc>
        <w:tc>
          <w:tcPr>
            <w:cnfStyle w:evenVBand="false" w:oddVBand="true" w:firstColumn="false"/>
            <w:tcW w:w="33.333333%" w:type="pct"/>
          </w:tcPr>
          <w:p>
            <w:pPr>
              <w:ind w:leftChars="0" w:left="0" w:right="0"/>
            </w:pPr>
            <w:r>
              <w:t>COMMERZBANK COMMANDER - SYSTEMATIC INTERNALISER</w:t>
            </w:r>
          </w:p>
        </w:tc>
      </w:tr>
      <w:tr>
        <w:trPr>
          <w:cnfStyle w:evenHBand="true" w:oddHBand="false" w:firstRow="false"/>
        </w:trPr>
        <w:tc>
          <w:tcPr>
            <w:cnfStyle w:evenVBand="false" w:oddVBand="true" w:firstColumn="false"/>
            <w:tcW w:w="33.333333%" w:type="pct"/>
          </w:tcPr>
          <w:p>
            <w:pPr>
              <w:ind w:leftChars="0" w:left="0" w:right="0"/>
            </w:pPr>
            <w:r>
              <w:t>CBKG</w:t>
            </w:r>
          </w:p>
        </w:tc>
        <w:tc>
          <w:tcPr>
            <w:cnfStyle w:evenVBand="true" w:oddVBand="false" w:firstColumn="false"/>
            <w:tcW w:w="33.333333%" w:type="pct"/>
          </w:tcPr>
          <w:p>
            <w:pPr>
              <w:ind w:leftChars="0" w:left="0" w:right="0"/>
            </w:pPr>
            <w:r>
              <w:t>CBKG</w:t>
            </w:r>
          </w:p>
        </w:tc>
        <w:tc>
          <w:tcPr>
            <w:cnfStyle w:evenVBand="false" w:oddVBand="true" w:firstColumn="false"/>
            <w:tcW w:w="33.333333%" w:type="pct"/>
          </w:tcPr>
          <w:p>
            <w:pPr>
              <w:ind w:leftChars="0" w:left="0" w:right="0"/>
            </w:pPr>
            <w:r>
              <w:t>COMMERZBANK FIXED INCOME - SYSTEMATIC INTERNALISER</w:t>
            </w:r>
          </w:p>
        </w:tc>
      </w:tr>
      <w:tr>
        <w:trPr>
          <w:cnfStyle w:evenHBand="false" w:oddHBand="true" w:firstRow="false"/>
        </w:trPr>
        <w:tc>
          <w:tcPr>
            <w:cnfStyle w:evenVBand="false" w:oddVBand="true" w:firstColumn="false"/>
            <w:tcW w:w="33.333333%" w:type="pct"/>
          </w:tcPr>
          <w:p>
            <w:pPr>
              <w:ind w:leftChars="0" w:left="0" w:right="0"/>
            </w:pPr>
            <w:r>
              <w:t>CBKS</w:t>
            </w:r>
          </w:p>
        </w:tc>
        <w:tc>
          <w:tcPr>
            <w:cnfStyle w:evenVBand="true" w:oddVBand="false" w:firstColumn="false"/>
            <w:tcW w:w="33.333333%" w:type="pct"/>
          </w:tcPr>
          <w:p>
            <w:pPr>
              <w:ind w:leftChars="0" w:left="0" w:right="0"/>
            </w:pPr>
            <w:r>
              <w:t>CBKS</w:t>
            </w:r>
          </w:p>
        </w:tc>
        <w:tc>
          <w:tcPr>
            <w:cnfStyle w:evenVBand="false" w:oddVBand="true" w:firstColumn="false"/>
            <w:tcW w:w="33.333333%" w:type="pct"/>
          </w:tcPr>
          <w:p>
            <w:pPr>
              <w:ind w:leftChars="0" w:left="0" w:right="0"/>
            </w:pPr>
            <w:r>
              <w:t>COMMERZBANK INTEREST RATE SWAPS - SYSTEMATIC INTERNALISER</w:t>
            </w:r>
          </w:p>
        </w:tc>
      </w:tr>
      <w:tr>
        <w:trPr>
          <w:cnfStyle w:evenHBand="true" w:oddHBand="false" w:firstRow="false"/>
        </w:trPr>
        <w:tc>
          <w:tcPr>
            <w:cnfStyle w:evenVBand="false" w:oddVBand="true" w:firstColumn="false"/>
            <w:tcW w:w="33.333333%" w:type="pct"/>
          </w:tcPr>
          <w:p>
            <w:pPr>
              <w:ind w:leftChars="0" w:left="0" w:right="0"/>
            </w:pPr>
            <w:r>
              <w:t>CBLC</w:t>
            </w:r>
          </w:p>
        </w:tc>
        <w:tc>
          <w:tcPr>
            <w:cnfStyle w:evenVBand="true" w:oddVBand="false" w:firstColumn="false"/>
            <w:tcW w:w="33.333333%" w:type="pct"/>
          </w:tcPr>
          <w:p>
            <w:pPr>
              <w:ind w:leftChars="0" w:left="0" w:right="0"/>
            </w:pPr>
            <w:r>
              <w:t>CBLC</w:t>
            </w:r>
          </w:p>
        </w:tc>
        <w:tc>
          <w:tcPr>
            <w:cnfStyle w:evenVBand="false" w:oddVBand="true" w:firstColumn="false"/>
            <w:tcW w:w="33.333333%" w:type="pct"/>
          </w:tcPr>
          <w:p>
            <w:pPr>
              <w:ind w:leftChars="0" w:left="0" w:right="0"/>
            </w:pPr>
            <w:r>
              <w:t>CITIBLOC</w:t>
            </w:r>
          </w:p>
        </w:tc>
      </w:tr>
      <w:tr>
        <w:trPr>
          <w:cnfStyle w:evenHBand="false" w:oddHBand="true" w:firstRow="false"/>
        </w:trPr>
        <w:tc>
          <w:tcPr>
            <w:cnfStyle w:evenVBand="false" w:oddVBand="true" w:firstColumn="false"/>
            <w:tcW w:w="33.333333%" w:type="pct"/>
          </w:tcPr>
          <w:p>
            <w:pPr>
              <w:ind w:leftChars="0" w:left="0" w:right="0"/>
            </w:pPr>
            <w:r>
              <w:t>CBNL</w:t>
            </w:r>
          </w:p>
        </w:tc>
        <w:tc>
          <w:tcPr>
            <w:cnfStyle w:evenVBand="true" w:oddVBand="false" w:firstColumn="false"/>
            <w:tcW w:w="33.333333%" w:type="pct"/>
          </w:tcPr>
          <w:p>
            <w:pPr>
              <w:ind w:leftChars="0" w:left="0" w:right="0"/>
            </w:pPr>
            <w:r>
              <w:t>CBNL</w:t>
            </w:r>
          </w:p>
        </w:tc>
        <w:tc>
          <w:tcPr>
            <w:cnfStyle w:evenVBand="false" w:oddVBand="true" w:firstColumn="false"/>
            <w:tcW w:w="33.333333%" w:type="pct"/>
          </w:tcPr>
          <w:p>
            <w:pPr>
              <w:ind w:leftChars="0" w:left="0" w:right="0"/>
            </w:pPr>
            <w:r>
              <w:t>CITIBANK N.A. LONDON</w:t>
            </w:r>
          </w:p>
        </w:tc>
      </w:tr>
      <w:tr>
        <w:trPr>
          <w:cnfStyle w:evenHBand="true" w:oddHBand="false" w:firstRow="false"/>
        </w:trPr>
        <w:tc>
          <w:tcPr>
            <w:cnfStyle w:evenVBand="false" w:oddVBand="true" w:firstColumn="false"/>
            <w:tcW w:w="33.333333%" w:type="pct"/>
          </w:tcPr>
          <w:p>
            <w:pPr>
              <w:ind w:leftChars="0" w:left="0" w:right="0"/>
            </w:pPr>
            <w:r>
              <w:t>CBOE</w:t>
            </w:r>
          </w:p>
        </w:tc>
        <w:tc>
          <w:tcPr>
            <w:cnfStyle w:evenVBand="true" w:oddVBand="false" w:firstColumn="false"/>
            <w:tcW w:w="33.333333%" w:type="pct"/>
          </w:tcPr>
          <w:p>
            <w:pPr>
              <w:ind w:leftChars="0" w:left="0" w:right="0"/>
            </w:pPr>
            <w:r>
              <w:t>CBOE</w:t>
            </w:r>
          </w:p>
        </w:tc>
        <w:tc>
          <w:tcPr>
            <w:cnfStyle w:evenVBand="false" w:oddVBand="true" w:firstColumn="false"/>
            <w:tcW w:w="33.333333%" w:type="pct"/>
          </w:tcPr>
          <w:p>
            <w:pPr>
              <w:ind w:leftChars="0" w:left="0" w:right="0"/>
            </w:pPr>
            <w:r>
              <w:t>CBOE FX NDFS</w:t>
            </w:r>
          </w:p>
        </w:tc>
      </w:tr>
      <w:tr>
        <w:trPr>
          <w:cnfStyle w:evenHBand="false" w:oddHBand="true" w:firstRow="false"/>
        </w:trPr>
        <w:tc>
          <w:tcPr>
            <w:cnfStyle w:evenVBand="false" w:oddVBand="true" w:firstColumn="false"/>
            <w:tcW w:w="33.333333%" w:type="pct"/>
          </w:tcPr>
          <w:p>
            <w:pPr>
              <w:ind w:leftChars="0" w:left="0" w:right="0"/>
            </w:pPr>
            <w:r>
              <w:t>CBSK</w:t>
            </w:r>
          </w:p>
        </w:tc>
        <w:tc>
          <w:tcPr>
            <w:cnfStyle w:evenVBand="true" w:oddVBand="false" w:firstColumn="false"/>
            <w:tcW w:w="33.333333%" w:type="pct"/>
          </w:tcPr>
          <w:p>
            <w:pPr>
              <w:ind w:leftChars="0" w:left="0" w:right="0"/>
            </w:pPr>
            <w:r>
              <w:t>CBSK</w:t>
            </w:r>
          </w:p>
        </w:tc>
        <w:tc>
          <w:tcPr>
            <w:cnfStyle w:evenVBand="false" w:oddVBand="true" w:firstColumn="false"/>
            <w:tcW w:w="33.333333%" w:type="pct"/>
          </w:tcPr>
          <w:p>
            <w:pPr>
              <w:ind w:leftChars="0" w:left="0" w:right="0"/>
            </w:pPr>
            <w:r>
              <w:t>CESKOSLOVENSKA OBCHODNA BANKA, A.S. - SYSTEMATIC INTERNALISER</w:t>
            </w:r>
          </w:p>
        </w:tc>
      </w:tr>
      <w:tr>
        <w:trPr>
          <w:cnfStyle w:evenHBand="true" w:oddHBand="false" w:firstRow="false"/>
        </w:trPr>
        <w:tc>
          <w:tcPr>
            <w:cnfStyle w:evenVBand="false" w:oddVBand="true" w:firstColumn="false"/>
            <w:tcW w:w="33.333333%" w:type="pct"/>
          </w:tcPr>
          <w:p>
            <w:pPr>
              <w:ind w:leftChars="0" w:left="0" w:right="0"/>
            </w:pPr>
            <w:r>
              <w:t>CBSX</w:t>
            </w:r>
          </w:p>
        </w:tc>
        <w:tc>
          <w:tcPr>
            <w:cnfStyle w:evenVBand="true" w:oddVBand="false" w:firstColumn="false"/>
            <w:tcW w:w="33.333333%" w:type="pct"/>
          </w:tcPr>
          <w:p>
            <w:pPr>
              <w:ind w:leftChars="0" w:left="0" w:right="0"/>
            </w:pPr>
            <w:r>
              <w:t>CBSX</w:t>
            </w:r>
          </w:p>
        </w:tc>
        <w:tc>
          <w:tcPr>
            <w:cnfStyle w:evenVBand="false" w:oddVBand="true" w:firstColumn="false"/>
            <w:tcW w:w="33.333333%" w:type="pct"/>
          </w:tcPr>
          <w:p>
            <w:pPr>
              <w:ind w:leftChars="0" w:left="0" w:right="0"/>
            </w:pPr>
            <w:r>
              <w:t>CBOE STOCK EXCHANGE</w:t>
            </w:r>
          </w:p>
        </w:tc>
      </w:tr>
      <w:tr>
        <w:trPr>
          <w:cnfStyle w:evenHBand="false" w:oddHBand="true" w:firstRow="false"/>
        </w:trPr>
        <w:tc>
          <w:tcPr>
            <w:cnfStyle w:evenVBand="false" w:oddVBand="true" w:firstColumn="false"/>
            <w:tcW w:w="33.333333%" w:type="pct"/>
          </w:tcPr>
          <w:p>
            <w:pPr>
              <w:ind w:leftChars="0" w:left="0" w:right="0"/>
            </w:pPr>
            <w:r>
              <w:t>CBTS</w:t>
            </w:r>
          </w:p>
        </w:tc>
        <w:tc>
          <w:tcPr>
            <w:cnfStyle w:evenVBand="true" w:oddVBand="false" w:firstColumn="false"/>
            <w:tcW w:w="33.333333%" w:type="pct"/>
          </w:tcPr>
          <w:p>
            <w:pPr>
              <w:ind w:leftChars="0" w:left="0" w:right="0"/>
            </w:pPr>
            <w:r>
              <w:t>CBTS</w:t>
            </w:r>
          </w:p>
        </w:tc>
        <w:tc>
          <w:tcPr>
            <w:cnfStyle w:evenVBand="false" w:oddVBand="true" w:firstColumn="false"/>
            <w:tcW w:w="33.333333%" w:type="pct"/>
          </w:tcPr>
          <w:p>
            <w:pPr>
              <w:ind w:leftChars="0" w:left="0" w:right="0"/>
            </w:pPr>
            <w:r>
              <w:t>CME SWAPS MARKETS (CBOT)</w:t>
            </w:r>
          </w:p>
        </w:tc>
      </w:tr>
      <w:tr>
        <w:trPr>
          <w:cnfStyle w:evenHBand="true" w:oddHBand="false" w:firstRow="false"/>
        </w:trPr>
        <w:tc>
          <w:tcPr>
            <w:cnfStyle w:evenVBand="false" w:oddVBand="true" w:firstColumn="false"/>
            <w:tcW w:w="33.333333%" w:type="pct"/>
          </w:tcPr>
          <w:p>
            <w:pPr>
              <w:ind w:leftChars="0" w:left="0" w:right="0"/>
            </w:pPr>
            <w:r>
              <w:t>CCEU</w:t>
            </w:r>
          </w:p>
        </w:tc>
        <w:tc>
          <w:tcPr>
            <w:cnfStyle w:evenVBand="true" w:oddVBand="false" w:firstColumn="false"/>
            <w:tcW w:w="33.333333%" w:type="pct"/>
          </w:tcPr>
          <w:p>
            <w:pPr>
              <w:ind w:leftChars="0" w:left="0" w:right="0"/>
            </w:pPr>
            <w:r>
              <w:t>CCEU</w:t>
            </w:r>
          </w:p>
        </w:tc>
        <w:tc>
          <w:tcPr>
            <w:cnfStyle w:evenVBand="false" w:oddVBand="true" w:firstColumn="false"/>
            <w:tcW w:w="33.333333%" w:type="pct"/>
          </w:tcPr>
          <w:p>
            <w:pPr>
              <w:ind w:leftChars="0" w:left="0" w:right="0"/>
            </w:pPr>
            <w:r>
              <w:t>CITADEL CONNECT EUROPE - SYSTEMATIC INTERNALISER</w:t>
            </w:r>
          </w:p>
        </w:tc>
      </w:tr>
      <w:tr>
        <w:trPr>
          <w:cnfStyle w:evenHBand="false" w:oddHBand="true" w:firstRow="false"/>
        </w:trPr>
        <w:tc>
          <w:tcPr>
            <w:cnfStyle w:evenVBand="false" w:oddVBand="true" w:firstColumn="false"/>
            <w:tcW w:w="33.333333%" w:type="pct"/>
          </w:tcPr>
          <w:p>
            <w:pPr>
              <w:ind w:leftChars="0" w:left="0" w:right="0"/>
            </w:pPr>
            <w:r>
              <w:t>CCEX</w:t>
            </w:r>
          </w:p>
        </w:tc>
        <w:tc>
          <w:tcPr>
            <w:cnfStyle w:evenVBand="true" w:oddVBand="false" w:firstColumn="false"/>
            <w:tcW w:w="33.333333%" w:type="pct"/>
          </w:tcPr>
          <w:p>
            <w:pPr>
              <w:ind w:leftChars="0" w:left="0" w:right="0"/>
            </w:pPr>
            <w:r>
              <w:t>CCEX</w:t>
            </w:r>
          </w:p>
        </w:tc>
        <w:tc>
          <w:tcPr>
            <w:cnfStyle w:evenVBand="false" w:oddVBand="true" w:firstColumn="false"/>
            <w:tcW w:w="33.333333%" w:type="pct"/>
          </w:tcPr>
          <w:p>
            <w:pPr>
              <w:ind w:leftChars="0" w:left="0" w:right="0"/>
            </w:pPr>
            <w:r>
              <w:t>CASPY COMMODITY EXCHANGE</w:t>
            </w:r>
          </w:p>
        </w:tc>
      </w:tr>
      <w:tr>
        <w:trPr>
          <w:cnfStyle w:evenHBand="true" w:oddHBand="false" w:firstRow="false"/>
        </w:trPr>
        <w:tc>
          <w:tcPr>
            <w:cnfStyle w:evenVBand="false" w:oddVBand="true" w:firstColumn="false"/>
            <w:tcW w:w="33.333333%" w:type="pct"/>
          </w:tcPr>
          <w:p>
            <w:pPr>
              <w:ind w:leftChars="0" w:left="0" w:right="0"/>
            </w:pPr>
            <w:r>
              <w:t>CCFE</w:t>
            </w:r>
          </w:p>
        </w:tc>
        <w:tc>
          <w:tcPr>
            <w:cnfStyle w:evenVBand="true" w:oddVBand="false" w:firstColumn="false"/>
            <w:tcW w:w="33.333333%" w:type="pct"/>
          </w:tcPr>
          <w:p>
            <w:pPr>
              <w:ind w:leftChars="0" w:left="0" w:right="0"/>
            </w:pPr>
            <w:r>
              <w:t>CCFE</w:t>
            </w:r>
          </w:p>
        </w:tc>
        <w:tc>
          <w:tcPr>
            <w:cnfStyle w:evenVBand="false" w:oddVBand="true" w:firstColumn="false"/>
            <w:tcW w:w="33.333333%" w:type="pct"/>
          </w:tcPr>
          <w:p>
            <w:pPr>
              <w:ind w:leftChars="0" w:left="0" w:right="0"/>
            </w:pPr>
            <w:r>
              <w:t>CHICAGO CLIMATE FUTURES EXCHANGE</w:t>
            </w:r>
          </w:p>
        </w:tc>
      </w:tr>
      <w:tr>
        <w:trPr>
          <w:cnfStyle w:evenHBand="false" w:oddHBand="true" w:firstRow="false"/>
        </w:trPr>
        <w:tc>
          <w:tcPr>
            <w:cnfStyle w:evenVBand="false" w:oddVBand="true" w:firstColumn="false"/>
            <w:tcW w:w="33.333333%" w:type="pct"/>
          </w:tcPr>
          <w:p>
            <w:pPr>
              <w:ind w:leftChars="0" w:left="0" w:right="0"/>
            </w:pPr>
            <w:r>
              <w:t>CCFX</w:t>
            </w:r>
          </w:p>
        </w:tc>
        <w:tc>
          <w:tcPr>
            <w:cnfStyle w:evenVBand="true" w:oddVBand="false" w:firstColumn="false"/>
            <w:tcW w:w="33.333333%" w:type="pct"/>
          </w:tcPr>
          <w:p>
            <w:pPr>
              <w:ind w:leftChars="0" w:left="0" w:right="0"/>
            </w:pPr>
            <w:r>
              <w:t>CCFX</w:t>
            </w:r>
          </w:p>
        </w:tc>
        <w:tc>
          <w:tcPr>
            <w:cnfStyle w:evenVBand="false" w:oddVBand="true" w:firstColumn="false"/>
            <w:tcW w:w="33.333333%" w:type="pct"/>
          </w:tcPr>
          <w:p>
            <w:pPr>
              <w:ind w:leftChars="0" w:left="0" w:right="0"/>
            </w:pPr>
            <w:r>
              <w:t>CHINA FINANCIAL FUTURES EXCHANGE</w:t>
            </w:r>
          </w:p>
        </w:tc>
      </w:tr>
      <w:tr>
        <w:trPr>
          <w:cnfStyle w:evenHBand="true" w:oddHBand="false" w:firstRow="false"/>
        </w:trPr>
        <w:tc>
          <w:tcPr>
            <w:cnfStyle w:evenVBand="false" w:oddVBand="true" w:firstColumn="false"/>
            <w:tcW w:w="33.333333%" w:type="pct"/>
          </w:tcPr>
          <w:p>
            <w:pPr>
              <w:ind w:leftChars="0" w:left="0" w:right="0"/>
            </w:pPr>
            <w:r>
              <w:t>CCLX</w:t>
            </w:r>
          </w:p>
        </w:tc>
        <w:tc>
          <w:tcPr>
            <w:cnfStyle w:evenVBand="true" w:oddVBand="false" w:firstColumn="false"/>
            <w:tcW w:w="33.333333%" w:type="pct"/>
          </w:tcPr>
          <w:p>
            <w:pPr>
              <w:ind w:leftChars="0" w:left="0" w:right="0"/>
            </w:pPr>
            <w:r>
              <w:t>CCLX</w:t>
            </w:r>
          </w:p>
        </w:tc>
        <w:tc>
          <w:tcPr>
            <w:cnfStyle w:evenVBand="false" w:oddVBand="true" w:firstColumn="false"/>
            <w:tcW w:w="33.333333%" w:type="pct"/>
          </w:tcPr>
          <w:p>
            <w:pPr>
              <w:ind w:leftChars="0" w:left="0" w:right="0"/>
            </w:pPr>
            <w:r>
              <w:t>FINESTI S.A.</w:t>
            </w:r>
          </w:p>
        </w:tc>
      </w:tr>
      <w:tr>
        <w:trPr>
          <w:cnfStyle w:evenHBand="false" w:oddHBand="true" w:firstRow="false"/>
        </w:trPr>
        <w:tc>
          <w:tcPr>
            <w:cnfStyle w:evenVBand="false" w:oddVBand="true" w:firstColumn="false"/>
            <w:tcW w:w="33.333333%" w:type="pct"/>
          </w:tcPr>
          <w:p>
            <w:pPr>
              <w:ind w:leftChars="0" w:left="0" w:right="0"/>
            </w:pPr>
            <w:r>
              <w:t>CCML</w:t>
            </w:r>
          </w:p>
        </w:tc>
        <w:tc>
          <w:tcPr>
            <w:cnfStyle w:evenVBand="true" w:oddVBand="false" w:firstColumn="false"/>
            <w:tcW w:w="33.333333%" w:type="pct"/>
          </w:tcPr>
          <w:p>
            <w:pPr>
              <w:ind w:leftChars="0" w:left="0" w:right="0"/>
            </w:pPr>
            <w:r>
              <w:t>CCML</w:t>
            </w:r>
          </w:p>
        </w:tc>
        <w:tc>
          <w:tcPr>
            <w:cnfStyle w:evenVBand="false" w:oddVBand="true" w:firstColumn="false"/>
            <w:tcW w:w="33.333333%" w:type="pct"/>
          </w:tcPr>
          <w:p>
            <w:pPr>
              <w:ind w:leftChars="0" w:left="0" w:right="0"/>
            </w:pPr>
            <w:r>
              <w:t>CONTINENTAL CAPITAL MARKETS LIMITED - OTF</w:t>
            </w:r>
          </w:p>
        </w:tc>
      </w:tr>
      <w:tr>
        <w:trPr>
          <w:cnfStyle w:evenHBand="true" w:oddHBand="false" w:firstRow="false"/>
        </w:trPr>
        <w:tc>
          <w:tcPr>
            <w:cnfStyle w:evenVBand="false" w:oddVBand="true" w:firstColumn="false"/>
            <w:tcW w:w="33.333333%" w:type="pct"/>
          </w:tcPr>
          <w:p>
            <w:pPr>
              <w:ind w:leftChars="0" w:left="0" w:right="0"/>
            </w:pPr>
            <w:r>
              <w:t>CCMS</w:t>
            </w:r>
          </w:p>
        </w:tc>
        <w:tc>
          <w:tcPr>
            <w:cnfStyle w:evenVBand="true" w:oddVBand="false" w:firstColumn="false"/>
            <w:tcW w:w="33.333333%" w:type="pct"/>
          </w:tcPr>
          <w:p>
            <w:pPr>
              <w:ind w:leftChars="0" w:left="0" w:right="0"/>
            </w:pPr>
            <w:r>
              <w:t>CCMS</w:t>
            </w:r>
          </w:p>
        </w:tc>
        <w:tc>
          <w:tcPr>
            <w:cnfStyle w:evenVBand="false" w:oddVBand="true" w:firstColumn="false"/>
            <w:tcW w:w="33.333333%" w:type="pct"/>
          </w:tcPr>
          <w:p>
            <w:pPr>
              <w:ind w:leftChars="0" w:left="0" w:right="0"/>
            </w:pPr>
            <w:r>
              <w:t>CONTINENTAL CAPITAL MARKETS S.A.</w:t>
            </w:r>
          </w:p>
        </w:tc>
      </w:tr>
      <w:tr>
        <w:trPr>
          <w:cnfStyle w:evenHBand="false" w:oddHBand="true" w:firstRow="false"/>
        </w:trPr>
        <w:tc>
          <w:tcPr>
            <w:cnfStyle w:evenVBand="false" w:oddVBand="true" w:firstColumn="false"/>
            <w:tcW w:w="33.333333%" w:type="pct"/>
          </w:tcPr>
          <w:p>
            <w:pPr>
              <w:ind w:leftChars="0" w:left="0" w:right="0"/>
            </w:pPr>
            <w:r>
              <w:t>CCMX</w:t>
            </w:r>
          </w:p>
        </w:tc>
        <w:tc>
          <w:tcPr>
            <w:cnfStyle w:evenVBand="true" w:oddVBand="false" w:firstColumn="false"/>
            <w:tcW w:w="33.333333%" w:type="pct"/>
          </w:tcPr>
          <w:p>
            <w:pPr>
              <w:ind w:leftChars="0" w:left="0" w:right="0"/>
            </w:pPr>
            <w:r>
              <w:t>CCMX</w:t>
            </w:r>
          </w:p>
        </w:tc>
        <w:tc>
          <w:tcPr>
            <w:cnfStyle w:evenVBand="false" w:oddVBand="true" w:firstColumn="false"/>
            <w:tcW w:w="33.333333%" w:type="pct"/>
          </w:tcPr>
          <w:p>
            <w:pPr>
              <w:ind w:leftChars="0" w:left="0" w:right="0"/>
            </w:pPr>
            <w:r>
              <w:t>CARTAX</w:t>
            </w:r>
          </w:p>
        </w:tc>
      </w:tr>
      <w:tr>
        <w:trPr>
          <w:cnfStyle w:evenHBand="true" w:oddHBand="false" w:firstRow="false"/>
        </w:trPr>
        <w:tc>
          <w:tcPr>
            <w:cnfStyle w:evenVBand="false" w:oddVBand="true" w:firstColumn="false"/>
            <w:tcW w:w="33.333333%" w:type="pct"/>
          </w:tcPr>
          <w:p>
            <w:pPr>
              <w:ind w:leftChars="0" w:left="0" w:right="0"/>
            </w:pPr>
            <w:r>
              <w:t>CCO2</w:t>
            </w:r>
          </w:p>
        </w:tc>
        <w:tc>
          <w:tcPr>
            <w:cnfStyle w:evenVBand="true" w:oddVBand="false" w:firstColumn="false"/>
            <w:tcW w:w="33.333333%" w:type="pct"/>
          </w:tcPr>
          <w:p>
            <w:pPr>
              <w:ind w:leftChars="0" w:left="0" w:right="0"/>
            </w:pPr>
            <w:r>
              <w:t>CCO2</w:t>
            </w:r>
          </w:p>
        </w:tc>
        <w:tc>
          <w:tcPr>
            <w:cnfStyle w:evenVBand="false" w:oddVBand="true" w:firstColumn="false"/>
            <w:tcW w:w="33.333333%" w:type="pct"/>
          </w:tcPr>
          <w:p>
            <w:pPr>
              <w:ind w:leftChars="0" w:left="0" w:right="0"/>
            </w:pPr>
            <w:r>
              <w:t>CANTORCO2E.COM LIMITED</w:t>
            </w:r>
          </w:p>
        </w:tc>
      </w:tr>
      <w:tr>
        <w:trPr>
          <w:cnfStyle w:evenHBand="false" w:oddHBand="true" w:firstRow="false"/>
        </w:trPr>
        <w:tc>
          <w:tcPr>
            <w:cnfStyle w:evenVBand="false" w:oddVBand="true" w:firstColumn="false"/>
            <w:tcW w:w="33.333333%" w:type="pct"/>
          </w:tcPr>
          <w:p>
            <w:pPr>
              <w:ind w:leftChars="0" w:left="0" w:right="0"/>
            </w:pPr>
            <w:r>
              <w:t>CCRM</w:t>
            </w:r>
          </w:p>
        </w:tc>
        <w:tc>
          <w:tcPr>
            <w:cnfStyle w:evenVBand="true" w:oddVBand="false" w:firstColumn="false"/>
            <w:tcW w:w="33.333333%" w:type="pct"/>
          </w:tcPr>
          <w:p>
            <w:pPr>
              <w:ind w:leftChars="0" w:left="0" w:right="0"/>
            </w:pPr>
            <w:r>
              <w:t>CCRM</w:t>
            </w:r>
          </w:p>
        </w:tc>
        <w:tc>
          <w:tcPr>
            <w:cnfStyle w:evenVBand="false" w:oddVBand="true" w:firstColumn="false"/>
            <w:tcW w:w="33.333333%" w:type="pct"/>
          </w:tcPr>
          <w:p>
            <w:pPr>
              <w:ind w:leftChars="0" w:left="0" w:right="0"/>
            </w:pPr>
            <w:r>
              <w:t>CBOE EUROPE REGULATED MARKETS (NL)</w:t>
            </w:r>
          </w:p>
        </w:tc>
      </w:tr>
      <w:tr>
        <w:trPr>
          <w:cnfStyle w:evenHBand="true" w:oddHBand="false" w:firstRow="false"/>
        </w:trPr>
        <w:tc>
          <w:tcPr>
            <w:cnfStyle w:evenVBand="false" w:oddVBand="true" w:firstColumn="false"/>
            <w:tcW w:w="33.333333%" w:type="pct"/>
          </w:tcPr>
          <w:p>
            <w:pPr>
              <w:ind w:leftChars="0" w:left="0" w:right="0"/>
            </w:pPr>
            <w:r>
              <w:t>CCXE</w:t>
            </w:r>
          </w:p>
        </w:tc>
        <w:tc>
          <w:tcPr>
            <w:cnfStyle w:evenVBand="true" w:oddVBand="false" w:firstColumn="false"/>
            <w:tcW w:w="33.333333%" w:type="pct"/>
          </w:tcPr>
          <w:p>
            <w:pPr>
              <w:ind w:leftChars="0" w:left="0" w:right="0"/>
            </w:pPr>
            <w:r>
              <w:t>CCXE</w:t>
            </w:r>
          </w:p>
        </w:tc>
        <w:tc>
          <w:tcPr>
            <w:cnfStyle w:evenVBand="false" w:oddVBand="true" w:firstColumn="false"/>
            <w:tcW w:w="33.333333%" w:type="pct"/>
          </w:tcPr>
          <w:p>
            <w:pPr>
              <w:ind w:leftChars="0" w:left="0" w:right="0"/>
            </w:pPr>
            <w:r>
              <w:t>CBOE EUROPE EQUITIES - EUROPEAN EQUITIES (NL)</w:t>
            </w:r>
          </w:p>
        </w:tc>
      </w:tr>
      <w:tr>
        <w:trPr>
          <w:cnfStyle w:evenHBand="false" w:oddHBand="true" w:firstRow="false"/>
        </w:trPr>
        <w:tc>
          <w:tcPr>
            <w:cnfStyle w:evenVBand="false" w:oddVBand="true" w:firstColumn="false"/>
            <w:tcW w:w="33.333333%" w:type="pct"/>
          </w:tcPr>
          <w:p>
            <w:pPr>
              <w:ind w:leftChars="0" w:left="0" w:right="0"/>
            </w:pPr>
            <w:r>
              <w:t>CDED</w:t>
            </w:r>
          </w:p>
        </w:tc>
        <w:tc>
          <w:tcPr>
            <w:cnfStyle w:evenVBand="true" w:oddVBand="false" w:firstColumn="false"/>
            <w:tcW w:w="33.333333%" w:type="pct"/>
          </w:tcPr>
          <w:p>
            <w:pPr>
              <w:ind w:leftChars="0" w:left="0" w:right="0"/>
            </w:pPr>
            <w:r>
              <w:t>CDED</w:t>
            </w:r>
          </w:p>
        </w:tc>
        <w:tc>
          <w:tcPr>
            <w:cnfStyle w:evenVBand="false" w:oddVBand="true" w:firstColumn="false"/>
            <w:tcW w:w="33.333333%" w:type="pct"/>
          </w:tcPr>
          <w:p>
            <w:pPr>
              <w:ind w:leftChars="0" w:left="0" w:right="0"/>
            </w:pPr>
            <w:r>
              <w:t>CITADEL SECURITIES</w:t>
            </w:r>
          </w:p>
        </w:tc>
      </w:tr>
      <w:tr>
        <w:trPr>
          <w:cnfStyle w:evenHBand="true" w:oddHBand="false" w:firstRow="false"/>
        </w:trPr>
        <w:tc>
          <w:tcPr>
            <w:cnfStyle w:evenVBand="false" w:oddVBand="true" w:firstColumn="false"/>
            <w:tcW w:w="33.333333%" w:type="pct"/>
          </w:tcPr>
          <w:p>
            <w:pPr>
              <w:ind w:leftChars="0" w:left="0" w:right="0"/>
            </w:pPr>
            <w:r>
              <w:t>CDEL</w:t>
            </w:r>
          </w:p>
        </w:tc>
        <w:tc>
          <w:tcPr>
            <w:cnfStyle w:evenVBand="true" w:oddVBand="false" w:firstColumn="false"/>
            <w:tcW w:w="33.333333%" w:type="pct"/>
          </w:tcPr>
          <w:p>
            <w:pPr>
              <w:ind w:leftChars="0" w:left="0" w:right="0"/>
            </w:pPr>
            <w:r>
              <w:t>CDEL</w:t>
            </w:r>
          </w:p>
        </w:tc>
        <w:tc>
          <w:tcPr>
            <w:cnfStyle w:evenVBand="false" w:oddVBand="true" w:firstColumn="false"/>
            <w:tcW w:w="33.333333%" w:type="pct"/>
          </w:tcPr>
          <w:p>
            <w:pPr>
              <w:ind w:leftChars="0" w:left="0" w:right="0"/>
            </w:pPr>
            <w:r>
              <w:t>CITADEL SECURITIES ATS</w:t>
            </w:r>
          </w:p>
        </w:tc>
      </w:tr>
      <w:tr>
        <w:trPr>
          <w:cnfStyle w:evenHBand="false" w:oddHBand="true" w:firstRow="false"/>
        </w:trPr>
        <w:tc>
          <w:tcPr>
            <w:cnfStyle w:evenVBand="false" w:oddVBand="true" w:firstColumn="false"/>
            <w:tcW w:w="33.333333%" w:type="pct"/>
          </w:tcPr>
          <w:p>
            <w:pPr>
              <w:ind w:leftChars="0" w:left="0" w:right="0"/>
            </w:pPr>
            <w:r>
              <w:t>CDSI</w:t>
            </w:r>
          </w:p>
        </w:tc>
        <w:tc>
          <w:tcPr>
            <w:cnfStyle w:evenVBand="true" w:oddVBand="false" w:firstColumn="false"/>
            <w:tcW w:w="33.333333%" w:type="pct"/>
          </w:tcPr>
          <w:p>
            <w:pPr>
              <w:ind w:leftChars="0" w:left="0" w:right="0"/>
            </w:pPr>
            <w:r>
              <w:t>CDSI</w:t>
            </w:r>
          </w:p>
        </w:tc>
        <w:tc>
          <w:tcPr>
            <w:cnfStyle w:evenVBand="false" w:oddVBand="true" w:firstColumn="false"/>
            <w:tcW w:w="33.333333%" w:type="pct"/>
          </w:tcPr>
          <w:p>
            <w:pPr>
              <w:ind w:leftChars="0" w:left="0" w:right="0"/>
            </w:pPr>
            <w:r>
              <w:t>CREDIT SUISSE (DEUTSCHLAND) AG - SYSTEMATIC INTERNALISER</w:t>
            </w:r>
          </w:p>
        </w:tc>
      </w:tr>
      <w:tr>
        <w:trPr>
          <w:cnfStyle w:evenHBand="true" w:oddHBand="false" w:firstRow="false"/>
        </w:trPr>
        <w:tc>
          <w:tcPr>
            <w:cnfStyle w:evenVBand="false" w:oddVBand="true" w:firstColumn="false"/>
            <w:tcW w:w="33.333333%" w:type="pct"/>
          </w:tcPr>
          <w:p>
            <w:pPr>
              <w:ind w:leftChars="0" w:left="0" w:right="0"/>
            </w:pPr>
            <w:r>
              <w:t>CDSL</w:t>
            </w:r>
          </w:p>
        </w:tc>
        <w:tc>
          <w:tcPr>
            <w:cnfStyle w:evenVBand="true" w:oddVBand="false" w:firstColumn="false"/>
            <w:tcW w:w="33.333333%" w:type="pct"/>
          </w:tcPr>
          <w:p>
            <w:pPr>
              <w:ind w:leftChars="0" w:left="0" w:right="0"/>
            </w:pPr>
            <w:r>
              <w:t>CDSL</w:t>
            </w:r>
          </w:p>
        </w:tc>
        <w:tc>
          <w:tcPr>
            <w:cnfStyle w:evenVBand="false" w:oddVBand="true" w:firstColumn="false"/>
            <w:tcW w:w="33.333333%" w:type="pct"/>
          </w:tcPr>
          <w:p>
            <w:pPr>
              <w:ind w:leftChars="0" w:left="0" w:right="0"/>
            </w:pPr>
            <w:r>
              <w:t>CLEARCORP DEALING SYSTEMS (INDIA) LTD.</w:t>
            </w:r>
          </w:p>
        </w:tc>
      </w:tr>
      <w:tr>
        <w:trPr>
          <w:cnfStyle w:evenHBand="false" w:oddHBand="true" w:firstRow="false"/>
        </w:trPr>
        <w:tc>
          <w:tcPr>
            <w:cnfStyle w:evenVBand="false" w:oddVBand="true" w:firstColumn="false"/>
            <w:tcW w:w="33.333333%" w:type="pct"/>
          </w:tcPr>
          <w:p>
            <w:pPr>
              <w:ind w:leftChars="0" w:left="0" w:right="0"/>
            </w:pPr>
            <w:r>
              <w:t>CECA</w:t>
            </w:r>
          </w:p>
        </w:tc>
        <w:tc>
          <w:tcPr>
            <w:cnfStyle w:evenVBand="true" w:oddVBand="false" w:firstColumn="false"/>
            <w:tcW w:w="33.333333%" w:type="pct"/>
          </w:tcPr>
          <w:p>
            <w:pPr>
              <w:ind w:leftChars="0" w:left="0" w:right="0"/>
            </w:pPr>
            <w:r>
              <w:t>CECA</w:t>
            </w:r>
          </w:p>
        </w:tc>
        <w:tc>
          <w:tcPr>
            <w:cnfStyle w:evenVBand="false" w:oddVBand="true" w:firstColumn="false"/>
            <w:tcW w:w="33.333333%" w:type="pct"/>
          </w:tcPr>
          <w:p>
            <w:pPr>
              <w:ind w:leftChars="0" w:left="0" w:right="0"/>
            </w:pPr>
            <w:r>
              <w:t>CECABANK - SYSTEMATIC INTERNALISER</w:t>
            </w:r>
          </w:p>
        </w:tc>
      </w:tr>
      <w:tr>
        <w:trPr>
          <w:cnfStyle w:evenHBand="true" w:oddHBand="false" w:firstRow="false"/>
        </w:trPr>
        <w:tc>
          <w:tcPr>
            <w:cnfStyle w:evenVBand="false" w:oddVBand="true" w:firstColumn="false"/>
            <w:tcW w:w="33.333333%" w:type="pct"/>
          </w:tcPr>
          <w:p>
            <w:pPr>
              <w:ind w:leftChars="0" w:left="0" w:right="0"/>
            </w:pPr>
            <w:r>
              <w:t>CECS</w:t>
            </w:r>
          </w:p>
        </w:tc>
        <w:tc>
          <w:tcPr>
            <w:cnfStyle w:evenVBand="true" w:oddVBand="false" w:firstColumn="false"/>
            <w:tcW w:w="33.333333%" w:type="pct"/>
          </w:tcPr>
          <w:p>
            <w:pPr>
              <w:ind w:leftChars="0" w:left="0" w:right="0"/>
            </w:pPr>
            <w:r>
              <w:t>CECS</w:t>
            </w:r>
          </w:p>
        </w:tc>
        <w:tc>
          <w:tcPr>
            <w:cnfStyle w:evenVBand="false" w:oddVBand="true" w:firstColumn="false"/>
            <w:tcW w:w="33.333333%" w:type="pct"/>
          </w:tcPr>
          <w:p>
            <w:pPr>
              <w:ind w:leftChars="0" w:left="0" w:right="0"/>
            </w:pPr>
            <w:r>
              <w:t>CME SWAPS MARKETS (COMEX)</w:t>
            </w:r>
          </w:p>
        </w:tc>
      </w:tr>
      <w:tr>
        <w:trPr>
          <w:cnfStyle w:evenHBand="false" w:oddHBand="true" w:firstRow="false"/>
        </w:trPr>
        <w:tc>
          <w:tcPr>
            <w:cnfStyle w:evenVBand="false" w:oddVBand="true" w:firstColumn="false"/>
            <w:tcW w:w="33.333333%" w:type="pct"/>
          </w:tcPr>
          <w:p>
            <w:pPr>
              <w:ind w:leftChars="0" w:left="0" w:right="0"/>
            </w:pPr>
            <w:r>
              <w:t>CEDX</w:t>
            </w:r>
          </w:p>
        </w:tc>
        <w:tc>
          <w:tcPr>
            <w:cnfStyle w:evenVBand="true" w:oddVBand="false" w:firstColumn="false"/>
            <w:tcW w:w="33.333333%" w:type="pct"/>
          </w:tcPr>
          <w:p>
            <w:pPr>
              <w:ind w:leftChars="0" w:left="0" w:right="0"/>
            </w:pPr>
            <w:r>
              <w:t>CEDX</w:t>
            </w:r>
          </w:p>
        </w:tc>
        <w:tc>
          <w:tcPr>
            <w:cnfStyle w:evenVBand="false" w:oddVBand="true" w:firstColumn="false"/>
            <w:tcW w:w="33.333333%" w:type="pct"/>
          </w:tcPr>
          <w:p>
            <w:pPr>
              <w:ind w:leftChars="0" w:left="0" w:right="0"/>
            </w:pPr>
            <w:r>
              <w:t>CBOE EUROPE DERIVATIVES</w:t>
            </w:r>
          </w:p>
        </w:tc>
      </w:tr>
      <w:tr>
        <w:trPr>
          <w:cnfStyle w:evenHBand="true" w:oddHBand="false" w:firstRow="false"/>
        </w:trPr>
        <w:tc>
          <w:tcPr>
            <w:cnfStyle w:evenVBand="false" w:oddVBand="true" w:firstColumn="false"/>
            <w:tcW w:w="33.333333%" w:type="pct"/>
          </w:tcPr>
          <w:p>
            <w:pPr>
              <w:ind w:leftChars="0" w:left="0" w:right="0"/>
            </w:pPr>
            <w:r>
              <w:t>CELP</w:t>
            </w:r>
          </w:p>
        </w:tc>
        <w:tc>
          <w:tcPr>
            <w:cnfStyle w:evenVBand="true" w:oddVBand="false" w:firstColumn="false"/>
            <w:tcW w:w="33.333333%" w:type="pct"/>
          </w:tcPr>
          <w:p>
            <w:pPr>
              <w:ind w:leftChars="0" w:left="0" w:right="0"/>
            </w:pPr>
            <w:r>
              <w:t>CELP</w:t>
            </w:r>
          </w:p>
        </w:tc>
        <w:tc>
          <w:tcPr>
            <w:cnfStyle w:evenVBand="false" w:oddVBand="true" w:firstColumn="false"/>
            <w:tcW w:w="33.333333%" w:type="pct"/>
          </w:tcPr>
          <w:p>
            <w:pPr>
              <w:ind w:leftChars="0" w:left="0" w:right="0"/>
            </w:pPr>
            <w:r>
              <w:t>ČESKOSLOVENSKÁ OBCHODNÍ BANKA, A.S. - OTHER LIQUIDITY PROVIDER (OLP)</w:t>
            </w:r>
          </w:p>
        </w:tc>
      </w:tr>
      <w:tr>
        <w:trPr>
          <w:cnfStyle w:evenHBand="false" w:oddHBand="true" w:firstRow="false"/>
        </w:trPr>
        <w:tc>
          <w:tcPr>
            <w:cnfStyle w:evenVBand="false" w:oddVBand="true" w:firstColumn="false"/>
            <w:tcW w:w="33.333333%" w:type="pct"/>
          </w:tcPr>
          <w:p>
            <w:pPr>
              <w:ind w:leftChars="0" w:left="0" w:right="0"/>
            </w:pPr>
            <w:r>
              <w:t>CEPL</w:t>
            </w:r>
          </w:p>
        </w:tc>
        <w:tc>
          <w:tcPr>
            <w:cnfStyle w:evenVBand="true" w:oddVBand="false" w:firstColumn="false"/>
            <w:tcW w:w="33.333333%" w:type="pct"/>
          </w:tcPr>
          <w:p>
            <w:pPr>
              <w:ind w:leftChars="0" w:left="0" w:right="0"/>
            </w:pPr>
            <w:r>
              <w:t>CEPL</w:t>
            </w:r>
          </w:p>
        </w:tc>
        <w:tc>
          <w:tcPr>
            <w:cnfStyle w:evenVBand="false" w:oddVBand="true" w:firstColumn="false"/>
            <w:tcW w:w="33.333333%" w:type="pct"/>
          </w:tcPr>
          <w:p>
            <w:pPr>
              <w:ind w:leftChars="0" w:left="0" w:right="0"/>
            </w:pPr>
            <w:r>
              <w:t>CITIBANK EUROPE PLC - SYSTEMATIC INTERNALISER</w:t>
            </w:r>
          </w:p>
        </w:tc>
      </w:tr>
      <w:tr>
        <w:trPr>
          <w:cnfStyle w:evenHBand="true" w:oddHBand="false" w:firstRow="false"/>
        </w:trPr>
        <w:tc>
          <w:tcPr>
            <w:cnfStyle w:evenVBand="false" w:oddVBand="true" w:firstColumn="false"/>
            <w:tcW w:w="33.333333%" w:type="pct"/>
          </w:tcPr>
          <w:p>
            <w:pPr>
              <w:ind w:leftChars="0" w:left="0" w:right="0"/>
            </w:pPr>
            <w:r>
              <w:t>CEPU</w:t>
            </w:r>
          </w:p>
        </w:tc>
        <w:tc>
          <w:tcPr>
            <w:cnfStyle w:evenVBand="true" w:oddVBand="false" w:firstColumn="false"/>
            <w:tcW w:w="33.333333%" w:type="pct"/>
          </w:tcPr>
          <w:p>
            <w:pPr>
              <w:ind w:leftChars="0" w:left="0" w:right="0"/>
            </w:pPr>
            <w:r>
              <w:t>CEPU</w:t>
            </w:r>
          </w:p>
        </w:tc>
        <w:tc>
          <w:tcPr>
            <w:cnfStyle w:evenVBand="false" w:oddVBand="true" w:firstColumn="false"/>
            <w:tcW w:w="33.333333%" w:type="pct"/>
          </w:tcPr>
          <w:p>
            <w:pPr>
              <w:ind w:leftChars="0" w:left="0" w:right="0"/>
            </w:pPr>
            <w:r>
              <w:t>CITIBANK EUROPE PLC - LONDON BRANCH</w:t>
            </w:r>
          </w:p>
        </w:tc>
      </w:tr>
      <w:tr>
        <w:trPr>
          <w:cnfStyle w:evenHBand="false" w:oddHBand="true" w:firstRow="false"/>
        </w:trPr>
        <w:tc>
          <w:tcPr>
            <w:cnfStyle w:evenVBand="false" w:oddVBand="true" w:firstColumn="false"/>
            <w:tcW w:w="33.333333%" w:type="pct"/>
          </w:tcPr>
          <w:p>
            <w:pPr>
              <w:ind w:leftChars="0" w:left="0" w:right="0"/>
            </w:pPr>
            <w:r>
              <w:t>CESI</w:t>
            </w:r>
          </w:p>
        </w:tc>
        <w:tc>
          <w:tcPr>
            <w:cnfStyle w:evenVBand="true" w:oddVBand="false" w:firstColumn="false"/>
            <w:tcW w:w="33.333333%" w:type="pct"/>
          </w:tcPr>
          <w:p>
            <w:pPr>
              <w:ind w:leftChars="0" w:left="0" w:right="0"/>
            </w:pPr>
            <w:r>
              <w:t>CESI</w:t>
            </w:r>
          </w:p>
        </w:tc>
        <w:tc>
          <w:tcPr>
            <w:cnfStyle w:evenVBand="false" w:oddVBand="true" w:firstColumn="false"/>
            <w:tcW w:w="33.333333%" w:type="pct"/>
          </w:tcPr>
          <w:p>
            <w:pPr>
              <w:ind w:leftChars="0" w:left="0" w:right="0"/>
            </w:pPr>
            <w:r>
              <w:t>ČESKOSLOVENSKÁ OBCHODNÍ BANKA, A.S. - SYSTEMATIC INTERNALISER</w:t>
            </w:r>
          </w:p>
        </w:tc>
      </w:tr>
      <w:tr>
        <w:trPr>
          <w:cnfStyle w:evenHBand="true" w:oddHBand="false" w:firstRow="false"/>
        </w:trPr>
        <w:tc>
          <w:tcPr>
            <w:cnfStyle w:evenVBand="false" w:oddVBand="true" w:firstColumn="false"/>
            <w:tcW w:w="33.333333%" w:type="pct"/>
          </w:tcPr>
          <w:p>
            <w:pPr>
              <w:ind w:leftChars="0" w:left="0" w:right="0"/>
            </w:pPr>
            <w:r>
              <w:t>CETI</w:t>
            </w:r>
          </w:p>
        </w:tc>
        <w:tc>
          <w:tcPr>
            <w:cnfStyle w:evenVBand="true" w:oddVBand="false" w:firstColumn="false"/>
            <w:tcW w:w="33.333333%" w:type="pct"/>
          </w:tcPr>
          <w:p>
            <w:pPr>
              <w:ind w:leftChars="0" w:left="0" w:right="0"/>
            </w:pPr>
            <w:r>
              <w:t>CETI</w:t>
            </w:r>
          </w:p>
        </w:tc>
        <w:tc>
          <w:tcPr>
            <w:cnfStyle w:evenVBand="false" w:oddVBand="true" w:firstColumn="false"/>
            <w:tcW w:w="33.333333%" w:type="pct"/>
          </w:tcPr>
          <w:p>
            <w:pPr>
              <w:ind w:leftChars="0" w:left="0" w:right="0"/>
            </w:pPr>
            <w:r>
              <w:t>CETIP S.A. - MERCADOS ORGANIZADOS</w:t>
            </w:r>
          </w:p>
        </w:tc>
      </w:tr>
      <w:tr>
        <w:trPr>
          <w:cnfStyle w:evenHBand="false" w:oddHBand="true" w:firstRow="false"/>
        </w:trPr>
        <w:tc>
          <w:tcPr>
            <w:cnfStyle w:evenVBand="false" w:oddVBand="true" w:firstColumn="false"/>
            <w:tcW w:w="33.333333%" w:type="pct"/>
          </w:tcPr>
          <w:p>
            <w:pPr>
              <w:ind w:leftChars="0" w:left="0" w:right="0"/>
            </w:pPr>
            <w:r>
              <w:t>CETO</w:t>
            </w:r>
          </w:p>
        </w:tc>
        <w:tc>
          <w:tcPr>
            <w:cnfStyle w:evenVBand="true" w:oddVBand="false" w:firstColumn="false"/>
            <w:tcW w:w="33.333333%" w:type="pct"/>
          </w:tcPr>
          <w:p>
            <w:pPr>
              <w:ind w:leftChars="0" w:left="0" w:right="0"/>
            </w:pPr>
            <w:r>
              <w:t>CETO</w:t>
            </w:r>
          </w:p>
        </w:tc>
        <w:tc>
          <w:tcPr>
            <w:cnfStyle w:evenVBand="false" w:oddVBand="true" w:firstColumn="false"/>
            <w:tcW w:w="33.333333%" w:type="pct"/>
          </w:tcPr>
          <w:p>
            <w:pPr>
              <w:ind w:leftChars="0" w:left="0" w:right="0"/>
            </w:pPr>
            <w:r>
              <w:t>BONDSPOT S.A.</w:t>
            </w:r>
          </w:p>
        </w:tc>
      </w:tr>
      <w:tr>
        <w:trPr>
          <w:cnfStyle w:evenHBand="true" w:oddHBand="false" w:firstRow="false"/>
        </w:trPr>
        <w:tc>
          <w:tcPr>
            <w:cnfStyle w:evenVBand="false" w:oddVBand="true" w:firstColumn="false"/>
            <w:tcW w:w="33.333333%" w:type="pct"/>
          </w:tcPr>
          <w:p>
            <w:pPr>
              <w:ind w:leftChars="0" w:left="0" w:right="0"/>
            </w:pPr>
            <w:r>
              <w:t>CEUD</w:t>
            </w:r>
          </w:p>
        </w:tc>
        <w:tc>
          <w:tcPr>
            <w:cnfStyle w:evenVBand="true" w:oddVBand="false" w:firstColumn="false"/>
            <w:tcW w:w="33.333333%" w:type="pct"/>
          </w:tcPr>
          <w:p>
            <w:pPr>
              <w:ind w:leftChars="0" w:left="0" w:right="0"/>
            </w:pPr>
            <w:r>
              <w:t>CEUD</w:t>
            </w:r>
          </w:p>
        </w:tc>
        <w:tc>
          <w:tcPr>
            <w:cnfStyle w:evenVBand="false" w:oddVBand="true" w:firstColumn="false"/>
            <w:tcW w:w="33.333333%" w:type="pct"/>
          </w:tcPr>
          <w:p>
            <w:pPr>
              <w:ind w:leftChars="0" w:left="0" w:right="0"/>
            </w:pPr>
            <w:r>
              <w:t>CBOE EUROPE - DXE DARK ORDER BOOK (NL)</w:t>
            </w:r>
          </w:p>
        </w:tc>
      </w:tr>
      <w:tr>
        <w:trPr>
          <w:cnfStyle w:evenHBand="false" w:oddHBand="true" w:firstRow="false"/>
        </w:trPr>
        <w:tc>
          <w:tcPr>
            <w:cnfStyle w:evenVBand="false" w:oddVBand="true" w:firstColumn="false"/>
            <w:tcW w:w="33.333333%" w:type="pct"/>
          </w:tcPr>
          <w:p>
            <w:pPr>
              <w:ind w:leftChars="0" w:left="0" w:right="0"/>
            </w:pPr>
            <w:r>
              <w:t>CEUE</w:t>
            </w:r>
          </w:p>
        </w:tc>
        <w:tc>
          <w:tcPr>
            <w:cnfStyle w:evenVBand="true" w:oddVBand="false" w:firstColumn="false"/>
            <w:tcW w:w="33.333333%" w:type="pct"/>
          </w:tcPr>
          <w:p>
            <w:pPr>
              <w:ind w:leftChars="0" w:left="0" w:right="0"/>
            </w:pPr>
            <w:r>
              <w:t>CEUE</w:t>
            </w:r>
          </w:p>
        </w:tc>
        <w:tc>
          <w:tcPr>
            <w:cnfStyle w:evenVBand="false" w:oddVBand="true" w:firstColumn="false"/>
            <w:tcW w:w="33.333333%" w:type="pct"/>
          </w:tcPr>
          <w:p>
            <w:pPr>
              <w:ind w:leftChars="0" w:left="0" w:right="0"/>
            </w:pPr>
            <w:r>
              <w:t>CBOE EUROPE - CXE ORDER BOOKS (NL)</w:t>
            </w:r>
          </w:p>
        </w:tc>
      </w:tr>
      <w:tr>
        <w:trPr>
          <w:cnfStyle w:evenHBand="true" w:oddHBand="false" w:firstRow="false"/>
        </w:trPr>
        <w:tc>
          <w:tcPr>
            <w:cnfStyle w:evenVBand="false" w:oddVBand="true" w:firstColumn="false"/>
            <w:tcW w:w="33.333333%" w:type="pct"/>
          </w:tcPr>
          <w:p>
            <w:pPr>
              <w:ind w:leftChars="0" w:left="0" w:right="0"/>
            </w:pPr>
            <w:r>
              <w:t>CEUO</w:t>
            </w:r>
          </w:p>
        </w:tc>
        <w:tc>
          <w:tcPr>
            <w:cnfStyle w:evenVBand="true" w:oddVBand="false" w:firstColumn="false"/>
            <w:tcW w:w="33.333333%" w:type="pct"/>
          </w:tcPr>
          <w:p>
            <w:pPr>
              <w:ind w:leftChars="0" w:left="0" w:right="0"/>
            </w:pPr>
            <w:r>
              <w:t>CEUO</w:t>
            </w:r>
          </w:p>
        </w:tc>
        <w:tc>
          <w:tcPr>
            <w:cnfStyle w:evenVBand="false" w:oddVBand="true" w:firstColumn="false"/>
            <w:tcW w:w="33.333333%" w:type="pct"/>
          </w:tcPr>
          <w:p>
            <w:pPr>
              <w:ind w:leftChars="0" w:left="0" w:right="0"/>
            </w:pPr>
            <w:r>
              <w:t>CBOE EUROPE - DXE OFF-BOOK (NL)</w:t>
            </w:r>
          </w:p>
        </w:tc>
      </w:tr>
      <w:tr>
        <w:trPr>
          <w:cnfStyle w:evenHBand="false" w:oddHBand="true" w:firstRow="false"/>
        </w:trPr>
        <w:tc>
          <w:tcPr>
            <w:cnfStyle w:evenVBand="false" w:oddVBand="true" w:firstColumn="false"/>
            <w:tcW w:w="33.333333%" w:type="pct"/>
          </w:tcPr>
          <w:p>
            <w:pPr>
              <w:ind w:leftChars="0" w:left="0" w:right="0"/>
            </w:pPr>
            <w:r>
              <w:t>CEUX</w:t>
            </w:r>
          </w:p>
        </w:tc>
        <w:tc>
          <w:tcPr>
            <w:cnfStyle w:evenVBand="true" w:oddVBand="false" w:firstColumn="false"/>
            <w:tcW w:w="33.333333%" w:type="pct"/>
          </w:tcPr>
          <w:p>
            <w:pPr>
              <w:ind w:leftChars="0" w:left="0" w:right="0"/>
            </w:pPr>
            <w:r>
              <w:t>CEUX</w:t>
            </w:r>
          </w:p>
        </w:tc>
        <w:tc>
          <w:tcPr>
            <w:cnfStyle w:evenVBand="false" w:oddVBand="true" w:firstColumn="false"/>
            <w:tcW w:w="33.333333%" w:type="pct"/>
          </w:tcPr>
          <w:p>
            <w:pPr>
              <w:ind w:leftChars="0" w:left="0" w:right="0"/>
            </w:pPr>
            <w:r>
              <w:t>CBOE EUROPE - DXE ORDER BOOKS (NL)</w:t>
            </w:r>
          </w:p>
        </w:tc>
      </w:tr>
      <w:tr>
        <w:trPr>
          <w:cnfStyle w:evenHBand="true" w:oddHBand="false" w:firstRow="false"/>
        </w:trPr>
        <w:tc>
          <w:tcPr>
            <w:cnfStyle w:evenVBand="false" w:oddVBand="true" w:firstColumn="false"/>
            <w:tcW w:w="33.333333%" w:type="pct"/>
          </w:tcPr>
          <w:p>
            <w:pPr>
              <w:ind w:leftChars="0" w:left="0" w:right="0"/>
            </w:pPr>
            <w:r>
              <w:t>CFAU</w:t>
            </w:r>
          </w:p>
        </w:tc>
        <w:tc>
          <w:tcPr>
            <w:cnfStyle w:evenVBand="true" w:oddVBand="false" w:firstColumn="false"/>
            <w:tcW w:w="33.333333%" w:type="pct"/>
          </w:tcPr>
          <w:p>
            <w:pPr>
              <w:ind w:leftChars="0" w:left="0" w:right="0"/>
            </w:pPr>
            <w:r>
              <w:t>CFAU</w:t>
            </w:r>
          </w:p>
        </w:tc>
        <w:tc>
          <w:tcPr>
            <w:cnfStyle w:evenVBand="false" w:oddVBand="true" w:firstColumn="false"/>
            <w:tcW w:w="33.333333%" w:type="pct"/>
          </w:tcPr>
          <w:p>
            <w:pPr>
              <w:ind w:leftChars="0" w:left="0" w:right="0"/>
            </w:pPr>
            <w:r>
              <w:t>CROSSFINDER AUSTRALIA</w:t>
            </w:r>
          </w:p>
        </w:tc>
      </w:tr>
      <w:tr>
        <w:trPr>
          <w:cnfStyle w:evenHBand="false" w:oddHBand="true" w:firstRow="false"/>
        </w:trPr>
        <w:tc>
          <w:tcPr>
            <w:cnfStyle w:evenVBand="false" w:oddVBand="true" w:firstColumn="false"/>
            <w:tcW w:w="33.333333%" w:type="pct"/>
          </w:tcPr>
          <w:p>
            <w:pPr>
              <w:ind w:leftChars="0" w:left="0" w:right="0"/>
            </w:pPr>
            <w:r>
              <w:t>CFBC</w:t>
            </w:r>
          </w:p>
        </w:tc>
        <w:tc>
          <w:tcPr>
            <w:cnfStyle w:evenVBand="true" w:oddVBand="false" w:firstColumn="false"/>
            <w:tcW w:w="33.333333%" w:type="pct"/>
          </w:tcPr>
          <w:p>
            <w:pPr>
              <w:ind w:leftChars="0" w:left="0" w:right="0"/>
            </w:pPr>
            <w:r>
              <w:t>CFBC</w:t>
            </w:r>
          </w:p>
        </w:tc>
        <w:tc>
          <w:tcPr>
            <w:cnfStyle w:evenVBand="false" w:oddVBand="true" w:firstColumn="false"/>
            <w:tcW w:w="33.333333%" w:type="pct"/>
          </w:tcPr>
          <w:p>
            <w:pPr>
              <w:ind w:leftChars="0" w:left="0" w:right="0"/>
            </w:pPr>
            <w:r>
              <w:t>CHINA FOREIGN EXCHANGE TRADE SYSTEM - SHANGHAI - HONG KONG BOND CONNECT</w:t>
            </w:r>
          </w:p>
        </w:tc>
      </w:tr>
      <w:tr>
        <w:trPr>
          <w:cnfStyle w:evenHBand="true" w:oddHBand="false" w:firstRow="false"/>
        </w:trPr>
        <w:tc>
          <w:tcPr>
            <w:cnfStyle w:evenVBand="false" w:oddVBand="true" w:firstColumn="false"/>
            <w:tcW w:w="33.333333%" w:type="pct"/>
          </w:tcPr>
          <w:p>
            <w:pPr>
              <w:ind w:leftChars="0" w:left="0" w:right="0"/>
            </w:pPr>
            <w:r>
              <w:t>CFHK</w:t>
            </w:r>
          </w:p>
        </w:tc>
        <w:tc>
          <w:tcPr>
            <w:cnfStyle w:evenVBand="true" w:oddVBand="false" w:firstColumn="false"/>
            <w:tcW w:w="33.333333%" w:type="pct"/>
          </w:tcPr>
          <w:p>
            <w:pPr>
              <w:ind w:leftChars="0" w:left="0" w:right="0"/>
            </w:pPr>
            <w:r>
              <w:t>CFHK</w:t>
            </w:r>
          </w:p>
        </w:tc>
        <w:tc>
          <w:tcPr>
            <w:cnfStyle w:evenVBand="false" w:oddVBand="true" w:firstColumn="false"/>
            <w:tcW w:w="33.333333%" w:type="pct"/>
          </w:tcPr>
          <w:p>
            <w:pPr>
              <w:ind w:leftChars="0" w:left="0" w:right="0"/>
            </w:pPr>
            <w:r>
              <w:t>CROSSFINDER HONG KONG</w:t>
            </w:r>
          </w:p>
        </w:tc>
      </w:tr>
      <w:tr>
        <w:trPr>
          <w:cnfStyle w:evenHBand="false" w:oddHBand="true" w:firstRow="false"/>
        </w:trPr>
        <w:tc>
          <w:tcPr>
            <w:cnfStyle w:evenVBand="false" w:oddVBand="true" w:firstColumn="false"/>
            <w:tcW w:w="33.333333%" w:type="pct"/>
          </w:tcPr>
          <w:p>
            <w:pPr>
              <w:ind w:leftChars="0" w:left="0" w:right="0"/>
            </w:pPr>
            <w:r>
              <w:t>CFIC</w:t>
            </w:r>
          </w:p>
        </w:tc>
        <w:tc>
          <w:tcPr>
            <w:cnfStyle w:evenVBand="true" w:oddVBand="false" w:firstColumn="false"/>
            <w:tcW w:w="33.333333%" w:type="pct"/>
          </w:tcPr>
          <w:p>
            <w:pPr>
              <w:ind w:leftChars="0" w:left="0" w:right="0"/>
            </w:pPr>
            <w:r>
              <w:t>CFIC</w:t>
            </w:r>
          </w:p>
        </w:tc>
        <w:tc>
          <w:tcPr>
            <w:cnfStyle w:evenVBand="false" w:oddVBand="true" w:firstColumn="false"/>
            <w:tcW w:w="33.333333%" w:type="pct"/>
          </w:tcPr>
          <w:p>
            <w:pPr>
              <w:ind w:leftChars="0" w:left="0" w:right="0"/>
            </w:pPr>
            <w:r>
              <w:t>CHINAFICC</w:t>
            </w:r>
          </w:p>
        </w:tc>
      </w:tr>
      <w:tr>
        <w:trPr>
          <w:cnfStyle w:evenHBand="true" w:oddHBand="false" w:firstRow="false"/>
        </w:trPr>
        <w:tc>
          <w:tcPr>
            <w:cnfStyle w:evenVBand="false" w:oddVBand="true" w:firstColumn="false"/>
            <w:tcW w:w="33.333333%" w:type="pct"/>
          </w:tcPr>
          <w:p>
            <w:pPr>
              <w:ind w:leftChars="0" w:left="0" w:right="0"/>
            </w:pPr>
            <w:r>
              <w:t>CFIF</w:t>
            </w:r>
          </w:p>
        </w:tc>
        <w:tc>
          <w:tcPr>
            <w:cnfStyle w:evenVBand="true" w:oddVBand="false" w:firstColumn="false"/>
            <w:tcW w:w="33.333333%" w:type="pct"/>
          </w:tcPr>
          <w:p>
            <w:pPr>
              <w:ind w:leftChars="0" w:left="0" w:right="0"/>
            </w:pPr>
            <w:r>
              <w:t>CFIF</w:t>
            </w:r>
          </w:p>
        </w:tc>
        <w:tc>
          <w:tcPr>
            <w:cnfStyle w:evenVBand="false" w:oddVBand="true" w:firstColumn="false"/>
            <w:tcW w:w="33.333333%" w:type="pct"/>
          </w:tcPr>
          <w:p>
            <w:pPr>
              <w:ind w:leftChars="0" w:left="0" w:right="0"/>
            </w:pPr>
            <w:r>
              <w:t>CREDIT FINANCIER INVEST (CFI) LTD</w:t>
            </w:r>
          </w:p>
        </w:tc>
      </w:tr>
      <w:tr>
        <w:trPr>
          <w:cnfStyle w:evenHBand="false" w:oddHBand="true" w:firstRow="false"/>
        </w:trPr>
        <w:tc>
          <w:tcPr>
            <w:cnfStyle w:evenVBand="false" w:oddVBand="true" w:firstColumn="false"/>
            <w:tcW w:w="33.333333%" w:type="pct"/>
          </w:tcPr>
          <w:p>
            <w:pPr>
              <w:ind w:leftChars="0" w:left="0" w:right="0"/>
            </w:pPr>
            <w:r>
              <w:t>CFIL</w:t>
            </w:r>
          </w:p>
        </w:tc>
        <w:tc>
          <w:tcPr>
            <w:cnfStyle w:evenVBand="true" w:oddVBand="false" w:firstColumn="false"/>
            <w:tcW w:w="33.333333%" w:type="pct"/>
          </w:tcPr>
          <w:p>
            <w:pPr>
              <w:ind w:leftChars="0" w:left="0" w:right="0"/>
            </w:pPr>
            <w:r>
              <w:t>CFIL</w:t>
            </w:r>
          </w:p>
        </w:tc>
        <w:tc>
          <w:tcPr>
            <w:cnfStyle w:evenVBand="false" w:oddVBand="true" w:firstColumn="false"/>
            <w:tcW w:w="33.333333%" w:type="pct"/>
          </w:tcPr>
          <w:p>
            <w:pPr>
              <w:ind w:leftChars="0" w:left="0" w:right="0"/>
            </w:pPr>
            <w:r>
              <w:t>CANTOR FITZGERALD IRELAND LIMITED</w:t>
            </w:r>
          </w:p>
        </w:tc>
      </w:tr>
      <w:tr>
        <w:trPr>
          <w:cnfStyle w:evenHBand="true" w:oddHBand="false" w:firstRow="false"/>
        </w:trPr>
        <w:tc>
          <w:tcPr>
            <w:cnfStyle w:evenVBand="false" w:oddVBand="true" w:firstColumn="false"/>
            <w:tcW w:w="33.333333%" w:type="pct"/>
          </w:tcPr>
          <w:p>
            <w:pPr>
              <w:ind w:leftChars="0" w:left="0" w:right="0"/>
            </w:pPr>
            <w:r>
              <w:t>CFJP</w:t>
            </w:r>
          </w:p>
        </w:tc>
        <w:tc>
          <w:tcPr>
            <w:cnfStyle w:evenVBand="true" w:oddVBand="false" w:firstColumn="false"/>
            <w:tcW w:w="33.333333%" w:type="pct"/>
          </w:tcPr>
          <w:p>
            <w:pPr>
              <w:ind w:leftChars="0" w:left="0" w:right="0"/>
            </w:pPr>
            <w:r>
              <w:t>CFJP</w:t>
            </w:r>
          </w:p>
        </w:tc>
        <w:tc>
          <w:tcPr>
            <w:cnfStyle w:evenVBand="false" w:oddVBand="true" w:firstColumn="false"/>
            <w:tcW w:w="33.333333%" w:type="pct"/>
          </w:tcPr>
          <w:p>
            <w:pPr>
              <w:ind w:leftChars="0" w:left="0" w:right="0"/>
            </w:pPr>
            <w:r>
              <w:t>CROSSFINDER JAPAN</w:t>
            </w:r>
          </w:p>
        </w:tc>
      </w:tr>
      <w:tr>
        <w:trPr>
          <w:cnfStyle w:evenHBand="false" w:oddHBand="true" w:firstRow="false"/>
        </w:trPr>
        <w:tc>
          <w:tcPr>
            <w:cnfStyle w:evenVBand="false" w:oddVBand="true" w:firstColumn="false"/>
            <w:tcW w:w="33.333333%" w:type="pct"/>
          </w:tcPr>
          <w:p>
            <w:pPr>
              <w:ind w:leftChars="0" w:left="0" w:right="0"/>
            </w:pPr>
            <w:r>
              <w:t>CFTW</w:t>
            </w:r>
          </w:p>
        </w:tc>
        <w:tc>
          <w:tcPr>
            <w:cnfStyle w:evenVBand="true" w:oddVBand="false" w:firstColumn="false"/>
            <w:tcW w:w="33.333333%" w:type="pct"/>
          </w:tcPr>
          <w:p>
            <w:pPr>
              <w:ind w:leftChars="0" w:left="0" w:right="0"/>
            </w:pPr>
            <w:r>
              <w:t>CFTW</w:t>
            </w:r>
          </w:p>
        </w:tc>
        <w:tc>
          <w:tcPr>
            <w:cnfStyle w:evenVBand="false" w:oddVBand="true" w:firstColumn="false"/>
            <w:tcW w:w="33.333333%" w:type="pct"/>
          </w:tcPr>
          <w:p>
            <w:pPr>
              <w:ind w:leftChars="0" w:left="0" w:right="0"/>
            </w:pPr>
            <w:r>
              <w:t>CROSSFINDER TAIWAN</w:t>
            </w:r>
          </w:p>
        </w:tc>
      </w:tr>
      <w:tr>
        <w:trPr>
          <w:cnfStyle w:evenHBand="true" w:oddHBand="false" w:firstRow="false"/>
        </w:trPr>
        <w:tc>
          <w:tcPr>
            <w:cnfStyle w:evenVBand="false" w:oddVBand="true" w:firstColumn="false"/>
            <w:tcW w:w="33.333333%" w:type="pct"/>
          </w:tcPr>
          <w:p>
            <w:pPr>
              <w:ind w:leftChars="0" w:left="0" w:right="0"/>
            </w:pPr>
            <w:r>
              <w:t>CGCM</w:t>
            </w:r>
          </w:p>
        </w:tc>
        <w:tc>
          <w:tcPr>
            <w:cnfStyle w:evenVBand="true" w:oddVBand="false" w:firstColumn="false"/>
            <w:tcW w:w="33.333333%" w:type="pct"/>
          </w:tcPr>
          <w:p>
            <w:pPr>
              <w:ind w:leftChars="0" w:left="0" w:right="0"/>
            </w:pPr>
            <w:r>
              <w:t>CGCM</w:t>
            </w:r>
          </w:p>
        </w:tc>
        <w:tc>
          <w:tcPr>
            <w:cnfStyle w:evenVBand="false" w:oddVBand="true" w:firstColumn="false"/>
            <w:tcW w:w="33.333333%" w:type="pct"/>
          </w:tcPr>
          <w:p>
            <w:pPr>
              <w:ind w:leftChars="0" w:left="0" w:right="0"/>
            </w:pPr>
            <w:r>
              <w:t>CASSA DI COMPENSAZIONE E GARANZIA SPA - COLLATERALIZED MONEY MARKET GUARANTEE SERVICE</w:t>
            </w:r>
          </w:p>
        </w:tc>
      </w:tr>
      <w:tr>
        <w:trPr>
          <w:cnfStyle w:evenHBand="false" w:oddHBand="true" w:firstRow="false"/>
        </w:trPr>
        <w:tc>
          <w:tcPr>
            <w:cnfStyle w:evenVBand="false" w:oddVBand="true" w:firstColumn="false"/>
            <w:tcW w:w="33.333333%" w:type="pct"/>
          </w:tcPr>
          <w:p>
            <w:pPr>
              <w:ind w:leftChars="0" w:left="0" w:right="0"/>
            </w:pPr>
            <w:r>
              <w:t>CGDB</w:t>
            </w:r>
          </w:p>
        </w:tc>
        <w:tc>
          <w:tcPr>
            <w:cnfStyle w:evenVBand="true" w:oddVBand="false" w:firstColumn="false"/>
            <w:tcW w:w="33.333333%" w:type="pct"/>
          </w:tcPr>
          <w:p>
            <w:pPr>
              <w:ind w:leftChars="0" w:left="0" w:right="0"/>
            </w:pPr>
            <w:r>
              <w:t>CGDB</w:t>
            </w:r>
          </w:p>
        </w:tc>
        <w:tc>
          <w:tcPr>
            <w:cnfStyle w:evenVBand="false" w:oddVBand="true" w:firstColumn="false"/>
            <w:tcW w:w="33.333333%" w:type="pct"/>
          </w:tcPr>
          <w:p>
            <w:pPr>
              <w:ind w:leftChars="0" w:left="0" w:right="0"/>
            </w:pPr>
            <w:r>
              <w:t>CASSA DI COMPENSAZIONE E GARANZIA SPA - BONDS CCP SERVICE</w:t>
            </w:r>
          </w:p>
        </w:tc>
      </w:tr>
      <w:tr>
        <w:trPr>
          <w:cnfStyle w:evenHBand="true" w:oddHBand="false" w:firstRow="false"/>
        </w:trPr>
        <w:tc>
          <w:tcPr>
            <w:cnfStyle w:evenVBand="false" w:oddVBand="true" w:firstColumn="false"/>
            <w:tcW w:w="33.333333%" w:type="pct"/>
          </w:tcPr>
          <w:p>
            <w:pPr>
              <w:ind w:leftChars="0" w:left="0" w:right="0"/>
            </w:pPr>
            <w:r>
              <w:t>CGEB</w:t>
            </w:r>
          </w:p>
        </w:tc>
        <w:tc>
          <w:tcPr>
            <w:cnfStyle w:evenVBand="true" w:oddVBand="false" w:firstColumn="false"/>
            <w:tcW w:w="33.333333%" w:type="pct"/>
          </w:tcPr>
          <w:p>
            <w:pPr>
              <w:ind w:leftChars="0" w:left="0" w:right="0"/>
            </w:pPr>
            <w:r>
              <w:t>CGEB</w:t>
            </w:r>
          </w:p>
        </w:tc>
        <w:tc>
          <w:tcPr>
            <w:cnfStyle w:evenVBand="false" w:oddVBand="true" w:firstColumn="false"/>
            <w:tcW w:w="33.333333%" w:type="pct"/>
          </w:tcPr>
          <w:p>
            <w:pPr>
              <w:ind w:leftChars="0" w:left="0" w:right="0"/>
            </w:pPr>
            <w:r>
              <w:t>CASSA DI COMPENSAZIONE E GARANZIA SPA - EURO BONDS CCP SERVICE</w:t>
            </w:r>
          </w:p>
        </w:tc>
      </w:tr>
      <w:tr>
        <w:trPr>
          <w:cnfStyle w:evenHBand="false" w:oddHBand="true" w:firstRow="false"/>
        </w:trPr>
        <w:tc>
          <w:tcPr>
            <w:cnfStyle w:evenVBand="false" w:oddVBand="true" w:firstColumn="false"/>
            <w:tcW w:w="33.333333%" w:type="pct"/>
          </w:tcPr>
          <w:p>
            <w:pPr>
              <w:ind w:leftChars="0" w:left="0" w:right="0"/>
            </w:pPr>
            <w:r>
              <w:t>CGEC</w:t>
            </w:r>
          </w:p>
        </w:tc>
        <w:tc>
          <w:tcPr>
            <w:cnfStyle w:evenVBand="true" w:oddVBand="false" w:firstColumn="false"/>
            <w:tcW w:w="33.333333%" w:type="pct"/>
          </w:tcPr>
          <w:p>
            <w:pPr>
              <w:ind w:leftChars="0" w:left="0" w:right="0"/>
            </w:pPr>
            <w:r>
              <w:t>CGEC</w:t>
            </w:r>
          </w:p>
        </w:tc>
        <w:tc>
          <w:tcPr>
            <w:cnfStyle w:evenVBand="false" w:oddVBand="true" w:firstColumn="false"/>
            <w:tcW w:w="33.333333%" w:type="pct"/>
          </w:tcPr>
          <w:p>
            <w:pPr>
              <w:ind w:leftChars="0" w:left="0" w:right="0"/>
            </w:pPr>
            <w:r>
              <w:t>CITIGROUP GLOBAL MARKETS  EUROPE AG - EMEA LIQUIDITY HUB</w:t>
            </w:r>
          </w:p>
        </w:tc>
      </w:tr>
      <w:tr>
        <w:trPr>
          <w:cnfStyle w:evenHBand="true" w:oddHBand="false" w:firstRow="false"/>
        </w:trPr>
        <w:tc>
          <w:tcPr>
            <w:cnfStyle w:evenVBand="false" w:oddVBand="true" w:firstColumn="false"/>
            <w:tcW w:w="33.333333%" w:type="pct"/>
          </w:tcPr>
          <w:p>
            <w:pPr>
              <w:ind w:leftChars="0" w:left="0" w:right="0"/>
            </w:pPr>
            <w:r>
              <w:t>CGEE</w:t>
            </w:r>
          </w:p>
        </w:tc>
        <w:tc>
          <w:tcPr>
            <w:cnfStyle w:evenVBand="true" w:oddVBand="false" w:firstColumn="false"/>
            <w:tcW w:w="33.333333%" w:type="pct"/>
          </w:tcPr>
          <w:p>
            <w:pPr>
              <w:ind w:leftChars="0" w:left="0" w:right="0"/>
            </w:pPr>
            <w:r>
              <w:t>CGEE</w:t>
            </w:r>
          </w:p>
        </w:tc>
        <w:tc>
          <w:tcPr>
            <w:cnfStyle w:evenVBand="false" w:oddVBand="true" w:firstColumn="false"/>
            <w:tcW w:w="33.333333%" w:type="pct"/>
          </w:tcPr>
          <w:p>
            <w:pPr>
              <w:ind w:leftChars="0" w:left="0" w:right="0"/>
            </w:pPr>
            <w:r>
              <w:t>CITI MATCH DE CONTRA LIQUIDITY</w:t>
            </w:r>
          </w:p>
        </w:tc>
      </w:tr>
      <w:tr>
        <w:trPr>
          <w:cnfStyle w:evenHBand="false" w:oddHBand="true" w:firstRow="false"/>
        </w:trPr>
        <w:tc>
          <w:tcPr>
            <w:cnfStyle w:evenVBand="false" w:oddVBand="true" w:firstColumn="false"/>
            <w:tcW w:w="33.333333%" w:type="pct"/>
          </w:tcPr>
          <w:p>
            <w:pPr>
              <w:ind w:leftChars="0" w:left="0" w:right="0"/>
            </w:pPr>
            <w:r>
              <w:t>CGET</w:t>
            </w:r>
          </w:p>
        </w:tc>
        <w:tc>
          <w:tcPr>
            <w:cnfStyle w:evenVBand="true" w:oddVBand="false" w:firstColumn="false"/>
            <w:tcW w:w="33.333333%" w:type="pct"/>
          </w:tcPr>
          <w:p>
            <w:pPr>
              <w:ind w:leftChars="0" w:left="0" w:right="0"/>
            </w:pPr>
            <w:r>
              <w:t>CGET</w:t>
            </w:r>
          </w:p>
        </w:tc>
        <w:tc>
          <w:tcPr>
            <w:cnfStyle w:evenVBand="false" w:oddVBand="true" w:firstColumn="false"/>
            <w:tcW w:w="33.333333%" w:type="pct"/>
          </w:tcPr>
          <w:p>
            <w:pPr>
              <w:ind w:leftChars="0" w:left="0" w:right="0"/>
            </w:pPr>
            <w:r>
              <w:t>CITIGROUP GLOBAL MARKETS  EUROPE AG - EMEA TRADING</w:t>
            </w:r>
          </w:p>
        </w:tc>
      </w:tr>
      <w:tr>
        <w:trPr>
          <w:cnfStyle w:evenHBand="true" w:oddHBand="false" w:firstRow="false"/>
        </w:trPr>
        <w:tc>
          <w:tcPr>
            <w:cnfStyle w:evenVBand="false" w:oddVBand="true" w:firstColumn="false"/>
            <w:tcW w:w="33.333333%" w:type="pct"/>
          </w:tcPr>
          <w:p>
            <w:pPr>
              <w:ind w:leftChars="0" w:left="0" w:right="0"/>
            </w:pPr>
            <w:r>
              <w:t>CGGD</w:t>
            </w:r>
          </w:p>
        </w:tc>
        <w:tc>
          <w:tcPr>
            <w:cnfStyle w:evenVBand="true" w:oddVBand="false" w:firstColumn="false"/>
            <w:tcW w:w="33.333333%" w:type="pct"/>
          </w:tcPr>
          <w:p>
            <w:pPr>
              <w:ind w:leftChars="0" w:left="0" w:right="0"/>
            </w:pPr>
            <w:r>
              <w:t>CGGD</w:t>
            </w:r>
          </w:p>
        </w:tc>
        <w:tc>
          <w:tcPr>
            <w:cnfStyle w:evenVBand="false" w:oddVBand="true" w:firstColumn="false"/>
            <w:tcW w:w="33.333333%" w:type="pct"/>
          </w:tcPr>
          <w:p>
            <w:pPr>
              <w:ind w:leftChars="0" w:left="0" w:right="0"/>
            </w:pPr>
            <w:r>
              <w:t>CASSA DI COMPENSAZIONE E GARANZIA SPA - CCP AGRICULTURAL COMMODITY DERIVATIVES</w:t>
            </w:r>
          </w:p>
        </w:tc>
      </w:tr>
      <w:tr>
        <w:trPr>
          <w:cnfStyle w:evenHBand="false" w:oddHBand="true" w:firstRow="false"/>
        </w:trPr>
        <w:tc>
          <w:tcPr>
            <w:cnfStyle w:evenVBand="false" w:oddVBand="true" w:firstColumn="false"/>
            <w:tcW w:w="33.333333%" w:type="pct"/>
          </w:tcPr>
          <w:p>
            <w:pPr>
              <w:ind w:leftChars="0" w:left="0" w:right="0"/>
            </w:pPr>
            <w:r>
              <w:t>CGIT</w:t>
            </w:r>
          </w:p>
        </w:tc>
        <w:tc>
          <w:tcPr>
            <w:cnfStyle w:evenVBand="true" w:oddVBand="false" w:firstColumn="false"/>
            <w:tcW w:w="33.333333%" w:type="pct"/>
          </w:tcPr>
          <w:p>
            <w:pPr>
              <w:ind w:leftChars="0" w:left="0" w:right="0"/>
            </w:pPr>
            <w:r>
              <w:t>CGIT</w:t>
            </w:r>
          </w:p>
        </w:tc>
        <w:tc>
          <w:tcPr>
            <w:cnfStyle w:evenVBand="false" w:oddVBand="true" w:firstColumn="false"/>
            <w:tcW w:w="33.333333%" w:type="pct"/>
          </w:tcPr>
          <w:p>
            <w:pPr>
              <w:ind w:leftChars="0" w:left="0" w:right="0"/>
            </w:pPr>
            <w:r>
              <w:t>CASSA DI COMPENSAZIONE E GARANZIA SPA</w:t>
            </w:r>
          </w:p>
        </w:tc>
      </w:tr>
      <w:tr>
        <w:trPr>
          <w:cnfStyle w:evenHBand="true" w:oddHBand="false" w:firstRow="false"/>
        </w:trPr>
        <w:tc>
          <w:tcPr>
            <w:cnfStyle w:evenVBand="false" w:oddVBand="true" w:firstColumn="false"/>
            <w:tcW w:w="33.333333%" w:type="pct"/>
          </w:tcPr>
          <w:p>
            <w:pPr>
              <w:ind w:leftChars="0" w:left="0" w:right="0"/>
            </w:pPr>
            <w:r>
              <w:t>CGMA</w:t>
            </w:r>
          </w:p>
        </w:tc>
        <w:tc>
          <w:tcPr>
            <w:cnfStyle w:evenVBand="true" w:oddVBand="false" w:firstColumn="false"/>
            <w:tcW w:w="33.333333%" w:type="pct"/>
          </w:tcPr>
          <w:p>
            <w:pPr>
              <w:ind w:leftChars="0" w:left="0" w:right="0"/>
            </w:pPr>
            <w:r>
              <w:t>CGMA</w:t>
            </w:r>
          </w:p>
        </w:tc>
        <w:tc>
          <w:tcPr>
            <w:cnfStyle w:evenVBand="false" w:oddVBand="true" w:firstColumn="false"/>
            <w:tcW w:w="33.333333%" w:type="pct"/>
          </w:tcPr>
          <w:p>
            <w:pPr>
              <w:ind w:leftChars="0" w:left="0" w:right="0"/>
            </w:pPr>
            <w:r>
              <w:t>CITI MATCH AUSTRALIA</w:t>
            </w:r>
          </w:p>
        </w:tc>
      </w:tr>
      <w:tr>
        <w:trPr>
          <w:cnfStyle w:evenHBand="false" w:oddHBand="true" w:firstRow="false"/>
        </w:trPr>
        <w:tc>
          <w:tcPr>
            <w:cnfStyle w:evenVBand="false" w:oddVBand="true" w:firstColumn="false"/>
            <w:tcW w:w="33.333333%" w:type="pct"/>
          </w:tcPr>
          <w:p>
            <w:pPr>
              <w:ind w:leftChars="0" w:left="0" w:right="0"/>
            </w:pPr>
            <w:r>
              <w:t>CGMC</w:t>
            </w:r>
          </w:p>
        </w:tc>
        <w:tc>
          <w:tcPr>
            <w:cnfStyle w:evenVBand="true" w:oddVBand="false" w:firstColumn="false"/>
            <w:tcW w:w="33.333333%" w:type="pct"/>
          </w:tcPr>
          <w:p>
            <w:pPr>
              <w:ind w:leftChars="0" w:left="0" w:right="0"/>
            </w:pPr>
            <w:r>
              <w:t>CGMC</w:t>
            </w:r>
          </w:p>
        </w:tc>
        <w:tc>
          <w:tcPr>
            <w:cnfStyle w:evenVBand="false" w:oddVBand="true" w:firstColumn="false"/>
            <w:tcW w:w="33.333333%" w:type="pct"/>
          </w:tcPr>
          <w:p>
            <w:pPr>
              <w:ind w:leftChars="0" w:left="0" w:right="0"/>
            </w:pPr>
            <w:r>
              <w:t>CITIGROUP GLOBAL MARKETS  LIMITED - EMEA LIQUIDITY HUB</w:t>
            </w:r>
          </w:p>
        </w:tc>
      </w:tr>
      <w:tr>
        <w:trPr>
          <w:cnfStyle w:evenHBand="true" w:oddHBand="false" w:firstRow="false"/>
        </w:trPr>
        <w:tc>
          <w:tcPr>
            <w:cnfStyle w:evenVBand="false" w:oddVBand="true" w:firstColumn="false"/>
            <w:tcW w:w="33.333333%" w:type="pct"/>
          </w:tcPr>
          <w:p>
            <w:pPr>
              <w:ind w:leftChars="0" w:left="0" w:right="0"/>
            </w:pPr>
            <w:r>
              <w:t>CGMD</w:t>
            </w:r>
          </w:p>
        </w:tc>
        <w:tc>
          <w:tcPr>
            <w:cnfStyle w:evenVBand="true" w:oddVBand="false" w:firstColumn="false"/>
            <w:tcW w:w="33.333333%" w:type="pct"/>
          </w:tcPr>
          <w:p>
            <w:pPr>
              <w:ind w:leftChars="0" w:left="0" w:right="0"/>
            </w:pPr>
            <w:r>
              <w:t>CGMD</w:t>
            </w:r>
          </w:p>
        </w:tc>
        <w:tc>
          <w:tcPr>
            <w:cnfStyle w:evenVBand="false" w:oddVBand="true" w:firstColumn="false"/>
            <w:tcW w:w="33.333333%" w:type="pct"/>
          </w:tcPr>
          <w:p>
            <w:pPr>
              <w:ind w:leftChars="0" w:left="0" w:right="0"/>
            </w:pPr>
            <w:r>
              <w:t>CITIGROUP GLOBAL MARKETS EUROPE AG - SYSTEMATIC INTERNALISER</w:t>
            </w:r>
          </w:p>
        </w:tc>
      </w:tr>
      <w:tr>
        <w:trPr>
          <w:cnfStyle w:evenHBand="false" w:oddHBand="true" w:firstRow="false"/>
        </w:trPr>
        <w:tc>
          <w:tcPr>
            <w:cnfStyle w:evenVBand="false" w:oddVBand="true" w:firstColumn="false"/>
            <w:tcW w:w="33.333333%" w:type="pct"/>
          </w:tcPr>
          <w:p>
            <w:pPr>
              <w:ind w:leftChars="0" w:left="0" w:right="0"/>
            </w:pPr>
            <w:r>
              <w:t>CGME</w:t>
            </w:r>
          </w:p>
        </w:tc>
        <w:tc>
          <w:tcPr>
            <w:cnfStyle w:evenVBand="true" w:oddVBand="false" w:firstColumn="false"/>
            <w:tcW w:w="33.333333%" w:type="pct"/>
          </w:tcPr>
          <w:p>
            <w:pPr>
              <w:ind w:leftChars="0" w:left="0" w:right="0"/>
            </w:pPr>
            <w:r>
              <w:t>CGME</w:t>
            </w:r>
          </w:p>
        </w:tc>
        <w:tc>
          <w:tcPr>
            <w:cnfStyle w:evenVBand="false" w:oddVBand="true" w:firstColumn="false"/>
            <w:tcW w:w="33.333333%" w:type="pct"/>
          </w:tcPr>
          <w:p>
            <w:pPr>
              <w:ind w:leftChars="0" w:left="0" w:right="0"/>
            </w:pPr>
            <w:r>
              <w:t>CITI MATCH - GB</w:t>
            </w:r>
          </w:p>
        </w:tc>
      </w:tr>
      <w:tr>
        <w:trPr>
          <w:cnfStyle w:evenHBand="true" w:oddHBand="false" w:firstRow="false"/>
        </w:trPr>
        <w:tc>
          <w:tcPr>
            <w:cnfStyle w:evenVBand="false" w:oddVBand="true" w:firstColumn="false"/>
            <w:tcW w:w="33.333333%" w:type="pct"/>
          </w:tcPr>
          <w:p>
            <w:pPr>
              <w:ind w:leftChars="0" w:left="0" w:right="0"/>
            </w:pPr>
            <w:r>
              <w:t>CGMG</w:t>
            </w:r>
          </w:p>
        </w:tc>
        <w:tc>
          <w:tcPr>
            <w:cnfStyle w:evenVBand="true" w:oddVBand="false" w:firstColumn="false"/>
            <w:tcW w:w="33.333333%" w:type="pct"/>
          </w:tcPr>
          <w:p>
            <w:pPr>
              <w:ind w:leftChars="0" w:left="0" w:right="0"/>
            </w:pPr>
            <w:r>
              <w:t>CGMG</w:t>
            </w:r>
          </w:p>
        </w:tc>
        <w:tc>
          <w:tcPr>
            <w:cnfStyle w:evenVBand="false" w:oddVBand="true" w:firstColumn="false"/>
            <w:tcW w:w="33.333333%" w:type="pct"/>
          </w:tcPr>
          <w:p>
            <w:pPr>
              <w:ind w:leftChars="0" w:left="0" w:right="0"/>
            </w:pPr>
            <w:r>
              <w:t>CITIGROUP GLOBAL MARKETS EUROPE AG - LONDON BRANCH - SYSTEMATIC INTERNALISER</w:t>
            </w:r>
          </w:p>
        </w:tc>
      </w:tr>
      <w:tr>
        <w:trPr>
          <w:cnfStyle w:evenHBand="false" w:oddHBand="true" w:firstRow="false"/>
        </w:trPr>
        <w:tc>
          <w:tcPr>
            <w:cnfStyle w:evenVBand="false" w:oddVBand="true" w:firstColumn="false"/>
            <w:tcW w:w="33.333333%" w:type="pct"/>
          </w:tcPr>
          <w:p>
            <w:pPr>
              <w:ind w:leftChars="0" w:left="0" w:right="0"/>
            </w:pPr>
            <w:r>
              <w:t>CGMH</w:t>
            </w:r>
          </w:p>
        </w:tc>
        <w:tc>
          <w:tcPr>
            <w:cnfStyle w:evenVBand="true" w:oddVBand="false" w:firstColumn="false"/>
            <w:tcW w:w="33.333333%" w:type="pct"/>
          </w:tcPr>
          <w:p>
            <w:pPr>
              <w:ind w:leftChars="0" w:left="0" w:right="0"/>
            </w:pPr>
            <w:r>
              <w:t>CGMH</w:t>
            </w:r>
          </w:p>
        </w:tc>
        <w:tc>
          <w:tcPr>
            <w:cnfStyle w:evenVBand="false" w:oddVBand="true" w:firstColumn="false"/>
            <w:tcW w:w="33.333333%" w:type="pct"/>
          </w:tcPr>
          <w:p>
            <w:pPr>
              <w:ind w:leftChars="0" w:left="0" w:right="0"/>
            </w:pPr>
            <w:r>
              <w:t>CITI MATCH - HK</w:t>
            </w:r>
          </w:p>
        </w:tc>
      </w:tr>
      <w:tr>
        <w:trPr>
          <w:cnfStyle w:evenHBand="true" w:oddHBand="false" w:firstRow="false"/>
        </w:trPr>
        <w:tc>
          <w:tcPr>
            <w:cnfStyle w:evenVBand="false" w:oddVBand="true" w:firstColumn="false"/>
            <w:tcW w:w="33.333333%" w:type="pct"/>
          </w:tcPr>
          <w:p>
            <w:pPr>
              <w:ind w:leftChars="0" w:left="0" w:right="0"/>
            </w:pPr>
            <w:r>
              <w:t>CGMI</w:t>
            </w:r>
          </w:p>
        </w:tc>
        <w:tc>
          <w:tcPr>
            <w:cnfStyle w:evenVBand="true" w:oddVBand="false" w:firstColumn="false"/>
            <w:tcW w:w="33.333333%" w:type="pct"/>
          </w:tcPr>
          <w:p>
            <w:pPr>
              <w:ind w:leftChars="0" w:left="0" w:right="0"/>
            </w:pPr>
            <w:r>
              <w:t>CGMI</w:t>
            </w:r>
          </w:p>
        </w:tc>
        <w:tc>
          <w:tcPr>
            <w:cnfStyle w:evenVBand="false" w:oddVBand="true" w:firstColumn="false"/>
            <w:tcW w:w="33.333333%" w:type="pct"/>
          </w:tcPr>
          <w:p>
            <w:pPr>
              <w:ind w:leftChars="0" w:left="0" w:right="0"/>
            </w:pPr>
            <w:r>
              <w:t>CITIGROUP GLOBAL MARKETS</w:t>
            </w:r>
          </w:p>
        </w:tc>
      </w:tr>
      <w:tr>
        <w:trPr>
          <w:cnfStyle w:evenHBand="false" w:oddHBand="true" w:firstRow="false"/>
        </w:trPr>
        <w:tc>
          <w:tcPr>
            <w:cnfStyle w:evenVBand="false" w:oddVBand="true" w:firstColumn="false"/>
            <w:tcW w:w="33.333333%" w:type="pct"/>
          </w:tcPr>
          <w:p>
            <w:pPr>
              <w:ind w:leftChars="0" w:left="0" w:right="0"/>
            </w:pPr>
            <w:r>
              <w:t>CGML</w:t>
            </w:r>
          </w:p>
        </w:tc>
        <w:tc>
          <w:tcPr>
            <w:cnfStyle w:evenVBand="true" w:oddVBand="false" w:firstColumn="false"/>
            <w:tcW w:w="33.333333%" w:type="pct"/>
          </w:tcPr>
          <w:p>
            <w:pPr>
              <w:ind w:leftChars="0" w:left="0" w:right="0"/>
            </w:pPr>
            <w:r>
              <w:t>CGML</w:t>
            </w:r>
          </w:p>
        </w:tc>
        <w:tc>
          <w:tcPr>
            <w:cnfStyle w:evenVBand="false" w:oddVBand="true" w:firstColumn="false"/>
            <w:tcW w:w="33.333333%" w:type="pct"/>
          </w:tcPr>
          <w:p>
            <w:pPr>
              <w:ind w:leftChars="0" w:left="0" w:right="0"/>
            </w:pPr>
            <w:r>
              <w:t>CITIGROUP GLOBAL MARKETS LIMITED</w:t>
            </w:r>
          </w:p>
        </w:tc>
      </w:tr>
      <w:tr>
        <w:trPr>
          <w:cnfStyle w:evenHBand="true" w:oddHBand="false" w:firstRow="false"/>
        </w:trPr>
        <w:tc>
          <w:tcPr>
            <w:cnfStyle w:evenVBand="false" w:oddVBand="true" w:firstColumn="false"/>
            <w:tcW w:w="33.333333%" w:type="pct"/>
          </w:tcPr>
          <w:p>
            <w:pPr>
              <w:ind w:leftChars="0" w:left="0" w:right="0"/>
            </w:pPr>
            <w:r>
              <w:t>CGMT</w:t>
            </w:r>
          </w:p>
        </w:tc>
        <w:tc>
          <w:tcPr>
            <w:cnfStyle w:evenVBand="true" w:oddVBand="false" w:firstColumn="false"/>
            <w:tcW w:w="33.333333%" w:type="pct"/>
          </w:tcPr>
          <w:p>
            <w:pPr>
              <w:ind w:leftChars="0" w:left="0" w:right="0"/>
            </w:pPr>
            <w:r>
              <w:t>CGMT</w:t>
            </w:r>
          </w:p>
        </w:tc>
        <w:tc>
          <w:tcPr>
            <w:cnfStyle w:evenVBand="false" w:oddVBand="true" w:firstColumn="false"/>
            <w:tcW w:w="33.333333%" w:type="pct"/>
          </w:tcPr>
          <w:p>
            <w:pPr>
              <w:ind w:leftChars="0" w:left="0" w:right="0"/>
            </w:pPr>
            <w:r>
              <w:t>CITIGROUP GLOBAL MARKETS  LIMITED - EMEA TRADING</w:t>
            </w:r>
          </w:p>
        </w:tc>
      </w:tr>
      <w:tr>
        <w:trPr>
          <w:cnfStyle w:evenHBand="false" w:oddHBand="true" w:firstRow="false"/>
        </w:trPr>
        <w:tc>
          <w:tcPr>
            <w:cnfStyle w:evenVBand="false" w:oddVBand="true" w:firstColumn="false"/>
            <w:tcW w:w="33.333333%" w:type="pct"/>
          </w:tcPr>
          <w:p>
            <w:pPr>
              <w:ind w:leftChars="0" w:left="0" w:right="0"/>
            </w:pPr>
            <w:r>
              <w:t>CGMU</w:t>
            </w:r>
          </w:p>
        </w:tc>
        <w:tc>
          <w:tcPr>
            <w:cnfStyle w:evenVBand="true" w:oddVBand="false" w:firstColumn="false"/>
            <w:tcW w:w="33.333333%" w:type="pct"/>
          </w:tcPr>
          <w:p>
            <w:pPr>
              <w:ind w:leftChars="0" w:left="0" w:right="0"/>
            </w:pPr>
            <w:r>
              <w:t>CGMU</w:t>
            </w:r>
          </w:p>
        </w:tc>
        <w:tc>
          <w:tcPr>
            <w:cnfStyle w:evenVBand="false" w:oddVBand="true" w:firstColumn="false"/>
            <w:tcW w:w="33.333333%" w:type="pct"/>
          </w:tcPr>
          <w:p>
            <w:pPr>
              <w:ind w:leftChars="0" w:left="0" w:right="0"/>
            </w:pPr>
            <w:r>
              <w:t>CITI MATCH GB CONTRA LIQUIDITY</w:t>
            </w:r>
          </w:p>
        </w:tc>
      </w:tr>
      <w:tr>
        <w:trPr>
          <w:cnfStyle w:evenHBand="true" w:oddHBand="false" w:firstRow="false"/>
        </w:trPr>
        <w:tc>
          <w:tcPr>
            <w:cnfStyle w:evenVBand="false" w:oddVBand="true" w:firstColumn="false"/>
            <w:tcW w:w="33.333333%" w:type="pct"/>
          </w:tcPr>
          <w:p>
            <w:pPr>
              <w:ind w:leftChars="0" w:left="0" w:right="0"/>
            </w:pPr>
            <w:r>
              <w:t>CGMX</w:t>
            </w:r>
          </w:p>
        </w:tc>
        <w:tc>
          <w:tcPr>
            <w:cnfStyle w:evenVBand="true" w:oddVBand="false" w:firstColumn="false"/>
            <w:tcW w:w="33.333333%" w:type="pct"/>
          </w:tcPr>
          <w:p>
            <w:pPr>
              <w:ind w:leftChars="0" w:left="0" w:right="0"/>
            </w:pPr>
            <w:r>
              <w:t>CGMX</w:t>
            </w:r>
          </w:p>
        </w:tc>
        <w:tc>
          <w:tcPr>
            <w:cnfStyle w:evenVBand="false" w:oddVBand="true" w:firstColumn="false"/>
            <w:tcW w:w="33.333333%" w:type="pct"/>
          </w:tcPr>
          <w:p>
            <w:pPr>
              <w:ind w:leftChars="0" w:left="0" w:right="0"/>
            </w:pPr>
            <w:r>
              <w:t>CITI MEXICO RPI (RETAIL PRICE IMPROVEMENT)</w:t>
            </w:r>
          </w:p>
        </w:tc>
      </w:tr>
      <w:tr>
        <w:trPr>
          <w:cnfStyle w:evenHBand="false" w:oddHBand="true" w:firstRow="false"/>
        </w:trPr>
        <w:tc>
          <w:tcPr>
            <w:cnfStyle w:evenVBand="false" w:oddVBand="true" w:firstColumn="false"/>
            <w:tcW w:w="33.333333%" w:type="pct"/>
          </w:tcPr>
          <w:p>
            <w:pPr>
              <w:ind w:leftChars="0" w:left="0" w:right="0"/>
            </w:pPr>
            <w:r>
              <w:t>CGND</w:t>
            </w:r>
          </w:p>
        </w:tc>
        <w:tc>
          <w:tcPr>
            <w:cnfStyle w:evenVBand="true" w:oddVBand="false" w:firstColumn="false"/>
            <w:tcW w:w="33.333333%" w:type="pct"/>
          </w:tcPr>
          <w:p>
            <w:pPr>
              <w:ind w:leftChars="0" w:left="0" w:right="0"/>
            </w:pPr>
            <w:r>
              <w:t>CGND</w:t>
            </w:r>
          </w:p>
        </w:tc>
        <w:tc>
          <w:tcPr>
            <w:cnfStyle w:evenVBand="false" w:oddVBand="true" w:firstColumn="false"/>
            <w:tcW w:w="33.333333%" w:type="pct"/>
          </w:tcPr>
          <w:p>
            <w:pPr>
              <w:ind w:leftChars="0" w:left="0" w:right="0"/>
            </w:pPr>
            <w:r>
              <w:t>CASSA DI COMPENSAZIONE E GARANZIA SPA - CCP ENERGY DERIVATIVES</w:t>
            </w:r>
          </w:p>
        </w:tc>
      </w:tr>
      <w:tr>
        <w:trPr>
          <w:cnfStyle w:evenHBand="true" w:oddHBand="false" w:firstRow="false"/>
        </w:trPr>
        <w:tc>
          <w:tcPr>
            <w:cnfStyle w:evenVBand="false" w:oddVBand="true" w:firstColumn="false"/>
            <w:tcW w:w="33.333333%" w:type="pct"/>
          </w:tcPr>
          <w:p>
            <w:pPr>
              <w:ind w:leftChars="0" w:left="0" w:right="0"/>
            </w:pPr>
            <w:r>
              <w:t>CGQD</w:t>
            </w:r>
          </w:p>
        </w:tc>
        <w:tc>
          <w:tcPr>
            <w:cnfStyle w:evenVBand="true" w:oddVBand="false" w:firstColumn="false"/>
            <w:tcW w:w="33.333333%" w:type="pct"/>
          </w:tcPr>
          <w:p>
            <w:pPr>
              <w:ind w:leftChars="0" w:left="0" w:right="0"/>
            </w:pPr>
            <w:r>
              <w:t>CGQD</w:t>
            </w:r>
          </w:p>
        </w:tc>
        <w:tc>
          <w:tcPr>
            <w:cnfStyle w:evenVBand="false" w:oddVBand="true" w:firstColumn="false"/>
            <w:tcW w:w="33.333333%" w:type="pct"/>
          </w:tcPr>
          <w:p>
            <w:pPr>
              <w:ind w:leftChars="0" w:left="0" w:right="0"/>
            </w:pPr>
            <w:r>
              <w:t>CASSA DI COMPENSAZIONE E GARANZIA SPA - CCP EQUITY DERIVATIVES</w:t>
            </w:r>
          </w:p>
        </w:tc>
      </w:tr>
      <w:tr>
        <w:trPr>
          <w:cnfStyle w:evenHBand="false" w:oddHBand="true" w:firstRow="false"/>
        </w:trPr>
        <w:tc>
          <w:tcPr>
            <w:cnfStyle w:evenVBand="false" w:oddVBand="true" w:firstColumn="false"/>
            <w:tcW w:w="33.333333%" w:type="pct"/>
          </w:tcPr>
          <w:p>
            <w:pPr>
              <w:ind w:leftChars="0" w:left="0" w:right="0"/>
            </w:pPr>
            <w:r>
              <w:t>CGQT</w:t>
            </w:r>
          </w:p>
        </w:tc>
        <w:tc>
          <w:tcPr>
            <w:cnfStyle w:evenVBand="true" w:oddVBand="false" w:firstColumn="false"/>
            <w:tcW w:w="33.333333%" w:type="pct"/>
          </w:tcPr>
          <w:p>
            <w:pPr>
              <w:ind w:leftChars="0" w:left="0" w:right="0"/>
            </w:pPr>
            <w:r>
              <w:t>CGQT</w:t>
            </w:r>
          </w:p>
        </w:tc>
        <w:tc>
          <w:tcPr>
            <w:cnfStyle w:evenVBand="false" w:oddVBand="true" w:firstColumn="false"/>
            <w:tcW w:w="33.333333%" w:type="pct"/>
          </w:tcPr>
          <w:p>
            <w:pPr>
              <w:ind w:leftChars="0" w:left="0" w:right="0"/>
            </w:pPr>
            <w:r>
              <w:t>CASSA DI COMPENSAZIONE E GARANZIA SPA - EQUITY CCP SERVICE</w:t>
            </w:r>
          </w:p>
        </w:tc>
      </w:tr>
      <w:tr>
        <w:trPr>
          <w:cnfStyle w:evenHBand="true" w:oddHBand="false" w:firstRow="false"/>
        </w:trPr>
        <w:tc>
          <w:tcPr>
            <w:cnfStyle w:evenVBand="false" w:oddVBand="true" w:firstColumn="false"/>
            <w:tcW w:w="33.333333%" w:type="pct"/>
          </w:tcPr>
          <w:p>
            <w:pPr>
              <w:ind w:leftChars="0" w:left="0" w:right="0"/>
            </w:pPr>
            <w:r>
              <w:t>CGTR</w:t>
            </w:r>
          </w:p>
        </w:tc>
        <w:tc>
          <w:tcPr>
            <w:cnfStyle w:evenVBand="true" w:oddVBand="false" w:firstColumn="false"/>
            <w:tcW w:w="33.333333%" w:type="pct"/>
          </w:tcPr>
          <w:p>
            <w:pPr>
              <w:ind w:leftChars="0" w:left="0" w:right="0"/>
            </w:pPr>
            <w:r>
              <w:t>CGTR</w:t>
            </w:r>
          </w:p>
        </w:tc>
        <w:tc>
          <w:tcPr>
            <w:cnfStyle w:evenVBand="false" w:oddVBand="true" w:firstColumn="false"/>
            <w:tcW w:w="33.333333%" w:type="pct"/>
          </w:tcPr>
          <w:p>
            <w:pPr>
              <w:ind w:leftChars="0" w:left="0" w:right="0"/>
            </w:pPr>
            <w:r>
              <w:t>CASSA DI COMPENSAZIONE E GARANZIA SPA - TRIPARTY REPO CCP SERVICE</w:t>
            </w:r>
          </w:p>
        </w:tc>
      </w:tr>
      <w:tr>
        <w:trPr>
          <w:cnfStyle w:evenHBand="false" w:oddHBand="true" w:firstRow="false"/>
        </w:trPr>
        <w:tc>
          <w:tcPr>
            <w:cnfStyle w:evenVBand="false" w:oddVBand="true" w:firstColumn="false"/>
            <w:tcW w:w="33.333333%" w:type="pct"/>
          </w:tcPr>
          <w:p>
            <w:pPr>
              <w:ind w:leftChars="0" w:left="0" w:right="0"/>
            </w:pPr>
            <w:r>
              <w:t>CGXS</w:t>
            </w:r>
          </w:p>
        </w:tc>
        <w:tc>
          <w:tcPr>
            <w:cnfStyle w:evenVBand="true" w:oddVBand="false" w:firstColumn="false"/>
            <w:tcW w:w="33.333333%" w:type="pct"/>
          </w:tcPr>
          <w:p>
            <w:pPr>
              <w:ind w:leftChars="0" w:left="0" w:right="0"/>
            </w:pPr>
            <w:r>
              <w:t>CGXS</w:t>
            </w:r>
          </w:p>
        </w:tc>
        <w:tc>
          <w:tcPr>
            <w:cnfStyle w:evenVBand="false" w:oddVBand="true" w:firstColumn="false"/>
            <w:tcW w:w="33.333333%" w:type="pct"/>
          </w:tcPr>
          <w:p>
            <w:pPr>
              <w:ind w:leftChars="0" w:left="0" w:right="0"/>
            </w:pPr>
            <w:r>
              <w:t>ONECHRONOS</w:t>
            </w:r>
          </w:p>
        </w:tc>
      </w:tr>
      <w:tr>
        <w:trPr>
          <w:cnfStyle w:evenHBand="true" w:oddHBand="false" w:firstRow="false"/>
        </w:trPr>
        <w:tc>
          <w:tcPr>
            <w:cnfStyle w:evenVBand="false" w:oddVBand="true" w:firstColumn="false"/>
            <w:tcW w:w="33.333333%" w:type="pct"/>
          </w:tcPr>
          <w:p>
            <w:pPr>
              <w:ind w:leftChars="0" w:left="0" w:right="0"/>
            </w:pPr>
            <w:r>
              <w:t>CHEV</w:t>
            </w:r>
          </w:p>
        </w:tc>
        <w:tc>
          <w:tcPr>
            <w:cnfStyle w:evenVBand="true" w:oddVBand="false" w:firstColumn="false"/>
            <w:tcW w:w="33.333333%" w:type="pct"/>
          </w:tcPr>
          <w:p>
            <w:pPr>
              <w:ind w:leftChars="0" w:left="0" w:right="0"/>
            </w:pPr>
            <w:r>
              <w:t>CHEV</w:t>
            </w:r>
          </w:p>
        </w:tc>
        <w:tc>
          <w:tcPr>
            <w:cnfStyle w:evenVBand="false" w:oddVBand="true" w:firstColumn="false"/>
            <w:tcW w:w="33.333333%" w:type="pct"/>
          </w:tcPr>
          <w:p>
            <w:pPr>
              <w:ind w:leftChars="0" w:left="0" w:right="0"/>
            </w:pPr>
            <w:r>
              <w:t>CA CHEUVREUX</w:t>
            </w:r>
          </w:p>
        </w:tc>
      </w:tr>
      <w:tr>
        <w:trPr>
          <w:cnfStyle w:evenHBand="false" w:oddHBand="true" w:firstRow="false"/>
        </w:trPr>
        <w:tc>
          <w:tcPr>
            <w:cnfStyle w:evenVBand="false" w:oddVBand="true" w:firstColumn="false"/>
            <w:tcW w:w="33.333333%" w:type="pct"/>
          </w:tcPr>
          <w:p>
            <w:pPr>
              <w:ind w:leftChars="0" w:left="0" w:right="0"/>
            </w:pPr>
            <w:r>
              <w:t>CHIA</w:t>
            </w:r>
          </w:p>
        </w:tc>
        <w:tc>
          <w:tcPr>
            <w:cnfStyle w:evenVBand="true" w:oddVBand="false" w:firstColumn="false"/>
            <w:tcW w:w="33.333333%" w:type="pct"/>
          </w:tcPr>
          <w:p>
            <w:pPr>
              <w:ind w:leftChars="0" w:left="0" w:right="0"/>
            </w:pPr>
            <w:r>
              <w:t>CHIA</w:t>
            </w:r>
          </w:p>
        </w:tc>
        <w:tc>
          <w:tcPr>
            <w:cnfStyle w:evenVBand="false" w:oddVBand="true" w:firstColumn="false"/>
            <w:tcW w:w="33.333333%" w:type="pct"/>
          </w:tcPr>
          <w:p>
            <w:pPr>
              <w:ind w:leftChars="0" w:left="0" w:right="0"/>
            </w:pPr>
            <w:r>
              <w:t>CBOE AUSTRALIA</w:t>
            </w:r>
          </w:p>
        </w:tc>
      </w:tr>
      <w:tr>
        <w:trPr>
          <w:cnfStyle w:evenHBand="true" w:oddHBand="false" w:firstRow="false"/>
        </w:trPr>
        <w:tc>
          <w:tcPr>
            <w:cnfStyle w:evenVBand="false" w:oddVBand="true" w:firstColumn="false"/>
            <w:tcW w:w="33.333333%" w:type="pct"/>
          </w:tcPr>
          <w:p>
            <w:pPr>
              <w:ind w:leftChars="0" w:left="0" w:right="0"/>
            </w:pPr>
            <w:r>
              <w:t>CHIC</w:t>
            </w:r>
          </w:p>
        </w:tc>
        <w:tc>
          <w:tcPr>
            <w:cnfStyle w:evenVBand="true" w:oddVBand="false" w:firstColumn="false"/>
            <w:tcW w:w="33.333333%" w:type="pct"/>
          </w:tcPr>
          <w:p>
            <w:pPr>
              <w:ind w:leftChars="0" w:left="0" w:right="0"/>
            </w:pPr>
            <w:r>
              <w:t>CHIC</w:t>
            </w:r>
          </w:p>
        </w:tc>
        <w:tc>
          <w:tcPr>
            <w:cnfStyle w:evenVBand="false" w:oddVBand="true" w:firstColumn="false"/>
            <w:tcW w:w="33.333333%" w:type="pct"/>
          </w:tcPr>
          <w:p>
            <w:pPr>
              <w:ind w:leftChars="0" w:left="0" w:right="0"/>
            </w:pPr>
            <w:r>
              <w:t>CHI-X CANADA ATS</w:t>
            </w:r>
          </w:p>
        </w:tc>
      </w:tr>
      <w:tr>
        <w:trPr>
          <w:cnfStyle w:evenHBand="false" w:oddHBand="true" w:firstRow="false"/>
        </w:trPr>
        <w:tc>
          <w:tcPr>
            <w:cnfStyle w:evenVBand="false" w:oddVBand="true" w:firstColumn="false"/>
            <w:tcW w:w="33.333333%" w:type="pct"/>
          </w:tcPr>
          <w:p>
            <w:pPr>
              <w:ind w:leftChars="0" w:left="0" w:right="0"/>
            </w:pPr>
            <w:r>
              <w:t>CHID</w:t>
            </w:r>
          </w:p>
        </w:tc>
        <w:tc>
          <w:tcPr>
            <w:cnfStyle w:evenVBand="true" w:oddVBand="false" w:firstColumn="false"/>
            <w:tcW w:w="33.333333%" w:type="pct"/>
          </w:tcPr>
          <w:p>
            <w:pPr>
              <w:ind w:leftChars="0" w:left="0" w:right="0"/>
            </w:pPr>
            <w:r>
              <w:t>CHID</w:t>
            </w:r>
          </w:p>
        </w:tc>
        <w:tc>
          <w:tcPr>
            <w:cnfStyle w:evenVBand="false" w:oddVBand="true" w:firstColumn="false"/>
            <w:tcW w:w="33.333333%" w:type="pct"/>
          </w:tcPr>
          <w:p>
            <w:pPr>
              <w:ind w:leftChars="0" w:left="0" w:right="0"/>
            </w:pPr>
            <w:r>
              <w:t>CBOE EUROPE - CXE DARK ORDER BOOK</w:t>
            </w:r>
          </w:p>
        </w:tc>
      </w:tr>
      <w:tr>
        <w:trPr>
          <w:cnfStyle w:evenHBand="true" w:oddHBand="false" w:firstRow="false"/>
        </w:trPr>
        <w:tc>
          <w:tcPr>
            <w:cnfStyle w:evenVBand="false" w:oddVBand="true" w:firstColumn="false"/>
            <w:tcW w:w="33.333333%" w:type="pct"/>
          </w:tcPr>
          <w:p>
            <w:pPr>
              <w:ind w:leftChars="0" w:left="0" w:right="0"/>
            </w:pPr>
            <w:r>
              <w:t>CHIE</w:t>
            </w:r>
          </w:p>
        </w:tc>
        <w:tc>
          <w:tcPr>
            <w:cnfStyle w:evenVBand="true" w:oddVBand="false" w:firstColumn="false"/>
            <w:tcW w:w="33.333333%" w:type="pct"/>
          </w:tcPr>
          <w:p>
            <w:pPr>
              <w:ind w:leftChars="0" w:left="0" w:right="0"/>
            </w:pPr>
            <w:r>
              <w:t>CHIE</w:t>
            </w:r>
          </w:p>
        </w:tc>
        <w:tc>
          <w:tcPr>
            <w:cnfStyle w:evenVBand="false" w:oddVBand="true" w:firstColumn="false"/>
            <w:tcW w:w="33.333333%" w:type="pct"/>
          </w:tcPr>
          <w:p>
            <w:pPr>
              <w:ind w:leftChars="0" w:left="0" w:right="0"/>
            </w:pPr>
            <w:r>
              <w:t>CHI-EAST</w:t>
            </w:r>
          </w:p>
        </w:tc>
      </w:tr>
      <w:tr>
        <w:trPr>
          <w:cnfStyle w:evenHBand="false" w:oddHBand="true" w:firstRow="false"/>
        </w:trPr>
        <w:tc>
          <w:tcPr>
            <w:cnfStyle w:evenVBand="false" w:oddVBand="true" w:firstColumn="false"/>
            <w:tcW w:w="33.333333%" w:type="pct"/>
          </w:tcPr>
          <w:p>
            <w:pPr>
              <w:ind w:leftChars="0" w:left="0" w:right="0"/>
            </w:pPr>
            <w:r>
              <w:t>CHIJ</w:t>
            </w:r>
          </w:p>
        </w:tc>
        <w:tc>
          <w:tcPr>
            <w:cnfStyle w:evenVBand="true" w:oddVBand="false" w:firstColumn="false"/>
            <w:tcW w:w="33.333333%" w:type="pct"/>
          </w:tcPr>
          <w:p>
            <w:pPr>
              <w:ind w:leftChars="0" w:left="0" w:right="0"/>
            </w:pPr>
            <w:r>
              <w:t>CHIJ</w:t>
            </w:r>
          </w:p>
        </w:tc>
        <w:tc>
          <w:tcPr>
            <w:cnfStyle w:evenVBand="false" w:oddVBand="true" w:firstColumn="false"/>
            <w:tcW w:w="33.333333%" w:type="pct"/>
          </w:tcPr>
          <w:p>
            <w:pPr>
              <w:ind w:leftChars="0" w:left="0" w:right="0"/>
            </w:pPr>
            <w:r>
              <w:t>CHI-X JAPAN</w:t>
            </w:r>
          </w:p>
        </w:tc>
      </w:tr>
      <w:tr>
        <w:trPr>
          <w:cnfStyle w:evenHBand="true" w:oddHBand="false" w:firstRow="false"/>
        </w:trPr>
        <w:tc>
          <w:tcPr>
            <w:cnfStyle w:evenVBand="false" w:oddVBand="true" w:firstColumn="false"/>
            <w:tcW w:w="33.333333%" w:type="pct"/>
          </w:tcPr>
          <w:p>
            <w:pPr>
              <w:ind w:leftChars="0" w:left="0" w:right="0"/>
            </w:pPr>
            <w:r>
              <w:t>CHIO</w:t>
            </w:r>
          </w:p>
        </w:tc>
        <w:tc>
          <w:tcPr>
            <w:cnfStyle w:evenVBand="true" w:oddVBand="false" w:firstColumn="false"/>
            <w:tcW w:w="33.333333%" w:type="pct"/>
          </w:tcPr>
          <w:p>
            <w:pPr>
              <w:ind w:leftChars="0" w:left="0" w:right="0"/>
            </w:pPr>
            <w:r>
              <w:t>CHIO</w:t>
            </w:r>
          </w:p>
        </w:tc>
        <w:tc>
          <w:tcPr>
            <w:cnfStyle w:evenVBand="false" w:oddVBand="true" w:firstColumn="false"/>
            <w:tcW w:w="33.333333%" w:type="pct"/>
          </w:tcPr>
          <w:p>
            <w:pPr>
              <w:ind w:leftChars="0" w:left="0" w:right="0"/>
            </w:pPr>
            <w:r>
              <w:t>CBOE EUROPE - CXE OFF-BOOK</w:t>
            </w:r>
          </w:p>
        </w:tc>
      </w:tr>
      <w:tr>
        <w:trPr>
          <w:cnfStyle w:evenHBand="false" w:oddHBand="true" w:firstRow="false"/>
        </w:trPr>
        <w:tc>
          <w:tcPr>
            <w:cnfStyle w:evenVBand="false" w:oddVBand="true" w:firstColumn="false"/>
            <w:tcW w:w="33.333333%" w:type="pct"/>
          </w:tcPr>
          <w:p>
            <w:pPr>
              <w:ind w:leftChars="0" w:left="0" w:right="0"/>
            </w:pPr>
            <w:r>
              <w:t>CHIS</w:t>
            </w:r>
          </w:p>
        </w:tc>
        <w:tc>
          <w:tcPr>
            <w:cnfStyle w:evenVBand="true" w:oddVBand="false" w:firstColumn="false"/>
            <w:tcW w:w="33.333333%" w:type="pct"/>
          </w:tcPr>
          <w:p>
            <w:pPr>
              <w:ind w:leftChars="0" w:left="0" w:right="0"/>
            </w:pPr>
            <w:r>
              <w:t>CHIS</w:t>
            </w:r>
          </w:p>
        </w:tc>
        <w:tc>
          <w:tcPr>
            <w:cnfStyle w:evenVBand="false" w:oddVBand="true" w:firstColumn="false"/>
            <w:tcW w:w="33.333333%" w:type="pct"/>
          </w:tcPr>
          <w:p>
            <w:pPr>
              <w:ind w:leftChars="0" w:left="0" w:right="0"/>
            </w:pPr>
            <w:r>
              <w:t>CHI-X JAPAN SELECT</w:t>
            </w:r>
          </w:p>
        </w:tc>
      </w:tr>
      <w:tr>
        <w:trPr>
          <w:cnfStyle w:evenHBand="true" w:oddHBand="false" w:firstRow="false"/>
        </w:trPr>
        <w:tc>
          <w:tcPr>
            <w:cnfStyle w:evenVBand="false" w:oddVBand="true" w:firstColumn="false"/>
            <w:tcW w:w="33.333333%" w:type="pct"/>
          </w:tcPr>
          <w:p>
            <w:pPr>
              <w:ind w:leftChars="0" w:left="0" w:right="0"/>
            </w:pPr>
            <w:r>
              <w:t>CHIV</w:t>
            </w:r>
          </w:p>
        </w:tc>
        <w:tc>
          <w:tcPr>
            <w:cnfStyle w:evenVBand="true" w:oddVBand="false" w:firstColumn="false"/>
            <w:tcW w:w="33.333333%" w:type="pct"/>
          </w:tcPr>
          <w:p>
            <w:pPr>
              <w:ind w:leftChars="0" w:left="0" w:right="0"/>
            </w:pPr>
            <w:r>
              <w:t>CHIV</w:t>
            </w:r>
          </w:p>
        </w:tc>
        <w:tc>
          <w:tcPr>
            <w:cnfStyle w:evenVBand="false" w:oddVBand="true" w:firstColumn="false"/>
            <w:tcW w:w="33.333333%" w:type="pct"/>
          </w:tcPr>
          <w:p>
            <w:pPr>
              <w:ind w:leftChars="0" w:left="0" w:right="0"/>
            </w:pPr>
            <w:r>
              <w:t>CHI-X JAPAN VWAP CROSSING</w:t>
            </w:r>
          </w:p>
        </w:tc>
      </w:tr>
      <w:tr>
        <w:trPr>
          <w:cnfStyle w:evenHBand="false" w:oddHBand="true" w:firstRow="false"/>
        </w:trPr>
        <w:tc>
          <w:tcPr>
            <w:cnfStyle w:evenVBand="false" w:oddVBand="true" w:firstColumn="false"/>
            <w:tcW w:w="33.333333%" w:type="pct"/>
          </w:tcPr>
          <w:p>
            <w:pPr>
              <w:ind w:leftChars="0" w:left="0" w:right="0"/>
            </w:pPr>
            <w:r>
              <w:t>CHIX</w:t>
            </w:r>
          </w:p>
        </w:tc>
        <w:tc>
          <w:tcPr>
            <w:cnfStyle w:evenVBand="true" w:oddVBand="false" w:firstColumn="false"/>
            <w:tcW w:w="33.333333%" w:type="pct"/>
          </w:tcPr>
          <w:p>
            <w:pPr>
              <w:ind w:leftChars="0" w:left="0" w:right="0"/>
            </w:pPr>
            <w:r>
              <w:t>CHIX</w:t>
            </w:r>
          </w:p>
        </w:tc>
        <w:tc>
          <w:tcPr>
            <w:cnfStyle w:evenVBand="false" w:oddVBand="true" w:firstColumn="false"/>
            <w:tcW w:w="33.333333%" w:type="pct"/>
          </w:tcPr>
          <w:p>
            <w:pPr>
              <w:ind w:leftChars="0" w:left="0" w:right="0"/>
            </w:pPr>
            <w:r>
              <w:t>CBOE EUROPE - CXE ORDER BOOKS</w:t>
            </w:r>
          </w:p>
        </w:tc>
      </w:tr>
      <w:tr>
        <w:trPr>
          <w:cnfStyle w:evenHBand="true" w:oddHBand="false" w:firstRow="false"/>
        </w:trPr>
        <w:tc>
          <w:tcPr>
            <w:cnfStyle w:evenVBand="false" w:oddVBand="true" w:firstColumn="false"/>
            <w:tcW w:w="33.333333%" w:type="pct"/>
          </w:tcPr>
          <w:p>
            <w:pPr>
              <w:ind w:leftChars="0" w:left="0" w:right="0"/>
            </w:pPr>
            <w:r>
              <w:t>CHIY</w:t>
            </w:r>
          </w:p>
        </w:tc>
        <w:tc>
          <w:tcPr>
            <w:cnfStyle w:evenVBand="true" w:oddVBand="false" w:firstColumn="false"/>
            <w:tcW w:w="33.333333%" w:type="pct"/>
          </w:tcPr>
          <w:p>
            <w:pPr>
              <w:ind w:leftChars="0" w:left="0" w:right="0"/>
            </w:pPr>
            <w:r>
              <w:t>CHIY</w:t>
            </w:r>
          </w:p>
        </w:tc>
        <w:tc>
          <w:tcPr>
            <w:cnfStyle w:evenVBand="false" w:oddVBand="true" w:firstColumn="false"/>
            <w:tcW w:w="33.333333%" w:type="pct"/>
          </w:tcPr>
          <w:p>
            <w:pPr>
              <w:ind w:leftChars="0" w:left="0" w:right="0"/>
            </w:pPr>
            <w:r>
              <w:t>BATS CHI-X EUROPE LIMITED - CHI-CLEAR</w:t>
            </w:r>
          </w:p>
        </w:tc>
      </w:tr>
      <w:tr>
        <w:trPr>
          <w:cnfStyle w:evenHBand="false" w:oddHBand="true" w:firstRow="false"/>
        </w:trPr>
        <w:tc>
          <w:tcPr>
            <w:cnfStyle w:evenVBand="false" w:oddVBand="true" w:firstColumn="false"/>
            <w:tcW w:w="33.333333%" w:type="pct"/>
          </w:tcPr>
          <w:p>
            <w:pPr>
              <w:ind w:leftChars="0" w:left="0" w:right="0"/>
            </w:pPr>
            <w:r>
              <w:t>CIBC</w:t>
            </w:r>
          </w:p>
        </w:tc>
        <w:tc>
          <w:tcPr>
            <w:cnfStyle w:evenVBand="true" w:oddVBand="false" w:firstColumn="false"/>
            <w:tcW w:w="33.333333%" w:type="pct"/>
          </w:tcPr>
          <w:p>
            <w:pPr>
              <w:ind w:leftChars="0" w:left="0" w:right="0"/>
            </w:pPr>
            <w:r>
              <w:t>CIBC</w:t>
            </w:r>
          </w:p>
        </w:tc>
        <w:tc>
          <w:tcPr>
            <w:cnfStyle w:evenVBand="false" w:oddVBand="true" w:firstColumn="false"/>
            <w:tcW w:w="33.333333%" w:type="pct"/>
          </w:tcPr>
          <w:p>
            <w:pPr>
              <w:ind w:leftChars="0" w:left="0" w:right="0"/>
            </w:pPr>
            <w:r>
              <w:t>CANADIAN IMPERIAL BANK OF COMMERCE - SYSTEMATIC INTERNALISER</w:t>
            </w:r>
          </w:p>
        </w:tc>
      </w:tr>
      <w:tr>
        <w:trPr>
          <w:cnfStyle w:evenHBand="true" w:oddHBand="false" w:firstRow="false"/>
        </w:trPr>
        <w:tc>
          <w:tcPr>
            <w:cnfStyle w:evenVBand="false" w:oddVBand="true" w:firstColumn="false"/>
            <w:tcW w:w="33.333333%" w:type="pct"/>
          </w:tcPr>
          <w:p>
            <w:pPr>
              <w:ind w:leftChars="0" w:left="0" w:right="0"/>
            </w:pPr>
            <w:r>
              <w:t>CIBH</w:t>
            </w:r>
          </w:p>
        </w:tc>
        <w:tc>
          <w:tcPr>
            <w:cnfStyle w:evenVBand="true" w:oddVBand="false" w:firstColumn="false"/>
            <w:tcW w:w="33.333333%" w:type="pct"/>
          </w:tcPr>
          <w:p>
            <w:pPr>
              <w:ind w:leftChars="0" w:left="0" w:right="0"/>
            </w:pPr>
            <w:r>
              <w:t>CIBH</w:t>
            </w:r>
          </w:p>
        </w:tc>
        <w:tc>
          <w:tcPr>
            <w:cnfStyle w:evenVBand="false" w:oddVBand="true" w:firstColumn="false"/>
            <w:tcW w:w="33.333333%" w:type="pct"/>
          </w:tcPr>
          <w:p>
            <w:pPr>
              <w:ind w:leftChars="0" w:left="0" w:right="0"/>
            </w:pPr>
            <w:r>
              <w:t>CIB BANK - SYSTEMATIC INTERNALISER</w:t>
            </w:r>
          </w:p>
        </w:tc>
      </w:tr>
      <w:tr>
        <w:trPr>
          <w:cnfStyle w:evenHBand="false" w:oddHBand="true" w:firstRow="false"/>
        </w:trPr>
        <w:tc>
          <w:tcPr>
            <w:cnfStyle w:evenVBand="false" w:oddVBand="true" w:firstColumn="false"/>
            <w:tcW w:w="33.333333%" w:type="pct"/>
          </w:tcPr>
          <w:p>
            <w:pPr>
              <w:ind w:leftChars="0" w:left="0" w:right="0"/>
            </w:pPr>
            <w:r>
              <w:t>CIBP</w:t>
            </w:r>
          </w:p>
        </w:tc>
        <w:tc>
          <w:tcPr>
            <w:cnfStyle w:evenVBand="true" w:oddVBand="false" w:firstColumn="false"/>
            <w:tcW w:w="33.333333%" w:type="pct"/>
          </w:tcPr>
          <w:p>
            <w:pPr>
              <w:ind w:leftChars="0" w:left="0" w:right="0"/>
            </w:pPr>
            <w:r>
              <w:t>CIBP</w:t>
            </w:r>
          </w:p>
        </w:tc>
        <w:tc>
          <w:tcPr>
            <w:cnfStyle w:evenVBand="false" w:oddVBand="true" w:firstColumn="false"/>
            <w:tcW w:w="33.333333%" w:type="pct"/>
          </w:tcPr>
          <w:p>
            <w:pPr>
              <w:ind w:leftChars="0" w:left="0" w:right="0"/>
            </w:pPr>
            <w:r>
              <w:t>CIBC WORLD MARKETS PLC - SYSTEMATIC INTERNALISER</w:t>
            </w:r>
          </w:p>
        </w:tc>
      </w:tr>
      <w:tr>
        <w:trPr>
          <w:cnfStyle w:evenHBand="true" w:oddHBand="false" w:firstRow="false"/>
        </w:trPr>
        <w:tc>
          <w:tcPr>
            <w:cnfStyle w:evenVBand="false" w:oddVBand="true" w:firstColumn="false"/>
            <w:tcW w:w="33.333333%" w:type="pct"/>
          </w:tcPr>
          <w:p>
            <w:pPr>
              <w:ind w:leftChars="0" w:left="0" w:right="0"/>
            </w:pPr>
            <w:r>
              <w:t>CICX</w:t>
            </w:r>
          </w:p>
        </w:tc>
        <w:tc>
          <w:tcPr>
            <w:cnfStyle w:evenVBand="true" w:oddVBand="false" w:firstColumn="false"/>
            <w:tcW w:w="33.333333%" w:type="pct"/>
          </w:tcPr>
          <w:p>
            <w:pPr>
              <w:ind w:leftChars="0" w:left="0" w:right="0"/>
            </w:pPr>
            <w:r>
              <w:t>CICX</w:t>
            </w:r>
          </w:p>
        </w:tc>
        <w:tc>
          <w:tcPr>
            <w:cnfStyle w:evenVBand="false" w:oddVBand="true" w:firstColumn="false"/>
            <w:tcW w:w="33.333333%" w:type="pct"/>
          </w:tcPr>
          <w:p>
            <w:pPr>
              <w:ind w:leftChars="0" w:left="0" w:right="0"/>
            </w:pPr>
            <w:r>
              <w:t>CITI CROSS</w:t>
            </w:r>
          </w:p>
        </w:tc>
      </w:tr>
      <w:tr>
        <w:trPr>
          <w:cnfStyle w:evenHBand="false" w:oddHBand="true" w:firstRow="false"/>
        </w:trPr>
        <w:tc>
          <w:tcPr>
            <w:cnfStyle w:evenVBand="false" w:oddVBand="true" w:firstColumn="false"/>
            <w:tcW w:w="33.333333%" w:type="pct"/>
          </w:tcPr>
          <w:p>
            <w:pPr>
              <w:ind w:leftChars="0" w:left="0" w:right="0"/>
            </w:pPr>
            <w:r>
              <w:t>CILH</w:t>
            </w:r>
          </w:p>
        </w:tc>
        <w:tc>
          <w:tcPr>
            <w:cnfStyle w:evenVBand="true" w:oddVBand="false" w:firstColumn="false"/>
            <w:tcW w:w="33.333333%" w:type="pct"/>
          </w:tcPr>
          <w:p>
            <w:pPr>
              <w:ind w:leftChars="0" w:left="0" w:right="0"/>
            </w:pPr>
            <w:r>
              <w:t>CILH</w:t>
            </w:r>
          </w:p>
        </w:tc>
        <w:tc>
          <w:tcPr>
            <w:cnfStyle w:evenVBand="false" w:oddVBand="true" w:firstColumn="false"/>
            <w:tcW w:w="33.333333%" w:type="pct"/>
          </w:tcPr>
          <w:p>
            <w:pPr>
              <w:ind w:leftChars="0" w:left="0" w:right="0"/>
            </w:pPr>
            <w:r>
              <w:t>LIQUIDITY HUB JAPAN</w:t>
            </w:r>
          </w:p>
        </w:tc>
      </w:tr>
      <w:tr>
        <w:trPr>
          <w:cnfStyle w:evenHBand="true" w:oddHBand="false" w:firstRow="false"/>
        </w:trPr>
        <w:tc>
          <w:tcPr>
            <w:cnfStyle w:evenVBand="false" w:oddVBand="true" w:firstColumn="false"/>
            <w:tcW w:w="33.333333%" w:type="pct"/>
          </w:tcPr>
          <w:p>
            <w:pPr>
              <w:ind w:leftChars="0" w:left="0" w:right="0"/>
            </w:pPr>
            <w:r>
              <w:t>CIMA</w:t>
            </w:r>
          </w:p>
        </w:tc>
        <w:tc>
          <w:tcPr>
            <w:cnfStyle w:evenVBand="true" w:oddVBand="false" w:firstColumn="false"/>
            <w:tcW w:w="33.333333%" w:type="pct"/>
          </w:tcPr>
          <w:p>
            <w:pPr>
              <w:ind w:leftChars="0" w:left="0" w:right="0"/>
            </w:pPr>
            <w:r>
              <w:t>CIMA</w:t>
            </w:r>
          </w:p>
        </w:tc>
        <w:tc>
          <w:tcPr>
            <w:cnfStyle w:evenVBand="false" w:oddVBand="true" w:firstColumn="false"/>
            <w:tcW w:w="33.333333%" w:type="pct"/>
          </w:tcPr>
          <w:p>
            <w:pPr>
              <w:ind w:leftChars="0" w:left="0" w:right="0"/>
            </w:pPr>
            <w:r>
              <w:t>CIMD S.V. S.A. - APPROVED PUBLICATION ARRANGEMENT</w:t>
            </w:r>
          </w:p>
        </w:tc>
      </w:tr>
      <w:tr>
        <w:trPr>
          <w:cnfStyle w:evenHBand="false" w:oddHBand="true" w:firstRow="false"/>
        </w:trPr>
        <w:tc>
          <w:tcPr>
            <w:cnfStyle w:evenVBand="false" w:oddVBand="true" w:firstColumn="false"/>
            <w:tcW w:w="33.333333%" w:type="pct"/>
          </w:tcPr>
          <w:p>
            <w:pPr>
              <w:ind w:leftChars="0" w:left="0" w:right="0"/>
            </w:pPr>
            <w:r>
              <w:t>CIMB</w:t>
            </w:r>
          </w:p>
        </w:tc>
        <w:tc>
          <w:tcPr>
            <w:cnfStyle w:evenVBand="true" w:oddVBand="false" w:firstColumn="false"/>
            <w:tcW w:w="33.333333%" w:type="pct"/>
          </w:tcPr>
          <w:p>
            <w:pPr>
              <w:ind w:leftChars="0" w:left="0" w:right="0"/>
            </w:pPr>
            <w:r>
              <w:t>CIMB</w:t>
            </w:r>
          </w:p>
        </w:tc>
        <w:tc>
          <w:tcPr>
            <w:cnfStyle w:evenVBand="false" w:oddVBand="true" w:firstColumn="false"/>
            <w:tcW w:w="33.333333%" w:type="pct"/>
          </w:tcPr>
          <w:p>
            <w:pPr>
              <w:ind w:leftChars="0" w:left="0" w:right="0"/>
            </w:pPr>
            <w:r>
              <w:t>CIMD S.V. S.A. - OTF FOR BONDS</w:t>
            </w:r>
          </w:p>
        </w:tc>
      </w:tr>
      <w:tr>
        <w:trPr>
          <w:cnfStyle w:evenHBand="true" w:oddHBand="false" w:firstRow="false"/>
        </w:trPr>
        <w:tc>
          <w:tcPr>
            <w:cnfStyle w:evenVBand="false" w:oddVBand="true" w:firstColumn="false"/>
            <w:tcW w:w="33.333333%" w:type="pct"/>
          </w:tcPr>
          <w:p>
            <w:pPr>
              <w:ind w:leftChars="0" w:left="0" w:right="0"/>
            </w:pPr>
            <w:r>
              <w:t>CIMD</w:t>
            </w:r>
          </w:p>
        </w:tc>
        <w:tc>
          <w:tcPr>
            <w:cnfStyle w:evenVBand="true" w:oddVBand="false" w:firstColumn="false"/>
            <w:tcW w:w="33.333333%" w:type="pct"/>
          </w:tcPr>
          <w:p>
            <w:pPr>
              <w:ind w:leftChars="0" w:left="0" w:right="0"/>
            </w:pPr>
            <w:r>
              <w:t>CIMD</w:t>
            </w:r>
          </w:p>
        </w:tc>
        <w:tc>
          <w:tcPr>
            <w:cnfStyle w:evenVBand="false" w:oddVBand="true" w:firstColumn="false"/>
            <w:tcW w:w="33.333333%" w:type="pct"/>
          </w:tcPr>
          <w:p>
            <w:pPr>
              <w:ind w:leftChars="0" w:left="0" w:right="0"/>
            </w:pPr>
            <w:r>
              <w:t>CIMD S.V. S.A. - OTF</w:t>
            </w:r>
          </w:p>
        </w:tc>
      </w:tr>
      <w:tr>
        <w:trPr>
          <w:cnfStyle w:evenHBand="false" w:oddHBand="true" w:firstRow="false"/>
        </w:trPr>
        <w:tc>
          <w:tcPr>
            <w:cnfStyle w:evenVBand="false" w:oddVBand="true" w:firstColumn="false"/>
            <w:tcW w:w="33.333333%" w:type="pct"/>
          </w:tcPr>
          <w:p>
            <w:pPr>
              <w:ind w:leftChars="0" w:left="0" w:right="0"/>
            </w:pPr>
            <w:r>
              <w:t>CIME</w:t>
            </w:r>
          </w:p>
        </w:tc>
        <w:tc>
          <w:tcPr>
            <w:cnfStyle w:evenVBand="true" w:oddVBand="false" w:firstColumn="false"/>
            <w:tcW w:w="33.333333%" w:type="pct"/>
          </w:tcPr>
          <w:p>
            <w:pPr>
              <w:ind w:leftChars="0" w:left="0" w:right="0"/>
            </w:pPr>
            <w:r>
              <w:t>CIME</w:t>
            </w:r>
          </w:p>
        </w:tc>
        <w:tc>
          <w:tcPr>
            <w:cnfStyle w:evenVBand="false" w:oddVBand="true" w:firstColumn="false"/>
            <w:tcW w:w="33.333333%" w:type="pct"/>
          </w:tcPr>
          <w:p>
            <w:pPr>
              <w:ind w:leftChars="0" w:left="0" w:right="0"/>
            </w:pPr>
            <w:r>
              <w:t>CIMD S.V. S.A. - OTF FOR ENERGY DERIVATIVES</w:t>
            </w:r>
          </w:p>
        </w:tc>
      </w:tr>
      <w:tr>
        <w:trPr>
          <w:cnfStyle w:evenHBand="true" w:oddHBand="false" w:firstRow="false"/>
        </w:trPr>
        <w:tc>
          <w:tcPr>
            <w:cnfStyle w:evenVBand="false" w:oddVBand="true" w:firstColumn="false"/>
            <w:tcW w:w="33.333333%" w:type="pct"/>
          </w:tcPr>
          <w:p>
            <w:pPr>
              <w:ind w:leftChars="0" w:left="0" w:right="0"/>
            </w:pPr>
            <w:r>
              <w:t>CIMV</w:t>
            </w:r>
          </w:p>
        </w:tc>
        <w:tc>
          <w:tcPr>
            <w:cnfStyle w:evenVBand="true" w:oddVBand="false" w:firstColumn="false"/>
            <w:tcW w:w="33.333333%" w:type="pct"/>
          </w:tcPr>
          <w:p>
            <w:pPr>
              <w:ind w:leftChars="0" w:left="0" w:right="0"/>
            </w:pPr>
            <w:r>
              <w:t>CIMV</w:t>
            </w:r>
          </w:p>
        </w:tc>
        <w:tc>
          <w:tcPr>
            <w:cnfStyle w:evenVBand="false" w:oddVBand="true" w:firstColumn="false"/>
            <w:tcW w:w="33.333333%" w:type="pct"/>
          </w:tcPr>
          <w:p>
            <w:pPr>
              <w:ind w:leftChars="0" w:left="0" w:right="0"/>
            </w:pPr>
            <w:r>
              <w:t>CIMD S.V. S.A. - OTF FOR DERIVATIVES</w:t>
            </w:r>
          </w:p>
        </w:tc>
      </w:tr>
      <w:tr>
        <w:trPr>
          <w:cnfStyle w:evenHBand="false" w:oddHBand="true" w:firstRow="false"/>
        </w:trPr>
        <w:tc>
          <w:tcPr>
            <w:cnfStyle w:evenVBand="false" w:oddVBand="true" w:firstColumn="false"/>
            <w:tcW w:w="33.333333%" w:type="pct"/>
          </w:tcPr>
          <w:p>
            <w:pPr>
              <w:ind w:leftChars="0" w:left="0" w:right="0"/>
            </w:pPr>
            <w:r>
              <w:t>CIOI</w:t>
            </w:r>
          </w:p>
        </w:tc>
        <w:tc>
          <w:tcPr>
            <w:cnfStyle w:evenVBand="true" w:oddVBand="false" w:firstColumn="false"/>
            <w:tcW w:w="33.333333%" w:type="pct"/>
          </w:tcPr>
          <w:p>
            <w:pPr>
              <w:ind w:leftChars="0" w:left="0" w:right="0"/>
            </w:pPr>
            <w:r>
              <w:t>CIOI</w:t>
            </w:r>
          </w:p>
        </w:tc>
        <w:tc>
          <w:tcPr>
            <w:cnfStyle w:evenVBand="false" w:oddVBand="true" w:firstColumn="false"/>
            <w:tcW w:w="33.333333%" w:type="pct"/>
          </w:tcPr>
          <w:p>
            <w:pPr>
              <w:ind w:leftChars="0" w:left="0" w:right="0"/>
            </w:pPr>
            <w:r>
              <w:t>CIOI</w:t>
            </w:r>
          </w:p>
        </w:tc>
      </w:tr>
      <w:tr>
        <w:trPr>
          <w:cnfStyle w:evenHBand="true" w:oddHBand="false" w:firstRow="false"/>
        </w:trPr>
        <w:tc>
          <w:tcPr>
            <w:cnfStyle w:evenVBand="false" w:oddVBand="true" w:firstColumn="false"/>
            <w:tcW w:w="33.333333%" w:type="pct"/>
          </w:tcPr>
          <w:p>
            <w:pPr>
              <w:ind w:leftChars="0" w:left="0" w:right="0"/>
            </w:pPr>
            <w:r>
              <w:t>CISD</w:t>
            </w:r>
          </w:p>
        </w:tc>
        <w:tc>
          <w:tcPr>
            <w:cnfStyle w:evenVBand="true" w:oddVBand="false" w:firstColumn="false"/>
            <w:tcW w:w="33.333333%" w:type="pct"/>
          </w:tcPr>
          <w:p>
            <w:pPr>
              <w:ind w:leftChars="0" w:left="0" w:right="0"/>
            </w:pPr>
            <w:r>
              <w:t>CISD</w:t>
            </w:r>
          </w:p>
        </w:tc>
        <w:tc>
          <w:tcPr>
            <w:cnfStyle w:evenVBand="false" w:oddVBand="true" w:firstColumn="false"/>
            <w:tcW w:w="33.333333%" w:type="pct"/>
          </w:tcPr>
          <w:p>
            <w:pPr>
              <w:ind w:leftChars="0" w:left="0" w:right="0"/>
            </w:pPr>
            <w:r>
              <w:t>NYSE NATIONAL, INC. - DARK</w:t>
            </w:r>
          </w:p>
        </w:tc>
      </w:tr>
      <w:tr>
        <w:trPr>
          <w:cnfStyle w:evenHBand="false" w:oddHBand="true" w:firstRow="false"/>
        </w:trPr>
        <w:tc>
          <w:tcPr>
            <w:cnfStyle w:evenVBand="false" w:oddVBand="true" w:firstColumn="false"/>
            <w:tcW w:w="33.333333%" w:type="pct"/>
          </w:tcPr>
          <w:p>
            <w:pPr>
              <w:ind w:leftChars="0" w:left="0" w:right="0"/>
            </w:pPr>
            <w:r>
              <w:t>CITD</w:t>
            </w:r>
          </w:p>
        </w:tc>
        <w:tc>
          <w:tcPr>
            <w:cnfStyle w:evenVBand="true" w:oddVBand="false" w:firstColumn="false"/>
            <w:tcW w:w="33.333333%" w:type="pct"/>
          </w:tcPr>
          <w:p>
            <w:pPr>
              <w:ind w:leftChars="0" w:left="0" w:right="0"/>
            </w:pPr>
            <w:r>
              <w:t>CITD</w:t>
            </w:r>
          </w:p>
        </w:tc>
        <w:tc>
          <w:tcPr>
            <w:cnfStyle w:evenVBand="false" w:oddVBand="true" w:firstColumn="false"/>
            <w:tcW w:w="33.333333%" w:type="pct"/>
          </w:tcPr>
          <w:p>
            <w:pPr>
              <w:ind w:leftChars="0" w:left="0" w:right="0"/>
            </w:pPr>
            <w:r>
              <w:t>CITI DARK</w:t>
            </w:r>
          </w:p>
        </w:tc>
      </w:tr>
      <w:tr>
        <w:trPr>
          <w:cnfStyle w:evenHBand="true" w:oddHBand="false" w:firstRow="false"/>
        </w:trPr>
        <w:tc>
          <w:tcPr>
            <w:cnfStyle w:evenVBand="false" w:oddVBand="true" w:firstColumn="false"/>
            <w:tcW w:w="33.333333%" w:type="pct"/>
          </w:tcPr>
          <w:p>
            <w:pPr>
              <w:ind w:leftChars="0" w:left="0" w:right="0"/>
            </w:pPr>
            <w:r>
              <w:t>CITX</w:t>
            </w:r>
          </w:p>
        </w:tc>
        <w:tc>
          <w:tcPr>
            <w:cnfStyle w:evenVBand="true" w:oddVBand="false" w:firstColumn="false"/>
            <w:tcW w:w="33.333333%" w:type="pct"/>
          </w:tcPr>
          <w:p>
            <w:pPr>
              <w:ind w:leftChars="0" w:left="0" w:right="0"/>
            </w:pPr>
            <w:r>
              <w:t>CITX</w:t>
            </w:r>
          </w:p>
        </w:tc>
        <w:tc>
          <w:tcPr>
            <w:cnfStyle w:evenVBand="false" w:oddVBand="true" w:firstColumn="false"/>
            <w:tcW w:w="33.333333%" w:type="pct"/>
          </w:tcPr>
          <w:p>
            <w:pPr>
              <w:ind w:leftChars="0" w:left="0" w:right="0"/>
            </w:pPr>
            <w:r>
              <w:t>CITI MATCH - JP</w:t>
            </w:r>
          </w:p>
        </w:tc>
      </w:tr>
      <w:tr>
        <w:trPr>
          <w:cnfStyle w:evenHBand="false" w:oddHBand="true" w:firstRow="false"/>
        </w:trPr>
        <w:tc>
          <w:tcPr>
            <w:cnfStyle w:evenVBand="false" w:oddVBand="true" w:firstColumn="false"/>
            <w:tcW w:w="33.333333%" w:type="pct"/>
          </w:tcPr>
          <w:p>
            <w:pPr>
              <w:ind w:leftChars="0" w:left="0" w:right="0"/>
            </w:pPr>
            <w:r>
              <w:t>CLAU</w:t>
            </w:r>
          </w:p>
        </w:tc>
        <w:tc>
          <w:tcPr>
            <w:cnfStyle w:evenVBand="true" w:oddVBand="false" w:firstColumn="false"/>
            <w:tcW w:w="33.333333%" w:type="pct"/>
          </w:tcPr>
          <w:p>
            <w:pPr>
              <w:ind w:leftChars="0" w:left="0" w:right="0"/>
            </w:pPr>
            <w:r>
              <w:t>CLAU</w:t>
            </w:r>
          </w:p>
        </w:tc>
        <w:tc>
          <w:tcPr>
            <w:cnfStyle w:evenVBand="false" w:oddVBand="true" w:firstColumn="false"/>
            <w:tcW w:w="33.333333%" w:type="pct"/>
          </w:tcPr>
          <w:p>
            <w:pPr>
              <w:ind w:leftChars="0" w:left="0" w:right="0"/>
            </w:pPr>
            <w:r>
              <w:t>CLSA AUSTRALIA - DARK</w:t>
            </w:r>
          </w:p>
        </w:tc>
      </w:tr>
      <w:tr>
        <w:trPr>
          <w:cnfStyle w:evenHBand="true" w:oddHBand="false" w:firstRow="false"/>
        </w:trPr>
        <w:tc>
          <w:tcPr>
            <w:cnfStyle w:evenVBand="false" w:oddVBand="true" w:firstColumn="false"/>
            <w:tcW w:w="33.333333%" w:type="pct"/>
          </w:tcPr>
          <w:p>
            <w:pPr>
              <w:ind w:leftChars="0" w:left="0" w:right="0"/>
            </w:pPr>
            <w:r>
              <w:t>CLCH</w:t>
            </w:r>
          </w:p>
        </w:tc>
        <w:tc>
          <w:tcPr>
            <w:cnfStyle w:evenVBand="true" w:oddVBand="false" w:firstColumn="false"/>
            <w:tcW w:w="33.333333%" w:type="pct"/>
          </w:tcPr>
          <w:p>
            <w:pPr>
              <w:ind w:leftChars="0" w:left="0" w:right="0"/>
            </w:pPr>
            <w:r>
              <w:t>CLCH</w:t>
            </w:r>
          </w:p>
        </w:tc>
        <w:tc>
          <w:tcPr>
            <w:cnfStyle w:evenVBand="false" w:oddVBand="true" w:firstColumn="false"/>
            <w:tcW w:w="33.333333%" w:type="pct"/>
          </w:tcPr>
          <w:p>
            <w:pPr>
              <w:ind w:leftChars="0" w:left="0" w:right="0"/>
            </w:pPr>
            <w:r>
              <w:t>LCH LTD - CROSS NETTING</w:t>
            </w:r>
          </w:p>
        </w:tc>
      </w:tr>
      <w:tr>
        <w:trPr>
          <w:cnfStyle w:evenHBand="false" w:oddHBand="true" w:firstRow="false"/>
        </w:trPr>
        <w:tc>
          <w:tcPr>
            <w:cnfStyle w:evenVBand="false" w:oddVBand="true" w:firstColumn="false"/>
            <w:tcW w:w="33.333333%" w:type="pct"/>
          </w:tcPr>
          <w:p>
            <w:pPr>
              <w:ind w:leftChars="0" w:left="0" w:right="0"/>
            </w:pPr>
            <w:r>
              <w:t>CLHK</w:t>
            </w:r>
          </w:p>
        </w:tc>
        <w:tc>
          <w:tcPr>
            <w:cnfStyle w:evenVBand="true" w:oddVBand="false" w:firstColumn="false"/>
            <w:tcW w:w="33.333333%" w:type="pct"/>
          </w:tcPr>
          <w:p>
            <w:pPr>
              <w:ind w:leftChars="0" w:left="0" w:right="0"/>
            </w:pPr>
            <w:r>
              <w:t>CLHK</w:t>
            </w:r>
          </w:p>
        </w:tc>
        <w:tc>
          <w:tcPr>
            <w:cnfStyle w:evenVBand="false" w:oddVBand="true" w:firstColumn="false"/>
            <w:tcW w:w="33.333333%" w:type="pct"/>
          </w:tcPr>
          <w:p>
            <w:pPr>
              <w:ind w:leftChars="0" w:left="0" w:right="0"/>
            </w:pPr>
            <w:r>
              <w:t>CLSA HONG KONG - DARK</w:t>
            </w:r>
          </w:p>
        </w:tc>
      </w:tr>
      <w:tr>
        <w:trPr>
          <w:cnfStyle w:evenHBand="true" w:oddHBand="false" w:firstRow="false"/>
        </w:trPr>
        <w:tc>
          <w:tcPr>
            <w:cnfStyle w:evenVBand="false" w:oddVBand="true" w:firstColumn="false"/>
            <w:tcW w:w="33.333333%" w:type="pct"/>
          </w:tcPr>
          <w:p>
            <w:pPr>
              <w:ind w:leftChars="0" w:left="0" w:right="0"/>
            </w:pPr>
            <w:r>
              <w:t>CLJP</w:t>
            </w:r>
          </w:p>
        </w:tc>
        <w:tc>
          <w:tcPr>
            <w:cnfStyle w:evenVBand="true" w:oddVBand="false" w:firstColumn="false"/>
            <w:tcW w:w="33.333333%" w:type="pct"/>
          </w:tcPr>
          <w:p>
            <w:pPr>
              <w:ind w:leftChars="0" w:left="0" w:right="0"/>
            </w:pPr>
            <w:r>
              <w:t>CLJP</w:t>
            </w:r>
          </w:p>
        </w:tc>
        <w:tc>
          <w:tcPr>
            <w:cnfStyle w:evenVBand="false" w:oddVBand="true" w:firstColumn="false"/>
            <w:tcW w:w="33.333333%" w:type="pct"/>
          </w:tcPr>
          <w:p>
            <w:pPr>
              <w:ind w:leftChars="0" w:left="0" w:right="0"/>
            </w:pPr>
            <w:r>
              <w:t>CLSA JAPAN - DARK</w:t>
            </w:r>
          </w:p>
        </w:tc>
      </w:tr>
      <w:tr>
        <w:trPr>
          <w:cnfStyle w:evenHBand="false" w:oddHBand="true" w:firstRow="false"/>
        </w:trPr>
        <w:tc>
          <w:tcPr>
            <w:cnfStyle w:evenVBand="false" w:oddVBand="true" w:firstColumn="false"/>
            <w:tcW w:w="33.333333%" w:type="pct"/>
          </w:tcPr>
          <w:p>
            <w:pPr>
              <w:ind w:leftChars="0" w:left="0" w:right="0"/>
            </w:pPr>
            <w:r>
              <w:t>CLMX</w:t>
            </w:r>
          </w:p>
        </w:tc>
        <w:tc>
          <w:tcPr>
            <w:cnfStyle w:evenVBand="true" w:oddVBand="false" w:firstColumn="false"/>
            <w:tcW w:w="33.333333%" w:type="pct"/>
          </w:tcPr>
          <w:p>
            <w:pPr>
              <w:ind w:leftChars="0" w:left="0" w:right="0"/>
            </w:pPr>
            <w:r>
              <w:t>CLMX</w:t>
            </w:r>
          </w:p>
        </w:tc>
        <w:tc>
          <w:tcPr>
            <w:cnfStyle w:evenVBand="false" w:oddVBand="true" w:firstColumn="false"/>
            <w:tcW w:w="33.333333%" w:type="pct"/>
          </w:tcPr>
          <w:p>
            <w:pPr>
              <w:ind w:leftChars="0" w:left="0" w:right="0"/>
            </w:pPr>
            <w:r>
              <w:t>CLIMEX</w:t>
            </w:r>
          </w:p>
        </w:tc>
      </w:tr>
      <w:tr>
        <w:trPr>
          <w:cnfStyle w:evenHBand="true" w:oddHBand="false" w:firstRow="false"/>
        </w:trPr>
        <w:tc>
          <w:tcPr>
            <w:cnfStyle w:evenVBand="false" w:oddVBand="true" w:firstColumn="false"/>
            <w:tcW w:w="33.333333%" w:type="pct"/>
          </w:tcPr>
          <w:p>
            <w:pPr>
              <w:ind w:leftChars="0" w:left="0" w:right="0"/>
            </w:pPr>
            <w:r>
              <w:t>CLPH</w:t>
            </w:r>
          </w:p>
        </w:tc>
        <w:tc>
          <w:tcPr>
            <w:cnfStyle w:evenVBand="true" w:oddVBand="false" w:firstColumn="false"/>
            <w:tcW w:w="33.333333%" w:type="pct"/>
          </w:tcPr>
          <w:p>
            <w:pPr>
              <w:ind w:leftChars="0" w:left="0" w:right="0"/>
            </w:pPr>
            <w:r>
              <w:t>CLPH</w:t>
            </w:r>
          </w:p>
        </w:tc>
        <w:tc>
          <w:tcPr>
            <w:cnfStyle w:evenVBand="false" w:oddVBand="true" w:firstColumn="false"/>
            <w:tcW w:w="33.333333%" w:type="pct"/>
          </w:tcPr>
          <w:p>
            <w:pPr>
              <w:ind w:leftChars="0" w:left="0" w:right="0"/>
            </w:pPr>
            <w:r>
              <w:t>CLSA PHILIPPINES - DARK</w:t>
            </w:r>
          </w:p>
        </w:tc>
      </w:tr>
      <w:tr>
        <w:trPr>
          <w:cnfStyle w:evenHBand="false" w:oddHBand="true" w:firstRow="false"/>
        </w:trPr>
        <w:tc>
          <w:tcPr>
            <w:cnfStyle w:evenVBand="false" w:oddVBand="true" w:firstColumn="false"/>
            <w:tcW w:w="33.333333%" w:type="pct"/>
          </w:tcPr>
          <w:p>
            <w:pPr>
              <w:ind w:leftChars="0" w:left="0" w:right="0"/>
            </w:pPr>
            <w:r>
              <w:t>CLST</w:t>
            </w:r>
          </w:p>
        </w:tc>
        <w:tc>
          <w:tcPr>
            <w:cnfStyle w:evenVBand="true" w:oddVBand="false" w:firstColumn="false"/>
            <w:tcW w:w="33.333333%" w:type="pct"/>
          </w:tcPr>
          <w:p>
            <w:pPr>
              <w:ind w:leftChars="0" w:left="0" w:right="0"/>
            </w:pPr>
            <w:r>
              <w:t>CLST</w:t>
            </w:r>
          </w:p>
        </w:tc>
        <w:tc>
          <w:tcPr>
            <w:cnfStyle w:evenVBand="false" w:oddVBand="true" w:firstColumn="false"/>
            <w:tcW w:w="33.333333%" w:type="pct"/>
          </w:tcPr>
          <w:p>
            <w:pPr>
              <w:ind w:leftChars="0" w:left="0" w:right="0"/>
            </w:pPr>
            <w:r>
              <w:t>CLEAR STREET</w:t>
            </w:r>
          </w:p>
        </w:tc>
      </w:tr>
      <w:tr>
        <w:trPr>
          <w:cnfStyle w:evenHBand="true" w:oddHBand="false" w:firstRow="false"/>
        </w:trPr>
        <w:tc>
          <w:tcPr>
            <w:cnfStyle w:evenVBand="false" w:oddVBand="true" w:firstColumn="false"/>
            <w:tcW w:w="33.333333%" w:type="pct"/>
          </w:tcPr>
          <w:p>
            <w:pPr>
              <w:ind w:leftChars="0" w:left="0" w:right="0"/>
            </w:pPr>
            <w:r>
              <w:t>CLTD</w:t>
            </w:r>
          </w:p>
        </w:tc>
        <w:tc>
          <w:tcPr>
            <w:cnfStyle w:evenVBand="true" w:oddVBand="false" w:firstColumn="false"/>
            <w:tcW w:w="33.333333%" w:type="pct"/>
          </w:tcPr>
          <w:p>
            <w:pPr>
              <w:ind w:leftChars="0" w:left="0" w:right="0"/>
            </w:pPr>
            <w:r>
              <w:t>CLTD</w:t>
            </w:r>
          </w:p>
        </w:tc>
        <w:tc>
          <w:tcPr>
            <w:cnfStyle w:evenVBand="false" w:oddVBand="true" w:firstColumn="false"/>
            <w:tcW w:w="33.333333%" w:type="pct"/>
          </w:tcPr>
          <w:p>
            <w:pPr>
              <w:ind w:leftChars="0" w:left="0" w:right="0"/>
            </w:pPr>
            <w:r>
              <w:t>CLEARTRADE EXCHANGE</w:t>
            </w:r>
          </w:p>
        </w:tc>
      </w:tr>
      <w:tr>
        <w:trPr>
          <w:cnfStyle w:evenHBand="false" w:oddHBand="true" w:firstRow="false"/>
        </w:trPr>
        <w:tc>
          <w:tcPr>
            <w:cnfStyle w:evenVBand="false" w:oddVBand="true" w:firstColumn="false"/>
            <w:tcW w:w="33.333333%" w:type="pct"/>
          </w:tcPr>
          <w:p>
            <w:pPr>
              <w:ind w:leftChars="0" w:left="0" w:right="0"/>
            </w:pPr>
            <w:r>
              <w:t>CLVE</w:t>
            </w:r>
          </w:p>
        </w:tc>
        <w:tc>
          <w:tcPr>
            <w:cnfStyle w:evenVBand="true" w:oddVBand="false" w:firstColumn="false"/>
            <w:tcW w:w="33.333333%" w:type="pct"/>
          </w:tcPr>
          <w:p>
            <w:pPr>
              <w:ind w:leftChars="0" w:left="0" w:right="0"/>
            </w:pPr>
            <w:r>
              <w:t>CLVE</w:t>
            </w:r>
          </w:p>
        </w:tc>
        <w:tc>
          <w:tcPr>
            <w:cnfStyle w:evenVBand="false" w:oddVBand="true" w:firstColumn="false"/>
            <w:tcW w:w="33.333333%" w:type="pct"/>
          </w:tcPr>
          <w:p>
            <w:pPr>
              <w:ind w:leftChars="0" w:left="0" w:right="0"/>
            </w:pPr>
            <w:r>
              <w:t>VERTO MTF</w:t>
            </w:r>
          </w:p>
        </w:tc>
      </w:tr>
      <w:tr>
        <w:trPr>
          <w:cnfStyle w:evenHBand="true" w:oddHBand="false" w:firstRow="false"/>
        </w:trPr>
        <w:tc>
          <w:tcPr>
            <w:cnfStyle w:evenVBand="false" w:oddVBand="true" w:firstColumn="false"/>
            <w:tcW w:w="33.333333%" w:type="pct"/>
          </w:tcPr>
          <w:p>
            <w:pPr>
              <w:ind w:leftChars="0" w:left="0" w:right="0"/>
            </w:pPr>
            <w:r>
              <w:t>CMAP</w:t>
            </w:r>
          </w:p>
        </w:tc>
        <w:tc>
          <w:tcPr>
            <w:cnfStyle w:evenVBand="true" w:oddVBand="false" w:firstColumn="false"/>
            <w:tcW w:w="33.333333%" w:type="pct"/>
          </w:tcPr>
          <w:p>
            <w:pPr>
              <w:ind w:leftChars="0" w:left="0" w:right="0"/>
            </w:pPr>
            <w:r>
              <w:t>CMAP</w:t>
            </w:r>
          </w:p>
        </w:tc>
        <w:tc>
          <w:tcPr>
            <w:cnfStyle w:evenVBand="false" w:oddVBand="true" w:firstColumn="false"/>
            <w:tcW w:w="33.333333%" w:type="pct"/>
          </w:tcPr>
          <w:p>
            <w:pPr>
              <w:ind w:leftChars="0" w:left="0" w:right="0"/>
            </w:pPr>
            <w:r>
              <w:t>CAPI - APPROVED PUBLICATION ARRANGEMENT</w:t>
            </w:r>
          </w:p>
        </w:tc>
      </w:tr>
      <w:tr>
        <w:trPr>
          <w:cnfStyle w:evenHBand="false" w:oddHBand="true" w:firstRow="false"/>
        </w:trPr>
        <w:tc>
          <w:tcPr>
            <w:cnfStyle w:evenVBand="false" w:oddVBand="true" w:firstColumn="false"/>
            <w:tcW w:w="33.333333%" w:type="pct"/>
          </w:tcPr>
          <w:p>
            <w:pPr>
              <w:ind w:leftChars="0" w:left="0" w:right="0"/>
            </w:pPr>
            <w:r>
              <w:t>CMCI</w:t>
            </w:r>
          </w:p>
        </w:tc>
        <w:tc>
          <w:tcPr>
            <w:cnfStyle w:evenVBand="true" w:oddVBand="false" w:firstColumn="false"/>
            <w:tcW w:w="33.333333%" w:type="pct"/>
          </w:tcPr>
          <w:p>
            <w:pPr>
              <w:ind w:leftChars="0" w:left="0" w:right="0"/>
            </w:pPr>
            <w:r>
              <w:t>CMCI</w:t>
            </w:r>
          </w:p>
        </w:tc>
        <w:tc>
          <w:tcPr>
            <w:cnfStyle w:evenVBand="false" w:oddVBand="true" w:firstColumn="false"/>
            <w:tcW w:w="33.333333%" w:type="pct"/>
          </w:tcPr>
          <w:p>
            <w:pPr>
              <w:ind w:leftChars="0" w:left="0" w:right="0"/>
            </w:pPr>
            <w:r>
              <w:t>CREDIT INDUSTRIEL ET COMMERCIAL - SYSTEMATIC INTERNALISER</w:t>
            </w:r>
          </w:p>
        </w:tc>
      </w:tr>
      <w:tr>
        <w:trPr>
          <w:cnfStyle w:evenHBand="true" w:oddHBand="false" w:firstRow="false"/>
        </w:trPr>
        <w:tc>
          <w:tcPr>
            <w:cnfStyle w:evenVBand="false" w:oddVBand="true" w:firstColumn="false"/>
            <w:tcW w:w="33.333333%" w:type="pct"/>
          </w:tcPr>
          <w:p>
            <w:pPr>
              <w:ind w:leftChars="0" w:left="0" w:right="0"/>
            </w:pPr>
            <w:r>
              <w:t>CMCM</w:t>
            </w:r>
          </w:p>
        </w:tc>
        <w:tc>
          <w:tcPr>
            <w:cnfStyle w:evenVBand="true" w:oddVBand="false" w:firstColumn="false"/>
            <w:tcW w:w="33.333333%" w:type="pct"/>
          </w:tcPr>
          <w:p>
            <w:pPr>
              <w:ind w:leftChars="0" w:left="0" w:right="0"/>
            </w:pPr>
            <w:r>
              <w:t>CMCM</w:t>
            </w:r>
          </w:p>
        </w:tc>
        <w:tc>
          <w:tcPr>
            <w:cnfStyle w:evenVBand="false" w:oddVBand="true" w:firstColumn="false"/>
            <w:tcW w:w="33.333333%" w:type="pct"/>
          </w:tcPr>
          <w:p>
            <w:pPr>
              <w:ind w:leftChars="0" w:left="0" w:right="0"/>
            </w:pPr>
            <w:r>
              <w:t>CMC MARKETS UK PLC - SYSTEMATIC INTERNALISER</w:t>
            </w:r>
          </w:p>
        </w:tc>
      </w:tr>
      <w:tr>
        <w:trPr>
          <w:cnfStyle w:evenHBand="false" w:oddHBand="true" w:firstRow="false"/>
        </w:trPr>
        <w:tc>
          <w:tcPr>
            <w:cnfStyle w:evenVBand="false" w:oddVBand="true" w:firstColumn="false"/>
            <w:tcW w:w="33.333333%" w:type="pct"/>
          </w:tcPr>
          <w:p>
            <w:pPr>
              <w:ind w:leftChars="0" w:left="0" w:right="0"/>
            </w:pPr>
            <w:r>
              <w:t>CMEC</w:t>
            </w:r>
          </w:p>
        </w:tc>
        <w:tc>
          <w:tcPr>
            <w:cnfStyle w:evenVBand="true" w:oddVBand="false" w:firstColumn="false"/>
            <w:tcW w:w="33.333333%" w:type="pct"/>
          </w:tcPr>
          <w:p>
            <w:pPr>
              <w:ind w:leftChars="0" w:left="0" w:right="0"/>
            </w:pPr>
            <w:r>
              <w:t>CMEC</w:t>
            </w:r>
          </w:p>
        </w:tc>
        <w:tc>
          <w:tcPr>
            <w:cnfStyle w:evenVBand="false" w:oddVBand="true" w:firstColumn="false"/>
            <w:tcW w:w="33.333333%" w:type="pct"/>
          </w:tcPr>
          <w:p>
            <w:pPr>
              <w:ind w:leftChars="0" w:left="0" w:right="0"/>
            </w:pPr>
            <w:r>
              <w:t>CME CLEARING EUROPE</w:t>
            </w:r>
          </w:p>
        </w:tc>
      </w:tr>
      <w:tr>
        <w:trPr>
          <w:cnfStyle w:evenHBand="true" w:oddHBand="false" w:firstRow="false"/>
        </w:trPr>
        <w:tc>
          <w:tcPr>
            <w:cnfStyle w:evenVBand="false" w:oddVBand="true" w:firstColumn="false"/>
            <w:tcW w:w="33.333333%" w:type="pct"/>
          </w:tcPr>
          <w:p>
            <w:pPr>
              <w:ind w:leftChars="0" w:left="0" w:right="0"/>
            </w:pPr>
            <w:r>
              <w:t>CMED</w:t>
            </w:r>
          </w:p>
        </w:tc>
        <w:tc>
          <w:tcPr>
            <w:cnfStyle w:evenVBand="true" w:oddVBand="false" w:firstColumn="false"/>
            <w:tcW w:w="33.333333%" w:type="pct"/>
          </w:tcPr>
          <w:p>
            <w:pPr>
              <w:ind w:leftChars="0" w:left="0" w:right="0"/>
            </w:pPr>
            <w:r>
              <w:t>CMED</w:t>
            </w:r>
          </w:p>
        </w:tc>
        <w:tc>
          <w:tcPr>
            <w:cnfStyle w:evenVBand="false" w:oddVBand="true" w:firstColumn="false"/>
            <w:tcW w:w="33.333333%" w:type="pct"/>
          </w:tcPr>
          <w:p>
            <w:pPr>
              <w:ind w:leftChars="0" w:left="0" w:right="0"/>
            </w:pPr>
            <w:r>
              <w:t>CME EUROPE - DERIVATIVES</w:t>
            </w:r>
          </w:p>
        </w:tc>
      </w:tr>
      <w:tr>
        <w:trPr>
          <w:cnfStyle w:evenHBand="false" w:oddHBand="true" w:firstRow="false"/>
        </w:trPr>
        <w:tc>
          <w:tcPr>
            <w:cnfStyle w:evenVBand="false" w:oddVBand="true" w:firstColumn="false"/>
            <w:tcW w:w="33.333333%" w:type="pct"/>
          </w:tcPr>
          <w:p>
            <w:pPr>
              <w:ind w:leftChars="0" w:left="0" w:right="0"/>
            </w:pPr>
            <w:r>
              <w:t>CMEE</w:t>
            </w:r>
          </w:p>
        </w:tc>
        <w:tc>
          <w:tcPr>
            <w:cnfStyle w:evenVBand="true" w:oddVBand="false" w:firstColumn="false"/>
            <w:tcW w:w="33.333333%" w:type="pct"/>
          </w:tcPr>
          <w:p>
            <w:pPr>
              <w:ind w:leftChars="0" w:left="0" w:right="0"/>
            </w:pPr>
            <w:r>
              <w:t>CMEE</w:t>
            </w:r>
          </w:p>
        </w:tc>
        <w:tc>
          <w:tcPr>
            <w:cnfStyle w:evenVBand="false" w:oddVBand="true" w:firstColumn="false"/>
            <w:tcW w:w="33.333333%" w:type="pct"/>
          </w:tcPr>
          <w:p>
            <w:pPr>
              <w:ind w:leftChars="0" w:left="0" w:right="0"/>
            </w:pPr>
            <w:r>
              <w:t>CME  EUROPE</w:t>
            </w:r>
          </w:p>
        </w:tc>
      </w:tr>
      <w:tr>
        <w:trPr>
          <w:cnfStyle w:evenHBand="true" w:oddHBand="false" w:firstRow="false"/>
        </w:trPr>
        <w:tc>
          <w:tcPr>
            <w:cnfStyle w:evenVBand="false" w:oddVBand="true" w:firstColumn="false"/>
            <w:tcW w:w="33.333333%" w:type="pct"/>
          </w:tcPr>
          <w:p>
            <w:pPr>
              <w:ind w:leftChars="0" w:left="0" w:right="0"/>
            </w:pPr>
            <w:r>
              <w:t>CMES</w:t>
            </w:r>
          </w:p>
        </w:tc>
        <w:tc>
          <w:tcPr>
            <w:cnfStyle w:evenVBand="true" w:oddVBand="false" w:firstColumn="false"/>
            <w:tcW w:w="33.333333%" w:type="pct"/>
          </w:tcPr>
          <w:p>
            <w:pPr>
              <w:ind w:leftChars="0" w:left="0" w:right="0"/>
            </w:pPr>
            <w:r>
              <w:t>CMES</w:t>
            </w:r>
          </w:p>
        </w:tc>
        <w:tc>
          <w:tcPr>
            <w:cnfStyle w:evenVBand="false" w:oddVBand="true" w:firstColumn="false"/>
            <w:tcW w:w="33.333333%" w:type="pct"/>
          </w:tcPr>
          <w:p>
            <w:pPr>
              <w:ind w:leftChars="0" w:left="0" w:right="0"/>
            </w:pPr>
            <w:r>
              <w:t>CME SWAPS MARKETS (CME)</w:t>
            </w:r>
          </w:p>
        </w:tc>
      </w:tr>
      <w:tr>
        <w:trPr>
          <w:cnfStyle w:evenHBand="false" w:oddHBand="true" w:firstRow="false"/>
        </w:trPr>
        <w:tc>
          <w:tcPr>
            <w:cnfStyle w:evenVBand="false" w:oddVBand="true" w:firstColumn="false"/>
            <w:tcW w:w="33.333333%" w:type="pct"/>
          </w:tcPr>
          <w:p>
            <w:pPr>
              <w:ind w:leftChars="0" w:left="0" w:right="0"/>
            </w:pPr>
            <w:r>
              <w:t>CMET</w:t>
            </w:r>
          </w:p>
        </w:tc>
        <w:tc>
          <w:tcPr>
            <w:cnfStyle w:evenVBand="true" w:oddVBand="false" w:firstColumn="false"/>
            <w:tcW w:w="33.333333%" w:type="pct"/>
          </w:tcPr>
          <w:p>
            <w:pPr>
              <w:ind w:leftChars="0" w:left="0" w:right="0"/>
            </w:pPr>
            <w:r>
              <w:t>CMET</w:t>
            </w:r>
          </w:p>
        </w:tc>
        <w:tc>
          <w:tcPr>
            <w:cnfStyle w:evenVBand="false" w:oddVBand="true" w:firstColumn="false"/>
            <w:tcW w:w="33.333333%" w:type="pct"/>
          </w:tcPr>
          <w:p>
            <w:pPr>
              <w:ind w:leftChars="0" w:left="0" w:right="0"/>
            </w:pPr>
            <w:r>
              <w:t>CLEAR MARKETS JAPAN, INC.</w:t>
            </w:r>
          </w:p>
        </w:tc>
      </w:tr>
      <w:tr>
        <w:trPr>
          <w:cnfStyle w:evenHBand="true" w:oddHBand="false" w:firstRow="false"/>
        </w:trPr>
        <w:tc>
          <w:tcPr>
            <w:cnfStyle w:evenVBand="false" w:oddVBand="true" w:firstColumn="false"/>
            <w:tcW w:w="33.333333%" w:type="pct"/>
          </w:tcPr>
          <w:p>
            <w:pPr>
              <w:ind w:leftChars="0" w:left="0" w:right="0"/>
            </w:pPr>
            <w:r>
              <w:t>CMMT</w:t>
            </w:r>
          </w:p>
        </w:tc>
        <w:tc>
          <w:tcPr>
            <w:cnfStyle w:evenVBand="true" w:oddVBand="false" w:firstColumn="false"/>
            <w:tcW w:w="33.333333%" w:type="pct"/>
          </w:tcPr>
          <w:p>
            <w:pPr>
              <w:ind w:leftChars="0" w:left="0" w:right="0"/>
            </w:pPr>
            <w:r>
              <w:t>CMMT</w:t>
            </w:r>
          </w:p>
        </w:tc>
        <w:tc>
          <w:tcPr>
            <w:cnfStyle w:evenVBand="false" w:oddVBand="true" w:firstColumn="false"/>
            <w:tcW w:w="33.333333%" w:type="pct"/>
          </w:tcPr>
          <w:p>
            <w:pPr>
              <w:ind w:leftChars="0" w:left="0" w:right="0"/>
            </w:pPr>
            <w:r>
              <w:t>CLEAR MARKETS EUROPE LIMITED</w:t>
            </w:r>
          </w:p>
        </w:tc>
      </w:tr>
      <w:tr>
        <w:trPr>
          <w:cnfStyle w:evenHBand="false" w:oddHBand="true" w:firstRow="false"/>
        </w:trPr>
        <w:tc>
          <w:tcPr>
            <w:cnfStyle w:evenVBand="false" w:oddVBand="true" w:firstColumn="false"/>
            <w:tcW w:w="33.333333%" w:type="pct"/>
          </w:tcPr>
          <w:p>
            <w:pPr>
              <w:ind w:leftChars="0" w:left="0" w:right="0"/>
            </w:pPr>
            <w:r>
              <w:t>CMSF</w:t>
            </w:r>
          </w:p>
        </w:tc>
        <w:tc>
          <w:tcPr>
            <w:cnfStyle w:evenVBand="true" w:oddVBand="false" w:firstColumn="false"/>
            <w:tcW w:w="33.333333%" w:type="pct"/>
          </w:tcPr>
          <w:p>
            <w:pPr>
              <w:ind w:leftChars="0" w:left="0" w:right="0"/>
            </w:pPr>
            <w:r>
              <w:t>CMSF</w:t>
            </w:r>
          </w:p>
        </w:tc>
        <w:tc>
          <w:tcPr>
            <w:cnfStyle w:evenVBand="false" w:oddVBand="true" w:firstColumn="false"/>
            <w:tcW w:w="33.333333%" w:type="pct"/>
          </w:tcPr>
          <w:p>
            <w:pPr>
              <w:ind w:leftChars="0" w:left="0" w:right="0"/>
            </w:pPr>
            <w:r>
              <w:t>CLEAR MARKETS NORTH AMERICA, INC.</w:t>
            </w:r>
          </w:p>
        </w:tc>
      </w:tr>
      <w:tr>
        <w:trPr>
          <w:cnfStyle w:evenHBand="true" w:oddHBand="false" w:firstRow="false"/>
        </w:trPr>
        <w:tc>
          <w:tcPr>
            <w:cnfStyle w:evenVBand="false" w:oddVBand="true" w:firstColumn="false"/>
            <w:tcW w:w="33.333333%" w:type="pct"/>
          </w:tcPr>
          <w:p>
            <w:pPr>
              <w:ind w:leftChars="0" w:left="0" w:right="0"/>
            </w:pPr>
            <w:r>
              <w:t>CMTS</w:t>
            </w:r>
          </w:p>
        </w:tc>
        <w:tc>
          <w:tcPr>
            <w:cnfStyle w:evenVBand="true" w:oddVBand="false" w:firstColumn="false"/>
            <w:tcW w:w="33.333333%" w:type="pct"/>
          </w:tcPr>
          <w:p>
            <w:pPr>
              <w:ind w:leftChars="0" w:left="0" w:right="0"/>
            </w:pPr>
            <w:r>
              <w:t>CMTS</w:t>
            </w:r>
          </w:p>
        </w:tc>
        <w:tc>
          <w:tcPr>
            <w:cnfStyle w:evenVBand="false" w:oddVBand="true" w:firstColumn="false"/>
            <w:tcW w:w="33.333333%" w:type="pct"/>
          </w:tcPr>
          <w:p>
            <w:pPr>
              <w:ind w:leftChars="0" w:left="0" w:right="0"/>
            </w:pPr>
            <w:r>
              <w:t>EUROCREDIT MTS</w:t>
            </w:r>
          </w:p>
        </w:tc>
      </w:tr>
      <w:tr>
        <w:trPr>
          <w:cnfStyle w:evenHBand="false" w:oddHBand="true" w:firstRow="false"/>
        </w:trPr>
        <w:tc>
          <w:tcPr>
            <w:cnfStyle w:evenVBand="false" w:oddVBand="true" w:firstColumn="false"/>
            <w:tcW w:w="33.333333%" w:type="pct"/>
          </w:tcPr>
          <w:p>
            <w:pPr>
              <w:ind w:leftChars="0" w:left="0" w:right="0"/>
            </w:pPr>
            <w:r>
              <w:t>CNOD</w:t>
            </w:r>
          </w:p>
        </w:tc>
        <w:tc>
          <w:tcPr>
            <w:cnfStyle w:evenVBand="true" w:oddVBand="false" w:firstColumn="false"/>
            <w:tcW w:w="33.333333%" w:type="pct"/>
          </w:tcPr>
          <w:p>
            <w:pPr>
              <w:ind w:leftChars="0" w:left="0" w:right="0"/>
            </w:pPr>
            <w:r>
              <w:t>CNOD</w:t>
            </w:r>
          </w:p>
        </w:tc>
        <w:tc>
          <w:tcPr>
            <w:cnfStyle w:evenVBand="false" w:oddVBand="true" w:firstColumn="false"/>
            <w:tcW w:w="33.333333%" w:type="pct"/>
          </w:tcPr>
          <w:p>
            <w:pPr>
              <w:ind w:leftChars="0" w:left="0" w:right="0"/>
            </w:pPr>
            <w:r>
              <w:t>CNODE</w:t>
            </w:r>
          </w:p>
        </w:tc>
      </w:tr>
      <w:tr>
        <w:trPr>
          <w:cnfStyle w:evenHBand="true" w:oddHBand="false" w:firstRow="false"/>
        </w:trPr>
        <w:tc>
          <w:tcPr>
            <w:cnfStyle w:evenVBand="false" w:oddVBand="true" w:firstColumn="false"/>
            <w:tcW w:w="33.333333%" w:type="pct"/>
          </w:tcPr>
          <w:p>
            <w:pPr>
              <w:ind w:leftChars="0" w:left="0" w:right="0"/>
            </w:pPr>
            <w:r>
              <w:t>CNSI</w:t>
            </w:r>
          </w:p>
        </w:tc>
        <w:tc>
          <w:tcPr>
            <w:cnfStyle w:evenVBand="true" w:oddVBand="false" w:firstColumn="false"/>
            <w:tcW w:w="33.333333%" w:type="pct"/>
          </w:tcPr>
          <w:p>
            <w:pPr>
              <w:ind w:leftChars="0" w:left="0" w:right="0"/>
            </w:pPr>
            <w:r>
              <w:t>CNSI</w:t>
            </w:r>
          </w:p>
        </w:tc>
        <w:tc>
          <w:tcPr>
            <w:cnfStyle w:evenVBand="false" w:oddVBand="true" w:firstColumn="false"/>
            <w:tcW w:w="33.333333%" w:type="pct"/>
          </w:tcPr>
          <w:p>
            <w:pPr>
              <w:ind w:leftChars="0" w:left="0" w:right="0"/>
            </w:pPr>
            <w:r>
              <w:t>CARNEGIE AS - SYSTEMATIC INTERNALISER</w:t>
            </w:r>
          </w:p>
        </w:tc>
      </w:tr>
      <w:tr>
        <w:trPr>
          <w:cnfStyle w:evenHBand="false" w:oddHBand="true" w:firstRow="false"/>
        </w:trPr>
        <w:tc>
          <w:tcPr>
            <w:cnfStyle w:evenVBand="false" w:oddVBand="true" w:firstColumn="false"/>
            <w:tcW w:w="33.333333%" w:type="pct"/>
          </w:tcPr>
          <w:p>
            <w:pPr>
              <w:ind w:leftChars="0" w:left="0" w:right="0"/>
            </w:pPr>
            <w:r>
              <w:t>COAL</w:t>
            </w:r>
          </w:p>
        </w:tc>
        <w:tc>
          <w:tcPr>
            <w:cnfStyle w:evenVBand="true" w:oddVBand="false" w:firstColumn="false"/>
            <w:tcW w:w="33.333333%" w:type="pct"/>
          </w:tcPr>
          <w:p>
            <w:pPr>
              <w:ind w:leftChars="0" w:left="0" w:right="0"/>
            </w:pPr>
            <w:r>
              <w:t>COAL</w:t>
            </w:r>
          </w:p>
        </w:tc>
        <w:tc>
          <w:tcPr>
            <w:cnfStyle w:evenVBand="false" w:oddVBand="true" w:firstColumn="false"/>
            <w:tcW w:w="33.333333%" w:type="pct"/>
          </w:tcPr>
          <w:p>
            <w:pPr>
              <w:ind w:leftChars="0" w:left="0" w:right="0"/>
            </w:pPr>
            <w:r>
              <w:t>LA COTE ALPHA</w:t>
            </w:r>
          </w:p>
        </w:tc>
      </w:tr>
      <w:tr>
        <w:trPr>
          <w:cnfStyle w:evenHBand="true" w:oddHBand="false" w:firstRow="false"/>
        </w:trPr>
        <w:tc>
          <w:tcPr>
            <w:cnfStyle w:evenVBand="false" w:oddVBand="true" w:firstColumn="false"/>
            <w:tcW w:w="33.333333%" w:type="pct"/>
          </w:tcPr>
          <w:p>
            <w:pPr>
              <w:ind w:leftChars="0" w:left="0" w:right="0"/>
            </w:pPr>
            <w:r>
              <w:t>CODA</w:t>
            </w:r>
          </w:p>
        </w:tc>
        <w:tc>
          <w:tcPr>
            <w:cnfStyle w:evenVBand="true" w:oddVBand="false" w:firstColumn="false"/>
            <w:tcW w:w="33.333333%" w:type="pct"/>
          </w:tcPr>
          <w:p>
            <w:pPr>
              <w:ind w:leftChars="0" w:left="0" w:right="0"/>
            </w:pPr>
            <w:r>
              <w:t>CODA</w:t>
            </w:r>
          </w:p>
        </w:tc>
        <w:tc>
          <w:tcPr>
            <w:cnfStyle w:evenVBand="false" w:oddVBand="true" w:firstColumn="false"/>
            <w:tcW w:w="33.333333%" w:type="pct"/>
          </w:tcPr>
          <w:p>
            <w:pPr>
              <w:ind w:leftChars="0" w:left="0" w:right="0"/>
            </w:pPr>
            <w:r>
              <w:t>CODA MARKETS - MICRO AND BLOCK</w:t>
            </w:r>
          </w:p>
        </w:tc>
      </w:tr>
      <w:tr>
        <w:trPr>
          <w:cnfStyle w:evenHBand="false" w:oddHBand="true" w:firstRow="false"/>
        </w:trPr>
        <w:tc>
          <w:tcPr>
            <w:cnfStyle w:evenVBand="false" w:oddVBand="true" w:firstColumn="false"/>
            <w:tcW w:w="33.333333%" w:type="pct"/>
          </w:tcPr>
          <w:p>
            <w:pPr>
              <w:ind w:leftChars="0" w:left="0" w:right="0"/>
            </w:pPr>
            <w:r>
              <w:t>COHR</w:t>
            </w:r>
          </w:p>
        </w:tc>
        <w:tc>
          <w:tcPr>
            <w:cnfStyle w:evenVBand="true" w:oddVBand="false" w:firstColumn="false"/>
            <w:tcW w:w="33.333333%" w:type="pct"/>
          </w:tcPr>
          <w:p>
            <w:pPr>
              <w:ind w:leftChars="0" w:left="0" w:right="0"/>
            </w:pPr>
            <w:r>
              <w:t>COHR</w:t>
            </w:r>
          </w:p>
        </w:tc>
        <w:tc>
          <w:tcPr>
            <w:cnfStyle w:evenVBand="false" w:oddVBand="true" w:firstColumn="false"/>
            <w:tcW w:w="33.333333%" w:type="pct"/>
          </w:tcPr>
          <w:p>
            <w:pPr>
              <w:ind w:leftChars="0" w:left="0" w:right="0"/>
            </w:pPr>
            <w:r>
              <w:t>COMHAR CAPITAL MARKETS, LLC</w:t>
            </w:r>
          </w:p>
        </w:tc>
      </w:tr>
      <w:tr>
        <w:trPr>
          <w:cnfStyle w:evenHBand="true" w:oddHBand="false" w:firstRow="false"/>
        </w:trPr>
        <w:tc>
          <w:tcPr>
            <w:cnfStyle w:evenVBand="false" w:oddVBand="true" w:firstColumn="false"/>
            <w:tcW w:w="33.333333%" w:type="pct"/>
          </w:tcPr>
          <w:p>
            <w:pPr>
              <w:ind w:leftChars="0" w:left="0" w:right="0"/>
            </w:pPr>
            <w:r>
              <w:t>COMG</w:t>
            </w:r>
          </w:p>
        </w:tc>
        <w:tc>
          <w:tcPr>
            <w:cnfStyle w:evenVBand="true" w:oddVBand="false" w:firstColumn="false"/>
            <w:tcW w:w="33.333333%" w:type="pct"/>
          </w:tcPr>
          <w:p>
            <w:pPr>
              <w:ind w:leftChars="0" w:left="0" w:right="0"/>
            </w:pPr>
            <w:r>
              <w:t>COMG</w:t>
            </w:r>
          </w:p>
        </w:tc>
        <w:tc>
          <w:tcPr>
            <w:cnfStyle w:evenVBand="false" w:oddVBand="true" w:firstColumn="false"/>
            <w:tcW w:w="33.333333%" w:type="pct"/>
          </w:tcPr>
          <w:p>
            <w:pPr>
              <w:ind w:leftChars="0" w:left="0" w:right="0"/>
            </w:pPr>
            <w:r>
              <w:t>COMMERG LTD.</w:t>
            </w:r>
          </w:p>
        </w:tc>
      </w:tr>
      <w:tr>
        <w:trPr>
          <w:cnfStyle w:evenHBand="false" w:oddHBand="true" w:firstRow="false"/>
        </w:trPr>
        <w:tc>
          <w:tcPr>
            <w:cnfStyle w:evenVBand="false" w:oddVBand="true" w:firstColumn="false"/>
            <w:tcW w:w="33.333333%" w:type="pct"/>
          </w:tcPr>
          <w:p>
            <w:pPr>
              <w:ind w:leftChars="0" w:left="0" w:right="0"/>
            </w:pPr>
            <w:r>
              <w:t>COMM</w:t>
            </w:r>
          </w:p>
        </w:tc>
        <w:tc>
          <w:tcPr>
            <w:cnfStyle w:evenVBand="true" w:oddVBand="false" w:firstColumn="false"/>
            <w:tcW w:w="33.333333%" w:type="pct"/>
          </w:tcPr>
          <w:p>
            <w:pPr>
              <w:ind w:leftChars="0" w:left="0" w:right="0"/>
            </w:pPr>
            <w:r>
              <w:t>COMM</w:t>
            </w:r>
          </w:p>
        </w:tc>
        <w:tc>
          <w:tcPr>
            <w:cnfStyle w:evenVBand="false" w:oddVBand="true" w:firstColumn="false"/>
            <w:tcW w:w="33.333333%" w:type="pct"/>
          </w:tcPr>
          <w:p>
            <w:pPr>
              <w:ind w:leftChars="0" w:left="0" w:right="0"/>
            </w:pPr>
            <w:r>
              <w:t>COMMERG</w:t>
            </w:r>
          </w:p>
        </w:tc>
      </w:tr>
      <w:tr>
        <w:trPr>
          <w:cnfStyle w:evenHBand="true" w:oddHBand="false" w:firstRow="false"/>
        </w:trPr>
        <w:tc>
          <w:tcPr>
            <w:cnfStyle w:evenVBand="false" w:oddVBand="true" w:firstColumn="false"/>
            <w:tcW w:w="33.333333%" w:type="pct"/>
          </w:tcPr>
          <w:p>
            <w:pPr>
              <w:ind w:leftChars="0" w:left="0" w:right="0"/>
            </w:pPr>
            <w:r>
              <w:t>CONC</w:t>
            </w:r>
          </w:p>
        </w:tc>
        <w:tc>
          <w:tcPr>
            <w:cnfStyle w:evenVBand="true" w:oddVBand="false" w:firstColumn="false"/>
            <w:tcW w:w="33.333333%" w:type="pct"/>
          </w:tcPr>
          <w:p>
            <w:pPr>
              <w:ind w:leftChars="0" w:left="0" w:right="0"/>
            </w:pPr>
            <w:r>
              <w:t>CONC</w:t>
            </w:r>
          </w:p>
        </w:tc>
        <w:tc>
          <w:tcPr>
            <w:cnfStyle w:evenVBand="false" w:oddVBand="true" w:firstColumn="false"/>
            <w:tcW w:w="33.333333%" w:type="pct"/>
          </w:tcPr>
          <w:p>
            <w:pPr>
              <w:ind w:leftChars="0" w:left="0" w:right="0"/>
            </w:pPr>
            <w:r>
              <w:t>CONCORDE SECURITIES LTD. - SYSTEMATIC INTERNALISER</w:t>
            </w:r>
          </w:p>
        </w:tc>
      </w:tr>
      <w:tr>
        <w:trPr>
          <w:cnfStyle w:evenHBand="false" w:oddHBand="true" w:firstRow="false"/>
        </w:trPr>
        <w:tc>
          <w:tcPr>
            <w:cnfStyle w:evenVBand="false" w:oddVBand="true" w:firstColumn="false"/>
            <w:tcW w:w="33.333333%" w:type="pct"/>
          </w:tcPr>
          <w:p>
            <w:pPr>
              <w:ind w:leftChars="0" w:left="0" w:right="0"/>
            </w:pPr>
            <w:r>
              <w:t>CONE</w:t>
            </w:r>
          </w:p>
        </w:tc>
        <w:tc>
          <w:tcPr>
            <w:cnfStyle w:evenVBand="true" w:oddVBand="false" w:firstColumn="false"/>
            <w:tcW w:w="33.333333%" w:type="pct"/>
          </w:tcPr>
          <w:p>
            <w:pPr>
              <w:ind w:leftChars="0" w:left="0" w:right="0"/>
            </w:pPr>
            <w:r>
              <w:t>CONE</w:t>
            </w:r>
          </w:p>
        </w:tc>
        <w:tc>
          <w:tcPr>
            <w:cnfStyle w:evenVBand="false" w:oddVBand="true" w:firstColumn="false"/>
            <w:tcW w:w="33.333333%" w:type="pct"/>
          </w:tcPr>
          <w:p>
            <w:pPr>
              <w:ind w:leftChars="0" w:left="0" w:right="0"/>
            </w:pPr>
            <w:r>
              <w:t>CBOE OPTIONS EXCHANGE</w:t>
            </w:r>
          </w:p>
        </w:tc>
      </w:tr>
      <w:tr>
        <w:trPr>
          <w:cnfStyle w:evenHBand="true" w:oddHBand="false" w:firstRow="false"/>
        </w:trPr>
        <w:tc>
          <w:tcPr>
            <w:cnfStyle w:evenVBand="false" w:oddVBand="true" w:firstColumn="false"/>
            <w:tcW w:w="33.333333%" w:type="pct"/>
          </w:tcPr>
          <w:p>
            <w:pPr>
              <w:ind w:leftChars="0" w:left="0" w:right="0"/>
            </w:pPr>
            <w:r>
              <w:t>CORE</w:t>
            </w:r>
          </w:p>
        </w:tc>
        <w:tc>
          <w:tcPr>
            <w:cnfStyle w:evenVBand="true" w:oddVBand="false" w:firstColumn="false"/>
            <w:tcW w:w="33.333333%" w:type="pct"/>
          </w:tcPr>
          <w:p>
            <w:pPr>
              <w:ind w:leftChars="0" w:left="0" w:right="0"/>
            </w:pPr>
            <w:r>
              <w:t>CORE</w:t>
            </w:r>
          </w:p>
        </w:tc>
        <w:tc>
          <w:tcPr>
            <w:cnfStyle w:evenVBand="false" w:oddVBand="true" w:firstColumn="false"/>
            <w:tcW w:w="33.333333%" w:type="pct"/>
          </w:tcPr>
          <w:p>
            <w:pPr>
              <w:ind w:leftChars="0" w:left="0" w:right="0"/>
            </w:pPr>
            <w:r>
              <w:t>CITIGROUP AGENCY OPTION AND EQUITIES ROUTING ENGINE</w:t>
            </w:r>
          </w:p>
        </w:tc>
      </w:tr>
      <w:tr>
        <w:trPr>
          <w:cnfStyle w:evenHBand="false" w:oddHBand="true" w:firstRow="false"/>
        </w:trPr>
        <w:tc>
          <w:tcPr>
            <w:cnfStyle w:evenVBand="false" w:oddVBand="true" w:firstColumn="false"/>
            <w:tcW w:w="33.333333%" w:type="pct"/>
          </w:tcPr>
          <w:p>
            <w:pPr>
              <w:ind w:leftChars="0" w:left="0" w:right="0"/>
            </w:pPr>
            <w:r>
              <w:t>COTC</w:t>
            </w:r>
          </w:p>
        </w:tc>
        <w:tc>
          <w:tcPr>
            <w:cnfStyle w:evenVBand="true" w:oddVBand="false" w:firstColumn="false"/>
            <w:tcW w:w="33.333333%" w:type="pct"/>
          </w:tcPr>
          <w:p>
            <w:pPr>
              <w:ind w:leftChars="0" w:left="0" w:right="0"/>
            </w:pPr>
            <w:r>
              <w:t>COTC</w:t>
            </w:r>
          </w:p>
        </w:tc>
        <w:tc>
          <w:tcPr>
            <w:cnfStyle w:evenVBand="false" w:oddVBand="true" w:firstColumn="false"/>
            <w:tcW w:w="33.333333%" w:type="pct"/>
          </w:tcPr>
          <w:p>
            <w:pPr>
              <w:ind w:leftChars="0" w:left="0" w:right="0"/>
            </w:pPr>
            <w:r>
              <w:t>BMO CAPITAL MARKETS - CAD OTC TRADES</w:t>
            </w:r>
          </w:p>
        </w:tc>
      </w:tr>
      <w:tr>
        <w:trPr>
          <w:cnfStyle w:evenHBand="true" w:oddHBand="false" w:firstRow="false"/>
        </w:trPr>
        <w:tc>
          <w:tcPr>
            <w:cnfStyle w:evenVBand="false" w:oddVBand="true" w:firstColumn="false"/>
            <w:tcW w:w="33.333333%" w:type="pct"/>
          </w:tcPr>
          <w:p>
            <w:pPr>
              <w:ind w:leftChars="0" w:left="0" w:right="0"/>
            </w:pPr>
            <w:r>
              <w:t>CPGX</w:t>
            </w:r>
          </w:p>
        </w:tc>
        <w:tc>
          <w:tcPr>
            <w:cnfStyle w:evenVBand="true" w:oddVBand="false" w:firstColumn="false"/>
            <w:tcW w:w="33.333333%" w:type="pct"/>
          </w:tcPr>
          <w:p>
            <w:pPr>
              <w:ind w:leftChars="0" w:left="0" w:right="0"/>
            </w:pPr>
            <w:r>
              <w:t>CPGX</w:t>
            </w:r>
          </w:p>
        </w:tc>
        <w:tc>
          <w:tcPr>
            <w:cnfStyle w:evenVBand="false" w:oddVBand="true" w:firstColumn="false"/>
            <w:tcW w:w="33.333333%" w:type="pct"/>
          </w:tcPr>
          <w:p>
            <w:pPr>
              <w:ind w:leftChars="0" w:left="0" w:right="0"/>
            </w:pPr>
            <w:r>
              <w:t>CLEARPOOL EXECUTION SERVICES, LLC</w:t>
            </w:r>
          </w:p>
        </w:tc>
      </w:tr>
      <w:tr>
        <w:trPr>
          <w:cnfStyle w:evenHBand="false" w:oddHBand="true" w:firstRow="false"/>
        </w:trPr>
        <w:tc>
          <w:tcPr>
            <w:cnfStyle w:evenVBand="false" w:oddVBand="true" w:firstColumn="false"/>
            <w:tcW w:w="33.333333%" w:type="pct"/>
          </w:tcPr>
          <w:p>
            <w:pPr>
              <w:ind w:leftChars="0" w:left="0" w:right="0"/>
            </w:pPr>
            <w:r>
              <w:t>CPTX</w:t>
            </w:r>
          </w:p>
        </w:tc>
        <w:tc>
          <w:tcPr>
            <w:cnfStyle w:evenVBand="true" w:oddVBand="false" w:firstColumn="false"/>
            <w:tcW w:w="33.333333%" w:type="pct"/>
          </w:tcPr>
          <w:p>
            <w:pPr>
              <w:ind w:leftChars="0" w:left="0" w:right="0"/>
            </w:pPr>
            <w:r>
              <w:t>CPTX</w:t>
            </w:r>
          </w:p>
        </w:tc>
        <w:tc>
          <w:tcPr>
            <w:cnfStyle w:evenVBand="false" w:oddVBand="true" w:firstColumn="false"/>
            <w:tcW w:w="33.333333%" w:type="pct"/>
          </w:tcPr>
          <w:p>
            <w:pPr>
              <w:ind w:leftChars="0" w:left="0" w:right="0"/>
            </w:pPr>
            <w:r>
              <w:t>CAPTIN</w:t>
            </w:r>
          </w:p>
        </w:tc>
      </w:tr>
      <w:tr>
        <w:trPr>
          <w:cnfStyle w:evenHBand="true" w:oddHBand="false" w:firstRow="false"/>
        </w:trPr>
        <w:tc>
          <w:tcPr>
            <w:cnfStyle w:evenVBand="false" w:oddVBand="true" w:firstColumn="false"/>
            <w:tcW w:w="33.333333%" w:type="pct"/>
          </w:tcPr>
          <w:p>
            <w:pPr>
              <w:ind w:leftChars="0" w:left="0" w:right="0"/>
            </w:pPr>
            <w:r>
              <w:t>CRDL</w:t>
            </w:r>
          </w:p>
        </w:tc>
        <w:tc>
          <w:tcPr>
            <w:cnfStyle w:evenVBand="true" w:oddVBand="false" w:firstColumn="false"/>
            <w:tcW w:w="33.333333%" w:type="pct"/>
          </w:tcPr>
          <w:p>
            <w:pPr>
              <w:ind w:leftChars="0" w:left="0" w:right="0"/>
            </w:pPr>
            <w:r>
              <w:t>CRDL</w:t>
            </w:r>
          </w:p>
        </w:tc>
        <w:tc>
          <w:tcPr>
            <w:cnfStyle w:evenVBand="false" w:oddVBand="true" w:firstColumn="false"/>
            <w:tcW w:w="33.333333%" w:type="pct"/>
          </w:tcPr>
          <w:p>
            <w:pPr>
              <w:ind w:leftChars="0" w:left="0" w:right="0"/>
            </w:pPr>
            <w:r>
              <w:t>COREDEAL MTS</w:t>
            </w:r>
          </w:p>
        </w:tc>
      </w:tr>
      <w:tr>
        <w:trPr>
          <w:cnfStyle w:evenHBand="false" w:oddHBand="true" w:firstRow="false"/>
        </w:trPr>
        <w:tc>
          <w:tcPr>
            <w:cnfStyle w:evenVBand="false" w:oddVBand="true" w:firstColumn="false"/>
            <w:tcW w:w="33.333333%" w:type="pct"/>
          </w:tcPr>
          <w:p>
            <w:pPr>
              <w:ind w:leftChars="0" w:left="0" w:right="0"/>
            </w:pPr>
            <w:r>
              <w:t>CRED</w:t>
            </w:r>
          </w:p>
        </w:tc>
        <w:tc>
          <w:tcPr>
            <w:cnfStyle w:evenVBand="true" w:oddVBand="false" w:firstColumn="false"/>
            <w:tcW w:w="33.333333%" w:type="pct"/>
          </w:tcPr>
          <w:p>
            <w:pPr>
              <w:ind w:leftChars="0" w:left="0" w:right="0"/>
            </w:pPr>
            <w:r>
              <w:t>CRED</w:t>
            </w:r>
          </w:p>
        </w:tc>
        <w:tc>
          <w:tcPr>
            <w:cnfStyle w:evenVBand="false" w:oddVBand="true" w:firstColumn="false"/>
            <w:tcW w:w="33.333333%" w:type="pct"/>
          </w:tcPr>
          <w:p>
            <w:pPr>
              <w:ind w:leftChars="0" w:left="0" w:right="0"/>
            </w:pPr>
            <w:r>
              <w:t>CREDIT SUISSE (US)</w:t>
            </w:r>
          </w:p>
        </w:tc>
      </w:tr>
      <w:tr>
        <w:trPr>
          <w:cnfStyle w:evenHBand="true" w:oddHBand="false" w:firstRow="false"/>
        </w:trPr>
        <w:tc>
          <w:tcPr>
            <w:cnfStyle w:evenVBand="false" w:oddVBand="true" w:firstColumn="false"/>
            <w:tcW w:w="33.333333%" w:type="pct"/>
          </w:tcPr>
          <w:p>
            <w:pPr>
              <w:ind w:leftChars="0" w:left="0" w:right="0"/>
            </w:pPr>
            <w:r>
              <w:t>CREM</w:t>
            </w:r>
          </w:p>
        </w:tc>
        <w:tc>
          <w:tcPr>
            <w:cnfStyle w:evenVBand="true" w:oddVBand="false" w:firstColumn="false"/>
            <w:tcW w:w="33.333333%" w:type="pct"/>
          </w:tcPr>
          <w:p>
            <w:pPr>
              <w:ind w:leftChars="0" w:left="0" w:right="0"/>
            </w:pPr>
            <w:r>
              <w:t>CREM</w:t>
            </w:r>
          </w:p>
        </w:tc>
        <w:tc>
          <w:tcPr>
            <w:cnfStyle w:evenVBand="false" w:oddVBand="true" w:firstColumn="false"/>
            <w:tcW w:w="33.333333%" w:type="pct"/>
          </w:tcPr>
          <w:p>
            <w:pPr>
              <w:ind w:leftChars="0" w:left="0" w:right="0"/>
            </w:pPr>
            <w:r>
              <w:t>CREDEM BANCA - SYSTEMATIC INTERNALISER</w:t>
            </w:r>
          </w:p>
        </w:tc>
      </w:tr>
      <w:tr>
        <w:trPr>
          <w:cnfStyle w:evenHBand="false" w:oddHBand="true" w:firstRow="false"/>
        </w:trPr>
        <w:tc>
          <w:tcPr>
            <w:cnfStyle w:evenVBand="false" w:oddVBand="true" w:firstColumn="false"/>
            <w:tcW w:w="33.333333%" w:type="pct"/>
          </w:tcPr>
          <w:p>
            <w:pPr>
              <w:ind w:leftChars="0" w:left="0" w:right="0"/>
            </w:pPr>
            <w:r>
              <w:t>CRYD</w:t>
            </w:r>
          </w:p>
        </w:tc>
        <w:tc>
          <w:tcPr>
            <w:cnfStyle w:evenVBand="true" w:oddVBand="false" w:firstColumn="false"/>
            <w:tcW w:w="33.333333%" w:type="pct"/>
          </w:tcPr>
          <w:p>
            <w:pPr>
              <w:ind w:leftChars="0" w:left="0" w:right="0"/>
            </w:pPr>
            <w:r>
              <w:t>CRYD</w:t>
            </w:r>
          </w:p>
        </w:tc>
        <w:tc>
          <w:tcPr>
            <w:cnfStyle w:evenVBand="false" w:oddVBand="true" w:firstColumn="false"/>
            <w:tcW w:w="33.333333%" w:type="pct"/>
          </w:tcPr>
          <w:p>
            <w:pPr>
              <w:ind w:leftChars="0" w:left="0" w:right="0"/>
            </w:pPr>
            <w:r>
              <w:t>CRYEX - FX AND DIGITAL CURRENCIES</w:t>
            </w:r>
          </w:p>
        </w:tc>
      </w:tr>
      <w:tr>
        <w:trPr>
          <w:cnfStyle w:evenHBand="true" w:oddHBand="false" w:firstRow="false"/>
        </w:trPr>
        <w:tc>
          <w:tcPr>
            <w:cnfStyle w:evenVBand="false" w:oddVBand="true" w:firstColumn="false"/>
            <w:tcW w:w="33.333333%" w:type="pct"/>
          </w:tcPr>
          <w:p>
            <w:pPr>
              <w:ind w:leftChars="0" w:left="0" w:right="0"/>
            </w:pPr>
            <w:r>
              <w:t>CRYP</w:t>
            </w:r>
          </w:p>
        </w:tc>
        <w:tc>
          <w:tcPr>
            <w:cnfStyle w:evenVBand="true" w:oddVBand="false" w:firstColumn="false"/>
            <w:tcW w:w="33.333333%" w:type="pct"/>
          </w:tcPr>
          <w:p>
            <w:pPr>
              <w:ind w:leftChars="0" w:left="0" w:right="0"/>
            </w:pPr>
            <w:r>
              <w:t>CRYP</w:t>
            </w:r>
          </w:p>
        </w:tc>
        <w:tc>
          <w:tcPr>
            <w:cnfStyle w:evenVBand="false" w:oddVBand="true" w:firstColumn="false"/>
            <w:tcW w:w="33.333333%" w:type="pct"/>
          </w:tcPr>
          <w:p>
            <w:pPr>
              <w:ind w:leftChars="0" w:left="0" w:right="0"/>
            </w:pPr>
            <w:r>
              <w:t>CRYPTO FACILITIES</w:t>
            </w:r>
          </w:p>
        </w:tc>
      </w:tr>
      <w:tr>
        <w:trPr>
          <w:cnfStyle w:evenHBand="false" w:oddHBand="true" w:firstRow="false"/>
        </w:trPr>
        <w:tc>
          <w:tcPr>
            <w:cnfStyle w:evenVBand="false" w:oddVBand="true" w:firstColumn="false"/>
            <w:tcW w:w="33.333333%" w:type="pct"/>
          </w:tcPr>
          <w:p>
            <w:pPr>
              <w:ind w:leftChars="0" w:left="0" w:right="0"/>
            </w:pPr>
            <w:r>
              <w:t>CRYX</w:t>
            </w:r>
          </w:p>
        </w:tc>
        <w:tc>
          <w:tcPr>
            <w:cnfStyle w:evenVBand="true" w:oddVBand="false" w:firstColumn="false"/>
            <w:tcW w:w="33.333333%" w:type="pct"/>
          </w:tcPr>
          <w:p>
            <w:pPr>
              <w:ind w:leftChars="0" w:left="0" w:right="0"/>
            </w:pPr>
            <w:r>
              <w:t>CRYX</w:t>
            </w:r>
          </w:p>
        </w:tc>
        <w:tc>
          <w:tcPr>
            <w:cnfStyle w:evenVBand="false" w:oddVBand="true" w:firstColumn="false"/>
            <w:tcW w:w="33.333333%" w:type="pct"/>
          </w:tcPr>
          <w:p>
            <w:pPr>
              <w:ind w:leftChars="0" w:left="0" w:right="0"/>
            </w:pPr>
            <w:r>
              <w:t>CRYEX</w:t>
            </w:r>
          </w:p>
        </w:tc>
      </w:tr>
      <w:tr>
        <w:trPr>
          <w:cnfStyle w:evenHBand="true" w:oddHBand="false" w:firstRow="false"/>
        </w:trPr>
        <w:tc>
          <w:tcPr>
            <w:cnfStyle w:evenVBand="false" w:oddVBand="true" w:firstColumn="false"/>
            <w:tcW w:w="33.333333%" w:type="pct"/>
          </w:tcPr>
          <w:p>
            <w:pPr>
              <w:ind w:leftChars="0" w:left="0" w:right="0"/>
            </w:pPr>
            <w:r>
              <w:t>CSAG</w:t>
            </w:r>
          </w:p>
        </w:tc>
        <w:tc>
          <w:tcPr>
            <w:cnfStyle w:evenVBand="true" w:oddVBand="false" w:firstColumn="false"/>
            <w:tcW w:w="33.333333%" w:type="pct"/>
          </w:tcPr>
          <w:p>
            <w:pPr>
              <w:ind w:leftChars="0" w:left="0" w:right="0"/>
            </w:pPr>
            <w:r>
              <w:t>CSAG</w:t>
            </w:r>
          </w:p>
        </w:tc>
        <w:tc>
          <w:tcPr>
            <w:cnfStyle w:evenVBand="false" w:oddVBand="true" w:firstColumn="false"/>
            <w:tcW w:w="33.333333%" w:type="pct"/>
          </w:tcPr>
          <w:p>
            <w:pPr>
              <w:ind w:leftChars="0" w:left="0" w:right="0"/>
            </w:pPr>
            <w:r>
              <w:t>CREDIT SUISSE AG</w:t>
            </w:r>
          </w:p>
        </w:tc>
      </w:tr>
      <w:tr>
        <w:trPr>
          <w:cnfStyle w:evenHBand="false" w:oddHBand="true" w:firstRow="false"/>
        </w:trPr>
        <w:tc>
          <w:tcPr>
            <w:cnfStyle w:evenVBand="false" w:oddVBand="true" w:firstColumn="false"/>
            <w:tcW w:w="33.333333%" w:type="pct"/>
          </w:tcPr>
          <w:p>
            <w:pPr>
              <w:ind w:leftChars="0" w:left="0" w:right="0"/>
            </w:pPr>
            <w:r>
              <w:t>CSAS</w:t>
            </w:r>
          </w:p>
        </w:tc>
        <w:tc>
          <w:tcPr>
            <w:cnfStyle w:evenVBand="true" w:oddVBand="false" w:firstColumn="false"/>
            <w:tcW w:w="33.333333%" w:type="pct"/>
          </w:tcPr>
          <w:p>
            <w:pPr>
              <w:ind w:leftChars="0" w:left="0" w:right="0"/>
            </w:pPr>
            <w:r>
              <w:t>CSAS</w:t>
            </w:r>
          </w:p>
        </w:tc>
        <w:tc>
          <w:tcPr>
            <w:cnfStyle w:evenVBand="false" w:oddVBand="true" w:firstColumn="false"/>
            <w:tcW w:w="33.333333%" w:type="pct"/>
          </w:tcPr>
          <w:p>
            <w:pPr>
              <w:ind w:leftChars="0" w:left="0" w:right="0"/>
            </w:pPr>
            <w:r>
              <w:t>CESKA SPORITELNA, A.S. - SYSTEMATIC INTERNALISER</w:t>
            </w:r>
          </w:p>
        </w:tc>
      </w:tr>
      <w:tr>
        <w:trPr>
          <w:cnfStyle w:evenHBand="true" w:oddHBand="false" w:firstRow="false"/>
        </w:trPr>
        <w:tc>
          <w:tcPr>
            <w:cnfStyle w:evenVBand="false" w:oddVBand="true" w:firstColumn="false"/>
            <w:tcW w:w="33.333333%" w:type="pct"/>
          </w:tcPr>
          <w:p>
            <w:pPr>
              <w:ind w:leftChars="0" w:left="0" w:right="0"/>
            </w:pPr>
            <w:r>
              <w:t>CSAU</w:t>
            </w:r>
          </w:p>
        </w:tc>
        <w:tc>
          <w:tcPr>
            <w:cnfStyle w:evenVBand="true" w:oddVBand="false" w:firstColumn="false"/>
            <w:tcW w:w="33.333333%" w:type="pct"/>
          </w:tcPr>
          <w:p>
            <w:pPr>
              <w:ind w:leftChars="0" w:left="0" w:right="0"/>
            </w:pPr>
            <w:r>
              <w:t>CSAU</w:t>
            </w:r>
          </w:p>
        </w:tc>
        <w:tc>
          <w:tcPr>
            <w:cnfStyle w:evenVBand="false" w:oddVBand="true" w:firstColumn="false"/>
            <w:tcW w:w="33.333333%" w:type="pct"/>
          </w:tcPr>
          <w:p>
            <w:pPr>
              <w:ind w:leftChars="0" w:left="0" w:right="0"/>
            </w:pPr>
            <w:r>
              <w:t>CREDIT SUISSE EQUITIES (AUSTRALIA) LIMITED</w:t>
            </w:r>
          </w:p>
        </w:tc>
      </w:tr>
      <w:tr>
        <w:trPr>
          <w:cnfStyle w:evenHBand="false" w:oddHBand="true" w:firstRow="false"/>
        </w:trPr>
        <w:tc>
          <w:tcPr>
            <w:cnfStyle w:evenVBand="false" w:oddVBand="true" w:firstColumn="false"/>
            <w:tcW w:w="33.333333%" w:type="pct"/>
          </w:tcPr>
          <w:p>
            <w:pPr>
              <w:ind w:leftChars="0" w:left="0" w:right="0"/>
            </w:pPr>
            <w:r>
              <w:t>CSBX</w:t>
            </w:r>
          </w:p>
        </w:tc>
        <w:tc>
          <w:tcPr>
            <w:cnfStyle w:evenVBand="true" w:oddVBand="false" w:firstColumn="false"/>
            <w:tcW w:w="33.333333%" w:type="pct"/>
          </w:tcPr>
          <w:p>
            <w:pPr>
              <w:ind w:leftChars="0" w:left="0" w:right="0"/>
            </w:pPr>
            <w:r>
              <w:t>CSBX</w:t>
            </w:r>
          </w:p>
        </w:tc>
        <w:tc>
          <w:tcPr>
            <w:cnfStyle w:evenVBand="false" w:oddVBand="true" w:firstColumn="false"/>
            <w:tcW w:w="33.333333%" w:type="pct"/>
          </w:tcPr>
          <w:p>
            <w:pPr>
              <w:ind w:leftChars="0" w:left="0" w:right="0"/>
            </w:pPr>
            <w:r>
              <w:t>CREDIT SUISSE AES EUROPE BENCHMARK CROSS</w:t>
            </w:r>
          </w:p>
        </w:tc>
      </w:tr>
      <w:tr>
        <w:trPr>
          <w:cnfStyle w:evenHBand="true" w:oddHBand="false" w:firstRow="false"/>
        </w:trPr>
        <w:tc>
          <w:tcPr>
            <w:cnfStyle w:evenVBand="false" w:oddVBand="true" w:firstColumn="false"/>
            <w:tcW w:w="33.333333%" w:type="pct"/>
          </w:tcPr>
          <w:p>
            <w:pPr>
              <w:ind w:leftChars="0" w:left="0" w:right="0"/>
            </w:pPr>
            <w:r>
              <w:t>CSCF</w:t>
            </w:r>
          </w:p>
        </w:tc>
        <w:tc>
          <w:tcPr>
            <w:cnfStyle w:evenVBand="true" w:oddVBand="false" w:firstColumn="false"/>
            <w:tcW w:w="33.333333%" w:type="pct"/>
          </w:tcPr>
          <w:p>
            <w:pPr>
              <w:ind w:leftChars="0" w:left="0" w:right="0"/>
            </w:pPr>
            <w:r>
              <w:t>CSCF</w:t>
            </w:r>
          </w:p>
        </w:tc>
        <w:tc>
          <w:tcPr>
            <w:cnfStyle w:evenVBand="false" w:oddVBand="true" w:firstColumn="false"/>
            <w:tcW w:w="33.333333%" w:type="pct"/>
          </w:tcPr>
          <w:p>
            <w:pPr>
              <w:ind w:leftChars="0" w:left="0" w:right="0"/>
            </w:pPr>
            <w:r>
              <w:t>CREDIT SUISSE AES CROSSFINDER EUROPE</w:t>
            </w:r>
          </w:p>
        </w:tc>
      </w:tr>
      <w:tr>
        <w:trPr>
          <w:cnfStyle w:evenHBand="false" w:oddHBand="true" w:firstRow="false"/>
        </w:trPr>
        <w:tc>
          <w:tcPr>
            <w:cnfStyle w:evenVBand="false" w:oddVBand="true" w:firstColumn="false"/>
            <w:tcW w:w="33.333333%" w:type="pct"/>
          </w:tcPr>
          <w:p>
            <w:pPr>
              <w:ind w:leftChars="0" w:left="0" w:right="0"/>
            </w:pPr>
            <w:r>
              <w:t>CSCL</w:t>
            </w:r>
          </w:p>
        </w:tc>
        <w:tc>
          <w:tcPr>
            <w:cnfStyle w:evenVBand="true" w:oddVBand="false" w:firstColumn="false"/>
            <w:tcW w:w="33.333333%" w:type="pct"/>
          </w:tcPr>
          <w:p>
            <w:pPr>
              <w:ind w:leftChars="0" w:left="0" w:right="0"/>
            </w:pPr>
            <w:r>
              <w:t>CSCL</w:t>
            </w:r>
          </w:p>
        </w:tc>
        <w:tc>
          <w:tcPr>
            <w:cnfStyle w:evenVBand="false" w:oddVBand="true" w:firstColumn="false"/>
            <w:tcW w:w="33.333333%" w:type="pct"/>
          </w:tcPr>
          <w:p>
            <w:pPr>
              <w:ind w:leftChars="0" w:left="0" w:right="0"/>
            </w:pPr>
            <w:r>
              <w:t>CREDIT SUISSE CLOSEX</w:t>
            </w:r>
          </w:p>
        </w:tc>
      </w:tr>
      <w:tr>
        <w:trPr>
          <w:cnfStyle w:evenHBand="true" w:oddHBand="false" w:firstRow="false"/>
        </w:trPr>
        <w:tc>
          <w:tcPr>
            <w:cnfStyle w:evenVBand="false" w:oddVBand="true" w:firstColumn="false"/>
            <w:tcW w:w="33.333333%" w:type="pct"/>
          </w:tcPr>
          <w:p>
            <w:pPr>
              <w:ind w:leftChars="0" w:left="0" w:right="0"/>
            </w:pPr>
            <w:r>
              <w:t>CSDA</w:t>
            </w:r>
          </w:p>
        </w:tc>
        <w:tc>
          <w:tcPr>
            <w:cnfStyle w:evenVBand="true" w:oddVBand="false" w:firstColumn="false"/>
            <w:tcW w:w="33.333333%" w:type="pct"/>
          </w:tcPr>
          <w:p>
            <w:pPr>
              <w:ind w:leftChars="0" w:left="0" w:right="0"/>
            </w:pPr>
            <w:r>
              <w:t>CSDA</w:t>
            </w:r>
          </w:p>
        </w:tc>
        <w:tc>
          <w:tcPr>
            <w:cnfStyle w:evenVBand="false" w:oddVBand="true" w:firstColumn="false"/>
            <w:tcW w:w="33.333333%" w:type="pct"/>
          </w:tcPr>
          <w:p>
            <w:pPr>
              <w:ind w:leftChars="0" w:left="0" w:right="0"/>
            </w:pPr>
            <w:r>
              <w:t>CREDIT SUISSE AKTIENGESELLSCHAFT</w:t>
            </w:r>
          </w:p>
        </w:tc>
      </w:tr>
      <w:tr>
        <w:trPr>
          <w:cnfStyle w:evenHBand="false" w:oddHBand="true" w:firstRow="false"/>
        </w:trPr>
        <w:tc>
          <w:tcPr>
            <w:cnfStyle w:evenVBand="false" w:oddVBand="true" w:firstColumn="false"/>
            <w:tcW w:w="33.333333%" w:type="pct"/>
          </w:tcPr>
          <w:p>
            <w:pPr>
              <w:ind w:leftChars="0" w:left="0" w:right="0"/>
            </w:pPr>
            <w:r>
              <w:t>CSE2</w:t>
            </w:r>
          </w:p>
        </w:tc>
        <w:tc>
          <w:tcPr>
            <w:cnfStyle w:evenVBand="true" w:oddVBand="false" w:firstColumn="false"/>
            <w:tcW w:w="33.333333%" w:type="pct"/>
          </w:tcPr>
          <w:p>
            <w:pPr>
              <w:ind w:leftChars="0" w:left="0" w:right="0"/>
            </w:pPr>
            <w:r>
              <w:t>CSE2</w:t>
            </w:r>
          </w:p>
        </w:tc>
        <w:tc>
          <w:tcPr>
            <w:cnfStyle w:evenVBand="false" w:oddVBand="true" w:firstColumn="false"/>
            <w:tcW w:w="33.333333%" w:type="pct"/>
          </w:tcPr>
          <w:p>
            <w:pPr>
              <w:ind w:leftChars="0" w:left="0" w:right="0"/>
            </w:pPr>
            <w:r>
              <w:t>CANADIAN SECURITIES EXCHANGE - CSE2</w:t>
            </w:r>
          </w:p>
        </w:tc>
      </w:tr>
      <w:tr>
        <w:trPr>
          <w:cnfStyle w:evenHBand="true" w:oddHBand="false" w:firstRow="false"/>
        </w:trPr>
        <w:tc>
          <w:tcPr>
            <w:cnfStyle w:evenVBand="false" w:oddVBand="true" w:firstColumn="false"/>
            <w:tcW w:w="33.333333%" w:type="pct"/>
          </w:tcPr>
          <w:p>
            <w:pPr>
              <w:ind w:leftChars="0" w:left="0" w:right="0"/>
            </w:pPr>
            <w:r>
              <w:t>CSEC</w:t>
            </w:r>
          </w:p>
        </w:tc>
        <w:tc>
          <w:tcPr>
            <w:cnfStyle w:evenVBand="true" w:oddVBand="false" w:firstColumn="false"/>
            <w:tcW w:w="33.333333%" w:type="pct"/>
          </w:tcPr>
          <w:p>
            <w:pPr>
              <w:ind w:leftChars="0" w:left="0" w:right="0"/>
            </w:pPr>
            <w:r>
              <w:t>CSEC</w:t>
            </w:r>
          </w:p>
        </w:tc>
        <w:tc>
          <w:tcPr>
            <w:cnfStyle w:evenVBand="false" w:oddVBand="true" w:firstColumn="false"/>
            <w:tcW w:w="33.333333%" w:type="pct"/>
          </w:tcPr>
          <w:p>
            <w:pPr>
              <w:ind w:leftChars="0" w:left="0" w:right="0"/>
            </w:pPr>
            <w:r>
              <w:t>CITADEL SECURITIES FI - SYSTEMATIC INTERNALISER</w:t>
            </w:r>
          </w:p>
        </w:tc>
      </w:tr>
      <w:tr>
        <w:trPr>
          <w:cnfStyle w:evenHBand="false" w:oddHBand="true" w:firstRow="false"/>
        </w:trPr>
        <w:tc>
          <w:tcPr>
            <w:cnfStyle w:evenVBand="false" w:oddVBand="true" w:firstColumn="false"/>
            <w:tcW w:w="33.333333%" w:type="pct"/>
          </w:tcPr>
          <w:p>
            <w:pPr>
              <w:ind w:leftChars="0" w:left="0" w:right="0"/>
            </w:pPr>
            <w:r>
              <w:t>CSEU</w:t>
            </w:r>
          </w:p>
        </w:tc>
        <w:tc>
          <w:tcPr>
            <w:cnfStyle w:evenVBand="true" w:oddVBand="false" w:firstColumn="false"/>
            <w:tcW w:w="33.333333%" w:type="pct"/>
          </w:tcPr>
          <w:p>
            <w:pPr>
              <w:ind w:leftChars="0" w:left="0" w:right="0"/>
            </w:pPr>
            <w:r>
              <w:t>CSEU</w:t>
            </w:r>
          </w:p>
        </w:tc>
        <w:tc>
          <w:tcPr>
            <w:cnfStyle w:evenVBand="false" w:oddVBand="true" w:firstColumn="false"/>
            <w:tcW w:w="33.333333%" w:type="pct"/>
          </w:tcPr>
          <w:p>
            <w:pPr>
              <w:ind w:leftChars="0" w:left="0" w:right="0"/>
            </w:pPr>
            <w:r>
              <w:t>CREDIT SUISSE (EUROPE)</w:t>
            </w:r>
          </w:p>
        </w:tc>
      </w:tr>
      <w:tr>
        <w:trPr>
          <w:cnfStyle w:evenHBand="true" w:oddHBand="false" w:firstRow="false"/>
        </w:trPr>
        <w:tc>
          <w:tcPr>
            <w:cnfStyle w:evenVBand="false" w:oddVBand="true" w:firstColumn="false"/>
            <w:tcW w:w="33.333333%" w:type="pct"/>
          </w:tcPr>
          <w:p>
            <w:pPr>
              <w:ind w:leftChars="0" w:left="0" w:right="0"/>
            </w:pPr>
            <w:r>
              <w:t>CSFB</w:t>
            </w:r>
          </w:p>
        </w:tc>
        <w:tc>
          <w:tcPr>
            <w:cnfStyle w:evenVBand="true" w:oddVBand="false" w:firstColumn="false"/>
            <w:tcW w:w="33.333333%" w:type="pct"/>
          </w:tcPr>
          <w:p>
            <w:pPr>
              <w:ind w:leftChars="0" w:left="0" w:right="0"/>
            </w:pPr>
            <w:r>
              <w:t>CSFB</w:t>
            </w:r>
          </w:p>
        </w:tc>
        <w:tc>
          <w:tcPr>
            <w:cnfStyle w:evenVBand="false" w:oddVBand="true" w:firstColumn="false"/>
            <w:tcW w:w="33.333333%" w:type="pct"/>
          </w:tcPr>
          <w:p>
            <w:pPr>
              <w:ind w:leftChars="0" w:left="0" w:right="0"/>
            </w:pPr>
            <w:r>
              <w:t>CREDIT SUISSE (EUROPE)</w:t>
            </w:r>
          </w:p>
        </w:tc>
      </w:tr>
      <w:tr>
        <w:trPr>
          <w:cnfStyle w:evenHBand="false" w:oddHBand="true" w:firstRow="false"/>
        </w:trPr>
        <w:tc>
          <w:tcPr>
            <w:cnfStyle w:evenVBand="false" w:oddVBand="true" w:firstColumn="false"/>
            <w:tcW w:w="33.333333%" w:type="pct"/>
          </w:tcPr>
          <w:p>
            <w:pPr>
              <w:ind w:leftChars="0" w:left="0" w:right="0"/>
            </w:pPr>
            <w:r>
              <w:t>CSGI</w:t>
            </w:r>
          </w:p>
        </w:tc>
        <w:tc>
          <w:tcPr>
            <w:cnfStyle w:evenVBand="true" w:oddVBand="false" w:firstColumn="false"/>
            <w:tcW w:w="33.333333%" w:type="pct"/>
          </w:tcPr>
          <w:p>
            <w:pPr>
              <w:ind w:leftChars="0" w:left="0" w:right="0"/>
            </w:pPr>
            <w:r>
              <w:t>CSGI</w:t>
            </w:r>
          </w:p>
        </w:tc>
        <w:tc>
          <w:tcPr>
            <w:cnfStyle w:evenVBand="false" w:oddVBand="true" w:firstColumn="false"/>
            <w:tcW w:w="33.333333%" w:type="pct"/>
          </w:tcPr>
          <w:p>
            <w:pPr>
              <w:ind w:leftChars="0" w:left="0" w:right="0"/>
            </w:pPr>
            <w:r>
              <w:t>CITADEL SECURITIES FI - EUROPE - SYSTEMATIC INTERNALISER</w:t>
            </w:r>
          </w:p>
        </w:tc>
      </w:tr>
      <w:tr>
        <w:trPr>
          <w:cnfStyle w:evenHBand="true" w:oddHBand="false" w:firstRow="false"/>
        </w:trPr>
        <w:tc>
          <w:tcPr>
            <w:cnfStyle w:evenVBand="false" w:oddVBand="true" w:firstColumn="false"/>
            <w:tcW w:w="33.333333%" w:type="pct"/>
          </w:tcPr>
          <w:p>
            <w:pPr>
              <w:ind w:leftChars="0" w:left="0" w:right="0"/>
            </w:pPr>
            <w:r>
              <w:t>CSHK</w:t>
            </w:r>
          </w:p>
        </w:tc>
        <w:tc>
          <w:tcPr>
            <w:cnfStyle w:evenVBand="true" w:oddVBand="false" w:firstColumn="false"/>
            <w:tcW w:w="33.333333%" w:type="pct"/>
          </w:tcPr>
          <w:p>
            <w:pPr>
              <w:ind w:leftChars="0" w:left="0" w:right="0"/>
            </w:pPr>
            <w:r>
              <w:t>CSHK</w:t>
            </w:r>
          </w:p>
        </w:tc>
        <w:tc>
          <w:tcPr>
            <w:cnfStyle w:evenVBand="false" w:oddVBand="true" w:firstColumn="false"/>
            <w:tcW w:w="33.333333%" w:type="pct"/>
          </w:tcPr>
          <w:p>
            <w:pPr>
              <w:ind w:leftChars="0" w:left="0" w:right="0"/>
            </w:pPr>
            <w:r>
              <w:t>CREDIT SUISSE SECURITIES (HONG KONG) LIMITED</w:t>
            </w:r>
          </w:p>
        </w:tc>
      </w:tr>
      <w:tr>
        <w:trPr>
          <w:cnfStyle w:evenHBand="false" w:oddHBand="true" w:firstRow="false"/>
        </w:trPr>
        <w:tc>
          <w:tcPr>
            <w:cnfStyle w:evenVBand="false" w:oddVBand="true" w:firstColumn="false"/>
            <w:tcW w:w="33.333333%" w:type="pct"/>
          </w:tcPr>
          <w:p>
            <w:pPr>
              <w:ind w:leftChars="0" w:left="0" w:right="0"/>
            </w:pPr>
            <w:r>
              <w:t>CSIN</w:t>
            </w:r>
          </w:p>
        </w:tc>
        <w:tc>
          <w:tcPr>
            <w:cnfStyle w:evenVBand="true" w:oddVBand="false" w:firstColumn="false"/>
            <w:tcW w:w="33.333333%" w:type="pct"/>
          </w:tcPr>
          <w:p>
            <w:pPr>
              <w:ind w:leftChars="0" w:left="0" w:right="0"/>
            </w:pPr>
            <w:r>
              <w:t>CSIN</w:t>
            </w:r>
          </w:p>
        </w:tc>
        <w:tc>
          <w:tcPr>
            <w:cnfStyle w:evenVBand="false" w:oddVBand="true" w:firstColumn="false"/>
            <w:tcW w:w="33.333333%" w:type="pct"/>
          </w:tcPr>
          <w:p>
            <w:pPr>
              <w:ind w:leftChars="0" w:left="0" w:right="0"/>
            </w:pPr>
            <w:r>
              <w:t>CREDIT SUISSE INTERNATIONAL</w:t>
            </w:r>
          </w:p>
        </w:tc>
      </w:tr>
      <w:tr>
        <w:trPr>
          <w:cnfStyle w:evenHBand="true" w:oddHBand="false" w:firstRow="false"/>
        </w:trPr>
        <w:tc>
          <w:tcPr>
            <w:cnfStyle w:evenVBand="false" w:oddVBand="true" w:firstColumn="false"/>
            <w:tcW w:w="33.333333%" w:type="pct"/>
          </w:tcPr>
          <w:p>
            <w:pPr>
              <w:ind w:leftChars="0" w:left="0" w:right="0"/>
            </w:pPr>
            <w:r>
              <w:t>CSJP</w:t>
            </w:r>
          </w:p>
        </w:tc>
        <w:tc>
          <w:tcPr>
            <w:cnfStyle w:evenVBand="true" w:oddVBand="false" w:firstColumn="false"/>
            <w:tcW w:w="33.333333%" w:type="pct"/>
          </w:tcPr>
          <w:p>
            <w:pPr>
              <w:ind w:leftChars="0" w:left="0" w:right="0"/>
            </w:pPr>
            <w:r>
              <w:t>CSJP</w:t>
            </w:r>
          </w:p>
        </w:tc>
        <w:tc>
          <w:tcPr>
            <w:cnfStyle w:evenVBand="false" w:oddVBand="true" w:firstColumn="false"/>
            <w:tcW w:w="33.333333%" w:type="pct"/>
          </w:tcPr>
          <w:p>
            <w:pPr>
              <w:ind w:leftChars="0" w:left="0" w:right="0"/>
            </w:pPr>
            <w:r>
              <w:t>CREDIT SUISSE EQUITIES (JAPAN) LIMITED</w:t>
            </w:r>
          </w:p>
        </w:tc>
      </w:tr>
      <w:tr>
        <w:trPr>
          <w:cnfStyle w:evenHBand="false" w:oddHBand="true" w:firstRow="false"/>
        </w:trPr>
        <w:tc>
          <w:tcPr>
            <w:cnfStyle w:evenVBand="false" w:oddVBand="true" w:firstColumn="false"/>
            <w:tcW w:w="33.333333%" w:type="pct"/>
          </w:tcPr>
          <w:p>
            <w:pPr>
              <w:ind w:leftChars="0" w:left="0" w:right="0"/>
            </w:pPr>
            <w:r>
              <w:t>CSLB</w:t>
            </w:r>
          </w:p>
        </w:tc>
        <w:tc>
          <w:tcPr>
            <w:cnfStyle w:evenVBand="true" w:oddVBand="false" w:firstColumn="false"/>
            <w:tcW w:w="33.333333%" w:type="pct"/>
          </w:tcPr>
          <w:p>
            <w:pPr>
              <w:ind w:leftChars="0" w:left="0" w:right="0"/>
            </w:pPr>
            <w:r>
              <w:t>CSLB</w:t>
            </w:r>
          </w:p>
        </w:tc>
        <w:tc>
          <w:tcPr>
            <w:cnfStyle w:evenVBand="false" w:oddVBand="true" w:firstColumn="false"/>
            <w:tcW w:w="33.333333%" w:type="pct"/>
          </w:tcPr>
          <w:p>
            <w:pPr>
              <w:ind w:leftChars="0" w:left="0" w:right="0"/>
            </w:pPr>
            <w:r>
              <w:t>CREDIT SUISSE AG - LONDON BRANCH</w:t>
            </w:r>
          </w:p>
        </w:tc>
      </w:tr>
      <w:tr>
        <w:trPr>
          <w:cnfStyle w:evenHBand="true" w:oddHBand="false" w:firstRow="false"/>
        </w:trPr>
        <w:tc>
          <w:tcPr>
            <w:cnfStyle w:evenVBand="false" w:oddVBand="true" w:firstColumn="false"/>
            <w:tcW w:w="33.333333%" w:type="pct"/>
          </w:tcPr>
          <w:p>
            <w:pPr>
              <w:ind w:leftChars="0" w:left="0" w:right="0"/>
            </w:pPr>
            <w:r>
              <w:t>CSLP</w:t>
            </w:r>
          </w:p>
        </w:tc>
        <w:tc>
          <w:tcPr>
            <w:cnfStyle w:evenVBand="true" w:oddVBand="false" w:firstColumn="false"/>
            <w:tcW w:w="33.333333%" w:type="pct"/>
          </w:tcPr>
          <w:p>
            <w:pPr>
              <w:ind w:leftChars="0" w:left="0" w:right="0"/>
            </w:pPr>
            <w:r>
              <w:t>CSLP</w:t>
            </w:r>
          </w:p>
        </w:tc>
        <w:tc>
          <w:tcPr>
            <w:cnfStyle w:evenVBand="false" w:oddVBand="true" w:firstColumn="false"/>
            <w:tcW w:w="33.333333%" w:type="pct"/>
          </w:tcPr>
          <w:p>
            <w:pPr>
              <w:ind w:leftChars="0" w:left="0" w:right="0"/>
            </w:pPr>
            <w:r>
              <w:t>CREDIT SUISSE LIGHT POOL</w:t>
            </w:r>
          </w:p>
        </w:tc>
      </w:tr>
      <w:tr>
        <w:trPr>
          <w:cnfStyle w:evenHBand="false" w:oddHBand="true" w:firstRow="false"/>
        </w:trPr>
        <w:tc>
          <w:tcPr>
            <w:cnfStyle w:evenVBand="false" w:oddVBand="true" w:firstColumn="false"/>
            <w:tcW w:w="33.333333%" w:type="pct"/>
          </w:tcPr>
          <w:p>
            <w:pPr>
              <w:ind w:leftChars="0" w:left="0" w:right="0"/>
            </w:pPr>
            <w:r>
              <w:t>CSMD</w:t>
            </w:r>
          </w:p>
        </w:tc>
        <w:tc>
          <w:tcPr>
            <w:cnfStyle w:evenVBand="true" w:oddVBand="false" w:firstColumn="false"/>
            <w:tcW w:w="33.333333%" w:type="pct"/>
          </w:tcPr>
          <w:p>
            <w:pPr>
              <w:ind w:leftChars="0" w:left="0" w:right="0"/>
            </w:pPr>
            <w:r>
              <w:t>CSMD</w:t>
            </w:r>
          </w:p>
        </w:tc>
        <w:tc>
          <w:tcPr>
            <w:cnfStyle w:evenVBand="false" w:oddVBand="true" w:firstColumn="false"/>
            <w:tcW w:w="33.333333%" w:type="pct"/>
          </w:tcPr>
          <w:p>
            <w:pPr>
              <w:ind w:leftChars="0" w:left="0" w:right="0"/>
            </w:pPr>
            <w:r>
              <w:t>CREDIT SUISSE BANK (EUROPE), S.A.</w:t>
            </w:r>
          </w:p>
        </w:tc>
      </w:tr>
      <w:tr>
        <w:trPr>
          <w:cnfStyle w:evenHBand="true" w:oddHBand="false" w:firstRow="false"/>
        </w:trPr>
        <w:tc>
          <w:tcPr>
            <w:cnfStyle w:evenVBand="false" w:oddVBand="true" w:firstColumn="false"/>
            <w:tcW w:w="33.333333%" w:type="pct"/>
          </w:tcPr>
          <w:p>
            <w:pPr>
              <w:ind w:leftChars="0" w:left="0" w:right="0"/>
            </w:pPr>
            <w:r>
              <w:t>CSOB</w:t>
            </w:r>
          </w:p>
        </w:tc>
        <w:tc>
          <w:tcPr>
            <w:cnfStyle w:evenVBand="true" w:oddVBand="false" w:firstColumn="false"/>
            <w:tcW w:w="33.333333%" w:type="pct"/>
          </w:tcPr>
          <w:p>
            <w:pPr>
              <w:ind w:leftChars="0" w:left="0" w:right="0"/>
            </w:pPr>
            <w:r>
              <w:t>CSOB</w:t>
            </w:r>
          </w:p>
        </w:tc>
        <w:tc>
          <w:tcPr>
            <w:cnfStyle w:evenVBand="false" w:oddVBand="true" w:firstColumn="false"/>
            <w:tcW w:w="33.333333%" w:type="pct"/>
          </w:tcPr>
          <w:p>
            <w:pPr>
              <w:ind w:leftChars="0" w:left="0" w:right="0"/>
            </w:pPr>
            <w:r>
              <w:t>ČESKOSLOVENSKÁ OBCHODNÍ BANKA, A.S.</w:t>
            </w:r>
          </w:p>
        </w:tc>
      </w:tr>
      <w:tr>
        <w:trPr>
          <w:cnfStyle w:evenHBand="false" w:oddHBand="true" w:firstRow="false"/>
        </w:trPr>
        <w:tc>
          <w:tcPr>
            <w:cnfStyle w:evenVBand="false" w:oddVBand="true" w:firstColumn="false"/>
            <w:tcW w:w="33.333333%" w:type="pct"/>
          </w:tcPr>
          <w:p>
            <w:pPr>
              <w:ind w:leftChars="0" w:left="0" w:right="0"/>
            </w:pPr>
            <w:r>
              <w:t>CSOT</w:t>
            </w:r>
          </w:p>
        </w:tc>
        <w:tc>
          <w:tcPr>
            <w:cnfStyle w:evenVBand="true" w:oddVBand="false" w:firstColumn="false"/>
            <w:tcW w:w="33.333333%" w:type="pct"/>
          </w:tcPr>
          <w:p>
            <w:pPr>
              <w:ind w:leftChars="0" w:left="0" w:right="0"/>
            </w:pPr>
            <w:r>
              <w:t>CSOT</w:t>
            </w:r>
          </w:p>
        </w:tc>
        <w:tc>
          <w:tcPr>
            <w:cnfStyle w:evenVBand="false" w:oddVBand="true" w:firstColumn="false"/>
            <w:tcW w:w="33.333333%" w:type="pct"/>
          </w:tcPr>
          <w:p>
            <w:pPr>
              <w:ind w:leftChars="0" w:left="0" w:right="0"/>
            </w:pPr>
            <w:r>
              <w:t>CREDIT SUISSE AG - OHS</w:t>
            </w:r>
          </w:p>
        </w:tc>
      </w:tr>
      <w:tr>
        <w:trPr>
          <w:cnfStyle w:evenHBand="true" w:oddHBand="false" w:firstRow="false"/>
        </w:trPr>
        <w:tc>
          <w:tcPr>
            <w:cnfStyle w:evenVBand="false" w:oddVBand="true" w:firstColumn="false"/>
            <w:tcW w:w="33.333333%" w:type="pct"/>
          </w:tcPr>
          <w:p>
            <w:pPr>
              <w:ind w:leftChars="0" w:left="0" w:right="0"/>
            </w:pPr>
            <w:r>
              <w:t>CSSI</w:t>
            </w:r>
          </w:p>
        </w:tc>
        <w:tc>
          <w:tcPr>
            <w:cnfStyle w:evenVBand="true" w:oddVBand="false" w:firstColumn="false"/>
            <w:tcW w:w="33.333333%" w:type="pct"/>
          </w:tcPr>
          <w:p>
            <w:pPr>
              <w:ind w:leftChars="0" w:left="0" w:right="0"/>
            </w:pPr>
            <w:r>
              <w:t>CSSI</w:t>
            </w:r>
          </w:p>
        </w:tc>
        <w:tc>
          <w:tcPr>
            <w:cnfStyle w:evenVBand="false" w:oddVBand="true" w:firstColumn="false"/>
            <w:tcW w:w="33.333333%" w:type="pct"/>
          </w:tcPr>
          <w:p>
            <w:pPr>
              <w:ind w:leftChars="0" w:left="0" w:right="0"/>
            </w:pPr>
            <w:r>
              <w:t>CREDIT SUISSE INTERNATIONAL - SYSTEMATIC INTERNALISER</w:t>
            </w:r>
          </w:p>
        </w:tc>
      </w:tr>
      <w:tr>
        <w:trPr>
          <w:cnfStyle w:evenHBand="false" w:oddHBand="true" w:firstRow="false"/>
        </w:trPr>
        <w:tc>
          <w:tcPr>
            <w:cnfStyle w:evenVBand="false" w:oddVBand="true" w:firstColumn="false"/>
            <w:tcW w:w="33.333333%" w:type="pct"/>
          </w:tcPr>
          <w:p>
            <w:pPr>
              <w:ind w:leftChars="0" w:left="0" w:right="0"/>
            </w:pPr>
            <w:r>
              <w:t>CSSX</w:t>
            </w:r>
          </w:p>
        </w:tc>
        <w:tc>
          <w:tcPr>
            <w:cnfStyle w:evenVBand="true" w:oddVBand="false" w:firstColumn="false"/>
            <w:tcW w:w="33.333333%" w:type="pct"/>
          </w:tcPr>
          <w:p>
            <w:pPr>
              <w:ind w:leftChars="0" w:left="0" w:right="0"/>
            </w:pPr>
            <w:r>
              <w:t>CSSX</w:t>
            </w:r>
          </w:p>
        </w:tc>
        <w:tc>
          <w:tcPr>
            <w:cnfStyle w:evenVBand="false" w:oddVBand="true" w:firstColumn="false"/>
            <w:tcW w:w="33.333333%" w:type="pct"/>
          </w:tcPr>
          <w:p>
            <w:pPr>
              <w:ind w:leftChars="0" w:left="0" w:right="0"/>
            </w:pPr>
            <w:r>
              <w:t>CHINA STAINLESS STEEL EXCHANGE</w:t>
            </w:r>
          </w:p>
        </w:tc>
      </w:tr>
      <w:tr>
        <w:trPr>
          <w:cnfStyle w:evenHBand="true" w:oddHBand="false" w:firstRow="false"/>
        </w:trPr>
        <w:tc>
          <w:tcPr>
            <w:cnfStyle w:evenVBand="false" w:oddVBand="true" w:firstColumn="false"/>
            <w:tcW w:w="33.333333%" w:type="pct"/>
          </w:tcPr>
          <w:p>
            <w:pPr>
              <w:ind w:leftChars="0" w:left="0" w:right="0"/>
            </w:pPr>
            <w:r>
              <w:t>CSTO</w:t>
            </w:r>
          </w:p>
        </w:tc>
        <w:tc>
          <w:tcPr>
            <w:cnfStyle w:evenVBand="true" w:oddVBand="false" w:firstColumn="false"/>
            <w:tcW w:w="33.333333%" w:type="pct"/>
          </w:tcPr>
          <w:p>
            <w:pPr>
              <w:ind w:leftChars="0" w:left="0" w:right="0"/>
            </w:pPr>
            <w:r>
              <w:t>CSTO</w:t>
            </w:r>
          </w:p>
        </w:tc>
        <w:tc>
          <w:tcPr>
            <w:cnfStyle w:evenVBand="false" w:oddVBand="true" w:firstColumn="false"/>
            <w:tcW w:w="33.333333%" w:type="pct"/>
          </w:tcPr>
          <w:p>
            <w:pPr>
              <w:ind w:leftChars="0" w:left="0" w:right="0"/>
            </w:pPr>
            <w:r>
              <w:t>NASDAQ CLEARING AB</w:t>
            </w:r>
          </w:p>
        </w:tc>
      </w:tr>
      <w:tr>
        <w:trPr>
          <w:cnfStyle w:evenHBand="false" w:oddHBand="true" w:firstRow="false"/>
        </w:trPr>
        <w:tc>
          <w:tcPr>
            <w:cnfStyle w:evenVBand="false" w:oddVBand="true" w:firstColumn="false"/>
            <w:tcW w:w="33.333333%" w:type="pct"/>
          </w:tcPr>
          <w:p>
            <w:pPr>
              <w:ind w:leftChars="0" w:left="0" w:right="0"/>
            </w:pPr>
            <w:r>
              <w:t>CSVW</w:t>
            </w:r>
          </w:p>
        </w:tc>
        <w:tc>
          <w:tcPr>
            <w:cnfStyle w:evenVBand="true" w:oddVBand="false" w:firstColumn="false"/>
            <w:tcW w:w="33.333333%" w:type="pct"/>
          </w:tcPr>
          <w:p>
            <w:pPr>
              <w:ind w:leftChars="0" w:left="0" w:right="0"/>
            </w:pPr>
            <w:r>
              <w:t>CSVW</w:t>
            </w:r>
          </w:p>
        </w:tc>
        <w:tc>
          <w:tcPr>
            <w:cnfStyle w:evenVBand="false" w:oddVBand="true" w:firstColumn="false"/>
            <w:tcW w:w="33.333333%" w:type="pct"/>
          </w:tcPr>
          <w:p>
            <w:pPr>
              <w:ind w:leftChars="0" w:left="0" w:right="0"/>
            </w:pPr>
            <w:r>
              <w:t>CREDIT SUISSE VWAPX</w:t>
            </w:r>
          </w:p>
        </w:tc>
      </w:tr>
      <w:tr>
        <w:trPr>
          <w:cnfStyle w:evenHBand="true" w:oddHBand="false" w:firstRow="false"/>
        </w:trPr>
        <w:tc>
          <w:tcPr>
            <w:cnfStyle w:evenVBand="false" w:oddVBand="true" w:firstColumn="false"/>
            <w:tcW w:w="33.333333%" w:type="pct"/>
          </w:tcPr>
          <w:p>
            <w:pPr>
              <w:ind w:leftChars="0" w:left="0" w:right="0"/>
            </w:pPr>
            <w:r>
              <w:t>CSZH</w:t>
            </w:r>
          </w:p>
        </w:tc>
        <w:tc>
          <w:tcPr>
            <w:cnfStyle w:evenVBand="true" w:oddVBand="false" w:firstColumn="false"/>
            <w:tcW w:w="33.333333%" w:type="pct"/>
          </w:tcPr>
          <w:p>
            <w:pPr>
              <w:ind w:leftChars="0" w:left="0" w:right="0"/>
            </w:pPr>
            <w:r>
              <w:t>CSZH</w:t>
            </w:r>
          </w:p>
        </w:tc>
        <w:tc>
          <w:tcPr>
            <w:cnfStyle w:evenVBand="false" w:oddVBand="true" w:firstColumn="false"/>
            <w:tcW w:w="33.333333%" w:type="pct"/>
          </w:tcPr>
          <w:p>
            <w:pPr>
              <w:ind w:leftChars="0" w:left="0" w:right="0"/>
            </w:pPr>
            <w:r>
              <w:t>CREDIT SUISSE (CH)</w:t>
            </w:r>
          </w:p>
        </w:tc>
      </w:tr>
      <w:tr>
        <w:trPr>
          <w:cnfStyle w:evenHBand="false" w:oddHBand="true" w:firstRow="false"/>
        </w:trPr>
        <w:tc>
          <w:tcPr>
            <w:cnfStyle w:evenVBand="false" w:oddVBand="true" w:firstColumn="false"/>
            <w:tcW w:w="33.333333%" w:type="pct"/>
          </w:tcPr>
          <w:p>
            <w:pPr>
              <w:ind w:leftChars="0" w:left="0" w:right="0"/>
            </w:pPr>
            <w:r>
              <w:t>CTWO</w:t>
            </w:r>
          </w:p>
        </w:tc>
        <w:tc>
          <w:tcPr>
            <w:cnfStyle w:evenVBand="true" w:oddVBand="false" w:firstColumn="false"/>
            <w:tcW w:w="33.333333%" w:type="pct"/>
          </w:tcPr>
          <w:p>
            <w:pPr>
              <w:ind w:leftChars="0" w:left="0" w:right="0"/>
            </w:pPr>
            <w:r>
              <w:t>CTWO</w:t>
            </w:r>
          </w:p>
        </w:tc>
        <w:tc>
          <w:tcPr>
            <w:cnfStyle w:evenVBand="false" w:oddVBand="true" w:firstColumn="false"/>
            <w:tcW w:w="33.333333%" w:type="pct"/>
          </w:tcPr>
          <w:p>
            <w:pPr>
              <w:ind w:leftChars="0" w:left="0" w:right="0"/>
            </w:pPr>
            <w:r>
              <w:t>CBOE C2 OPTIONS EXCHANGE</w:t>
            </w:r>
          </w:p>
        </w:tc>
      </w:tr>
      <w:tr>
        <w:trPr>
          <w:cnfStyle w:evenHBand="true" w:oddHBand="false" w:firstRow="false"/>
        </w:trPr>
        <w:tc>
          <w:tcPr>
            <w:cnfStyle w:evenVBand="false" w:oddVBand="true" w:firstColumn="false"/>
            <w:tcW w:w="33.333333%" w:type="pct"/>
          </w:tcPr>
          <w:p>
            <w:pPr>
              <w:ind w:leftChars="0" w:left="0" w:right="0"/>
            </w:pPr>
            <w:r>
              <w:t>CURX</w:t>
            </w:r>
          </w:p>
        </w:tc>
        <w:tc>
          <w:tcPr>
            <w:cnfStyle w:evenVBand="true" w:oddVBand="false" w:firstColumn="false"/>
            <w:tcW w:w="33.333333%" w:type="pct"/>
          </w:tcPr>
          <w:p>
            <w:pPr>
              <w:ind w:leftChars="0" w:left="0" w:right="0"/>
            </w:pPr>
            <w:r>
              <w:t>CURX</w:t>
            </w:r>
          </w:p>
        </w:tc>
        <w:tc>
          <w:tcPr>
            <w:cnfStyle w:evenVBand="false" w:oddVBand="true" w:firstColumn="false"/>
            <w:tcW w:w="33.333333%" w:type="pct"/>
          </w:tcPr>
          <w:p>
            <w:pPr>
              <w:ind w:leftChars="0" w:left="0" w:right="0"/>
            </w:pPr>
            <w:r>
              <w:t>CUREX FX</w:t>
            </w:r>
          </w:p>
        </w:tc>
      </w:tr>
      <w:tr>
        <w:trPr>
          <w:cnfStyle w:evenHBand="false" w:oddHBand="true" w:firstRow="false"/>
        </w:trPr>
        <w:tc>
          <w:tcPr>
            <w:cnfStyle w:evenVBand="false" w:oddVBand="true" w:firstColumn="false"/>
            <w:tcW w:w="33.333333%" w:type="pct"/>
          </w:tcPr>
          <w:p>
            <w:pPr>
              <w:ind w:leftChars="0" w:left="0" w:right="0"/>
            </w:pPr>
            <w:r>
              <w:t>CXAB</w:t>
            </w:r>
          </w:p>
        </w:tc>
        <w:tc>
          <w:tcPr>
            <w:cnfStyle w:evenVBand="true" w:oddVBand="false" w:firstColumn="false"/>
            <w:tcW w:w="33.333333%" w:type="pct"/>
          </w:tcPr>
          <w:p>
            <w:pPr>
              <w:ind w:leftChars="0" w:left="0" w:right="0"/>
            </w:pPr>
            <w:r>
              <w:t>CXAB</w:t>
            </w:r>
          </w:p>
        </w:tc>
        <w:tc>
          <w:tcPr>
            <w:cnfStyle w:evenVBand="false" w:oddVBand="true" w:firstColumn="false"/>
            <w:tcW w:w="33.333333%" w:type="pct"/>
          </w:tcPr>
          <w:p>
            <w:pPr>
              <w:ind w:leftChars="0" w:left="0" w:right="0"/>
            </w:pPr>
            <w:r>
              <w:t>CBOE AUSTRALIA - BIDS BLOCK TRADE VENUE</w:t>
            </w:r>
          </w:p>
        </w:tc>
      </w:tr>
      <w:tr>
        <w:trPr>
          <w:cnfStyle w:evenHBand="true" w:oddHBand="false" w:firstRow="false"/>
        </w:trPr>
        <w:tc>
          <w:tcPr>
            <w:cnfStyle w:evenVBand="false" w:oddVBand="true" w:firstColumn="false"/>
            <w:tcW w:w="33.333333%" w:type="pct"/>
          </w:tcPr>
          <w:p>
            <w:pPr>
              <w:ind w:leftChars="0" w:left="0" w:right="0"/>
            </w:pPr>
            <w:r>
              <w:t>CXAC</w:t>
            </w:r>
          </w:p>
        </w:tc>
        <w:tc>
          <w:tcPr>
            <w:cnfStyle w:evenVBand="true" w:oddVBand="false" w:firstColumn="false"/>
            <w:tcW w:w="33.333333%" w:type="pct"/>
          </w:tcPr>
          <w:p>
            <w:pPr>
              <w:ind w:leftChars="0" w:left="0" w:right="0"/>
            </w:pPr>
            <w:r>
              <w:t>CXAC</w:t>
            </w:r>
          </w:p>
        </w:tc>
        <w:tc>
          <w:tcPr>
            <w:cnfStyle w:evenVBand="false" w:oddVBand="true" w:firstColumn="false"/>
            <w:tcW w:w="33.333333%" w:type="pct"/>
          </w:tcPr>
          <w:p>
            <w:pPr>
              <w:ind w:leftChars="0" w:left="0" w:right="0"/>
            </w:pPr>
            <w:r>
              <w:t>CBOE AUSTRALIA - LIMIT VENUE</w:t>
            </w:r>
          </w:p>
        </w:tc>
      </w:tr>
      <w:tr>
        <w:trPr>
          <w:cnfStyle w:evenHBand="false" w:oddHBand="true" w:firstRow="false"/>
        </w:trPr>
        <w:tc>
          <w:tcPr>
            <w:cnfStyle w:evenVBand="false" w:oddVBand="true" w:firstColumn="false"/>
            <w:tcW w:w="33.333333%" w:type="pct"/>
          </w:tcPr>
          <w:p>
            <w:pPr>
              <w:ind w:leftChars="0" w:left="0" w:right="0"/>
            </w:pPr>
            <w:r>
              <w:t>CXAF</w:t>
            </w:r>
          </w:p>
        </w:tc>
        <w:tc>
          <w:tcPr>
            <w:cnfStyle w:evenVBand="true" w:oddVBand="false" w:firstColumn="false"/>
            <w:tcW w:w="33.333333%" w:type="pct"/>
          </w:tcPr>
          <w:p>
            <w:pPr>
              <w:ind w:leftChars="0" w:left="0" w:right="0"/>
            </w:pPr>
            <w:r>
              <w:t>CXAF</w:t>
            </w:r>
          </w:p>
        </w:tc>
        <w:tc>
          <w:tcPr>
            <w:cnfStyle w:evenVBand="false" w:oddVBand="true" w:firstColumn="false"/>
            <w:tcW w:w="33.333333%" w:type="pct"/>
          </w:tcPr>
          <w:p>
            <w:pPr>
              <w:ind w:leftChars="0" w:left="0" w:right="0"/>
            </w:pPr>
            <w:r>
              <w:t>CBOE AUSTRALIA MARKET PEG (FARPOINT) VENUE</w:t>
            </w:r>
          </w:p>
        </w:tc>
      </w:tr>
      <w:tr>
        <w:trPr>
          <w:cnfStyle w:evenHBand="true" w:oddHBand="false" w:firstRow="false"/>
        </w:trPr>
        <w:tc>
          <w:tcPr>
            <w:cnfStyle w:evenVBand="false" w:oddVBand="true" w:firstColumn="false"/>
            <w:tcW w:w="33.333333%" w:type="pct"/>
          </w:tcPr>
          <w:p>
            <w:pPr>
              <w:ind w:leftChars="0" w:left="0" w:right="0"/>
            </w:pPr>
            <w:r>
              <w:t>CXAM</w:t>
            </w:r>
          </w:p>
        </w:tc>
        <w:tc>
          <w:tcPr>
            <w:cnfStyle w:evenVBand="true" w:oddVBand="false" w:firstColumn="false"/>
            <w:tcW w:w="33.333333%" w:type="pct"/>
          </w:tcPr>
          <w:p>
            <w:pPr>
              <w:ind w:leftChars="0" w:left="0" w:right="0"/>
            </w:pPr>
            <w:r>
              <w:t>CXAM</w:t>
            </w:r>
          </w:p>
        </w:tc>
        <w:tc>
          <w:tcPr>
            <w:cnfStyle w:evenVBand="false" w:oddVBand="true" w:firstColumn="false"/>
            <w:tcW w:w="33.333333%" w:type="pct"/>
          </w:tcPr>
          <w:p>
            <w:pPr>
              <w:ind w:leftChars="0" w:left="0" w:right="0"/>
            </w:pPr>
            <w:r>
              <w:t>CBOE AUSTRALIA MOC</w:t>
            </w:r>
          </w:p>
        </w:tc>
      </w:tr>
      <w:tr>
        <w:trPr>
          <w:cnfStyle w:evenHBand="false" w:oddHBand="true" w:firstRow="false"/>
        </w:trPr>
        <w:tc>
          <w:tcPr>
            <w:cnfStyle w:evenVBand="false" w:oddVBand="true" w:firstColumn="false"/>
            <w:tcW w:w="33.333333%" w:type="pct"/>
          </w:tcPr>
          <w:p>
            <w:pPr>
              <w:ind w:leftChars="0" w:left="0" w:right="0"/>
            </w:pPr>
            <w:r>
              <w:t>CXAN</w:t>
            </w:r>
          </w:p>
        </w:tc>
        <w:tc>
          <w:tcPr>
            <w:cnfStyle w:evenVBand="true" w:oddVBand="false" w:firstColumn="false"/>
            <w:tcW w:w="33.333333%" w:type="pct"/>
          </w:tcPr>
          <w:p>
            <w:pPr>
              <w:ind w:leftChars="0" w:left="0" w:right="0"/>
            </w:pPr>
            <w:r>
              <w:t>CXAN</w:t>
            </w:r>
          </w:p>
        </w:tc>
        <w:tc>
          <w:tcPr>
            <w:cnfStyle w:evenVBand="false" w:oddVBand="true" w:firstColumn="false"/>
            <w:tcW w:w="33.333333%" w:type="pct"/>
          </w:tcPr>
          <w:p>
            <w:pPr>
              <w:ind w:leftChars="0" w:left="0" w:right="0"/>
            </w:pPr>
            <w:r>
              <w:t>CBOE AUSTRALIA PRIMARY PEG (NEARPOINT) VENUE</w:t>
            </w:r>
          </w:p>
        </w:tc>
      </w:tr>
      <w:tr>
        <w:trPr>
          <w:cnfStyle w:evenHBand="true" w:oddHBand="false" w:firstRow="false"/>
        </w:trPr>
        <w:tc>
          <w:tcPr>
            <w:cnfStyle w:evenVBand="false" w:oddVBand="true" w:firstColumn="false"/>
            <w:tcW w:w="33.333333%" w:type="pct"/>
          </w:tcPr>
          <w:p>
            <w:pPr>
              <w:ind w:leftChars="0" w:left="0" w:right="0"/>
            </w:pPr>
            <w:r>
              <w:t>CXAP</w:t>
            </w:r>
          </w:p>
        </w:tc>
        <w:tc>
          <w:tcPr>
            <w:cnfStyle w:evenVBand="true" w:oddVBand="false" w:firstColumn="false"/>
            <w:tcW w:w="33.333333%" w:type="pct"/>
          </w:tcPr>
          <w:p>
            <w:pPr>
              <w:ind w:leftChars="0" w:left="0" w:right="0"/>
            </w:pPr>
            <w:r>
              <w:t>CXAP</w:t>
            </w:r>
          </w:p>
        </w:tc>
        <w:tc>
          <w:tcPr>
            <w:cnfStyle w:evenVBand="false" w:oddVBand="true" w:firstColumn="false"/>
            <w:tcW w:w="33.333333%" w:type="pct"/>
          </w:tcPr>
          <w:p>
            <w:pPr>
              <w:ind w:leftChars="0" w:left="0" w:right="0"/>
            </w:pPr>
            <w:r>
              <w:t>CBOE AUSTRALIA MID-POINT VENUE</w:t>
            </w:r>
          </w:p>
        </w:tc>
      </w:tr>
      <w:tr>
        <w:trPr>
          <w:cnfStyle w:evenHBand="false" w:oddHBand="true" w:firstRow="false"/>
        </w:trPr>
        <w:tc>
          <w:tcPr>
            <w:cnfStyle w:evenVBand="false" w:oddVBand="true" w:firstColumn="false"/>
            <w:tcW w:w="33.333333%" w:type="pct"/>
          </w:tcPr>
          <w:p>
            <w:pPr>
              <w:ind w:leftChars="0" w:left="0" w:right="0"/>
            </w:pPr>
            <w:r>
              <w:t>CXAQ</w:t>
            </w:r>
          </w:p>
        </w:tc>
        <w:tc>
          <w:tcPr>
            <w:cnfStyle w:evenVBand="true" w:oddVBand="false" w:firstColumn="false"/>
            <w:tcW w:w="33.333333%" w:type="pct"/>
          </w:tcPr>
          <w:p>
            <w:pPr>
              <w:ind w:leftChars="0" w:left="0" w:right="0"/>
            </w:pPr>
            <w:r>
              <w:t>CXAQ</w:t>
            </w:r>
          </w:p>
        </w:tc>
        <w:tc>
          <w:tcPr>
            <w:cnfStyle w:evenVBand="false" w:oddVBand="true" w:firstColumn="false"/>
            <w:tcW w:w="33.333333%" w:type="pct"/>
          </w:tcPr>
          <w:p>
            <w:pPr>
              <w:ind w:leftChars="0" w:left="0" w:right="0"/>
            </w:pPr>
            <w:r>
              <w:t>CBOE AUSTRALIA - QUOTED MANAGED FUNDS</w:t>
            </w:r>
          </w:p>
        </w:tc>
      </w:tr>
      <w:tr>
        <w:trPr>
          <w:cnfStyle w:evenHBand="true" w:oddHBand="false" w:firstRow="false"/>
        </w:trPr>
        <w:tc>
          <w:tcPr>
            <w:cnfStyle w:evenVBand="false" w:oddVBand="true" w:firstColumn="false"/>
            <w:tcW w:w="33.333333%" w:type="pct"/>
          </w:tcPr>
          <w:p>
            <w:pPr>
              <w:ind w:leftChars="0" w:left="0" w:right="0"/>
            </w:pPr>
            <w:r>
              <w:t>CXAR</w:t>
            </w:r>
          </w:p>
        </w:tc>
        <w:tc>
          <w:tcPr>
            <w:cnfStyle w:evenVBand="true" w:oddVBand="false" w:firstColumn="false"/>
            <w:tcW w:w="33.333333%" w:type="pct"/>
          </w:tcPr>
          <w:p>
            <w:pPr>
              <w:ind w:leftChars="0" w:left="0" w:right="0"/>
            </w:pPr>
            <w:r>
              <w:t>CXAR</w:t>
            </w:r>
          </w:p>
        </w:tc>
        <w:tc>
          <w:tcPr>
            <w:cnfStyle w:evenVBand="false" w:oddVBand="true" w:firstColumn="false"/>
            <w:tcW w:w="33.333333%" w:type="pct"/>
          </w:tcPr>
          <w:p>
            <w:pPr>
              <w:ind w:leftChars="0" w:left="0" w:right="0"/>
            </w:pPr>
            <w:r>
              <w:t>CBOE AUSTRALIA - TRANSFERABLE CUSTODY RECEIPT MARKET</w:t>
            </w:r>
          </w:p>
        </w:tc>
      </w:tr>
      <w:tr>
        <w:trPr>
          <w:cnfStyle w:evenHBand="false" w:oddHBand="true" w:firstRow="false"/>
        </w:trPr>
        <w:tc>
          <w:tcPr>
            <w:cnfStyle w:evenVBand="false" w:oddVBand="true" w:firstColumn="false"/>
            <w:tcW w:w="33.333333%" w:type="pct"/>
          </w:tcPr>
          <w:p>
            <w:pPr>
              <w:ind w:leftChars="0" w:left="0" w:right="0"/>
            </w:pPr>
            <w:r>
              <w:t>CXAV</w:t>
            </w:r>
          </w:p>
        </w:tc>
        <w:tc>
          <w:tcPr>
            <w:cnfStyle w:evenVBand="true" w:oddVBand="false" w:firstColumn="false"/>
            <w:tcW w:w="33.333333%" w:type="pct"/>
          </w:tcPr>
          <w:p>
            <w:pPr>
              <w:ind w:leftChars="0" w:left="0" w:right="0"/>
            </w:pPr>
            <w:r>
              <w:t>CXAV</w:t>
            </w:r>
          </w:p>
        </w:tc>
        <w:tc>
          <w:tcPr>
            <w:cnfStyle w:evenVBand="false" w:oddVBand="true" w:firstColumn="false"/>
            <w:tcW w:w="33.333333%" w:type="pct"/>
          </w:tcPr>
          <w:p>
            <w:pPr>
              <w:ind w:leftChars="0" w:left="0" w:right="0"/>
            </w:pPr>
            <w:r>
              <w:t>CBOE AUSTRALIA VWAP</w:t>
            </w:r>
          </w:p>
        </w:tc>
      </w:tr>
      <w:tr>
        <w:trPr>
          <w:cnfStyle w:evenHBand="true" w:oddHBand="false" w:firstRow="false"/>
        </w:trPr>
        <w:tc>
          <w:tcPr>
            <w:cnfStyle w:evenVBand="false" w:oddVBand="true" w:firstColumn="false"/>
            <w:tcW w:w="33.333333%" w:type="pct"/>
          </w:tcPr>
          <w:p>
            <w:pPr>
              <w:ind w:leftChars="0" w:left="0" w:right="0"/>
            </w:pPr>
            <w:r>
              <w:t>CXAW</w:t>
            </w:r>
          </w:p>
        </w:tc>
        <w:tc>
          <w:tcPr>
            <w:cnfStyle w:evenVBand="true" w:oddVBand="false" w:firstColumn="false"/>
            <w:tcW w:w="33.333333%" w:type="pct"/>
          </w:tcPr>
          <w:p>
            <w:pPr>
              <w:ind w:leftChars="0" w:left="0" w:right="0"/>
            </w:pPr>
            <w:r>
              <w:t>CXAW</w:t>
            </w:r>
          </w:p>
        </w:tc>
        <w:tc>
          <w:tcPr>
            <w:cnfStyle w:evenVBand="false" w:oddVBand="true" w:firstColumn="false"/>
            <w:tcW w:w="33.333333%" w:type="pct"/>
          </w:tcPr>
          <w:p>
            <w:pPr>
              <w:ind w:leftChars="0" w:left="0" w:right="0"/>
            </w:pPr>
            <w:r>
              <w:t>CBOE AUSTRALIA - WARRANTS</w:t>
            </w:r>
          </w:p>
        </w:tc>
      </w:tr>
      <w:tr>
        <w:trPr>
          <w:cnfStyle w:evenHBand="false" w:oddHBand="true" w:firstRow="false"/>
        </w:trPr>
        <w:tc>
          <w:tcPr>
            <w:cnfStyle w:evenVBand="false" w:oddVBand="true" w:firstColumn="false"/>
            <w:tcW w:w="33.333333%" w:type="pct"/>
          </w:tcPr>
          <w:p>
            <w:pPr>
              <w:ind w:leftChars="0" w:left="0" w:right="0"/>
            </w:pPr>
            <w:r>
              <w:t>CXAI</w:t>
            </w:r>
          </w:p>
        </w:tc>
        <w:tc>
          <w:tcPr>
            <w:cnfStyle w:evenVBand="true" w:oddVBand="false" w:firstColumn="false"/>
            <w:tcW w:w="33.333333%" w:type="pct"/>
          </w:tcPr>
          <w:p>
            <w:pPr>
              <w:ind w:leftChars="0" w:left="0" w:right="0"/>
            </w:pPr>
            <w:r>
              <w:t>CXAI</w:t>
            </w:r>
          </w:p>
        </w:tc>
        <w:tc>
          <w:tcPr>
            <w:cnfStyle w:evenVBand="false" w:oddVBand="true" w:firstColumn="false"/>
            <w:tcW w:w="33.333333%" w:type="pct"/>
          </w:tcPr>
          <w:p>
            <w:pPr>
              <w:ind w:leftChars="0" w:left="0" w:right="0"/>
            </w:pPr>
            <w:r>
              <w:t>CBOE AUSTRALIA - BIDS PRICE IMPROVEMENT VENUE</w:t>
            </w:r>
          </w:p>
        </w:tc>
      </w:tr>
      <w:tr>
        <w:trPr>
          <w:cnfStyle w:evenHBand="true" w:oddHBand="false" w:firstRow="false"/>
        </w:trPr>
        <w:tc>
          <w:tcPr>
            <w:cnfStyle w:evenVBand="false" w:oddVBand="true" w:firstColumn="false"/>
            <w:tcW w:w="33.333333%" w:type="pct"/>
          </w:tcPr>
          <w:p>
            <w:pPr>
              <w:ind w:leftChars="0" w:left="0" w:right="0"/>
            </w:pPr>
            <w:r>
              <w:t>CXOT</w:t>
            </w:r>
          </w:p>
        </w:tc>
        <w:tc>
          <w:tcPr>
            <w:cnfStyle w:evenVBand="true" w:oddVBand="false" w:firstColumn="false"/>
            <w:tcW w:w="33.333333%" w:type="pct"/>
          </w:tcPr>
          <w:p>
            <w:pPr>
              <w:ind w:leftChars="0" w:left="0" w:right="0"/>
            </w:pPr>
            <w:r>
              <w:t>CXOT</w:t>
            </w:r>
          </w:p>
        </w:tc>
        <w:tc>
          <w:tcPr>
            <w:cnfStyle w:evenVBand="false" w:oddVBand="true" w:firstColumn="false"/>
            <w:tcW w:w="33.333333%" w:type="pct"/>
          </w:tcPr>
          <w:p>
            <w:pPr>
              <w:ind w:leftChars="0" w:left="0" w:right="0"/>
            </w:pPr>
            <w:r>
              <w:t>CREDITEX BROKERAGE LLP - OTF</w:t>
            </w:r>
          </w:p>
        </w:tc>
      </w:tr>
      <w:tr>
        <w:trPr>
          <w:cnfStyle w:evenHBand="false" w:oddHBand="true" w:firstRow="false"/>
        </w:trPr>
        <w:tc>
          <w:tcPr>
            <w:cnfStyle w:evenVBand="false" w:oddVBand="true" w:firstColumn="false"/>
            <w:tcW w:w="33.333333%" w:type="pct"/>
          </w:tcPr>
          <w:p>
            <w:pPr>
              <w:ind w:leftChars="0" w:left="0" w:right="0"/>
            </w:pPr>
            <w:r>
              <w:t>CXRT</w:t>
            </w:r>
          </w:p>
        </w:tc>
        <w:tc>
          <w:tcPr>
            <w:cnfStyle w:evenVBand="true" w:oddVBand="false" w:firstColumn="false"/>
            <w:tcW w:w="33.333333%" w:type="pct"/>
          </w:tcPr>
          <w:p>
            <w:pPr>
              <w:ind w:leftChars="0" w:left="0" w:right="0"/>
            </w:pPr>
            <w:r>
              <w:t>CXRT</w:t>
            </w:r>
          </w:p>
        </w:tc>
        <w:tc>
          <w:tcPr>
            <w:cnfStyle w:evenVBand="false" w:oddVBand="true" w:firstColumn="false"/>
            <w:tcW w:w="33.333333%" w:type="pct"/>
          </w:tcPr>
          <w:p>
            <w:pPr>
              <w:ind w:leftChars="0" w:left="0" w:right="0"/>
            </w:pPr>
            <w:r>
              <w:t>CREDITEX BROKERAGE LLP - MTF</w:t>
            </w:r>
          </w:p>
        </w:tc>
      </w:tr>
      <w:tr>
        <w:trPr>
          <w:cnfStyle w:evenHBand="true" w:oddHBand="false" w:firstRow="false"/>
        </w:trPr>
        <w:tc>
          <w:tcPr>
            <w:cnfStyle w:evenVBand="false" w:oddVBand="true" w:firstColumn="false"/>
            <w:tcW w:w="33.333333%" w:type="pct"/>
          </w:tcPr>
          <w:p>
            <w:pPr>
              <w:ind w:leftChars="0" w:left="0" w:right="0"/>
            </w:pPr>
            <w:r>
              <w:t>DAIW</w:t>
            </w:r>
          </w:p>
        </w:tc>
        <w:tc>
          <w:tcPr>
            <w:cnfStyle w:evenVBand="true" w:oddVBand="false" w:firstColumn="false"/>
            <w:tcW w:w="33.333333%" w:type="pct"/>
          </w:tcPr>
          <w:p>
            <w:pPr>
              <w:ind w:leftChars="0" w:left="0" w:right="0"/>
            </w:pPr>
            <w:r>
              <w:t>DAIW</w:t>
            </w:r>
          </w:p>
        </w:tc>
        <w:tc>
          <w:tcPr>
            <w:cnfStyle w:evenVBand="false" w:oddVBand="true" w:firstColumn="false"/>
            <w:tcW w:w="33.333333%" w:type="pct"/>
          </w:tcPr>
          <w:p>
            <w:pPr>
              <w:ind w:leftChars="0" w:left="0" w:right="0"/>
            </w:pPr>
            <w:r>
              <w:t>DAIWA CAPITAL MARKETS EUROPE LIMITED</w:t>
            </w:r>
          </w:p>
        </w:tc>
      </w:tr>
      <w:tr>
        <w:trPr>
          <w:cnfStyle w:evenHBand="false" w:oddHBand="true" w:firstRow="false"/>
        </w:trPr>
        <w:tc>
          <w:tcPr>
            <w:cnfStyle w:evenVBand="false" w:oddVBand="true" w:firstColumn="false"/>
            <w:tcW w:w="33.333333%" w:type="pct"/>
          </w:tcPr>
          <w:p>
            <w:pPr>
              <w:ind w:leftChars="0" w:left="0" w:right="0"/>
            </w:pPr>
            <w:r>
              <w:t>DAMP</w:t>
            </w:r>
          </w:p>
        </w:tc>
        <w:tc>
          <w:tcPr>
            <w:cnfStyle w:evenVBand="true" w:oddVBand="false" w:firstColumn="false"/>
            <w:tcW w:w="33.333333%" w:type="pct"/>
          </w:tcPr>
          <w:p>
            <w:pPr>
              <w:ind w:leftChars="0" w:left="0" w:right="0"/>
            </w:pPr>
            <w:r>
              <w:t>DAMP</w:t>
            </w:r>
          </w:p>
        </w:tc>
        <w:tc>
          <w:tcPr>
            <w:cnfStyle w:evenVBand="false" w:oddVBand="true" w:firstColumn="false"/>
            <w:tcW w:w="33.333333%" w:type="pct"/>
          </w:tcPr>
          <w:p>
            <w:pPr>
              <w:ind w:leftChars="0" w:left="0" w:right="0"/>
            </w:pPr>
            <w:r>
              <w:t>GXG MARKETS A/S</w:t>
            </w:r>
          </w:p>
        </w:tc>
      </w:tr>
      <w:tr>
        <w:trPr>
          <w:cnfStyle w:evenHBand="true" w:oddHBand="false" w:firstRow="false"/>
        </w:trPr>
        <w:tc>
          <w:tcPr>
            <w:cnfStyle w:evenVBand="false" w:oddVBand="true" w:firstColumn="false"/>
            <w:tcW w:w="33.333333%" w:type="pct"/>
          </w:tcPr>
          <w:p>
            <w:pPr>
              <w:ind w:leftChars="0" w:left="0" w:right="0"/>
            </w:pPr>
            <w:r>
              <w:t>DAPA</w:t>
            </w:r>
          </w:p>
        </w:tc>
        <w:tc>
          <w:tcPr>
            <w:cnfStyle w:evenVBand="true" w:oddVBand="false" w:firstColumn="false"/>
            <w:tcW w:w="33.333333%" w:type="pct"/>
          </w:tcPr>
          <w:p>
            <w:pPr>
              <w:ind w:leftChars="0" w:left="0" w:right="0"/>
            </w:pPr>
            <w:r>
              <w:t>DAPA</w:t>
            </w:r>
          </w:p>
        </w:tc>
        <w:tc>
          <w:tcPr>
            <w:cnfStyle w:evenVBand="false" w:oddVBand="true" w:firstColumn="false"/>
            <w:tcW w:w="33.333333%" w:type="pct"/>
          </w:tcPr>
          <w:p>
            <w:pPr>
              <w:ind w:leftChars="0" w:left="0" w:right="0"/>
            </w:pPr>
            <w:r>
              <w:t>DEUTSCHE BOERSE AG - APA SERVICE</w:t>
            </w:r>
          </w:p>
        </w:tc>
      </w:tr>
      <w:tr>
        <w:trPr>
          <w:cnfStyle w:evenHBand="false" w:oddHBand="true" w:firstRow="false"/>
        </w:trPr>
        <w:tc>
          <w:tcPr>
            <w:cnfStyle w:evenVBand="false" w:oddVBand="true" w:firstColumn="false"/>
            <w:tcW w:w="33.333333%" w:type="pct"/>
          </w:tcPr>
          <w:p>
            <w:pPr>
              <w:ind w:leftChars="0" w:left="0" w:right="0"/>
            </w:pPr>
            <w:r>
              <w:t>DASH</w:t>
            </w:r>
          </w:p>
        </w:tc>
        <w:tc>
          <w:tcPr>
            <w:cnfStyle w:evenVBand="true" w:oddVBand="false" w:firstColumn="false"/>
            <w:tcW w:w="33.333333%" w:type="pct"/>
          </w:tcPr>
          <w:p>
            <w:pPr>
              <w:ind w:leftChars="0" w:left="0" w:right="0"/>
            </w:pPr>
            <w:r>
              <w:t>DASH</w:t>
            </w:r>
          </w:p>
        </w:tc>
        <w:tc>
          <w:tcPr>
            <w:cnfStyle w:evenVBand="false" w:oddVBand="true" w:firstColumn="false"/>
            <w:tcW w:w="33.333333%" w:type="pct"/>
          </w:tcPr>
          <w:p>
            <w:pPr>
              <w:ind w:leftChars="0" w:left="0" w:right="0"/>
            </w:pPr>
            <w:r>
              <w:t>DASH ATS</w:t>
            </w:r>
          </w:p>
        </w:tc>
      </w:tr>
      <w:tr>
        <w:trPr>
          <w:cnfStyle w:evenHBand="true" w:oddHBand="false" w:firstRow="false"/>
        </w:trPr>
        <w:tc>
          <w:tcPr>
            <w:cnfStyle w:evenVBand="false" w:oddVBand="true" w:firstColumn="false"/>
            <w:tcW w:w="33.333333%" w:type="pct"/>
          </w:tcPr>
          <w:p>
            <w:pPr>
              <w:ind w:leftChars="0" w:left="0" w:right="0"/>
            </w:pPr>
            <w:r>
              <w:t>DASI</w:t>
            </w:r>
          </w:p>
        </w:tc>
        <w:tc>
          <w:tcPr>
            <w:cnfStyle w:evenVBand="true" w:oddVBand="false" w:firstColumn="false"/>
            <w:tcW w:w="33.333333%" w:type="pct"/>
          </w:tcPr>
          <w:p>
            <w:pPr>
              <w:ind w:leftChars="0" w:left="0" w:right="0"/>
            </w:pPr>
            <w:r>
              <w:t>DASI</w:t>
            </w:r>
          </w:p>
        </w:tc>
        <w:tc>
          <w:tcPr>
            <w:cnfStyle w:evenVBand="false" w:oddVBand="true" w:firstColumn="false"/>
            <w:tcW w:w="33.333333%" w:type="pct"/>
          </w:tcPr>
          <w:p>
            <w:pPr>
              <w:ind w:leftChars="0" w:left="0" w:right="0"/>
            </w:pPr>
            <w:r>
              <w:t>DANSKE BANK A/S - SYSTEMATIC INTERNALISER</w:t>
            </w:r>
          </w:p>
        </w:tc>
      </w:tr>
      <w:tr>
        <w:trPr>
          <w:cnfStyle w:evenHBand="false" w:oddHBand="true" w:firstRow="false"/>
        </w:trPr>
        <w:tc>
          <w:tcPr>
            <w:cnfStyle w:evenVBand="false" w:oddVBand="true" w:firstColumn="false"/>
            <w:tcW w:w="33.333333%" w:type="pct"/>
          </w:tcPr>
          <w:p>
            <w:pPr>
              <w:ind w:leftChars="0" w:left="0" w:right="0"/>
            </w:pPr>
            <w:r>
              <w:t>DAUK</w:t>
            </w:r>
          </w:p>
        </w:tc>
        <w:tc>
          <w:tcPr>
            <w:cnfStyle w:evenVBand="true" w:oddVBand="false" w:firstColumn="false"/>
            <w:tcW w:w="33.333333%" w:type="pct"/>
          </w:tcPr>
          <w:p>
            <w:pPr>
              <w:ind w:leftChars="0" w:left="0" w:right="0"/>
            </w:pPr>
            <w:r>
              <w:t>DAUK</w:t>
            </w:r>
          </w:p>
        </w:tc>
        <w:tc>
          <w:tcPr>
            <w:cnfStyle w:evenVBand="false" w:oddVBand="true" w:firstColumn="false"/>
            <w:tcW w:w="33.333333%" w:type="pct"/>
          </w:tcPr>
          <w:p>
            <w:pPr>
              <w:ind w:leftChars="0" w:left="0" w:right="0"/>
            </w:pPr>
            <w:r>
              <w:t>DANSKE BANK A/S - LONDON BRANCH - SYSTEMATIC INTERNALISER</w:t>
            </w:r>
          </w:p>
        </w:tc>
      </w:tr>
      <w:tr>
        <w:trPr>
          <w:cnfStyle w:evenHBand="true" w:oddHBand="false" w:firstRow="false"/>
        </w:trPr>
        <w:tc>
          <w:tcPr>
            <w:cnfStyle w:evenVBand="false" w:oddVBand="true" w:firstColumn="false"/>
            <w:tcW w:w="33.333333%" w:type="pct"/>
          </w:tcPr>
          <w:p>
            <w:pPr>
              <w:ind w:leftChars="0" w:left="0" w:right="0"/>
            </w:pPr>
            <w:r>
              <w:t>DAVY</w:t>
            </w:r>
          </w:p>
        </w:tc>
        <w:tc>
          <w:tcPr>
            <w:cnfStyle w:evenVBand="true" w:oddVBand="false" w:firstColumn="false"/>
            <w:tcW w:w="33.333333%" w:type="pct"/>
          </w:tcPr>
          <w:p>
            <w:pPr>
              <w:ind w:leftChars="0" w:left="0" w:right="0"/>
            </w:pPr>
            <w:r>
              <w:t>DAVY</w:t>
            </w:r>
          </w:p>
        </w:tc>
        <w:tc>
          <w:tcPr>
            <w:cnfStyle w:evenVBand="false" w:oddVBand="true" w:firstColumn="false"/>
            <w:tcW w:w="33.333333%" w:type="pct"/>
          </w:tcPr>
          <w:p>
            <w:pPr>
              <w:ind w:leftChars="0" w:left="0" w:right="0"/>
            </w:pPr>
            <w:r>
              <w:t>J AND E DAVY - IRISH GOVERNMENT BOND - SYSTEMATIC INTERNALISER</w:t>
            </w:r>
          </w:p>
        </w:tc>
      </w:tr>
      <w:tr>
        <w:trPr>
          <w:cnfStyle w:evenHBand="false" w:oddHBand="true" w:firstRow="false"/>
        </w:trPr>
        <w:tc>
          <w:tcPr>
            <w:cnfStyle w:evenVBand="false" w:oddVBand="true" w:firstColumn="false"/>
            <w:tcW w:w="33.333333%" w:type="pct"/>
          </w:tcPr>
          <w:p>
            <w:pPr>
              <w:ind w:leftChars="0" w:left="0" w:right="0"/>
            </w:pPr>
            <w:r>
              <w:t>DBAB</w:t>
            </w:r>
          </w:p>
        </w:tc>
        <w:tc>
          <w:tcPr>
            <w:cnfStyle w:evenVBand="true" w:oddVBand="false" w:firstColumn="false"/>
            <w:tcW w:w="33.333333%" w:type="pct"/>
          </w:tcPr>
          <w:p>
            <w:pPr>
              <w:ind w:leftChars="0" w:left="0" w:right="0"/>
            </w:pPr>
            <w:r>
              <w:t>DBAB</w:t>
            </w:r>
          </w:p>
        </w:tc>
        <w:tc>
          <w:tcPr>
            <w:cnfStyle w:evenVBand="false" w:oddVBand="true" w:firstColumn="false"/>
            <w:tcW w:w="33.333333%" w:type="pct"/>
          </w:tcPr>
          <w:p>
            <w:pPr>
              <w:ind w:leftChars="0" w:left="0" w:right="0"/>
            </w:pPr>
            <w:r>
              <w:t>DEUTSCHE BANK SECURITIES INC.</w:t>
            </w:r>
          </w:p>
        </w:tc>
      </w:tr>
      <w:tr>
        <w:trPr>
          <w:cnfStyle w:evenHBand="true" w:oddHBand="false" w:firstRow="false"/>
        </w:trPr>
        <w:tc>
          <w:tcPr>
            <w:cnfStyle w:evenVBand="false" w:oddVBand="true" w:firstColumn="false"/>
            <w:tcW w:w="33.333333%" w:type="pct"/>
          </w:tcPr>
          <w:p>
            <w:pPr>
              <w:ind w:leftChars="0" w:left="0" w:right="0"/>
            </w:pPr>
            <w:r>
              <w:t>DBAG</w:t>
            </w:r>
          </w:p>
        </w:tc>
        <w:tc>
          <w:tcPr>
            <w:cnfStyle w:evenVBand="true" w:oddVBand="false" w:firstColumn="false"/>
            <w:tcW w:w="33.333333%" w:type="pct"/>
          </w:tcPr>
          <w:p>
            <w:pPr>
              <w:ind w:leftChars="0" w:left="0" w:right="0"/>
            </w:pPr>
            <w:r>
              <w:t>DBAG</w:t>
            </w:r>
          </w:p>
        </w:tc>
        <w:tc>
          <w:tcPr>
            <w:cnfStyle w:evenVBand="false" w:oddVBand="true" w:firstColumn="false"/>
            <w:tcW w:w="33.333333%" w:type="pct"/>
          </w:tcPr>
          <w:p>
            <w:pPr>
              <w:ind w:leftChars="0" w:left="0" w:right="0"/>
            </w:pPr>
            <w:r>
              <w:t>DEUTSCHE BANK AG</w:t>
            </w:r>
          </w:p>
        </w:tc>
      </w:tr>
      <w:tr>
        <w:trPr>
          <w:cnfStyle w:evenHBand="false" w:oddHBand="true" w:firstRow="false"/>
        </w:trPr>
        <w:tc>
          <w:tcPr>
            <w:cnfStyle w:evenVBand="false" w:oddVBand="true" w:firstColumn="false"/>
            <w:tcW w:w="33.333333%" w:type="pct"/>
          </w:tcPr>
          <w:p>
            <w:pPr>
              <w:ind w:leftChars="0" w:left="0" w:right="0"/>
            </w:pPr>
            <w:r>
              <w:t>DBCR</w:t>
            </w:r>
          </w:p>
        </w:tc>
        <w:tc>
          <w:tcPr>
            <w:cnfStyle w:evenVBand="true" w:oddVBand="false" w:firstColumn="false"/>
            <w:tcW w:w="33.333333%" w:type="pct"/>
          </w:tcPr>
          <w:p>
            <w:pPr>
              <w:ind w:leftChars="0" w:left="0" w:right="0"/>
            </w:pPr>
            <w:r>
              <w:t>DBCR</w:t>
            </w:r>
          </w:p>
        </w:tc>
        <w:tc>
          <w:tcPr>
            <w:cnfStyle w:evenVBand="false" w:oddVBand="true" w:firstColumn="false"/>
            <w:tcW w:w="33.333333%" w:type="pct"/>
          </w:tcPr>
          <w:p>
            <w:pPr>
              <w:ind w:leftChars="0" w:left="0" w:right="0"/>
            </w:pPr>
            <w:r>
              <w:t>DEUTSCHE BANK - CENTRAL RISK BOOK</w:t>
            </w:r>
          </w:p>
        </w:tc>
      </w:tr>
      <w:tr>
        <w:trPr>
          <w:cnfStyle w:evenHBand="true" w:oddHBand="false" w:firstRow="false"/>
        </w:trPr>
        <w:tc>
          <w:tcPr>
            <w:cnfStyle w:evenVBand="false" w:oddVBand="true" w:firstColumn="false"/>
            <w:tcW w:w="33.333333%" w:type="pct"/>
          </w:tcPr>
          <w:p>
            <w:pPr>
              <w:ind w:leftChars="0" w:left="0" w:right="0"/>
            </w:pPr>
            <w:r>
              <w:t>DBCX</w:t>
            </w:r>
          </w:p>
        </w:tc>
        <w:tc>
          <w:tcPr>
            <w:cnfStyle w:evenVBand="true" w:oddVBand="false" w:firstColumn="false"/>
            <w:tcW w:w="33.333333%" w:type="pct"/>
          </w:tcPr>
          <w:p>
            <w:pPr>
              <w:ind w:leftChars="0" w:left="0" w:right="0"/>
            </w:pPr>
            <w:r>
              <w:t>DBCX</w:t>
            </w:r>
          </w:p>
        </w:tc>
        <w:tc>
          <w:tcPr>
            <w:cnfStyle w:evenVBand="false" w:oddVBand="true" w:firstColumn="false"/>
            <w:tcW w:w="33.333333%" w:type="pct"/>
          </w:tcPr>
          <w:p>
            <w:pPr>
              <w:ind w:leftChars="0" w:left="0" w:right="0"/>
            </w:pPr>
            <w:r>
              <w:t>DEUTSCHE BANK - CLOSE CROSS</w:t>
            </w:r>
          </w:p>
        </w:tc>
      </w:tr>
      <w:tr>
        <w:trPr>
          <w:cnfStyle w:evenHBand="false" w:oddHBand="true" w:firstRow="false"/>
        </w:trPr>
        <w:tc>
          <w:tcPr>
            <w:cnfStyle w:evenVBand="false" w:oddVBand="true" w:firstColumn="false"/>
            <w:tcW w:w="33.333333%" w:type="pct"/>
          </w:tcPr>
          <w:p>
            <w:pPr>
              <w:ind w:leftChars="0" w:left="0" w:right="0"/>
            </w:pPr>
            <w:r>
              <w:t>DBDC</w:t>
            </w:r>
          </w:p>
        </w:tc>
        <w:tc>
          <w:tcPr>
            <w:cnfStyle w:evenVBand="true" w:oddVBand="false" w:firstColumn="false"/>
            <w:tcW w:w="33.333333%" w:type="pct"/>
          </w:tcPr>
          <w:p>
            <w:pPr>
              <w:ind w:leftChars="0" w:left="0" w:right="0"/>
            </w:pPr>
            <w:r>
              <w:t>DBDC</w:t>
            </w:r>
          </w:p>
        </w:tc>
        <w:tc>
          <w:tcPr>
            <w:cnfStyle w:evenVBand="false" w:oddVBand="true" w:firstColumn="false"/>
            <w:tcW w:w="33.333333%" w:type="pct"/>
          </w:tcPr>
          <w:p>
            <w:pPr>
              <w:ind w:leftChars="0" w:left="0" w:right="0"/>
            </w:pPr>
            <w:r>
              <w:t>DEUTSCHE BANK - DIRECT CAPITAL ACCESS</w:t>
            </w:r>
          </w:p>
        </w:tc>
      </w:tr>
      <w:tr>
        <w:trPr>
          <w:cnfStyle w:evenHBand="true" w:oddHBand="false" w:firstRow="false"/>
        </w:trPr>
        <w:tc>
          <w:tcPr>
            <w:cnfStyle w:evenVBand="false" w:oddVBand="true" w:firstColumn="false"/>
            <w:tcW w:w="33.333333%" w:type="pct"/>
          </w:tcPr>
          <w:p>
            <w:pPr>
              <w:ind w:leftChars="0" w:left="0" w:right="0"/>
            </w:pPr>
            <w:r>
              <w:t>DBDX</w:t>
            </w:r>
          </w:p>
        </w:tc>
        <w:tc>
          <w:tcPr>
            <w:cnfStyle w:evenVBand="true" w:oddVBand="false" w:firstColumn="false"/>
            <w:tcW w:w="33.333333%" w:type="pct"/>
          </w:tcPr>
          <w:p>
            <w:pPr>
              <w:ind w:leftChars="0" w:left="0" w:right="0"/>
            </w:pPr>
            <w:r>
              <w:t>DBDX</w:t>
            </w:r>
          </w:p>
        </w:tc>
        <w:tc>
          <w:tcPr>
            <w:cnfStyle w:evenVBand="false" w:oddVBand="true" w:firstColumn="false"/>
            <w:tcW w:w="33.333333%" w:type="pct"/>
          </w:tcPr>
          <w:p>
            <w:pPr>
              <w:ind w:leftChars="0" w:left="0" w:right="0"/>
            </w:pPr>
            <w:r>
              <w:t>DEUTSCHE BOERSE DIGITAL EXCHANGE</w:t>
            </w:r>
          </w:p>
        </w:tc>
      </w:tr>
      <w:tr>
        <w:trPr>
          <w:cnfStyle w:evenHBand="false" w:oddHBand="true" w:firstRow="false"/>
        </w:trPr>
        <w:tc>
          <w:tcPr>
            <w:cnfStyle w:evenVBand="false" w:oddVBand="true" w:firstColumn="false"/>
            <w:tcW w:w="33.333333%" w:type="pct"/>
          </w:tcPr>
          <w:p>
            <w:pPr>
              <w:ind w:leftChars="0" w:left="0" w:right="0"/>
            </w:pPr>
            <w:r>
              <w:t>DBES</w:t>
            </w:r>
          </w:p>
        </w:tc>
        <w:tc>
          <w:tcPr>
            <w:cnfStyle w:evenVBand="true" w:oddVBand="false" w:firstColumn="false"/>
            <w:tcW w:w="33.333333%" w:type="pct"/>
          </w:tcPr>
          <w:p>
            <w:pPr>
              <w:ind w:leftChars="0" w:left="0" w:right="0"/>
            </w:pPr>
            <w:r>
              <w:t>DBES</w:t>
            </w:r>
          </w:p>
        </w:tc>
        <w:tc>
          <w:tcPr>
            <w:cnfStyle w:evenVBand="false" w:oddVBand="true" w:firstColumn="false"/>
            <w:tcW w:w="33.333333%" w:type="pct"/>
          </w:tcPr>
          <w:p>
            <w:pPr>
              <w:ind w:leftChars="0" w:left="0" w:right="0"/>
            </w:pPr>
            <w:r>
              <w:t>DEUTSCHE BANK AG - SYSTEMATIC INTERNALISER</w:t>
            </w:r>
          </w:p>
        </w:tc>
      </w:tr>
      <w:tr>
        <w:trPr>
          <w:cnfStyle w:evenHBand="true" w:oddHBand="false" w:firstRow="false"/>
        </w:trPr>
        <w:tc>
          <w:tcPr>
            <w:cnfStyle w:evenVBand="false" w:oddVBand="true" w:firstColumn="false"/>
            <w:tcW w:w="33.333333%" w:type="pct"/>
          </w:tcPr>
          <w:p>
            <w:pPr>
              <w:ind w:leftChars="0" w:left="0" w:right="0"/>
            </w:pPr>
            <w:r>
              <w:t>DBHK</w:t>
            </w:r>
          </w:p>
        </w:tc>
        <w:tc>
          <w:tcPr>
            <w:cnfStyle w:evenVBand="true" w:oddVBand="false" w:firstColumn="false"/>
            <w:tcW w:w="33.333333%" w:type="pct"/>
          </w:tcPr>
          <w:p>
            <w:pPr>
              <w:ind w:leftChars="0" w:left="0" w:right="0"/>
            </w:pPr>
            <w:r>
              <w:t>DBHK</w:t>
            </w:r>
          </w:p>
        </w:tc>
        <w:tc>
          <w:tcPr>
            <w:cnfStyle w:evenVBand="false" w:oddVBand="true" w:firstColumn="false"/>
            <w:tcW w:w="33.333333%" w:type="pct"/>
          </w:tcPr>
          <w:p>
            <w:pPr>
              <w:ind w:leftChars="0" w:left="0" w:right="0"/>
            </w:pPr>
            <w:r>
              <w:t>DEUTSCHE BANK HONG KONG ATS</w:t>
            </w:r>
          </w:p>
        </w:tc>
      </w:tr>
      <w:tr>
        <w:trPr>
          <w:cnfStyle w:evenHBand="false" w:oddHBand="true" w:firstRow="false"/>
        </w:trPr>
        <w:tc>
          <w:tcPr>
            <w:cnfStyle w:evenVBand="false" w:oddVBand="true" w:firstColumn="false"/>
            <w:tcW w:w="33.333333%" w:type="pct"/>
          </w:tcPr>
          <w:p>
            <w:pPr>
              <w:ind w:leftChars="0" w:left="0" w:right="0"/>
            </w:pPr>
            <w:r>
              <w:t>DBIX</w:t>
            </w:r>
          </w:p>
        </w:tc>
        <w:tc>
          <w:tcPr>
            <w:cnfStyle w:evenVBand="true" w:oddVBand="false" w:firstColumn="false"/>
            <w:tcW w:w="33.333333%" w:type="pct"/>
          </w:tcPr>
          <w:p>
            <w:pPr>
              <w:ind w:leftChars="0" w:left="0" w:right="0"/>
            </w:pPr>
            <w:r>
              <w:t>DBIX</w:t>
            </w:r>
          </w:p>
        </w:tc>
        <w:tc>
          <w:tcPr>
            <w:cnfStyle w:evenVBand="false" w:oddVBand="true" w:firstColumn="false"/>
            <w:tcW w:w="33.333333%" w:type="pct"/>
          </w:tcPr>
          <w:p>
            <w:pPr>
              <w:ind w:leftChars="0" w:left="0" w:right="0"/>
            </w:pPr>
            <w:r>
              <w:t>DEUTSCHE BANK AG - LONDON</w:t>
            </w:r>
          </w:p>
        </w:tc>
      </w:tr>
      <w:tr>
        <w:trPr>
          <w:cnfStyle w:evenHBand="true" w:oddHBand="false" w:firstRow="false"/>
        </w:trPr>
        <w:tc>
          <w:tcPr>
            <w:cnfStyle w:evenVBand="false" w:oddVBand="true" w:firstColumn="false"/>
            <w:tcW w:w="33.333333%" w:type="pct"/>
          </w:tcPr>
          <w:p>
            <w:pPr>
              <w:ind w:leftChars="0" w:left="0" w:right="0"/>
            </w:pPr>
            <w:r>
              <w:t>DBLN</w:t>
            </w:r>
          </w:p>
        </w:tc>
        <w:tc>
          <w:tcPr>
            <w:cnfStyle w:evenVBand="true" w:oddVBand="false" w:firstColumn="false"/>
            <w:tcW w:w="33.333333%" w:type="pct"/>
          </w:tcPr>
          <w:p>
            <w:pPr>
              <w:ind w:leftChars="0" w:left="0" w:right="0"/>
            </w:pPr>
            <w:r>
              <w:t>DBLN</w:t>
            </w:r>
          </w:p>
        </w:tc>
        <w:tc>
          <w:tcPr>
            <w:cnfStyle w:evenVBand="false" w:oddVBand="true" w:firstColumn="false"/>
            <w:tcW w:w="33.333333%" w:type="pct"/>
          </w:tcPr>
          <w:p>
            <w:pPr>
              <w:ind w:leftChars="0" w:left="0" w:right="0"/>
            </w:pPr>
            <w:r>
              <w:t>DEUTSCHE BANK AG - LONDON - SYSTEMATIC INTERNALISER</w:t>
            </w:r>
          </w:p>
        </w:tc>
      </w:tr>
      <w:tr>
        <w:trPr>
          <w:cnfStyle w:evenHBand="false" w:oddHBand="true" w:firstRow="false"/>
        </w:trPr>
        <w:tc>
          <w:tcPr>
            <w:cnfStyle w:evenVBand="false" w:oddVBand="true" w:firstColumn="false"/>
            <w:tcW w:w="33.333333%" w:type="pct"/>
          </w:tcPr>
          <w:p>
            <w:pPr>
              <w:ind w:leftChars="0" w:left="0" w:right="0"/>
            </w:pPr>
            <w:r>
              <w:t>DBLX</w:t>
            </w:r>
          </w:p>
        </w:tc>
        <w:tc>
          <w:tcPr>
            <w:cnfStyle w:evenVBand="true" w:oddVBand="false" w:firstColumn="false"/>
            <w:tcW w:w="33.333333%" w:type="pct"/>
          </w:tcPr>
          <w:p>
            <w:pPr>
              <w:ind w:leftChars="0" w:left="0" w:right="0"/>
            </w:pPr>
            <w:r>
              <w:t>DBLX</w:t>
            </w:r>
          </w:p>
        </w:tc>
        <w:tc>
          <w:tcPr>
            <w:cnfStyle w:evenVBand="false" w:oddVBand="true" w:firstColumn="false"/>
            <w:tcW w:w="33.333333%" w:type="pct"/>
          </w:tcPr>
          <w:p>
            <w:pPr>
              <w:ind w:leftChars="0" w:left="0" w:right="0"/>
            </w:pPr>
            <w:r>
              <w:t>DEUTSCHE BANK LUXEMBOURG S.A.</w:t>
            </w:r>
          </w:p>
        </w:tc>
      </w:tr>
      <w:tr>
        <w:trPr>
          <w:cnfStyle w:evenHBand="true" w:oddHBand="false" w:firstRow="false"/>
        </w:trPr>
        <w:tc>
          <w:tcPr>
            <w:cnfStyle w:evenVBand="false" w:oddVBand="true" w:firstColumn="false"/>
            <w:tcW w:w="33.333333%" w:type="pct"/>
          </w:tcPr>
          <w:p>
            <w:pPr>
              <w:ind w:leftChars="0" w:left="0" w:right="0"/>
            </w:pPr>
            <w:r>
              <w:t>DBMO</w:t>
            </w:r>
          </w:p>
        </w:tc>
        <w:tc>
          <w:tcPr>
            <w:cnfStyle w:evenVBand="true" w:oddVBand="false" w:firstColumn="false"/>
            <w:tcW w:w="33.333333%" w:type="pct"/>
          </w:tcPr>
          <w:p>
            <w:pPr>
              <w:ind w:leftChars="0" w:left="0" w:right="0"/>
            </w:pPr>
            <w:r>
              <w:t>DBMO</w:t>
            </w:r>
          </w:p>
        </w:tc>
        <w:tc>
          <w:tcPr>
            <w:cnfStyle w:evenVBand="false" w:oddVBand="true" w:firstColumn="false"/>
            <w:tcW w:w="33.333333%" w:type="pct"/>
          </w:tcPr>
          <w:p>
            <w:pPr>
              <w:ind w:leftChars="0" w:left="0" w:right="0"/>
            </w:pPr>
            <w:r>
              <w:t>DEUTSCHE BANK - MANUAL OTC</w:t>
            </w:r>
          </w:p>
        </w:tc>
      </w:tr>
      <w:tr>
        <w:trPr>
          <w:cnfStyle w:evenHBand="false" w:oddHBand="true" w:firstRow="false"/>
        </w:trPr>
        <w:tc>
          <w:tcPr>
            <w:cnfStyle w:evenVBand="false" w:oddVBand="true" w:firstColumn="false"/>
            <w:tcW w:w="33.333333%" w:type="pct"/>
          </w:tcPr>
          <w:p>
            <w:pPr>
              <w:ind w:leftChars="0" w:left="0" w:right="0"/>
            </w:pPr>
            <w:r>
              <w:t>DBOX</w:t>
            </w:r>
          </w:p>
        </w:tc>
        <w:tc>
          <w:tcPr>
            <w:cnfStyle w:evenVBand="true" w:oddVBand="false" w:firstColumn="false"/>
            <w:tcW w:w="33.333333%" w:type="pct"/>
          </w:tcPr>
          <w:p>
            <w:pPr>
              <w:ind w:leftChars="0" w:left="0" w:right="0"/>
            </w:pPr>
            <w:r>
              <w:t>DBOX</w:t>
            </w:r>
          </w:p>
        </w:tc>
        <w:tc>
          <w:tcPr>
            <w:cnfStyle w:evenVBand="false" w:oddVBand="true" w:firstColumn="false"/>
            <w:tcW w:w="33.333333%" w:type="pct"/>
          </w:tcPr>
          <w:p>
            <w:pPr>
              <w:ind w:leftChars="0" w:left="0" w:right="0"/>
            </w:pPr>
            <w:r>
              <w:t>DEUTSCHE BANK OFF EXCHANGE TRADING</w:t>
            </w:r>
          </w:p>
        </w:tc>
      </w:tr>
      <w:tr>
        <w:trPr>
          <w:cnfStyle w:evenHBand="true" w:oddHBand="false" w:firstRow="false"/>
        </w:trPr>
        <w:tc>
          <w:tcPr>
            <w:cnfStyle w:evenVBand="false" w:oddVBand="true" w:firstColumn="false"/>
            <w:tcW w:w="33.333333%" w:type="pct"/>
          </w:tcPr>
          <w:p>
            <w:pPr>
              <w:ind w:leftChars="0" w:left="0" w:right="0"/>
            </w:pPr>
            <w:r>
              <w:t>DBSE</w:t>
            </w:r>
          </w:p>
        </w:tc>
        <w:tc>
          <w:tcPr>
            <w:cnfStyle w:evenVBand="true" w:oddVBand="false" w:firstColumn="false"/>
            <w:tcW w:w="33.333333%" w:type="pct"/>
          </w:tcPr>
          <w:p>
            <w:pPr>
              <w:ind w:leftChars="0" w:left="0" w:right="0"/>
            </w:pPr>
            <w:r>
              <w:t>DBSE</w:t>
            </w:r>
          </w:p>
        </w:tc>
        <w:tc>
          <w:tcPr>
            <w:cnfStyle w:evenVBand="false" w:oddVBand="true" w:firstColumn="false"/>
            <w:tcW w:w="33.333333%" w:type="pct"/>
          </w:tcPr>
          <w:p>
            <w:pPr>
              <w:ind w:leftChars="0" w:left="0" w:right="0"/>
            </w:pPr>
            <w:r>
              <w:t>DEUTSCHE BANK - SUPERX EU</w:t>
            </w:r>
          </w:p>
        </w:tc>
      </w:tr>
      <w:tr>
        <w:trPr>
          <w:cnfStyle w:evenHBand="false" w:oddHBand="true" w:firstRow="false"/>
        </w:trPr>
        <w:tc>
          <w:tcPr>
            <w:cnfStyle w:evenVBand="false" w:oddVBand="true" w:firstColumn="false"/>
            <w:tcW w:w="33.333333%" w:type="pct"/>
          </w:tcPr>
          <w:p>
            <w:pPr>
              <w:ind w:leftChars="0" w:left="0" w:right="0"/>
            </w:pPr>
            <w:r>
              <w:t>DBSX</w:t>
            </w:r>
          </w:p>
        </w:tc>
        <w:tc>
          <w:tcPr>
            <w:cnfStyle w:evenVBand="true" w:oddVBand="false" w:firstColumn="false"/>
            <w:tcW w:w="33.333333%" w:type="pct"/>
          </w:tcPr>
          <w:p>
            <w:pPr>
              <w:ind w:leftChars="0" w:left="0" w:right="0"/>
            </w:pPr>
            <w:r>
              <w:t>DBSX</w:t>
            </w:r>
          </w:p>
        </w:tc>
        <w:tc>
          <w:tcPr>
            <w:cnfStyle w:evenVBand="false" w:oddVBand="true" w:firstColumn="false"/>
            <w:tcW w:w="33.333333%" w:type="pct"/>
          </w:tcPr>
          <w:p>
            <w:pPr>
              <w:ind w:leftChars="0" w:left="0" w:right="0"/>
            </w:pPr>
            <w:r>
              <w:t>DEUTSCHE BANK SUPER X</w:t>
            </w:r>
          </w:p>
        </w:tc>
      </w:tr>
      <w:tr>
        <w:trPr>
          <w:cnfStyle w:evenHBand="true" w:oddHBand="false" w:firstRow="false"/>
        </w:trPr>
        <w:tc>
          <w:tcPr>
            <w:cnfStyle w:evenVBand="false" w:oddVBand="true" w:firstColumn="false"/>
            <w:tcW w:w="33.333333%" w:type="pct"/>
          </w:tcPr>
          <w:p>
            <w:pPr>
              <w:ind w:leftChars="0" w:left="0" w:right="0"/>
            </w:pPr>
            <w:r>
              <w:t>DBVX</w:t>
            </w:r>
          </w:p>
        </w:tc>
        <w:tc>
          <w:tcPr>
            <w:cnfStyle w:evenVBand="true" w:oddVBand="false" w:firstColumn="false"/>
            <w:tcW w:w="33.333333%" w:type="pct"/>
          </w:tcPr>
          <w:p>
            <w:pPr>
              <w:ind w:leftChars="0" w:left="0" w:right="0"/>
            </w:pPr>
            <w:r>
              <w:t>DBVX</w:t>
            </w:r>
          </w:p>
        </w:tc>
        <w:tc>
          <w:tcPr>
            <w:cnfStyle w:evenVBand="false" w:oddVBand="true" w:firstColumn="false"/>
            <w:tcW w:w="33.333333%" w:type="pct"/>
          </w:tcPr>
          <w:p>
            <w:pPr>
              <w:ind w:leftChars="0" w:left="0" w:right="0"/>
            </w:pPr>
            <w:r>
              <w:t>DBV-X</w:t>
            </w:r>
          </w:p>
        </w:tc>
      </w:tr>
      <w:tr>
        <w:trPr>
          <w:cnfStyle w:evenHBand="false" w:oddHBand="true" w:firstRow="false"/>
        </w:trPr>
        <w:tc>
          <w:tcPr>
            <w:cnfStyle w:evenVBand="false" w:oddVBand="true" w:firstColumn="false"/>
            <w:tcW w:w="33.333333%" w:type="pct"/>
          </w:tcPr>
          <w:p>
            <w:pPr>
              <w:ind w:leftChars="0" w:left="0" w:right="0"/>
            </w:pPr>
            <w:r>
              <w:t>DCSE</w:t>
            </w:r>
          </w:p>
        </w:tc>
        <w:tc>
          <w:tcPr>
            <w:cnfStyle w:evenVBand="true" w:oddVBand="false" w:firstColumn="false"/>
            <w:tcW w:w="33.333333%" w:type="pct"/>
          </w:tcPr>
          <w:p>
            <w:pPr>
              <w:ind w:leftChars="0" w:left="0" w:right="0"/>
            </w:pPr>
            <w:r>
              <w:t>DCSE</w:t>
            </w:r>
          </w:p>
        </w:tc>
        <w:tc>
          <w:tcPr>
            <w:cnfStyle w:evenVBand="false" w:oddVBand="true" w:firstColumn="false"/>
            <w:tcW w:w="33.333333%" w:type="pct"/>
          </w:tcPr>
          <w:p>
            <w:pPr>
              <w:ind w:leftChars="0" w:left="0" w:right="0"/>
            </w:pPr>
            <w:r>
              <w:t xml:space="preserve">NASDAQ COPENHAGEN A/S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DCSX</w:t>
            </w:r>
          </w:p>
        </w:tc>
        <w:tc>
          <w:tcPr>
            <w:cnfStyle w:evenVBand="true" w:oddVBand="false" w:firstColumn="false"/>
            <w:tcW w:w="33.333333%" w:type="pct"/>
          </w:tcPr>
          <w:p>
            <w:pPr>
              <w:ind w:leftChars="0" w:left="0" w:right="0"/>
            </w:pPr>
            <w:r>
              <w:t>DCSX</w:t>
            </w:r>
          </w:p>
        </w:tc>
        <w:tc>
          <w:tcPr>
            <w:cnfStyle w:evenVBand="false" w:oddVBand="true" w:firstColumn="false"/>
            <w:tcW w:w="33.333333%" w:type="pct"/>
          </w:tcPr>
          <w:p>
            <w:pPr>
              <w:ind w:leftChars="0" w:left="0" w:right="0"/>
            </w:pPr>
            <w:r>
              <w:t>DUTCH CARIBBEAN SECURITIES EXCHANGE</w:t>
            </w:r>
          </w:p>
        </w:tc>
      </w:tr>
      <w:tr>
        <w:trPr>
          <w:cnfStyle w:evenHBand="false" w:oddHBand="true" w:firstRow="false"/>
        </w:trPr>
        <w:tc>
          <w:tcPr>
            <w:cnfStyle w:evenVBand="false" w:oddVBand="true" w:firstColumn="false"/>
            <w:tcW w:w="33.333333%" w:type="pct"/>
          </w:tcPr>
          <w:p>
            <w:pPr>
              <w:ind w:leftChars="0" w:left="0" w:right="0"/>
            </w:pPr>
            <w:r>
              <w:t>DDTX</w:t>
            </w:r>
          </w:p>
        </w:tc>
        <w:tc>
          <w:tcPr>
            <w:cnfStyle w:evenVBand="true" w:oddVBand="false" w:firstColumn="false"/>
            <w:tcW w:w="33.333333%" w:type="pct"/>
          </w:tcPr>
          <w:p>
            <w:pPr>
              <w:ind w:leftChars="0" w:left="0" w:right="0"/>
            </w:pPr>
            <w:r>
              <w:t>DDTX</w:t>
            </w:r>
          </w:p>
        </w:tc>
        <w:tc>
          <w:tcPr>
            <w:cnfStyle w:evenVBand="false" w:oddVBand="true" w:firstColumn="false"/>
            <w:tcW w:w="33.333333%" w:type="pct"/>
          </w:tcPr>
          <w:p>
            <w:pPr>
              <w:ind w:leftChars="0" w:left="0" w:right="0"/>
            </w:pPr>
            <w:r>
              <w:t>DEAL DONE TRADING - SYSTEMATIC INTERNALISER</w:t>
            </w:r>
          </w:p>
        </w:tc>
      </w:tr>
      <w:tr>
        <w:trPr>
          <w:cnfStyle w:evenHBand="true" w:oddHBand="false" w:firstRow="false"/>
        </w:trPr>
        <w:tc>
          <w:tcPr>
            <w:cnfStyle w:evenVBand="false" w:oddVBand="true" w:firstColumn="false"/>
            <w:tcW w:w="33.333333%" w:type="pct"/>
          </w:tcPr>
          <w:p>
            <w:pPr>
              <w:ind w:leftChars="0" w:left="0" w:right="0"/>
            </w:pPr>
            <w:r>
              <w:t>DEAL</w:t>
            </w:r>
          </w:p>
        </w:tc>
        <w:tc>
          <w:tcPr>
            <w:cnfStyle w:evenVBand="true" w:oddVBand="false" w:firstColumn="false"/>
            <w:tcW w:w="33.333333%" w:type="pct"/>
          </w:tcPr>
          <w:p>
            <w:pPr>
              <w:ind w:leftChars="0" w:left="0" w:right="0"/>
            </w:pPr>
            <w:r>
              <w:t>DEAL</w:t>
            </w:r>
          </w:p>
        </w:tc>
        <w:tc>
          <w:tcPr>
            <w:cnfStyle w:evenVBand="false" w:oddVBand="true" w:firstColumn="false"/>
            <w:tcW w:w="33.333333%" w:type="pct"/>
          </w:tcPr>
          <w:p>
            <w:pPr>
              <w:ind w:leftChars="0" w:left="0" w:right="0"/>
            </w:pPr>
            <w:r>
              <w:t>DCX (DERIVATIVES CURRENCY EXCHANGE)</w:t>
            </w:r>
          </w:p>
        </w:tc>
      </w:tr>
      <w:tr>
        <w:trPr>
          <w:cnfStyle w:evenHBand="false" w:oddHBand="true" w:firstRow="false"/>
        </w:trPr>
        <w:tc>
          <w:tcPr>
            <w:cnfStyle w:evenVBand="false" w:oddVBand="true" w:firstColumn="false"/>
            <w:tcW w:w="33.333333%" w:type="pct"/>
          </w:tcPr>
          <w:p>
            <w:pPr>
              <w:ind w:leftChars="0" w:left="0" w:right="0"/>
            </w:pPr>
            <w:r>
              <w:t>DEKA</w:t>
            </w:r>
          </w:p>
        </w:tc>
        <w:tc>
          <w:tcPr>
            <w:cnfStyle w:evenVBand="true" w:oddVBand="false" w:firstColumn="false"/>
            <w:tcW w:w="33.333333%" w:type="pct"/>
          </w:tcPr>
          <w:p>
            <w:pPr>
              <w:ind w:leftChars="0" w:left="0" w:right="0"/>
            </w:pPr>
            <w:r>
              <w:t>DEKA</w:t>
            </w:r>
          </w:p>
        </w:tc>
        <w:tc>
          <w:tcPr>
            <w:cnfStyle w:evenVBand="false" w:oddVBand="true" w:firstColumn="false"/>
            <w:tcW w:w="33.333333%" w:type="pct"/>
          </w:tcPr>
          <w:p>
            <w:pPr>
              <w:ind w:leftChars="0" w:left="0" w:right="0"/>
            </w:pPr>
            <w:r>
              <w:t>DEKABANK DEUTSCHE GIROZENTRALE</w:t>
            </w:r>
          </w:p>
        </w:tc>
      </w:tr>
      <w:tr>
        <w:trPr>
          <w:cnfStyle w:evenHBand="true" w:oddHBand="false" w:firstRow="false"/>
        </w:trPr>
        <w:tc>
          <w:tcPr>
            <w:cnfStyle w:evenVBand="false" w:oddVBand="true" w:firstColumn="false"/>
            <w:tcW w:w="33.333333%" w:type="pct"/>
          </w:tcPr>
          <w:p>
            <w:pPr>
              <w:ind w:leftChars="0" w:left="0" w:right="0"/>
            </w:pPr>
            <w:r>
              <w:t>DEXE</w:t>
            </w:r>
          </w:p>
        </w:tc>
        <w:tc>
          <w:tcPr>
            <w:cnfStyle w:evenVBand="true" w:oddVBand="false" w:firstColumn="false"/>
            <w:tcW w:w="33.333333%" w:type="pct"/>
          </w:tcPr>
          <w:p>
            <w:pPr>
              <w:ind w:leftChars="0" w:left="0" w:right="0"/>
            </w:pPr>
            <w:r>
              <w:t>DEXE</w:t>
            </w:r>
          </w:p>
        </w:tc>
        <w:tc>
          <w:tcPr>
            <w:cnfStyle w:evenVBand="false" w:oddVBand="true" w:firstColumn="false"/>
            <w:tcW w:w="33.333333%" w:type="pct"/>
          </w:tcPr>
          <w:p>
            <w:pPr>
              <w:ind w:leftChars="0" w:left="0" w:right="0"/>
            </w:pPr>
            <w:r>
              <w:t>DEX LIMITED</w:t>
            </w:r>
          </w:p>
        </w:tc>
      </w:tr>
      <w:tr>
        <w:trPr>
          <w:cnfStyle w:evenHBand="false" w:oddHBand="true" w:firstRow="false"/>
        </w:trPr>
        <w:tc>
          <w:tcPr>
            <w:cnfStyle w:evenVBand="false" w:oddVBand="true" w:firstColumn="false"/>
            <w:tcW w:w="33.333333%" w:type="pct"/>
          </w:tcPr>
          <w:p>
            <w:pPr>
              <w:ind w:leftChars="0" w:left="0" w:right="0"/>
            </w:pPr>
            <w:r>
              <w:t>DGCX</w:t>
            </w:r>
          </w:p>
        </w:tc>
        <w:tc>
          <w:tcPr>
            <w:cnfStyle w:evenVBand="true" w:oddVBand="false" w:firstColumn="false"/>
            <w:tcW w:w="33.333333%" w:type="pct"/>
          </w:tcPr>
          <w:p>
            <w:pPr>
              <w:ind w:leftChars="0" w:left="0" w:right="0"/>
            </w:pPr>
            <w:r>
              <w:t>DGCX</w:t>
            </w:r>
          </w:p>
        </w:tc>
        <w:tc>
          <w:tcPr>
            <w:cnfStyle w:evenVBand="false" w:oddVBand="true" w:firstColumn="false"/>
            <w:tcW w:w="33.333333%" w:type="pct"/>
          </w:tcPr>
          <w:p>
            <w:pPr>
              <w:ind w:leftChars="0" w:left="0" w:right="0"/>
            </w:pPr>
            <w:r>
              <w:t>DUBAI GOLD &amp; COMMODITIES EXCHANGE DMCC</w:t>
            </w:r>
          </w:p>
        </w:tc>
      </w:tr>
      <w:tr>
        <w:trPr>
          <w:cnfStyle w:evenHBand="true" w:oddHBand="false" w:firstRow="false"/>
        </w:trPr>
        <w:tc>
          <w:tcPr>
            <w:cnfStyle w:evenVBand="false" w:oddVBand="true" w:firstColumn="false"/>
            <w:tcW w:w="33.333333%" w:type="pct"/>
          </w:tcPr>
          <w:p>
            <w:pPr>
              <w:ind w:leftChars="0" w:left="0" w:right="0"/>
            </w:pPr>
            <w:r>
              <w:t>DHEL</w:t>
            </w:r>
          </w:p>
        </w:tc>
        <w:tc>
          <w:tcPr>
            <w:cnfStyle w:evenVBand="true" w:oddVBand="false" w:firstColumn="false"/>
            <w:tcW w:w="33.333333%" w:type="pct"/>
          </w:tcPr>
          <w:p>
            <w:pPr>
              <w:ind w:leftChars="0" w:left="0" w:right="0"/>
            </w:pPr>
            <w:r>
              <w:t>DHEL</w:t>
            </w:r>
          </w:p>
        </w:tc>
        <w:tc>
          <w:tcPr>
            <w:cnfStyle w:evenVBand="false" w:oddVBand="true" w:firstColumn="false"/>
            <w:tcW w:w="33.333333%" w:type="pct"/>
          </w:tcPr>
          <w:p>
            <w:pPr>
              <w:ind w:leftChars="0" w:left="0" w:right="0"/>
            </w:pPr>
            <w:r>
              <w:t xml:space="preserve">NASDAQ HELSINKI LTD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DHLX</w:t>
            </w:r>
          </w:p>
        </w:tc>
        <w:tc>
          <w:tcPr>
            <w:cnfStyle w:evenVBand="true" w:oddVBand="false" w:firstColumn="false"/>
            <w:tcW w:w="33.333333%" w:type="pct"/>
          </w:tcPr>
          <w:p>
            <w:pPr>
              <w:ind w:leftChars="0" w:left="0" w:right="0"/>
            </w:pPr>
            <w:r>
              <w:t>DHLX</w:t>
            </w:r>
          </w:p>
        </w:tc>
        <w:tc>
          <w:tcPr>
            <w:cnfStyle w:evenVBand="false" w:oddVBand="true" w:firstColumn="false"/>
            <w:tcW w:w="33.333333%" w:type="pct"/>
          </w:tcPr>
          <w:p>
            <w:pPr>
              <w:ind w:leftChars="0" w:left="0" w:right="0"/>
            </w:pPr>
            <w:r>
              <w:t>DEUTSCHE HOLDINGS (LUXEMBOURG) S.A R.L.</w:t>
            </w:r>
          </w:p>
        </w:tc>
      </w:tr>
      <w:tr>
        <w:trPr>
          <w:cnfStyle w:evenHBand="true" w:oddHBand="false" w:firstRow="false"/>
        </w:trPr>
        <w:tc>
          <w:tcPr>
            <w:cnfStyle w:evenVBand="false" w:oddVBand="true" w:firstColumn="false"/>
            <w:tcW w:w="33.333333%" w:type="pct"/>
          </w:tcPr>
          <w:p>
            <w:pPr>
              <w:ind w:leftChars="0" w:left="0" w:right="0"/>
            </w:pPr>
            <w:r>
              <w:t>DICE</w:t>
            </w:r>
          </w:p>
        </w:tc>
        <w:tc>
          <w:tcPr>
            <w:cnfStyle w:evenVBand="true" w:oddVBand="false" w:firstColumn="false"/>
            <w:tcW w:w="33.333333%" w:type="pct"/>
          </w:tcPr>
          <w:p>
            <w:pPr>
              <w:ind w:leftChars="0" w:left="0" w:right="0"/>
            </w:pPr>
            <w:r>
              <w:t>DICE</w:t>
            </w:r>
          </w:p>
        </w:tc>
        <w:tc>
          <w:tcPr>
            <w:cnfStyle w:evenVBand="false" w:oddVBand="true" w:firstColumn="false"/>
            <w:tcW w:w="33.333333%" w:type="pct"/>
          </w:tcPr>
          <w:p>
            <w:pPr>
              <w:ind w:leftChars="0" w:left="0" w:right="0"/>
            </w:pPr>
            <w:r>
              <w:t xml:space="preserve">NASDAQ ICELAND HF.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DIFX</w:t>
            </w:r>
          </w:p>
        </w:tc>
        <w:tc>
          <w:tcPr>
            <w:cnfStyle w:evenVBand="true" w:oddVBand="false" w:firstColumn="false"/>
            <w:tcW w:w="33.333333%" w:type="pct"/>
          </w:tcPr>
          <w:p>
            <w:pPr>
              <w:ind w:leftChars="0" w:left="0" w:right="0"/>
            </w:pPr>
            <w:r>
              <w:t>DIFX</w:t>
            </w:r>
          </w:p>
        </w:tc>
        <w:tc>
          <w:tcPr>
            <w:cnfStyle w:evenVBand="false" w:oddVBand="true" w:firstColumn="false"/>
            <w:tcW w:w="33.333333%" w:type="pct"/>
          </w:tcPr>
          <w:p>
            <w:pPr>
              <w:ind w:leftChars="0" w:left="0" w:right="0"/>
            </w:pPr>
            <w:r>
              <w:t>NASDAQ DUBAI</w:t>
            </w:r>
          </w:p>
        </w:tc>
      </w:tr>
      <w:tr>
        <w:trPr>
          <w:cnfStyle w:evenHBand="true" w:oddHBand="false" w:firstRow="false"/>
        </w:trPr>
        <w:tc>
          <w:tcPr>
            <w:cnfStyle w:evenVBand="false" w:oddVBand="true" w:firstColumn="false"/>
            <w:tcW w:w="33.333333%" w:type="pct"/>
          </w:tcPr>
          <w:p>
            <w:pPr>
              <w:ind w:leftChars="0" w:left="0" w:right="0"/>
            </w:pPr>
            <w:r>
              <w:t>DKED</w:t>
            </w:r>
          </w:p>
        </w:tc>
        <w:tc>
          <w:tcPr>
            <w:cnfStyle w:evenVBand="true" w:oddVBand="false" w:firstColumn="false"/>
            <w:tcW w:w="33.333333%" w:type="pct"/>
          </w:tcPr>
          <w:p>
            <w:pPr>
              <w:ind w:leftChars="0" w:left="0" w:right="0"/>
            </w:pPr>
            <w:r>
              <w:t>DKED</w:t>
            </w:r>
          </w:p>
        </w:tc>
        <w:tc>
          <w:tcPr>
            <w:cnfStyle w:evenVBand="false" w:oddVBand="true" w:firstColumn="false"/>
            <w:tcW w:w="33.333333%" w:type="pct"/>
          </w:tcPr>
          <w:p>
            <w:pPr>
              <w:ind w:leftChars="0" w:left="0" w:right="0"/>
            </w:pPr>
            <w:r>
              <w:t>NASDAQ STOCKHOLM AB - DANISH EQ DERIVATIVES</w:t>
            </w:r>
          </w:p>
        </w:tc>
      </w:tr>
      <w:tr>
        <w:trPr>
          <w:cnfStyle w:evenHBand="false" w:oddHBand="true" w:firstRow="false"/>
        </w:trPr>
        <w:tc>
          <w:tcPr>
            <w:cnfStyle w:evenVBand="false" w:oddVBand="true" w:firstColumn="false"/>
            <w:tcW w:w="33.333333%" w:type="pct"/>
          </w:tcPr>
          <w:p>
            <w:pPr>
              <w:ind w:leftChars="0" w:left="0" w:right="0"/>
            </w:pPr>
            <w:r>
              <w:t>DKFI</w:t>
            </w:r>
          </w:p>
        </w:tc>
        <w:tc>
          <w:tcPr>
            <w:cnfStyle w:evenVBand="true" w:oddVBand="false" w:firstColumn="false"/>
            <w:tcW w:w="33.333333%" w:type="pct"/>
          </w:tcPr>
          <w:p>
            <w:pPr>
              <w:ind w:leftChars="0" w:left="0" w:right="0"/>
            </w:pPr>
            <w:r>
              <w:t>DKFI</w:t>
            </w:r>
          </w:p>
        </w:tc>
        <w:tc>
          <w:tcPr>
            <w:cnfStyle w:evenVBand="false" w:oddVBand="true" w:firstColumn="false"/>
            <w:tcW w:w="33.333333%" w:type="pct"/>
          </w:tcPr>
          <w:p>
            <w:pPr>
              <w:ind w:leftChars="0" w:left="0" w:right="0"/>
            </w:pPr>
            <w:r>
              <w:t>NASDAQ STOCKHOLM AB - DANISH FI DERIVATIVES</w:t>
            </w:r>
          </w:p>
        </w:tc>
      </w:tr>
      <w:tr>
        <w:trPr>
          <w:cnfStyle w:evenHBand="true" w:oddHBand="false" w:firstRow="false"/>
        </w:trPr>
        <w:tc>
          <w:tcPr>
            <w:cnfStyle w:evenVBand="false" w:oddVBand="true" w:firstColumn="false"/>
            <w:tcW w:w="33.333333%" w:type="pct"/>
          </w:tcPr>
          <w:p>
            <w:pPr>
              <w:ind w:leftChars="0" w:left="0" w:right="0"/>
            </w:pPr>
            <w:r>
              <w:t>DKOB</w:t>
            </w:r>
          </w:p>
        </w:tc>
        <w:tc>
          <w:tcPr>
            <w:cnfStyle w:evenVBand="true" w:oddVBand="false" w:firstColumn="false"/>
            <w:tcW w:w="33.333333%" w:type="pct"/>
          </w:tcPr>
          <w:p>
            <w:pPr>
              <w:ind w:leftChars="0" w:left="0" w:right="0"/>
            </w:pPr>
            <w:r>
              <w:t>DKOB</w:t>
            </w:r>
          </w:p>
        </w:tc>
        <w:tc>
          <w:tcPr>
            <w:cnfStyle w:evenVBand="false" w:oddVBand="true" w:firstColumn="false"/>
            <w:tcW w:w="33.333333%" w:type="pct"/>
          </w:tcPr>
          <w:p>
            <w:pPr>
              <w:ind w:leftChars="0" w:left="0" w:right="0"/>
            </w:pPr>
            <w:r>
              <w:t>NASDAQ STOCKHOLM AB - OTC DKK WB EQ DERIVATIVES</w:t>
            </w:r>
          </w:p>
        </w:tc>
      </w:tr>
      <w:tr>
        <w:trPr>
          <w:cnfStyle w:evenHBand="false" w:oddHBand="true" w:firstRow="false"/>
        </w:trPr>
        <w:tc>
          <w:tcPr>
            <w:cnfStyle w:evenVBand="false" w:oddVBand="true" w:firstColumn="false"/>
            <w:tcW w:w="33.333333%" w:type="pct"/>
          </w:tcPr>
          <w:p>
            <w:pPr>
              <w:ind w:leftChars="0" w:left="0" w:right="0"/>
            </w:pPr>
            <w:r>
              <w:t>DKTC</w:t>
            </w:r>
          </w:p>
        </w:tc>
        <w:tc>
          <w:tcPr>
            <w:cnfStyle w:evenVBand="true" w:oddVBand="false" w:firstColumn="false"/>
            <w:tcW w:w="33.333333%" w:type="pct"/>
          </w:tcPr>
          <w:p>
            <w:pPr>
              <w:ind w:leftChars="0" w:left="0" w:right="0"/>
            </w:pPr>
            <w:r>
              <w:t>DKTC</w:t>
            </w:r>
          </w:p>
        </w:tc>
        <w:tc>
          <w:tcPr>
            <w:cnfStyle w:evenVBand="false" w:oddVBand="true" w:firstColumn="false"/>
            <w:tcW w:w="33.333333%" w:type="pct"/>
          </w:tcPr>
          <w:p>
            <w:pPr>
              <w:ind w:leftChars="0" w:left="0" w:right="0"/>
            </w:pPr>
            <w:r>
              <w:t>DANSK OTC</w:t>
            </w:r>
          </w:p>
        </w:tc>
      </w:tr>
      <w:tr>
        <w:trPr>
          <w:cnfStyle w:evenHBand="true" w:oddHBand="false" w:firstRow="false"/>
        </w:trPr>
        <w:tc>
          <w:tcPr>
            <w:cnfStyle w:evenVBand="false" w:oddVBand="true" w:firstColumn="false"/>
            <w:tcW w:w="33.333333%" w:type="pct"/>
          </w:tcPr>
          <w:p>
            <w:pPr>
              <w:ind w:leftChars="0" w:left="0" w:right="0"/>
            </w:pPr>
            <w:r>
              <w:t>DKWB</w:t>
            </w:r>
          </w:p>
        </w:tc>
        <w:tc>
          <w:tcPr>
            <w:cnfStyle w:evenVBand="true" w:oddVBand="false" w:firstColumn="false"/>
            <w:tcW w:w="33.333333%" w:type="pct"/>
          </w:tcPr>
          <w:p>
            <w:pPr>
              <w:ind w:leftChars="0" w:left="0" w:right="0"/>
            </w:pPr>
            <w:r>
              <w:t>DKWB</w:t>
            </w:r>
          </w:p>
        </w:tc>
        <w:tc>
          <w:tcPr>
            <w:cnfStyle w:evenVBand="false" w:oddVBand="true" w:firstColumn="false"/>
            <w:tcW w:w="33.333333%" w:type="pct"/>
          </w:tcPr>
          <w:p>
            <w:pPr>
              <w:ind w:leftChars="0" w:left="0" w:right="0"/>
            </w:pPr>
            <w:r>
              <w:t>NASDAQ STOCKHOLM AB - DKK WB EQ DERIVATIVES</w:t>
            </w:r>
          </w:p>
        </w:tc>
      </w:tr>
      <w:tr>
        <w:trPr>
          <w:cnfStyle w:evenHBand="false" w:oddHBand="true" w:firstRow="false"/>
        </w:trPr>
        <w:tc>
          <w:tcPr>
            <w:cnfStyle w:evenVBand="false" w:oddVBand="true" w:firstColumn="false"/>
            <w:tcW w:w="33.333333%" w:type="pct"/>
          </w:tcPr>
          <w:p>
            <w:pPr>
              <w:ind w:leftChars="0" w:left="0" w:right="0"/>
            </w:pPr>
            <w:r>
              <w:t>DNDK</w:t>
            </w:r>
          </w:p>
        </w:tc>
        <w:tc>
          <w:tcPr>
            <w:cnfStyle w:evenVBand="true" w:oddVBand="false" w:firstColumn="false"/>
            <w:tcW w:w="33.333333%" w:type="pct"/>
          </w:tcPr>
          <w:p>
            <w:pPr>
              <w:ind w:leftChars="0" w:left="0" w:right="0"/>
            </w:pPr>
            <w:r>
              <w:t>DNDK</w:t>
            </w:r>
          </w:p>
        </w:tc>
        <w:tc>
          <w:tcPr>
            <w:cnfStyle w:evenVBand="false" w:oddVBand="true" w:firstColumn="false"/>
            <w:tcW w:w="33.333333%" w:type="pct"/>
          </w:tcPr>
          <w:p>
            <w:pPr>
              <w:ind w:leftChars="0" w:left="0" w:right="0"/>
            </w:pPr>
            <w:r>
              <w:t xml:space="preserve">FIRST NORTH DENMARK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DNFI</w:t>
            </w:r>
          </w:p>
        </w:tc>
        <w:tc>
          <w:tcPr>
            <w:cnfStyle w:evenVBand="true" w:oddVBand="false" w:firstColumn="false"/>
            <w:tcW w:w="33.333333%" w:type="pct"/>
          </w:tcPr>
          <w:p>
            <w:pPr>
              <w:ind w:leftChars="0" w:left="0" w:right="0"/>
            </w:pPr>
            <w:r>
              <w:t>DNFI</w:t>
            </w:r>
          </w:p>
        </w:tc>
        <w:tc>
          <w:tcPr>
            <w:cnfStyle w:evenVBand="false" w:oddVBand="true" w:firstColumn="false"/>
            <w:tcW w:w="33.333333%" w:type="pct"/>
          </w:tcPr>
          <w:p>
            <w:pPr>
              <w:ind w:leftChars="0" w:left="0" w:right="0"/>
            </w:pPr>
            <w:r>
              <w:t xml:space="preserve">FIRST NORTH FINLAND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DNIS</w:t>
            </w:r>
          </w:p>
        </w:tc>
        <w:tc>
          <w:tcPr>
            <w:cnfStyle w:evenVBand="true" w:oddVBand="false" w:firstColumn="false"/>
            <w:tcW w:w="33.333333%" w:type="pct"/>
          </w:tcPr>
          <w:p>
            <w:pPr>
              <w:ind w:leftChars="0" w:left="0" w:right="0"/>
            </w:pPr>
            <w:r>
              <w:t>DNIS</w:t>
            </w:r>
          </w:p>
        </w:tc>
        <w:tc>
          <w:tcPr>
            <w:cnfStyle w:evenVBand="false" w:oddVBand="true" w:firstColumn="false"/>
            <w:tcW w:w="33.333333%" w:type="pct"/>
          </w:tcPr>
          <w:p>
            <w:pPr>
              <w:ind w:leftChars="0" w:left="0" w:right="0"/>
            </w:pPr>
            <w:r>
              <w:t xml:space="preserve">FIRST NORTH ICELAND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DNSE</w:t>
            </w:r>
          </w:p>
        </w:tc>
        <w:tc>
          <w:tcPr>
            <w:cnfStyle w:evenVBand="true" w:oddVBand="false" w:firstColumn="false"/>
            <w:tcW w:w="33.333333%" w:type="pct"/>
          </w:tcPr>
          <w:p>
            <w:pPr>
              <w:ind w:leftChars="0" w:left="0" w:right="0"/>
            </w:pPr>
            <w:r>
              <w:t>DNSE</w:t>
            </w:r>
          </w:p>
        </w:tc>
        <w:tc>
          <w:tcPr>
            <w:cnfStyle w:evenVBand="false" w:oddVBand="true" w:firstColumn="false"/>
            <w:tcW w:w="33.333333%" w:type="pct"/>
          </w:tcPr>
          <w:p>
            <w:pPr>
              <w:ind w:leftChars="0" w:left="0" w:right="0"/>
            </w:pPr>
            <w:r>
              <w:t xml:space="preserve">FIRST NORTH SWEDEN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DOSE</w:t>
            </w:r>
          </w:p>
        </w:tc>
        <w:tc>
          <w:tcPr>
            <w:cnfStyle w:evenVBand="true" w:oddVBand="false" w:firstColumn="false"/>
            <w:tcW w:w="33.333333%" w:type="pct"/>
          </w:tcPr>
          <w:p>
            <w:pPr>
              <w:ind w:leftChars="0" w:left="0" w:right="0"/>
            </w:pPr>
            <w:r>
              <w:t>DOSE</w:t>
            </w:r>
          </w:p>
        </w:tc>
        <w:tc>
          <w:tcPr>
            <w:cnfStyle w:evenVBand="false" w:oddVBand="true" w:firstColumn="false"/>
            <w:tcW w:w="33.333333%" w:type="pct"/>
          </w:tcPr>
          <w:p>
            <w:pPr>
              <w:ind w:leftChars="0" w:left="0" w:right="0"/>
            </w:pPr>
            <w:r>
              <w:t xml:space="preserve">FIRST NORTH SWEDEN - NORWAY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DOTS</w:t>
            </w:r>
          </w:p>
        </w:tc>
        <w:tc>
          <w:tcPr>
            <w:cnfStyle w:evenVBand="true" w:oddVBand="false" w:firstColumn="false"/>
            <w:tcW w:w="33.333333%" w:type="pct"/>
          </w:tcPr>
          <w:p>
            <w:pPr>
              <w:ind w:leftChars="0" w:left="0" w:right="0"/>
            </w:pPr>
            <w:r>
              <w:t>DOTS</w:t>
            </w:r>
          </w:p>
        </w:tc>
        <w:tc>
          <w:tcPr>
            <w:cnfStyle w:evenVBand="false" w:oddVBand="true" w:firstColumn="false"/>
            <w:tcW w:w="33.333333%" w:type="pct"/>
          </w:tcPr>
          <w:p>
            <w:pPr>
              <w:ind w:leftChars="0" w:left="0" w:right="0"/>
            </w:pPr>
            <w:r>
              <w:t>SWISS DOTS BY CATS</w:t>
            </w:r>
          </w:p>
        </w:tc>
      </w:tr>
      <w:tr>
        <w:trPr>
          <w:cnfStyle w:evenHBand="false" w:oddHBand="true" w:firstRow="false"/>
        </w:trPr>
        <w:tc>
          <w:tcPr>
            <w:cnfStyle w:evenVBand="false" w:oddVBand="true" w:firstColumn="false"/>
            <w:tcW w:w="33.333333%" w:type="pct"/>
          </w:tcPr>
          <w:p>
            <w:pPr>
              <w:ind w:leftChars="0" w:left="0" w:right="0"/>
            </w:pPr>
            <w:r>
              <w:t>DOWE</w:t>
            </w:r>
          </w:p>
        </w:tc>
        <w:tc>
          <w:tcPr>
            <w:cnfStyle w:evenVBand="true" w:oddVBand="false" w:firstColumn="false"/>
            <w:tcW w:w="33.333333%" w:type="pct"/>
          </w:tcPr>
          <w:p>
            <w:pPr>
              <w:ind w:leftChars="0" w:left="0" w:right="0"/>
            </w:pPr>
            <w:r>
              <w:t>DOWE</w:t>
            </w:r>
          </w:p>
        </w:tc>
        <w:tc>
          <w:tcPr>
            <w:cnfStyle w:evenVBand="false" w:oddVBand="true" w:firstColumn="false"/>
            <w:tcW w:w="33.333333%" w:type="pct"/>
          </w:tcPr>
          <w:p>
            <w:pPr>
              <w:ind w:leftChars="0" w:left="0" w:right="0"/>
            </w:pPr>
            <w:r>
              <w:t>DOWGATE EURO GOVERNMENT BONDS</w:t>
            </w:r>
          </w:p>
        </w:tc>
      </w:tr>
      <w:tr>
        <w:trPr>
          <w:cnfStyle w:evenHBand="true" w:oddHBand="false" w:firstRow="false"/>
        </w:trPr>
        <w:tc>
          <w:tcPr>
            <w:cnfStyle w:evenVBand="false" w:oddVBand="true" w:firstColumn="false"/>
            <w:tcW w:w="33.333333%" w:type="pct"/>
          </w:tcPr>
          <w:p>
            <w:pPr>
              <w:ind w:leftChars="0" w:left="0" w:right="0"/>
            </w:pPr>
            <w:r>
              <w:t>DOWG</w:t>
            </w:r>
          </w:p>
        </w:tc>
        <w:tc>
          <w:tcPr>
            <w:cnfStyle w:evenVBand="true" w:oddVBand="false" w:firstColumn="false"/>
            <w:tcW w:w="33.333333%" w:type="pct"/>
          </w:tcPr>
          <w:p>
            <w:pPr>
              <w:ind w:leftChars="0" w:left="0" w:right="0"/>
            </w:pPr>
            <w:r>
              <w:t>DOWG</w:t>
            </w:r>
          </w:p>
        </w:tc>
        <w:tc>
          <w:tcPr>
            <w:cnfStyle w:evenVBand="false" w:oddVBand="true" w:firstColumn="false"/>
            <w:tcW w:w="33.333333%" w:type="pct"/>
          </w:tcPr>
          <w:p>
            <w:pPr>
              <w:ind w:leftChars="0" w:left="0" w:right="0"/>
            </w:pPr>
            <w:r>
              <w:t>DOWGATE</w:t>
            </w:r>
          </w:p>
        </w:tc>
      </w:tr>
      <w:tr>
        <w:trPr>
          <w:cnfStyle w:evenHBand="false" w:oddHBand="true" w:firstRow="false"/>
        </w:trPr>
        <w:tc>
          <w:tcPr>
            <w:cnfStyle w:evenVBand="false" w:oddVBand="true" w:firstColumn="false"/>
            <w:tcW w:w="33.333333%" w:type="pct"/>
          </w:tcPr>
          <w:p>
            <w:pPr>
              <w:ind w:leftChars="0" w:left="0" w:right="0"/>
            </w:pPr>
            <w:r>
              <w:t>DOWM</w:t>
            </w:r>
          </w:p>
        </w:tc>
        <w:tc>
          <w:tcPr>
            <w:cnfStyle w:evenVBand="true" w:oddVBand="false" w:firstColumn="false"/>
            <w:tcW w:w="33.333333%" w:type="pct"/>
          </w:tcPr>
          <w:p>
            <w:pPr>
              <w:ind w:leftChars="0" w:left="0" w:right="0"/>
            </w:pPr>
            <w:r>
              <w:t>DOWM</w:t>
            </w:r>
          </w:p>
        </w:tc>
        <w:tc>
          <w:tcPr>
            <w:cnfStyle w:evenVBand="false" w:oddVBand="true" w:firstColumn="false"/>
            <w:tcW w:w="33.333333%" w:type="pct"/>
          </w:tcPr>
          <w:p>
            <w:pPr>
              <w:ind w:leftChars="0" w:left="0" w:right="0"/>
            </w:pPr>
            <w:r>
              <w:t>DOWGATE - MTF (MADRID)</w:t>
            </w:r>
          </w:p>
        </w:tc>
      </w:tr>
      <w:tr>
        <w:trPr>
          <w:cnfStyle w:evenHBand="true" w:oddHBand="false" w:firstRow="false"/>
        </w:trPr>
        <w:tc>
          <w:tcPr>
            <w:cnfStyle w:evenVBand="false" w:oddVBand="true" w:firstColumn="false"/>
            <w:tcW w:w="33.333333%" w:type="pct"/>
          </w:tcPr>
          <w:p>
            <w:pPr>
              <w:ind w:leftChars="0" w:left="0" w:right="0"/>
            </w:pPr>
            <w:r>
              <w:t>DRCT</w:t>
            </w:r>
          </w:p>
        </w:tc>
        <w:tc>
          <w:tcPr>
            <w:cnfStyle w:evenVBand="true" w:oddVBand="false" w:firstColumn="false"/>
            <w:tcW w:w="33.333333%" w:type="pct"/>
          </w:tcPr>
          <w:p>
            <w:pPr>
              <w:ind w:leftChars="0" w:left="0" w:right="0"/>
            </w:pPr>
            <w:r>
              <w:t>DRCT</w:t>
            </w:r>
          </w:p>
        </w:tc>
        <w:tc>
          <w:tcPr>
            <w:cnfStyle w:evenVBand="false" w:oddVBand="true" w:firstColumn="false"/>
            <w:tcW w:w="33.333333%" w:type="pct"/>
          </w:tcPr>
          <w:p>
            <w:pPr>
              <w:ind w:leftChars="0" w:left="0" w:right="0"/>
            </w:pPr>
            <w:r>
              <w:t>DAIWA DRECT</w:t>
            </w:r>
          </w:p>
        </w:tc>
      </w:tr>
      <w:tr>
        <w:trPr>
          <w:cnfStyle w:evenHBand="false" w:oddHBand="true" w:firstRow="false"/>
        </w:trPr>
        <w:tc>
          <w:tcPr>
            <w:cnfStyle w:evenVBand="false" w:oddVBand="true" w:firstColumn="false"/>
            <w:tcW w:w="33.333333%" w:type="pct"/>
          </w:tcPr>
          <w:p>
            <w:pPr>
              <w:ind w:leftChars="0" w:left="0" w:right="0"/>
            </w:pPr>
            <w:r>
              <w:t>DRSP</w:t>
            </w:r>
          </w:p>
        </w:tc>
        <w:tc>
          <w:tcPr>
            <w:cnfStyle w:evenVBand="true" w:oddVBand="false" w:firstColumn="false"/>
            <w:tcW w:w="33.333333%" w:type="pct"/>
          </w:tcPr>
          <w:p>
            <w:pPr>
              <w:ind w:leftChars="0" w:left="0" w:right="0"/>
            </w:pPr>
            <w:r>
              <w:t>DRSP</w:t>
            </w:r>
          </w:p>
        </w:tc>
        <w:tc>
          <w:tcPr>
            <w:cnfStyle w:evenVBand="false" w:oddVBand="true" w:firstColumn="false"/>
            <w:tcW w:w="33.333333%" w:type="pct"/>
          </w:tcPr>
          <w:p>
            <w:pPr>
              <w:ind w:leftChars="0" w:left="0" w:right="0"/>
            </w:pPr>
            <w:r>
              <w:t>EURONEXT  UK - REPORTING SERVICES</w:t>
            </w:r>
          </w:p>
        </w:tc>
      </w:tr>
      <w:tr>
        <w:trPr>
          <w:cnfStyle w:evenHBand="true" w:oddHBand="false" w:firstRow="false"/>
        </w:trPr>
        <w:tc>
          <w:tcPr>
            <w:cnfStyle w:evenVBand="false" w:oddVBand="true" w:firstColumn="false"/>
            <w:tcW w:w="33.333333%" w:type="pct"/>
          </w:tcPr>
          <w:p>
            <w:pPr>
              <w:ind w:leftChars="0" w:left="0" w:right="0"/>
            </w:pPr>
            <w:r>
              <w:t>DSMD</w:t>
            </w:r>
          </w:p>
        </w:tc>
        <w:tc>
          <w:tcPr>
            <w:cnfStyle w:evenVBand="true" w:oddVBand="false" w:firstColumn="false"/>
            <w:tcW w:w="33.333333%" w:type="pct"/>
          </w:tcPr>
          <w:p>
            <w:pPr>
              <w:ind w:leftChars="0" w:left="0" w:right="0"/>
            </w:pPr>
            <w:r>
              <w:t>DSMD</w:t>
            </w:r>
          </w:p>
        </w:tc>
        <w:tc>
          <w:tcPr>
            <w:cnfStyle w:evenVBand="false" w:oddVBand="true" w:firstColumn="false"/>
            <w:tcW w:w="33.333333%" w:type="pct"/>
          </w:tcPr>
          <w:p>
            <w:pPr>
              <w:ind w:leftChars="0" w:left="0" w:right="0"/>
            </w:pPr>
            <w:r>
              <w:t>QATAR EXCHANGE</w:t>
            </w:r>
          </w:p>
        </w:tc>
      </w:tr>
      <w:tr>
        <w:trPr>
          <w:cnfStyle w:evenHBand="false" w:oddHBand="true" w:firstRow="false"/>
        </w:trPr>
        <w:tc>
          <w:tcPr>
            <w:cnfStyle w:evenVBand="false" w:oddVBand="true" w:firstColumn="false"/>
            <w:tcW w:w="33.333333%" w:type="pct"/>
          </w:tcPr>
          <w:p>
            <w:pPr>
              <w:ind w:leftChars="0" w:left="0" w:right="0"/>
            </w:pPr>
            <w:r>
              <w:t>DSME</w:t>
            </w:r>
          </w:p>
        </w:tc>
        <w:tc>
          <w:tcPr>
            <w:cnfStyle w:evenVBand="true" w:oddVBand="false" w:firstColumn="false"/>
            <w:tcW w:w="33.333333%" w:type="pct"/>
          </w:tcPr>
          <w:p>
            <w:pPr>
              <w:ind w:leftChars="0" w:left="0" w:right="0"/>
            </w:pPr>
            <w:r>
              <w:t>DSME</w:t>
            </w:r>
          </w:p>
        </w:tc>
        <w:tc>
          <w:tcPr>
            <w:cnfStyle w:evenVBand="false" w:oddVBand="true" w:firstColumn="false"/>
            <w:tcW w:w="33.333333%" w:type="pct"/>
          </w:tcPr>
          <w:p>
            <w:pPr>
              <w:ind w:leftChars="0" w:left="0" w:right="0"/>
            </w:pPr>
            <w:r>
              <w:t>FIRST NORTH DENMARK -SME GROWTH MARKET</w:t>
            </w:r>
          </w:p>
        </w:tc>
      </w:tr>
      <w:tr>
        <w:trPr>
          <w:cnfStyle w:evenHBand="true" w:oddHBand="false" w:firstRow="false"/>
        </w:trPr>
        <w:tc>
          <w:tcPr>
            <w:cnfStyle w:evenVBand="false" w:oddVBand="true" w:firstColumn="false"/>
            <w:tcW w:w="33.333333%" w:type="pct"/>
          </w:tcPr>
          <w:p>
            <w:pPr>
              <w:ind w:leftChars="0" w:left="0" w:right="0"/>
            </w:pPr>
            <w:r>
              <w:t>DSTO</w:t>
            </w:r>
          </w:p>
        </w:tc>
        <w:tc>
          <w:tcPr>
            <w:cnfStyle w:evenVBand="true" w:oddVBand="false" w:firstColumn="false"/>
            <w:tcW w:w="33.333333%" w:type="pct"/>
          </w:tcPr>
          <w:p>
            <w:pPr>
              <w:ind w:leftChars="0" w:left="0" w:right="0"/>
            </w:pPr>
            <w:r>
              <w:t>DSTO</w:t>
            </w:r>
          </w:p>
        </w:tc>
        <w:tc>
          <w:tcPr>
            <w:cnfStyle w:evenVBand="false" w:oddVBand="true" w:firstColumn="false"/>
            <w:tcW w:w="33.333333%" w:type="pct"/>
          </w:tcPr>
          <w:p>
            <w:pPr>
              <w:ind w:leftChars="0" w:left="0" w:right="0"/>
            </w:pPr>
            <w:r>
              <w:t xml:space="preserve">NASDAQ STOCKHOLM AB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DUMX</w:t>
            </w:r>
          </w:p>
        </w:tc>
        <w:tc>
          <w:tcPr>
            <w:cnfStyle w:evenVBand="true" w:oddVBand="false" w:firstColumn="false"/>
            <w:tcW w:w="33.333333%" w:type="pct"/>
          </w:tcPr>
          <w:p>
            <w:pPr>
              <w:ind w:leftChars="0" w:left="0" w:right="0"/>
            </w:pPr>
            <w:r>
              <w:t>DUMX</w:t>
            </w:r>
          </w:p>
        </w:tc>
        <w:tc>
          <w:tcPr>
            <w:cnfStyle w:evenVBand="false" w:oddVBand="true" w:firstColumn="false"/>
            <w:tcW w:w="33.333333%" w:type="pct"/>
          </w:tcPr>
          <w:p>
            <w:pPr>
              <w:ind w:leftChars="0" w:left="0" w:right="0"/>
            </w:pPr>
            <w:r>
              <w:t>DUBAI MERCANTILE EXCHANGE</w:t>
            </w:r>
          </w:p>
        </w:tc>
      </w:tr>
      <w:tr>
        <w:trPr>
          <w:cnfStyle w:evenHBand="true" w:oddHBand="false" w:firstRow="false"/>
        </w:trPr>
        <w:tc>
          <w:tcPr>
            <w:cnfStyle w:evenVBand="false" w:oddVBand="true" w:firstColumn="false"/>
            <w:tcW w:w="33.333333%" w:type="pct"/>
          </w:tcPr>
          <w:p>
            <w:pPr>
              <w:ind w:leftChars="0" w:left="0" w:right="0"/>
            </w:pPr>
            <w:r>
              <w:t>DUSA</w:t>
            </w:r>
          </w:p>
        </w:tc>
        <w:tc>
          <w:tcPr>
            <w:cnfStyle w:evenVBand="true" w:oddVBand="false" w:firstColumn="false"/>
            <w:tcW w:w="33.333333%" w:type="pct"/>
          </w:tcPr>
          <w:p>
            <w:pPr>
              <w:ind w:leftChars="0" w:left="0" w:right="0"/>
            </w:pPr>
            <w:r>
              <w:t>DUSA</w:t>
            </w:r>
          </w:p>
        </w:tc>
        <w:tc>
          <w:tcPr>
            <w:cnfStyle w:evenVBand="false" w:oddVBand="true" w:firstColumn="false"/>
            <w:tcW w:w="33.333333%" w:type="pct"/>
          </w:tcPr>
          <w:p>
            <w:pPr>
              <w:ind w:leftChars="0" w:left="0" w:right="0"/>
            </w:pPr>
            <w:r>
              <w:t>BOERSE DUESSELDORF - REGULIERTER MARKT</w:t>
            </w:r>
          </w:p>
        </w:tc>
      </w:tr>
      <w:tr>
        <w:trPr>
          <w:cnfStyle w:evenHBand="false" w:oddHBand="true" w:firstRow="false"/>
        </w:trPr>
        <w:tc>
          <w:tcPr>
            <w:cnfStyle w:evenVBand="false" w:oddVBand="true" w:firstColumn="false"/>
            <w:tcW w:w="33.333333%" w:type="pct"/>
          </w:tcPr>
          <w:p>
            <w:pPr>
              <w:ind w:leftChars="0" w:left="0" w:right="0"/>
            </w:pPr>
            <w:r>
              <w:t>DUSB</w:t>
            </w:r>
          </w:p>
        </w:tc>
        <w:tc>
          <w:tcPr>
            <w:cnfStyle w:evenVBand="true" w:oddVBand="false" w:firstColumn="false"/>
            <w:tcW w:w="33.333333%" w:type="pct"/>
          </w:tcPr>
          <w:p>
            <w:pPr>
              <w:ind w:leftChars="0" w:left="0" w:right="0"/>
            </w:pPr>
            <w:r>
              <w:t>DUSB</w:t>
            </w:r>
          </w:p>
        </w:tc>
        <w:tc>
          <w:tcPr>
            <w:cnfStyle w:evenVBand="false" w:oddVBand="true" w:firstColumn="false"/>
            <w:tcW w:w="33.333333%" w:type="pct"/>
          </w:tcPr>
          <w:p>
            <w:pPr>
              <w:ind w:leftChars="0" w:left="0" w:right="0"/>
            </w:pPr>
            <w:r>
              <w:t>BOERSE DUESSELDORF - FREIVERKEHR</w:t>
            </w:r>
          </w:p>
        </w:tc>
      </w:tr>
      <w:tr>
        <w:trPr>
          <w:cnfStyle w:evenHBand="true" w:oddHBand="false" w:firstRow="false"/>
        </w:trPr>
        <w:tc>
          <w:tcPr>
            <w:cnfStyle w:evenVBand="false" w:oddVBand="true" w:firstColumn="false"/>
            <w:tcW w:w="33.333333%" w:type="pct"/>
          </w:tcPr>
          <w:p>
            <w:pPr>
              <w:ind w:leftChars="0" w:left="0" w:right="0"/>
            </w:pPr>
            <w:r>
              <w:t>DUSC</w:t>
            </w:r>
          </w:p>
        </w:tc>
        <w:tc>
          <w:tcPr>
            <w:cnfStyle w:evenVBand="true" w:oddVBand="false" w:firstColumn="false"/>
            <w:tcW w:w="33.333333%" w:type="pct"/>
          </w:tcPr>
          <w:p>
            <w:pPr>
              <w:ind w:leftChars="0" w:left="0" w:right="0"/>
            </w:pPr>
            <w:r>
              <w:t>DUSC</w:t>
            </w:r>
          </w:p>
        </w:tc>
        <w:tc>
          <w:tcPr>
            <w:cnfStyle w:evenVBand="false" w:oddVBand="true" w:firstColumn="false"/>
            <w:tcW w:w="33.333333%" w:type="pct"/>
          </w:tcPr>
          <w:p>
            <w:pPr>
              <w:ind w:leftChars="0" w:left="0" w:right="0"/>
            </w:pPr>
            <w:r>
              <w:t>BOERSE DUESSELDORF - QUOTRIX - REGULIERTER MARKT</w:t>
            </w:r>
          </w:p>
        </w:tc>
      </w:tr>
      <w:tr>
        <w:trPr>
          <w:cnfStyle w:evenHBand="false" w:oddHBand="true" w:firstRow="false"/>
        </w:trPr>
        <w:tc>
          <w:tcPr>
            <w:cnfStyle w:evenVBand="false" w:oddVBand="true" w:firstColumn="false"/>
            <w:tcW w:w="33.333333%" w:type="pct"/>
          </w:tcPr>
          <w:p>
            <w:pPr>
              <w:ind w:leftChars="0" w:left="0" w:right="0"/>
            </w:pPr>
            <w:r>
              <w:t>DUSD</w:t>
            </w:r>
          </w:p>
        </w:tc>
        <w:tc>
          <w:tcPr>
            <w:cnfStyle w:evenVBand="true" w:oddVBand="false" w:firstColumn="false"/>
            <w:tcW w:w="33.333333%" w:type="pct"/>
          </w:tcPr>
          <w:p>
            <w:pPr>
              <w:ind w:leftChars="0" w:left="0" w:right="0"/>
            </w:pPr>
            <w:r>
              <w:t>DUSD</w:t>
            </w:r>
          </w:p>
        </w:tc>
        <w:tc>
          <w:tcPr>
            <w:cnfStyle w:evenVBand="false" w:oddVBand="true" w:firstColumn="false"/>
            <w:tcW w:w="33.333333%" w:type="pct"/>
          </w:tcPr>
          <w:p>
            <w:pPr>
              <w:ind w:leftChars="0" w:left="0" w:right="0"/>
            </w:pPr>
            <w:r>
              <w:t>BOERSE DUESSELDORF - QUOTRIX MTF</w:t>
            </w:r>
          </w:p>
        </w:tc>
      </w:tr>
      <w:tr>
        <w:trPr>
          <w:cnfStyle w:evenHBand="true" w:oddHBand="false" w:firstRow="false"/>
        </w:trPr>
        <w:tc>
          <w:tcPr>
            <w:cnfStyle w:evenVBand="false" w:oddVBand="true" w:firstColumn="false"/>
            <w:tcW w:w="33.333333%" w:type="pct"/>
          </w:tcPr>
          <w:p>
            <w:pPr>
              <w:ind w:leftChars="0" w:left="0" w:right="0"/>
            </w:pPr>
            <w:r>
              <w:t>DVFX</w:t>
            </w:r>
          </w:p>
        </w:tc>
        <w:tc>
          <w:tcPr>
            <w:cnfStyle w:evenVBand="true" w:oddVBand="false" w:firstColumn="false"/>
            <w:tcW w:w="33.333333%" w:type="pct"/>
          </w:tcPr>
          <w:p>
            <w:pPr>
              <w:ind w:leftChars="0" w:left="0" w:right="0"/>
            </w:pPr>
            <w:r>
              <w:t>DVFX</w:t>
            </w:r>
          </w:p>
        </w:tc>
        <w:tc>
          <w:tcPr>
            <w:cnfStyle w:evenVBand="false" w:oddVBand="true" w:firstColumn="false"/>
            <w:tcW w:w="33.333333%" w:type="pct"/>
          </w:tcPr>
          <w:p>
            <w:pPr>
              <w:ind w:leftChars="0" w:left="0" w:right="0"/>
            </w:pPr>
            <w:r>
              <w:t>DIGITAL VEGA</w:t>
            </w:r>
          </w:p>
        </w:tc>
      </w:tr>
      <w:tr>
        <w:trPr>
          <w:cnfStyle w:evenHBand="false" w:oddHBand="true" w:firstRow="false"/>
        </w:trPr>
        <w:tc>
          <w:tcPr>
            <w:cnfStyle w:evenVBand="false" w:oddVBand="true" w:firstColumn="false"/>
            <w:tcW w:w="33.333333%" w:type="pct"/>
          </w:tcPr>
          <w:p>
            <w:pPr>
              <w:ind w:leftChars="0" w:left="0" w:right="0"/>
            </w:pPr>
            <w:r>
              <w:t>DWFI</w:t>
            </w:r>
          </w:p>
        </w:tc>
        <w:tc>
          <w:tcPr>
            <w:cnfStyle w:evenVBand="true" w:oddVBand="false" w:firstColumn="false"/>
            <w:tcW w:w="33.333333%" w:type="pct"/>
          </w:tcPr>
          <w:p>
            <w:pPr>
              <w:ind w:leftChars="0" w:left="0" w:right="0"/>
            </w:pPr>
            <w:r>
              <w:t>DWFI</w:t>
            </w:r>
          </w:p>
        </w:tc>
        <w:tc>
          <w:tcPr>
            <w:cnfStyle w:evenVBand="false" w:oddVBand="true" w:firstColumn="false"/>
            <w:tcW w:w="33.333333%" w:type="pct"/>
          </w:tcPr>
          <w:p>
            <w:pPr>
              <w:ind w:leftChars="0" w:left="0" w:right="0"/>
            </w:pPr>
            <w:r>
              <w:t>DEALERWEB FIXED INCOME</w:t>
            </w:r>
          </w:p>
        </w:tc>
      </w:tr>
      <w:tr>
        <w:trPr>
          <w:cnfStyle w:evenHBand="true" w:oddHBand="false" w:firstRow="false"/>
        </w:trPr>
        <w:tc>
          <w:tcPr>
            <w:cnfStyle w:evenVBand="false" w:oddVBand="true" w:firstColumn="false"/>
            <w:tcW w:w="33.333333%" w:type="pct"/>
          </w:tcPr>
          <w:p>
            <w:pPr>
              <w:ind w:leftChars="0" w:left="0" w:right="0"/>
            </w:pPr>
            <w:r>
              <w:t>DWSF</w:t>
            </w:r>
          </w:p>
        </w:tc>
        <w:tc>
          <w:tcPr>
            <w:cnfStyle w:evenVBand="true" w:oddVBand="false" w:firstColumn="false"/>
            <w:tcW w:w="33.333333%" w:type="pct"/>
          </w:tcPr>
          <w:p>
            <w:pPr>
              <w:ind w:leftChars="0" w:left="0" w:right="0"/>
            </w:pPr>
            <w:r>
              <w:t>DWSF</w:t>
            </w:r>
          </w:p>
        </w:tc>
        <w:tc>
          <w:tcPr>
            <w:cnfStyle w:evenVBand="false" w:oddVBand="true" w:firstColumn="false"/>
            <w:tcW w:w="33.333333%" w:type="pct"/>
          </w:tcPr>
          <w:p>
            <w:pPr>
              <w:ind w:leftChars="0" w:left="0" w:right="0"/>
            </w:pPr>
            <w:r>
              <w:t>DW SEF LLC</w:t>
            </w:r>
          </w:p>
        </w:tc>
      </w:tr>
      <w:tr>
        <w:trPr>
          <w:cnfStyle w:evenHBand="false" w:oddHBand="true" w:firstRow="false"/>
        </w:trPr>
        <w:tc>
          <w:tcPr>
            <w:cnfStyle w:evenVBand="false" w:oddVBand="true" w:firstColumn="false"/>
            <w:tcW w:w="33.333333%" w:type="pct"/>
          </w:tcPr>
          <w:p>
            <w:pPr>
              <w:ind w:leftChars="0" w:left="0" w:right="0"/>
            </w:pPr>
            <w:r>
              <w:t>DZBK</w:t>
            </w:r>
          </w:p>
        </w:tc>
        <w:tc>
          <w:tcPr>
            <w:cnfStyle w:evenVBand="true" w:oddVBand="false" w:firstColumn="false"/>
            <w:tcW w:w="33.333333%" w:type="pct"/>
          </w:tcPr>
          <w:p>
            <w:pPr>
              <w:ind w:leftChars="0" w:left="0" w:right="0"/>
            </w:pPr>
            <w:r>
              <w:t>DZBK</w:t>
            </w:r>
          </w:p>
        </w:tc>
        <w:tc>
          <w:tcPr>
            <w:cnfStyle w:evenVBand="false" w:oddVBand="true" w:firstColumn="false"/>
            <w:tcW w:w="33.333333%" w:type="pct"/>
          </w:tcPr>
          <w:p>
            <w:pPr>
              <w:ind w:leftChars="0" w:left="0" w:right="0"/>
            </w:pPr>
            <w:r>
              <w:t>DZ BANK - SYSTEMATIC INTERNALISER</w:t>
            </w:r>
          </w:p>
        </w:tc>
      </w:tr>
      <w:tr>
        <w:trPr>
          <w:cnfStyle w:evenHBand="true" w:oddHBand="false" w:firstRow="false"/>
        </w:trPr>
        <w:tc>
          <w:tcPr>
            <w:cnfStyle w:evenVBand="false" w:oddVBand="true" w:firstColumn="false"/>
            <w:tcW w:w="33.333333%" w:type="pct"/>
          </w:tcPr>
          <w:p>
            <w:pPr>
              <w:ind w:leftChars="0" w:left="0" w:right="0"/>
            </w:pPr>
            <w:r>
              <w:t>EACM</w:t>
            </w:r>
          </w:p>
        </w:tc>
        <w:tc>
          <w:tcPr>
            <w:cnfStyle w:evenVBand="true" w:oddVBand="false" w:firstColumn="false"/>
            <w:tcW w:w="33.333333%" w:type="pct"/>
          </w:tcPr>
          <w:p>
            <w:pPr>
              <w:ind w:leftChars="0" w:left="0" w:right="0"/>
            </w:pPr>
            <w:r>
              <w:t>EACM</w:t>
            </w:r>
          </w:p>
        </w:tc>
        <w:tc>
          <w:tcPr>
            <w:cnfStyle w:evenVBand="false" w:oddVBand="true" w:firstColumn="false"/>
            <w:tcW w:w="33.333333%" w:type="pct"/>
          </w:tcPr>
          <w:p>
            <w:pPr>
              <w:ind w:leftChars="0" w:left="0" w:right="0"/>
            </w:pPr>
            <w:r>
              <w:t>MTS REPO - AGENCY CASH MANAGEMENT</w:t>
            </w:r>
          </w:p>
        </w:tc>
      </w:tr>
      <w:tr>
        <w:trPr>
          <w:cnfStyle w:evenHBand="false" w:oddHBand="true" w:firstRow="false"/>
        </w:trPr>
        <w:tc>
          <w:tcPr>
            <w:cnfStyle w:evenVBand="false" w:oddVBand="true" w:firstColumn="false"/>
            <w:tcW w:w="33.333333%" w:type="pct"/>
          </w:tcPr>
          <w:p>
            <w:pPr>
              <w:ind w:leftChars="0" w:left="0" w:right="0"/>
            </w:pPr>
            <w:r>
              <w:t>EBHU</w:t>
            </w:r>
          </w:p>
        </w:tc>
        <w:tc>
          <w:tcPr>
            <w:cnfStyle w:evenVBand="true" w:oddVBand="false" w:firstColumn="false"/>
            <w:tcW w:w="33.333333%" w:type="pct"/>
          </w:tcPr>
          <w:p>
            <w:pPr>
              <w:ind w:leftChars="0" w:left="0" w:right="0"/>
            </w:pPr>
            <w:r>
              <w:t>EBHU</w:t>
            </w:r>
          </w:p>
        </w:tc>
        <w:tc>
          <w:tcPr>
            <w:cnfStyle w:evenVBand="false" w:oddVBand="true" w:firstColumn="false"/>
            <w:tcW w:w="33.333333%" w:type="pct"/>
          </w:tcPr>
          <w:p>
            <w:pPr>
              <w:ind w:leftChars="0" w:left="0" w:right="0"/>
            </w:pPr>
            <w:r>
              <w:t>ERSTE BANK HUNGARY ZRT. - SYSTEMATIC INTERNALISER</w:t>
            </w:r>
          </w:p>
        </w:tc>
      </w:tr>
      <w:tr>
        <w:trPr>
          <w:cnfStyle w:evenHBand="true" w:oddHBand="false" w:firstRow="false"/>
        </w:trPr>
        <w:tc>
          <w:tcPr>
            <w:cnfStyle w:evenVBand="false" w:oddVBand="true" w:firstColumn="false"/>
            <w:tcW w:w="33.333333%" w:type="pct"/>
          </w:tcPr>
          <w:p>
            <w:pPr>
              <w:ind w:leftChars="0" w:left="0" w:right="0"/>
            </w:pPr>
            <w:r>
              <w:t>EBLX</w:t>
            </w:r>
          </w:p>
        </w:tc>
        <w:tc>
          <w:tcPr>
            <w:cnfStyle w:evenVBand="true" w:oddVBand="false" w:firstColumn="false"/>
            <w:tcW w:w="33.333333%" w:type="pct"/>
          </w:tcPr>
          <w:p>
            <w:pPr>
              <w:ind w:leftChars="0" w:left="0" w:right="0"/>
            </w:pPr>
            <w:r>
              <w:t>EBLX</w:t>
            </w:r>
          </w:p>
        </w:tc>
        <w:tc>
          <w:tcPr>
            <w:cnfStyle w:evenVBand="false" w:oddVBand="true" w:firstColumn="false"/>
            <w:tcW w:w="33.333333%" w:type="pct"/>
          </w:tcPr>
          <w:p>
            <w:pPr>
              <w:ind w:leftChars="0" w:left="0" w:right="0"/>
            </w:pPr>
            <w:r>
              <w:t>BLOCKMATCH EUROPE DARK</w:t>
            </w:r>
          </w:p>
        </w:tc>
      </w:tr>
      <w:tr>
        <w:trPr>
          <w:cnfStyle w:evenHBand="false" w:oddHBand="true" w:firstRow="false"/>
        </w:trPr>
        <w:tc>
          <w:tcPr>
            <w:cnfStyle w:evenVBand="false" w:oddVBand="true" w:firstColumn="false"/>
            <w:tcW w:w="33.333333%" w:type="pct"/>
          </w:tcPr>
          <w:p>
            <w:pPr>
              <w:ind w:leftChars="0" w:left="0" w:right="0"/>
            </w:pPr>
            <w:r>
              <w:t>EBMX</w:t>
            </w:r>
          </w:p>
        </w:tc>
        <w:tc>
          <w:tcPr>
            <w:cnfStyle w:evenVBand="true" w:oddVBand="false" w:firstColumn="false"/>
            <w:tcW w:w="33.333333%" w:type="pct"/>
          </w:tcPr>
          <w:p>
            <w:pPr>
              <w:ind w:leftChars="0" w:left="0" w:right="0"/>
            </w:pPr>
            <w:r>
              <w:t>EBMX</w:t>
            </w:r>
          </w:p>
        </w:tc>
        <w:tc>
          <w:tcPr>
            <w:cnfStyle w:evenVBand="false" w:oddVBand="true" w:firstColumn="false"/>
            <w:tcW w:w="33.333333%" w:type="pct"/>
          </w:tcPr>
          <w:p>
            <w:pPr>
              <w:ind w:leftChars="0" w:left="0" w:right="0"/>
            </w:pPr>
            <w:r>
              <w:t>EBM - MTF</w:t>
            </w:r>
          </w:p>
        </w:tc>
      </w:tr>
      <w:tr>
        <w:trPr>
          <w:cnfStyle w:evenHBand="true" w:oddHBand="false" w:firstRow="false"/>
        </w:trPr>
        <w:tc>
          <w:tcPr>
            <w:cnfStyle w:evenVBand="false" w:oddVBand="true" w:firstColumn="false"/>
            <w:tcW w:w="33.333333%" w:type="pct"/>
          </w:tcPr>
          <w:p>
            <w:pPr>
              <w:ind w:leftChars="0" w:left="0" w:right="0"/>
            </w:pPr>
            <w:r>
              <w:t>EBON</w:t>
            </w:r>
          </w:p>
        </w:tc>
        <w:tc>
          <w:tcPr>
            <w:cnfStyle w:evenVBand="true" w:oddVBand="false" w:firstColumn="false"/>
            <w:tcW w:w="33.333333%" w:type="pct"/>
          </w:tcPr>
          <w:p>
            <w:pPr>
              <w:ind w:leftChars="0" w:left="0" w:right="0"/>
            </w:pPr>
            <w:r>
              <w:t>EBON</w:t>
            </w:r>
          </w:p>
        </w:tc>
        <w:tc>
          <w:tcPr>
            <w:cnfStyle w:evenVBand="false" w:oddVBand="true" w:firstColumn="false"/>
            <w:tcW w:w="33.333333%" w:type="pct"/>
          </w:tcPr>
          <w:p>
            <w:pPr>
              <w:ind w:leftChars="0" w:left="0" w:right="0"/>
            </w:pPr>
            <w:r>
              <w:t>NASDAQ STOCKHOLM AB - EUR FI DERIVATIVES</w:t>
            </w:r>
          </w:p>
        </w:tc>
      </w:tr>
      <w:tr>
        <w:trPr>
          <w:cnfStyle w:evenHBand="false" w:oddHBand="true" w:firstRow="false"/>
        </w:trPr>
        <w:tc>
          <w:tcPr>
            <w:cnfStyle w:evenVBand="false" w:oddVBand="true" w:firstColumn="false"/>
            <w:tcW w:w="33.333333%" w:type="pct"/>
          </w:tcPr>
          <w:p>
            <w:pPr>
              <w:ind w:leftChars="0" w:left="0" w:right="0"/>
            </w:pPr>
            <w:r>
              <w:t>EBRA</w:t>
            </w:r>
          </w:p>
        </w:tc>
        <w:tc>
          <w:tcPr>
            <w:cnfStyle w:evenVBand="true" w:oddVBand="false" w:firstColumn="false"/>
            <w:tcW w:w="33.333333%" w:type="pct"/>
          </w:tcPr>
          <w:p>
            <w:pPr>
              <w:ind w:leftChars="0" w:left="0" w:right="0"/>
            </w:pPr>
            <w:r>
              <w:t>EBRA</w:t>
            </w:r>
          </w:p>
        </w:tc>
        <w:tc>
          <w:tcPr>
            <w:cnfStyle w:evenVBand="false" w:oddVBand="true" w:firstColumn="false"/>
            <w:tcW w:w="33.333333%" w:type="pct"/>
          </w:tcPr>
          <w:p>
            <w:pPr>
              <w:ind w:leftChars="0" w:left="0" w:right="0"/>
            </w:pPr>
            <w:r>
              <w:t>BRATISLAVA STOCK EXCHANGE - MTF</w:t>
            </w:r>
          </w:p>
        </w:tc>
      </w:tr>
      <w:tr>
        <w:trPr>
          <w:cnfStyle w:evenHBand="true" w:oddHBand="false" w:firstRow="false"/>
        </w:trPr>
        <w:tc>
          <w:tcPr>
            <w:cnfStyle w:evenVBand="false" w:oddVBand="true" w:firstColumn="false"/>
            <w:tcW w:w="33.333333%" w:type="pct"/>
          </w:tcPr>
          <w:p>
            <w:pPr>
              <w:ind w:leftChars="0" w:left="0" w:right="0"/>
            </w:pPr>
            <w:r>
              <w:t>EBSC</w:t>
            </w:r>
          </w:p>
        </w:tc>
        <w:tc>
          <w:tcPr>
            <w:cnfStyle w:evenVBand="true" w:oddVBand="false" w:firstColumn="false"/>
            <w:tcW w:w="33.333333%" w:type="pct"/>
          </w:tcPr>
          <w:p>
            <w:pPr>
              <w:ind w:leftChars="0" w:left="0" w:right="0"/>
            </w:pPr>
            <w:r>
              <w:t>EBSC</w:t>
            </w:r>
          </w:p>
        </w:tc>
        <w:tc>
          <w:tcPr>
            <w:cnfStyle w:evenVBand="false" w:oddVBand="true" w:firstColumn="false"/>
            <w:tcW w:w="33.333333%" w:type="pct"/>
          </w:tcPr>
          <w:p>
            <w:pPr>
              <w:ind w:leftChars="0" w:left="0" w:right="0"/>
            </w:pPr>
            <w:r>
              <w:t>EBS MARKET- CLOB - FOR THE TRADING OF SPOT FX, PRECIOUS METALS AND OTHER FX PRODUCTS</w:t>
            </w:r>
          </w:p>
        </w:tc>
      </w:tr>
      <w:tr>
        <w:trPr>
          <w:cnfStyle w:evenHBand="false" w:oddHBand="true" w:firstRow="false"/>
        </w:trPr>
        <w:tc>
          <w:tcPr>
            <w:cnfStyle w:evenVBand="false" w:oddVBand="true" w:firstColumn="false"/>
            <w:tcW w:w="33.333333%" w:type="pct"/>
          </w:tcPr>
          <w:p>
            <w:pPr>
              <w:ind w:leftChars="0" w:left="0" w:right="0"/>
            </w:pPr>
            <w:r>
              <w:t>EBSD</w:t>
            </w:r>
          </w:p>
        </w:tc>
        <w:tc>
          <w:tcPr>
            <w:cnfStyle w:evenVBand="true" w:oddVBand="false" w:firstColumn="false"/>
            <w:tcW w:w="33.333333%" w:type="pct"/>
          </w:tcPr>
          <w:p>
            <w:pPr>
              <w:ind w:leftChars="0" w:left="0" w:right="0"/>
            </w:pPr>
            <w:r>
              <w:t>EBSD</w:t>
            </w:r>
          </w:p>
        </w:tc>
        <w:tc>
          <w:tcPr>
            <w:cnfStyle w:evenVBand="false" w:oddVBand="true" w:firstColumn="false"/>
            <w:tcW w:w="33.333333%" w:type="pct"/>
          </w:tcPr>
          <w:p>
            <w:pPr>
              <w:ind w:leftChars="0" w:left="0" w:right="0"/>
            </w:pPr>
            <w:r>
              <w:t>EBS MTF - RFQ - FOR THE TRADING OF FX PRODUCTS</w:t>
            </w:r>
          </w:p>
        </w:tc>
      </w:tr>
      <w:tr>
        <w:trPr>
          <w:cnfStyle w:evenHBand="true" w:oddHBand="false" w:firstRow="false"/>
        </w:trPr>
        <w:tc>
          <w:tcPr>
            <w:cnfStyle w:evenVBand="false" w:oddVBand="true" w:firstColumn="false"/>
            <w:tcW w:w="33.333333%" w:type="pct"/>
          </w:tcPr>
          <w:p>
            <w:pPr>
              <w:ind w:leftChars="0" w:left="0" w:right="0"/>
            </w:pPr>
            <w:r>
              <w:t>EBSF</w:t>
            </w:r>
          </w:p>
        </w:tc>
        <w:tc>
          <w:tcPr>
            <w:cnfStyle w:evenVBand="true" w:oddVBand="false" w:firstColumn="false"/>
            <w:tcW w:w="33.333333%" w:type="pct"/>
          </w:tcPr>
          <w:p>
            <w:pPr>
              <w:ind w:leftChars="0" w:left="0" w:right="0"/>
            </w:pPr>
            <w:r>
              <w:t>EBSF</w:t>
            </w:r>
          </w:p>
        </w:tc>
        <w:tc>
          <w:tcPr>
            <w:cnfStyle w:evenVBand="false" w:oddVBand="true" w:firstColumn="false"/>
            <w:tcW w:w="33.333333%" w:type="pct"/>
          </w:tcPr>
          <w:p>
            <w:pPr>
              <w:ind w:leftChars="0" w:left="0" w:right="0"/>
            </w:pPr>
            <w:r>
              <w:t>EBS MTF - FX PRODUCTS - RFQ SEGMENT</w:t>
            </w:r>
          </w:p>
        </w:tc>
      </w:tr>
      <w:tr>
        <w:trPr>
          <w:cnfStyle w:evenHBand="false" w:oddHBand="true" w:firstRow="false"/>
        </w:trPr>
        <w:tc>
          <w:tcPr>
            <w:cnfStyle w:evenVBand="false" w:oddVBand="true" w:firstColumn="false"/>
            <w:tcW w:w="33.333333%" w:type="pct"/>
          </w:tcPr>
          <w:p>
            <w:pPr>
              <w:ind w:leftChars="0" w:left="0" w:right="0"/>
            </w:pPr>
            <w:r>
              <w:t>EBSI</w:t>
            </w:r>
          </w:p>
        </w:tc>
        <w:tc>
          <w:tcPr>
            <w:cnfStyle w:evenVBand="true" w:oddVBand="false" w:firstColumn="false"/>
            <w:tcW w:w="33.333333%" w:type="pct"/>
          </w:tcPr>
          <w:p>
            <w:pPr>
              <w:ind w:leftChars="0" w:left="0" w:right="0"/>
            </w:pPr>
            <w:r>
              <w:t>EBSI</w:t>
            </w:r>
          </w:p>
        </w:tc>
        <w:tc>
          <w:tcPr>
            <w:cnfStyle w:evenVBand="false" w:oddVBand="true" w:firstColumn="false"/>
            <w:tcW w:w="33.333333%" w:type="pct"/>
          </w:tcPr>
          <w:p>
            <w:pPr>
              <w:ind w:leftChars="0" w:left="0" w:right="0"/>
            </w:pPr>
            <w:r>
              <w:t>EBS MTF - RFQ - FOR ASSET MANAGERS TRADING FX PRODUCTS</w:t>
            </w:r>
          </w:p>
        </w:tc>
      </w:tr>
      <w:tr>
        <w:trPr>
          <w:cnfStyle w:evenHBand="true" w:oddHBand="false" w:firstRow="false"/>
        </w:trPr>
        <w:tc>
          <w:tcPr>
            <w:cnfStyle w:evenVBand="false" w:oddVBand="true" w:firstColumn="false"/>
            <w:tcW w:w="33.333333%" w:type="pct"/>
          </w:tcPr>
          <w:p>
            <w:pPr>
              <w:ind w:leftChars="0" w:left="0" w:right="0"/>
            </w:pPr>
            <w:r>
              <w:t>EBSM</w:t>
            </w:r>
          </w:p>
        </w:tc>
        <w:tc>
          <w:tcPr>
            <w:cnfStyle w:evenVBand="true" w:oddVBand="false" w:firstColumn="false"/>
            <w:tcW w:w="33.333333%" w:type="pct"/>
          </w:tcPr>
          <w:p>
            <w:pPr>
              <w:ind w:leftChars="0" w:left="0" w:right="0"/>
            </w:pPr>
            <w:r>
              <w:t>EBSM</w:t>
            </w:r>
          </w:p>
        </w:tc>
        <w:tc>
          <w:tcPr>
            <w:cnfStyle w:evenVBand="false" w:oddVBand="true" w:firstColumn="false"/>
            <w:tcW w:w="33.333333%" w:type="pct"/>
          </w:tcPr>
          <w:p>
            <w:pPr>
              <w:ind w:leftChars="0" w:left="0" w:right="0"/>
            </w:pPr>
            <w:r>
              <w:t>EBS MTF - CLOB - FOR THE TRADING OF FX PRODUCTS</w:t>
            </w:r>
          </w:p>
        </w:tc>
      </w:tr>
      <w:tr>
        <w:trPr>
          <w:cnfStyle w:evenHBand="false" w:oddHBand="true" w:firstRow="false"/>
        </w:trPr>
        <w:tc>
          <w:tcPr>
            <w:cnfStyle w:evenVBand="false" w:oddVBand="true" w:firstColumn="false"/>
            <w:tcW w:w="33.333333%" w:type="pct"/>
          </w:tcPr>
          <w:p>
            <w:pPr>
              <w:ind w:leftChars="0" w:left="0" w:right="0"/>
            </w:pPr>
            <w:r>
              <w:t>EBSN</w:t>
            </w:r>
          </w:p>
        </w:tc>
        <w:tc>
          <w:tcPr>
            <w:cnfStyle w:evenVBand="true" w:oddVBand="false" w:firstColumn="false"/>
            <w:tcW w:w="33.333333%" w:type="pct"/>
          </w:tcPr>
          <w:p>
            <w:pPr>
              <w:ind w:leftChars="0" w:left="0" w:right="0"/>
            </w:pPr>
            <w:r>
              <w:t>EBSN</w:t>
            </w:r>
          </w:p>
        </w:tc>
        <w:tc>
          <w:tcPr>
            <w:cnfStyle w:evenVBand="false" w:oddVBand="true" w:firstColumn="false"/>
            <w:tcW w:w="33.333333%" w:type="pct"/>
          </w:tcPr>
          <w:p>
            <w:pPr>
              <w:ind w:leftChars="0" w:left="0" w:right="0"/>
            </w:pPr>
            <w:r>
              <w:t>EBS MTF</w:t>
            </w:r>
          </w:p>
        </w:tc>
      </w:tr>
      <w:tr>
        <w:trPr>
          <w:cnfStyle w:evenHBand="true" w:oddHBand="false" w:firstRow="false"/>
        </w:trPr>
        <w:tc>
          <w:tcPr>
            <w:cnfStyle w:evenVBand="false" w:oddVBand="true" w:firstColumn="false"/>
            <w:tcW w:w="33.333333%" w:type="pct"/>
          </w:tcPr>
          <w:p>
            <w:pPr>
              <w:ind w:leftChars="0" w:left="0" w:right="0"/>
            </w:pPr>
            <w:r>
              <w:t>EBSO</w:t>
            </w:r>
          </w:p>
        </w:tc>
        <w:tc>
          <w:tcPr>
            <w:cnfStyle w:evenVBand="true" w:oddVBand="false" w:firstColumn="false"/>
            <w:tcW w:w="33.333333%" w:type="pct"/>
          </w:tcPr>
          <w:p>
            <w:pPr>
              <w:ind w:leftChars="0" w:left="0" w:right="0"/>
            </w:pPr>
            <w:r>
              <w:t>EBSO</w:t>
            </w:r>
          </w:p>
        </w:tc>
        <w:tc>
          <w:tcPr>
            <w:cnfStyle w:evenVBand="false" w:oddVBand="true" w:firstColumn="false"/>
            <w:tcW w:w="33.333333%" w:type="pct"/>
          </w:tcPr>
          <w:p>
            <w:pPr>
              <w:ind w:leftChars="0" w:left="0" w:right="0"/>
            </w:pPr>
            <w:r>
              <w:t>NEX SEF - RFQ - FX PRODUCTS FOR ASSET MANAGERS</w:t>
            </w:r>
          </w:p>
        </w:tc>
      </w:tr>
      <w:tr>
        <w:trPr>
          <w:cnfStyle w:evenHBand="false" w:oddHBand="true" w:firstRow="false"/>
        </w:trPr>
        <w:tc>
          <w:tcPr>
            <w:cnfStyle w:evenVBand="false" w:oddVBand="true" w:firstColumn="false"/>
            <w:tcW w:w="33.333333%" w:type="pct"/>
          </w:tcPr>
          <w:p>
            <w:pPr>
              <w:ind w:leftChars="0" w:left="0" w:right="0"/>
            </w:pPr>
            <w:r>
              <w:t>EBSS</w:t>
            </w:r>
          </w:p>
        </w:tc>
        <w:tc>
          <w:tcPr>
            <w:cnfStyle w:evenVBand="true" w:oddVBand="false" w:firstColumn="false"/>
            <w:tcW w:w="33.333333%" w:type="pct"/>
          </w:tcPr>
          <w:p>
            <w:pPr>
              <w:ind w:leftChars="0" w:left="0" w:right="0"/>
            </w:pPr>
            <w:r>
              <w:t>EBSS</w:t>
            </w:r>
          </w:p>
        </w:tc>
        <w:tc>
          <w:tcPr>
            <w:cnfStyle w:evenVBand="false" w:oddVBand="true" w:firstColumn="false"/>
            <w:tcW w:w="33.333333%" w:type="pct"/>
          </w:tcPr>
          <w:p>
            <w:pPr>
              <w:ind w:leftChars="0" w:left="0" w:right="0"/>
            </w:pPr>
            <w:r>
              <w:t>EBS SERVICE COMPANY LIMITED - ALL MARKETS</w:t>
            </w:r>
          </w:p>
        </w:tc>
      </w:tr>
      <w:tr>
        <w:trPr>
          <w:cnfStyle w:evenHBand="true" w:oddHBand="false" w:firstRow="false"/>
        </w:trPr>
        <w:tc>
          <w:tcPr>
            <w:cnfStyle w:evenVBand="false" w:oddVBand="true" w:firstColumn="false"/>
            <w:tcW w:w="33.333333%" w:type="pct"/>
          </w:tcPr>
          <w:p>
            <w:pPr>
              <w:ind w:leftChars="0" w:left="0" w:right="0"/>
            </w:pPr>
            <w:r>
              <w:t>EBSX</w:t>
            </w:r>
          </w:p>
        </w:tc>
        <w:tc>
          <w:tcPr>
            <w:cnfStyle w:evenVBand="true" w:oddVBand="false" w:firstColumn="false"/>
            <w:tcW w:w="33.333333%" w:type="pct"/>
          </w:tcPr>
          <w:p>
            <w:pPr>
              <w:ind w:leftChars="0" w:left="0" w:right="0"/>
            </w:pPr>
            <w:r>
              <w:t>EBSX</w:t>
            </w:r>
          </w:p>
        </w:tc>
        <w:tc>
          <w:tcPr>
            <w:cnfStyle w:evenVBand="false" w:oddVBand="true" w:firstColumn="false"/>
            <w:tcW w:w="33.333333%" w:type="pct"/>
          </w:tcPr>
          <w:p>
            <w:pPr>
              <w:ind w:leftChars="0" w:left="0" w:right="0"/>
            </w:pPr>
            <w:r>
              <w:t>EBS MTF</w:t>
            </w:r>
          </w:p>
        </w:tc>
      </w:tr>
      <w:tr>
        <w:trPr>
          <w:cnfStyle w:evenHBand="false" w:oddHBand="true" w:firstRow="false"/>
        </w:trPr>
        <w:tc>
          <w:tcPr>
            <w:cnfStyle w:evenVBand="false" w:oddVBand="true" w:firstColumn="false"/>
            <w:tcW w:w="33.333333%" w:type="pct"/>
          </w:tcPr>
          <w:p>
            <w:pPr>
              <w:ind w:leftChars="0" w:left="0" w:right="0"/>
            </w:pPr>
            <w:r>
              <w:t>EBXV</w:t>
            </w:r>
          </w:p>
        </w:tc>
        <w:tc>
          <w:tcPr>
            <w:cnfStyle w:evenVBand="true" w:oddVBand="false" w:firstColumn="false"/>
            <w:tcW w:w="33.333333%" w:type="pct"/>
          </w:tcPr>
          <w:p>
            <w:pPr>
              <w:ind w:leftChars="0" w:left="0" w:right="0"/>
            </w:pPr>
            <w:r>
              <w:t>EBXV</w:t>
            </w:r>
          </w:p>
        </w:tc>
        <w:tc>
          <w:tcPr>
            <w:cnfStyle w:evenVBand="false" w:oddVBand="true" w:firstColumn="false"/>
            <w:tcW w:w="33.333333%" w:type="pct"/>
          </w:tcPr>
          <w:p>
            <w:pPr>
              <w:ind w:leftChars="0" w:left="0" w:right="0"/>
            </w:pPr>
            <w:r>
              <w:t>LEVEL ATS - VWAP CROSS</w:t>
            </w:r>
          </w:p>
        </w:tc>
      </w:tr>
      <w:tr>
        <w:trPr>
          <w:cnfStyle w:evenHBand="true" w:oddHBand="false" w:firstRow="false"/>
        </w:trPr>
        <w:tc>
          <w:tcPr>
            <w:cnfStyle w:evenVBand="false" w:oddVBand="true" w:firstColumn="false"/>
            <w:tcW w:w="33.333333%" w:type="pct"/>
          </w:tcPr>
          <w:p>
            <w:pPr>
              <w:ind w:leftChars="0" w:left="0" w:right="0"/>
            </w:pPr>
            <w:r>
              <w:t>ECAG</w:t>
            </w:r>
          </w:p>
        </w:tc>
        <w:tc>
          <w:tcPr>
            <w:cnfStyle w:evenVBand="true" w:oddVBand="false" w:firstColumn="false"/>
            <w:tcW w:w="33.333333%" w:type="pct"/>
          </w:tcPr>
          <w:p>
            <w:pPr>
              <w:ind w:leftChars="0" w:left="0" w:right="0"/>
            </w:pPr>
            <w:r>
              <w:t>ECAG</w:t>
            </w:r>
          </w:p>
        </w:tc>
        <w:tc>
          <w:tcPr>
            <w:cnfStyle w:evenVBand="false" w:oddVBand="true" w:firstColumn="false"/>
            <w:tcW w:w="33.333333%" w:type="pct"/>
          </w:tcPr>
          <w:p>
            <w:pPr>
              <w:ind w:leftChars="0" w:left="0" w:right="0"/>
            </w:pPr>
            <w:r>
              <w:t>EUREX CLEARING AG</w:t>
            </w:r>
          </w:p>
        </w:tc>
      </w:tr>
      <w:tr>
        <w:trPr>
          <w:cnfStyle w:evenHBand="false" w:oddHBand="true" w:firstRow="false"/>
        </w:trPr>
        <w:tc>
          <w:tcPr>
            <w:cnfStyle w:evenVBand="false" w:oddVBand="true" w:firstColumn="false"/>
            <w:tcW w:w="33.333333%" w:type="pct"/>
          </w:tcPr>
          <w:p>
            <w:pPr>
              <w:ind w:leftChars="0" w:left="0" w:right="0"/>
            </w:pPr>
            <w:r>
              <w:t>ECAL</w:t>
            </w:r>
          </w:p>
        </w:tc>
        <w:tc>
          <w:tcPr>
            <w:cnfStyle w:evenVBand="true" w:oddVBand="false" w:firstColumn="false"/>
            <w:tcW w:w="33.333333%" w:type="pct"/>
          </w:tcPr>
          <w:p>
            <w:pPr>
              <w:ind w:leftChars="0" w:left="0" w:right="0"/>
            </w:pPr>
            <w:r>
              <w:t>ECAL</w:t>
            </w:r>
          </w:p>
        </w:tc>
        <w:tc>
          <w:tcPr>
            <w:cnfStyle w:evenVBand="false" w:oddVBand="true" w:firstColumn="false"/>
            <w:tcW w:w="33.333333%" w:type="pct"/>
          </w:tcPr>
          <w:p>
            <w:pPr>
              <w:ind w:leftChars="0" w:left="0" w:right="0"/>
            </w:pPr>
            <w:r>
              <w:t>EUREX CLEARING ASIA PTE. LTD.</w:t>
            </w:r>
          </w:p>
        </w:tc>
      </w:tr>
      <w:tr>
        <w:trPr>
          <w:cnfStyle w:evenHBand="true" w:oddHBand="false" w:firstRow="false"/>
        </w:trPr>
        <w:tc>
          <w:tcPr>
            <w:cnfStyle w:evenVBand="false" w:oddVBand="true" w:firstColumn="false"/>
            <w:tcW w:w="33.333333%" w:type="pct"/>
          </w:tcPr>
          <w:p>
            <w:pPr>
              <w:ind w:leftChars="0" w:left="0" w:right="0"/>
            </w:pPr>
            <w:r>
              <w:t>ECEU</w:t>
            </w:r>
          </w:p>
        </w:tc>
        <w:tc>
          <w:tcPr>
            <w:cnfStyle w:evenVBand="true" w:oddVBand="false" w:firstColumn="false"/>
            <w:tcW w:w="33.333333%" w:type="pct"/>
          </w:tcPr>
          <w:p>
            <w:pPr>
              <w:ind w:leftChars="0" w:left="0" w:right="0"/>
            </w:pPr>
            <w:r>
              <w:t>ECEU</w:t>
            </w:r>
          </w:p>
        </w:tc>
        <w:tc>
          <w:tcPr>
            <w:cnfStyle w:evenVBand="false" w:oddVBand="true" w:firstColumn="false"/>
            <w:tcW w:w="33.333333%" w:type="pct"/>
          </w:tcPr>
          <w:p>
            <w:pPr>
              <w:ind w:leftChars="0" w:left="0" w:right="0"/>
            </w:pPr>
            <w:r>
              <w:t>TRADECHO EU APA</w:t>
            </w:r>
          </w:p>
        </w:tc>
      </w:tr>
      <w:tr>
        <w:trPr>
          <w:cnfStyle w:evenHBand="false" w:oddHBand="true" w:firstRow="false"/>
        </w:trPr>
        <w:tc>
          <w:tcPr>
            <w:cnfStyle w:evenVBand="false" w:oddVBand="true" w:firstColumn="false"/>
            <w:tcW w:w="33.333333%" w:type="pct"/>
          </w:tcPr>
          <w:p>
            <w:pPr>
              <w:ind w:leftChars="0" w:left="0" w:right="0"/>
            </w:pPr>
            <w:r>
              <w:t>ECGS</w:t>
            </w:r>
          </w:p>
        </w:tc>
        <w:tc>
          <w:tcPr>
            <w:cnfStyle w:evenVBand="true" w:oddVBand="false" w:firstColumn="false"/>
            <w:tcW w:w="33.333333%" w:type="pct"/>
          </w:tcPr>
          <w:p>
            <w:pPr>
              <w:ind w:leftChars="0" w:left="0" w:right="0"/>
            </w:pPr>
            <w:r>
              <w:t>ECGS</w:t>
            </w:r>
          </w:p>
        </w:tc>
        <w:tc>
          <w:tcPr>
            <w:cnfStyle w:evenVBand="false" w:oddVBand="true" w:firstColumn="false"/>
            <w:tcW w:w="33.333333%" w:type="pct"/>
          </w:tcPr>
          <w:p>
            <w:pPr>
              <w:ind w:leftChars="0" w:left="0" w:right="0"/>
            </w:pPr>
            <w:r>
              <w:t>EUREX CLEARING AG - SME</w:t>
            </w:r>
          </w:p>
        </w:tc>
      </w:tr>
      <w:tr>
        <w:trPr>
          <w:cnfStyle w:evenHBand="true" w:oddHBand="false" w:firstRow="false"/>
        </w:trPr>
        <w:tc>
          <w:tcPr>
            <w:cnfStyle w:evenVBand="false" w:oddVBand="true" w:firstColumn="false"/>
            <w:tcW w:w="33.333333%" w:type="pct"/>
          </w:tcPr>
          <w:p>
            <w:pPr>
              <w:ind w:leftChars="0" w:left="0" w:right="0"/>
            </w:pPr>
            <w:r>
              <w:t>ECHO</w:t>
            </w:r>
          </w:p>
        </w:tc>
        <w:tc>
          <w:tcPr>
            <w:cnfStyle w:evenVBand="true" w:oddVBand="false" w:firstColumn="false"/>
            <w:tcW w:w="33.333333%" w:type="pct"/>
          </w:tcPr>
          <w:p>
            <w:pPr>
              <w:ind w:leftChars="0" w:left="0" w:right="0"/>
            </w:pPr>
            <w:r>
              <w:t>ECHO</w:t>
            </w:r>
          </w:p>
        </w:tc>
        <w:tc>
          <w:tcPr>
            <w:cnfStyle w:evenVBand="false" w:oddVBand="true" w:firstColumn="false"/>
            <w:tcW w:w="33.333333%" w:type="pct"/>
          </w:tcPr>
          <w:p>
            <w:pPr>
              <w:ind w:leftChars="0" w:left="0" w:right="0"/>
            </w:pPr>
            <w:r>
              <w:t>LONDON STOCK EXCHANGE - APA</w:t>
            </w:r>
          </w:p>
        </w:tc>
      </w:tr>
      <w:tr>
        <w:trPr>
          <w:cnfStyle w:evenHBand="false" w:oddHBand="true" w:firstRow="false"/>
        </w:trPr>
        <w:tc>
          <w:tcPr>
            <w:cnfStyle w:evenVBand="false" w:oddVBand="true" w:firstColumn="false"/>
            <w:tcW w:w="33.333333%" w:type="pct"/>
          </w:tcPr>
          <w:p>
            <w:pPr>
              <w:ind w:leftChars="0" w:left="0" w:right="0"/>
            </w:pPr>
            <w:r>
              <w:t>ECNL</w:t>
            </w:r>
          </w:p>
        </w:tc>
        <w:tc>
          <w:tcPr>
            <w:cnfStyle w:evenVBand="true" w:oddVBand="false" w:firstColumn="false"/>
            <w:tcW w:w="33.333333%" w:type="pct"/>
          </w:tcPr>
          <w:p>
            <w:pPr>
              <w:ind w:leftChars="0" w:left="0" w:right="0"/>
            </w:pPr>
            <w:r>
              <w:t>ECNL</w:t>
            </w:r>
          </w:p>
        </w:tc>
        <w:tc>
          <w:tcPr>
            <w:cnfStyle w:evenVBand="false" w:oddVBand="true" w:firstColumn="false"/>
            <w:tcW w:w="33.333333%" w:type="pct"/>
          </w:tcPr>
          <w:p>
            <w:pPr>
              <w:ind w:leftChars="0" w:left="0" w:right="0"/>
            </w:pPr>
            <w:r>
              <w:t>REFINITIV TRANSACTION SERVICES LIMITED - FX SPOT ECN</w:t>
            </w:r>
          </w:p>
        </w:tc>
      </w:tr>
      <w:tr>
        <w:trPr>
          <w:cnfStyle w:evenHBand="true" w:oddHBand="false" w:firstRow="false"/>
        </w:trPr>
        <w:tc>
          <w:tcPr>
            <w:cnfStyle w:evenVBand="false" w:oddVBand="true" w:firstColumn="false"/>
            <w:tcW w:w="33.333333%" w:type="pct"/>
          </w:tcPr>
          <w:p>
            <w:pPr>
              <w:ind w:leftChars="0" w:left="0" w:right="0"/>
            </w:pPr>
            <w:r>
              <w:t>ECSL</w:t>
            </w:r>
          </w:p>
        </w:tc>
        <w:tc>
          <w:tcPr>
            <w:cnfStyle w:evenVBand="true" w:oddVBand="false" w:firstColumn="false"/>
            <w:tcW w:w="33.333333%" w:type="pct"/>
          </w:tcPr>
          <w:p>
            <w:pPr>
              <w:ind w:leftChars="0" w:left="0" w:right="0"/>
            </w:pPr>
            <w:r>
              <w:t>ECSL</w:t>
            </w:r>
          </w:p>
        </w:tc>
        <w:tc>
          <w:tcPr>
            <w:cnfStyle w:evenVBand="false" w:oddVBand="true" w:firstColumn="false"/>
            <w:tcW w:w="33.333333%" w:type="pct"/>
          </w:tcPr>
          <w:p>
            <w:pPr>
              <w:ind w:leftChars="0" w:left="0" w:right="0"/>
            </w:pPr>
            <w:r>
              <w:t>ENTERPRISE COMMODITY SERVICES LIMITED</w:t>
            </w:r>
          </w:p>
        </w:tc>
      </w:tr>
      <w:tr>
        <w:trPr>
          <w:cnfStyle w:evenHBand="false" w:oddHBand="true" w:firstRow="false"/>
        </w:trPr>
        <w:tc>
          <w:tcPr>
            <w:cnfStyle w:evenVBand="false" w:oddVBand="true" w:firstColumn="false"/>
            <w:tcW w:w="33.333333%" w:type="pct"/>
          </w:tcPr>
          <w:p>
            <w:pPr>
              <w:ind w:leftChars="0" w:left="0" w:right="0"/>
            </w:pPr>
            <w:r>
              <w:t>ECXE</w:t>
            </w:r>
          </w:p>
        </w:tc>
        <w:tc>
          <w:tcPr>
            <w:cnfStyle w:evenVBand="true" w:oddVBand="false" w:firstColumn="false"/>
            <w:tcW w:w="33.333333%" w:type="pct"/>
          </w:tcPr>
          <w:p>
            <w:pPr>
              <w:ind w:leftChars="0" w:left="0" w:right="0"/>
            </w:pPr>
            <w:r>
              <w:t>ECXE</w:t>
            </w:r>
          </w:p>
        </w:tc>
        <w:tc>
          <w:tcPr>
            <w:cnfStyle w:evenVBand="false" w:oddVBand="true" w:firstColumn="false"/>
            <w:tcW w:w="33.333333%" w:type="pct"/>
          </w:tcPr>
          <w:p>
            <w:pPr>
              <w:ind w:leftChars="0" w:left="0" w:right="0"/>
            </w:pPr>
            <w:r>
              <w:t>EUROPEAN CLIMATE EXCHANGE</w:t>
            </w:r>
          </w:p>
        </w:tc>
      </w:tr>
      <w:tr>
        <w:trPr>
          <w:cnfStyle w:evenHBand="true" w:oddHBand="false" w:firstRow="false"/>
        </w:trPr>
        <w:tc>
          <w:tcPr>
            <w:cnfStyle w:evenVBand="false" w:oddVBand="true" w:firstColumn="false"/>
            <w:tcW w:w="33.333333%" w:type="pct"/>
          </w:tcPr>
          <w:p>
            <w:pPr>
              <w:ind w:leftChars="0" w:left="0" w:right="0"/>
            </w:pPr>
            <w:r>
              <w:t>EDBT</w:t>
            </w:r>
          </w:p>
        </w:tc>
        <w:tc>
          <w:tcPr>
            <w:cnfStyle w:evenVBand="true" w:oddVBand="false" w:firstColumn="false"/>
            <w:tcW w:w="33.333333%" w:type="pct"/>
          </w:tcPr>
          <w:p>
            <w:pPr>
              <w:ind w:leftChars="0" w:left="0" w:right="0"/>
            </w:pPr>
            <w:r>
              <w:t>EDBT</w:t>
            </w:r>
          </w:p>
        </w:tc>
        <w:tc>
          <w:tcPr>
            <w:cnfStyle w:evenVBand="false" w:oddVBand="true" w:firstColumn="false"/>
            <w:tcW w:w="33.333333%" w:type="pct"/>
          </w:tcPr>
          <w:p>
            <w:pPr>
              <w:ind w:leftChars="0" w:left="0" w:right="0"/>
            </w:pPr>
            <w:r>
              <w:t>EURONEXT DUBLIN - TRADED BONDS</w:t>
            </w:r>
          </w:p>
        </w:tc>
      </w:tr>
      <w:tr>
        <w:trPr>
          <w:cnfStyle w:evenHBand="false" w:oddHBand="true" w:firstRow="false"/>
        </w:trPr>
        <w:tc>
          <w:tcPr>
            <w:cnfStyle w:evenVBand="false" w:oddVBand="true" w:firstColumn="false"/>
            <w:tcW w:w="33.333333%" w:type="pct"/>
          </w:tcPr>
          <w:p>
            <w:pPr>
              <w:ind w:leftChars="0" w:left="0" w:right="0"/>
            </w:pPr>
            <w:r>
              <w:t>EDDP</w:t>
            </w:r>
          </w:p>
        </w:tc>
        <w:tc>
          <w:tcPr>
            <w:cnfStyle w:evenVBand="true" w:oddVBand="false" w:firstColumn="false"/>
            <w:tcW w:w="33.333333%" w:type="pct"/>
          </w:tcPr>
          <w:p>
            <w:pPr>
              <w:ind w:leftChars="0" w:left="0" w:right="0"/>
            </w:pPr>
            <w:r>
              <w:t>EDDP</w:t>
            </w:r>
          </w:p>
        </w:tc>
        <w:tc>
          <w:tcPr>
            <w:cnfStyle w:evenVBand="false" w:oddVBand="true" w:firstColumn="false"/>
            <w:tcW w:w="33.333333%" w:type="pct"/>
          </w:tcPr>
          <w:p>
            <w:pPr>
              <w:ind w:leftChars="0" w:left="0" w:right="0"/>
            </w:pPr>
            <w:r>
              <w:t>CBOE EDGX U.S. EQUITIES EXCHANGE DARK</w:t>
            </w:r>
          </w:p>
        </w:tc>
      </w:tr>
      <w:tr>
        <w:trPr>
          <w:cnfStyle w:evenHBand="true" w:oddHBand="false" w:firstRow="false"/>
        </w:trPr>
        <w:tc>
          <w:tcPr>
            <w:cnfStyle w:evenVBand="false" w:oddVBand="true" w:firstColumn="false"/>
            <w:tcW w:w="33.333333%" w:type="pct"/>
          </w:tcPr>
          <w:p>
            <w:pPr>
              <w:ind w:leftChars="0" w:left="0" w:right="0"/>
            </w:pPr>
            <w:r>
              <w:t>EDGA</w:t>
            </w:r>
          </w:p>
        </w:tc>
        <w:tc>
          <w:tcPr>
            <w:cnfStyle w:evenVBand="true" w:oddVBand="false" w:firstColumn="false"/>
            <w:tcW w:w="33.333333%" w:type="pct"/>
          </w:tcPr>
          <w:p>
            <w:pPr>
              <w:ind w:leftChars="0" w:left="0" w:right="0"/>
            </w:pPr>
            <w:r>
              <w:t>EDGA</w:t>
            </w:r>
          </w:p>
        </w:tc>
        <w:tc>
          <w:tcPr>
            <w:cnfStyle w:evenVBand="false" w:oddVBand="true" w:firstColumn="false"/>
            <w:tcW w:w="33.333333%" w:type="pct"/>
          </w:tcPr>
          <w:p>
            <w:pPr>
              <w:ind w:leftChars="0" w:left="0" w:right="0"/>
            </w:pPr>
            <w:r>
              <w:t>CBOE EDGA U.S. EQUITIES EXCHANGE</w:t>
            </w:r>
          </w:p>
        </w:tc>
      </w:tr>
      <w:tr>
        <w:trPr>
          <w:cnfStyle w:evenHBand="false" w:oddHBand="true" w:firstRow="false"/>
        </w:trPr>
        <w:tc>
          <w:tcPr>
            <w:cnfStyle w:evenVBand="false" w:oddVBand="true" w:firstColumn="false"/>
            <w:tcW w:w="33.333333%" w:type="pct"/>
          </w:tcPr>
          <w:p>
            <w:pPr>
              <w:ind w:leftChars="0" w:left="0" w:right="0"/>
            </w:pPr>
            <w:r>
              <w:t>EDGD</w:t>
            </w:r>
          </w:p>
        </w:tc>
        <w:tc>
          <w:tcPr>
            <w:cnfStyle w:evenVBand="true" w:oddVBand="false" w:firstColumn="false"/>
            <w:tcW w:w="33.333333%" w:type="pct"/>
          </w:tcPr>
          <w:p>
            <w:pPr>
              <w:ind w:leftChars="0" w:left="0" w:right="0"/>
            </w:pPr>
            <w:r>
              <w:t>EDGD</w:t>
            </w:r>
          </w:p>
        </w:tc>
        <w:tc>
          <w:tcPr>
            <w:cnfStyle w:evenVBand="false" w:oddVBand="true" w:firstColumn="false"/>
            <w:tcW w:w="33.333333%" w:type="pct"/>
          </w:tcPr>
          <w:p>
            <w:pPr>
              <w:ind w:leftChars="0" w:left="0" w:right="0"/>
            </w:pPr>
            <w:r>
              <w:t>CBOE EDGA U.S. EQUITIES EXCHANGE DARK</w:t>
            </w:r>
          </w:p>
        </w:tc>
      </w:tr>
      <w:tr>
        <w:trPr>
          <w:cnfStyle w:evenHBand="true" w:oddHBand="false" w:firstRow="false"/>
        </w:trPr>
        <w:tc>
          <w:tcPr>
            <w:cnfStyle w:evenVBand="false" w:oddVBand="true" w:firstColumn="false"/>
            <w:tcW w:w="33.333333%" w:type="pct"/>
          </w:tcPr>
          <w:p>
            <w:pPr>
              <w:ind w:leftChars="0" w:left="0" w:right="0"/>
            </w:pPr>
            <w:r>
              <w:t>EDGE</w:t>
            </w:r>
          </w:p>
        </w:tc>
        <w:tc>
          <w:tcPr>
            <w:cnfStyle w:evenVBand="true" w:oddVBand="false" w:firstColumn="false"/>
            <w:tcW w:w="33.333333%" w:type="pct"/>
          </w:tcPr>
          <w:p>
            <w:pPr>
              <w:ind w:leftChars="0" w:left="0" w:right="0"/>
            </w:pPr>
            <w:r>
              <w:t>EDGE</w:t>
            </w:r>
          </w:p>
        </w:tc>
        <w:tc>
          <w:tcPr>
            <w:cnfStyle w:evenVBand="false" w:oddVBand="true" w:firstColumn="false"/>
            <w:tcW w:w="33.333333%" w:type="pct"/>
          </w:tcPr>
          <w:p>
            <w:pPr>
              <w:ind w:leftChars="0" w:left="0" w:right="0"/>
            </w:pPr>
            <w:r>
              <w:t>BATS DIRECT EDGE</w:t>
            </w:r>
          </w:p>
        </w:tc>
      </w:tr>
      <w:tr>
        <w:trPr>
          <w:cnfStyle w:evenHBand="false" w:oddHBand="true" w:firstRow="false"/>
        </w:trPr>
        <w:tc>
          <w:tcPr>
            <w:cnfStyle w:evenVBand="false" w:oddVBand="true" w:firstColumn="false"/>
            <w:tcW w:w="33.333333%" w:type="pct"/>
          </w:tcPr>
          <w:p>
            <w:pPr>
              <w:ind w:leftChars="0" w:left="0" w:right="0"/>
            </w:pPr>
            <w:r>
              <w:t>EDGL</w:t>
            </w:r>
          </w:p>
        </w:tc>
        <w:tc>
          <w:tcPr>
            <w:cnfStyle w:evenVBand="true" w:oddVBand="false" w:firstColumn="false"/>
            <w:tcW w:w="33.333333%" w:type="pct"/>
          </w:tcPr>
          <w:p>
            <w:pPr>
              <w:ind w:leftChars="0" w:left="0" w:right="0"/>
            </w:pPr>
            <w:r>
              <w:t>EDGL</w:t>
            </w:r>
          </w:p>
        </w:tc>
        <w:tc>
          <w:tcPr>
            <w:cnfStyle w:evenVBand="false" w:oddVBand="true" w:firstColumn="false"/>
            <w:tcW w:w="33.333333%" w:type="pct"/>
          </w:tcPr>
          <w:p>
            <w:pPr>
              <w:ind w:leftChars="0" w:left="0" w:right="0"/>
            </w:pPr>
            <w:r>
              <w:t>GLOBAL EXCHANGE MARKET - TRADED BONDS</w:t>
            </w:r>
          </w:p>
        </w:tc>
      </w:tr>
      <w:tr>
        <w:trPr>
          <w:cnfStyle w:evenHBand="true" w:oddHBand="false" w:firstRow="false"/>
        </w:trPr>
        <w:tc>
          <w:tcPr>
            <w:cnfStyle w:evenVBand="false" w:oddVBand="true" w:firstColumn="false"/>
            <w:tcW w:w="33.333333%" w:type="pct"/>
          </w:tcPr>
          <w:p>
            <w:pPr>
              <w:ind w:leftChars="0" w:left="0" w:right="0"/>
            </w:pPr>
            <w:r>
              <w:t>EDGO</w:t>
            </w:r>
          </w:p>
        </w:tc>
        <w:tc>
          <w:tcPr>
            <w:cnfStyle w:evenVBand="true" w:oddVBand="false" w:firstColumn="false"/>
            <w:tcW w:w="33.333333%" w:type="pct"/>
          </w:tcPr>
          <w:p>
            <w:pPr>
              <w:ind w:leftChars="0" w:left="0" w:right="0"/>
            </w:pPr>
            <w:r>
              <w:t>EDGO</w:t>
            </w:r>
          </w:p>
        </w:tc>
        <w:tc>
          <w:tcPr>
            <w:cnfStyle w:evenVBand="false" w:oddVBand="true" w:firstColumn="false"/>
            <w:tcW w:w="33.333333%" w:type="pct"/>
          </w:tcPr>
          <w:p>
            <w:pPr>
              <w:ind w:leftChars="0" w:left="0" w:right="0"/>
            </w:pPr>
            <w:r>
              <w:t>CBOE EDGX OPTIONS EXCHANGE</w:t>
            </w:r>
          </w:p>
        </w:tc>
      </w:tr>
      <w:tr>
        <w:trPr>
          <w:cnfStyle w:evenHBand="false" w:oddHBand="true" w:firstRow="false"/>
        </w:trPr>
        <w:tc>
          <w:tcPr>
            <w:cnfStyle w:evenVBand="false" w:oddVBand="true" w:firstColumn="false"/>
            <w:tcW w:w="33.333333%" w:type="pct"/>
          </w:tcPr>
          <w:p>
            <w:pPr>
              <w:ind w:leftChars="0" w:left="0" w:right="0"/>
            </w:pPr>
            <w:r>
              <w:t>EDGX</w:t>
            </w:r>
          </w:p>
        </w:tc>
        <w:tc>
          <w:tcPr>
            <w:cnfStyle w:evenVBand="true" w:oddVBand="false" w:firstColumn="false"/>
            <w:tcW w:w="33.333333%" w:type="pct"/>
          </w:tcPr>
          <w:p>
            <w:pPr>
              <w:ind w:leftChars="0" w:left="0" w:right="0"/>
            </w:pPr>
            <w:r>
              <w:t>EDGX</w:t>
            </w:r>
          </w:p>
        </w:tc>
        <w:tc>
          <w:tcPr>
            <w:cnfStyle w:evenVBand="false" w:oddVBand="true" w:firstColumn="false"/>
            <w:tcW w:w="33.333333%" w:type="pct"/>
          </w:tcPr>
          <w:p>
            <w:pPr>
              <w:ind w:leftChars="0" w:left="0" w:right="0"/>
            </w:pPr>
            <w:r>
              <w:t>CBOE EDGX U.S. EQUITIES EXCHANGE</w:t>
            </w:r>
          </w:p>
        </w:tc>
      </w:tr>
      <w:tr>
        <w:trPr>
          <w:cnfStyle w:evenHBand="true" w:oddHBand="false" w:firstRow="false"/>
        </w:trPr>
        <w:tc>
          <w:tcPr>
            <w:cnfStyle w:evenVBand="false" w:oddVBand="true" w:firstColumn="false"/>
            <w:tcW w:w="33.333333%" w:type="pct"/>
          </w:tcPr>
          <w:p>
            <w:pPr>
              <w:ind w:leftChars="0" w:left="0" w:right="0"/>
            </w:pPr>
            <w:r>
              <w:t>EDRF</w:t>
            </w:r>
          </w:p>
        </w:tc>
        <w:tc>
          <w:tcPr>
            <w:cnfStyle w:evenVBand="true" w:oddVBand="false" w:firstColumn="false"/>
            <w:tcW w:w="33.333333%" w:type="pct"/>
          </w:tcPr>
          <w:p>
            <w:pPr>
              <w:ind w:leftChars="0" w:left="0" w:right="0"/>
            </w:pPr>
            <w:r>
              <w:t>EDRF</w:t>
            </w:r>
          </w:p>
        </w:tc>
        <w:tc>
          <w:tcPr>
            <w:cnfStyle w:evenVBand="false" w:oddVBand="true" w:firstColumn="false"/>
            <w:tcW w:w="33.333333%" w:type="pct"/>
          </w:tcPr>
          <w:p>
            <w:pPr>
              <w:ind w:leftChars="0" w:left="0" w:right="0"/>
            </w:pPr>
            <w:r>
              <w:t>EDMOND DE ROTHSCHILD  (FRANCE) - SYSTEMATIC INTERNALISER</w:t>
            </w:r>
          </w:p>
        </w:tc>
      </w:tr>
      <w:tr>
        <w:trPr>
          <w:cnfStyle w:evenHBand="false" w:oddHBand="true" w:firstRow="false"/>
        </w:trPr>
        <w:tc>
          <w:tcPr>
            <w:cnfStyle w:evenVBand="false" w:oddVBand="true" w:firstColumn="false"/>
            <w:tcW w:w="33.333333%" w:type="pct"/>
          </w:tcPr>
          <w:p>
            <w:pPr>
              <w:ind w:leftChars="0" w:left="0" w:right="0"/>
            </w:pPr>
            <w:r>
              <w:t>EEAL</w:t>
            </w:r>
          </w:p>
        </w:tc>
        <w:tc>
          <w:tcPr>
            <w:cnfStyle w:evenVBand="true" w:oddVBand="false" w:firstColumn="false"/>
            <w:tcW w:w="33.333333%" w:type="pct"/>
          </w:tcPr>
          <w:p>
            <w:pPr>
              <w:ind w:leftChars="0" w:left="0" w:right="0"/>
            </w:pPr>
            <w:r>
              <w:t>EEAL</w:t>
            </w:r>
          </w:p>
        </w:tc>
        <w:tc>
          <w:tcPr>
            <w:cnfStyle w:evenVBand="false" w:oddVBand="true" w:firstColumn="false"/>
            <w:tcW w:w="33.333333%" w:type="pct"/>
          </w:tcPr>
          <w:p>
            <w:pPr>
              <w:ind w:leftChars="0" w:left="0" w:right="0"/>
            </w:pPr>
            <w:r>
              <w:t>EUREX EXCHANGE ASIA PTE. LTD.</w:t>
            </w:r>
          </w:p>
        </w:tc>
      </w:tr>
      <w:tr>
        <w:trPr>
          <w:cnfStyle w:evenHBand="true" w:oddHBand="false" w:firstRow="false"/>
        </w:trPr>
        <w:tc>
          <w:tcPr>
            <w:cnfStyle w:evenVBand="false" w:oddVBand="true" w:firstColumn="false"/>
            <w:tcW w:w="33.333333%" w:type="pct"/>
          </w:tcPr>
          <w:p>
            <w:pPr>
              <w:ind w:leftChars="0" w:left="0" w:right="0"/>
            </w:pPr>
            <w:r>
              <w:t>EESE</w:t>
            </w:r>
          </w:p>
        </w:tc>
        <w:tc>
          <w:tcPr>
            <w:cnfStyle w:evenVBand="true" w:oddVBand="false" w:firstColumn="false"/>
            <w:tcW w:w="33.333333%" w:type="pct"/>
          </w:tcPr>
          <w:p>
            <w:pPr>
              <w:ind w:leftChars="0" w:left="0" w:right="0"/>
            </w:pPr>
            <w:r>
              <w:t>EESE</w:t>
            </w:r>
          </w:p>
        </w:tc>
        <w:tc>
          <w:tcPr>
            <w:cnfStyle w:evenVBand="false" w:oddVBand="true" w:firstColumn="false"/>
            <w:tcW w:w="33.333333%" w:type="pct"/>
          </w:tcPr>
          <w:p>
            <w:pPr>
              <w:ind w:leftChars="0" w:left="0" w:right="0"/>
            </w:pPr>
            <w:r>
              <w:t>EAST EUROPEAN STOCK EXCHANGE</w:t>
            </w:r>
          </w:p>
        </w:tc>
      </w:tr>
      <w:tr>
        <w:trPr>
          <w:cnfStyle w:evenHBand="false" w:oddHBand="true" w:firstRow="false"/>
        </w:trPr>
        <w:tc>
          <w:tcPr>
            <w:cnfStyle w:evenVBand="false" w:oddVBand="true" w:firstColumn="false"/>
            <w:tcW w:w="33.333333%" w:type="pct"/>
          </w:tcPr>
          <w:p>
            <w:pPr>
              <w:ind w:leftChars="0" w:left="0" w:right="0"/>
            </w:pPr>
            <w:r>
              <w:t>EFTP</w:t>
            </w:r>
          </w:p>
        </w:tc>
        <w:tc>
          <w:tcPr>
            <w:cnfStyle w:evenVBand="true" w:oddVBand="false" w:firstColumn="false"/>
            <w:tcW w:w="33.333333%" w:type="pct"/>
          </w:tcPr>
          <w:p>
            <w:pPr>
              <w:ind w:leftChars="0" w:left="0" w:right="0"/>
            </w:pPr>
            <w:r>
              <w:t>EFTP</w:t>
            </w:r>
          </w:p>
        </w:tc>
        <w:tc>
          <w:tcPr>
            <w:cnfStyle w:evenVBand="false" w:oddVBand="true" w:firstColumn="false"/>
            <w:tcW w:w="33.333333%" w:type="pct"/>
          </w:tcPr>
          <w:p>
            <w:pPr>
              <w:ind w:leftChars="0" w:left="0" w:right="0"/>
            </w:pPr>
            <w:r>
              <w:t>ENERGIEFINANZ TRADING PLATFORM</w:t>
            </w:r>
          </w:p>
        </w:tc>
      </w:tr>
      <w:tr>
        <w:trPr>
          <w:cnfStyle w:evenHBand="true" w:oddHBand="false" w:firstRow="false"/>
        </w:trPr>
        <w:tc>
          <w:tcPr>
            <w:cnfStyle w:evenVBand="false" w:oddVBand="true" w:firstColumn="false"/>
            <w:tcW w:w="33.333333%" w:type="pct"/>
          </w:tcPr>
          <w:p>
            <w:pPr>
              <w:ind w:leftChars="0" w:left="0" w:right="0"/>
            </w:pPr>
            <w:r>
              <w:t>EGMT</w:t>
            </w:r>
          </w:p>
        </w:tc>
        <w:tc>
          <w:tcPr>
            <w:cnfStyle w:evenVBand="true" w:oddVBand="false" w:firstColumn="false"/>
            <w:tcW w:w="33.333333%" w:type="pct"/>
          </w:tcPr>
          <w:p>
            <w:pPr>
              <w:ind w:leftChars="0" w:left="0" w:right="0"/>
            </w:pPr>
            <w:r>
              <w:t>EGMT</w:t>
            </w:r>
          </w:p>
        </w:tc>
        <w:tc>
          <w:tcPr>
            <w:cnfStyle w:evenVBand="false" w:oddVBand="true" w:firstColumn="false"/>
            <w:tcW w:w="33.333333%" w:type="pct"/>
          </w:tcPr>
          <w:p>
            <w:pPr>
              <w:ind w:leftChars="0" w:left="0" w:right="0"/>
            </w:pPr>
            <w:r>
              <w:t>EG MARKET TECHNOLOGIES</w:t>
            </w:r>
          </w:p>
        </w:tc>
      </w:tr>
      <w:tr>
        <w:trPr>
          <w:cnfStyle w:evenHBand="false" w:oddHBand="true" w:firstRow="false"/>
        </w:trPr>
        <w:tc>
          <w:tcPr>
            <w:cnfStyle w:evenVBand="false" w:oddVBand="true" w:firstColumn="false"/>
            <w:tcW w:w="33.333333%" w:type="pct"/>
          </w:tcPr>
          <w:p>
            <w:pPr>
              <w:ind w:leftChars="0" w:left="0" w:right="0"/>
            </w:pPr>
            <w:r>
              <w:t>EGSI</w:t>
            </w:r>
          </w:p>
        </w:tc>
        <w:tc>
          <w:tcPr>
            <w:cnfStyle w:evenVBand="true" w:oddVBand="false" w:firstColumn="false"/>
            <w:tcW w:w="33.333333%" w:type="pct"/>
          </w:tcPr>
          <w:p>
            <w:pPr>
              <w:ind w:leftChars="0" w:left="0" w:right="0"/>
            </w:pPr>
            <w:r>
              <w:t>EGSI</w:t>
            </w:r>
          </w:p>
        </w:tc>
        <w:tc>
          <w:tcPr>
            <w:cnfStyle w:evenVBand="false" w:oddVBand="true" w:firstColumn="false"/>
            <w:tcW w:w="33.333333%" w:type="pct"/>
          </w:tcPr>
          <w:p>
            <w:pPr>
              <w:ind w:leftChars="0" w:left="0" w:right="0"/>
            </w:pPr>
            <w:r>
              <w:t>ERSTE GROUP BANK AG</w:t>
            </w:r>
          </w:p>
        </w:tc>
      </w:tr>
      <w:tr>
        <w:trPr>
          <w:cnfStyle w:evenHBand="true" w:oddHBand="false" w:firstRow="false"/>
        </w:trPr>
        <w:tc>
          <w:tcPr>
            <w:cnfStyle w:evenVBand="false" w:oddVBand="true" w:firstColumn="false"/>
            <w:tcW w:w="33.333333%" w:type="pct"/>
          </w:tcPr>
          <w:p>
            <w:pPr>
              <w:ind w:leftChars="0" w:left="0" w:right="0"/>
            </w:pPr>
            <w:r>
              <w:t>EIXE</w:t>
            </w:r>
          </w:p>
        </w:tc>
        <w:tc>
          <w:tcPr>
            <w:cnfStyle w:evenVBand="true" w:oddVBand="false" w:firstColumn="false"/>
            <w:tcW w:w="33.333333%" w:type="pct"/>
          </w:tcPr>
          <w:p>
            <w:pPr>
              <w:ind w:leftChars="0" w:left="0" w:right="0"/>
            </w:pPr>
            <w:r>
              <w:t>EIXE</w:t>
            </w:r>
          </w:p>
        </w:tc>
        <w:tc>
          <w:tcPr>
            <w:cnfStyle w:evenVBand="false" w:oddVBand="true" w:firstColumn="false"/>
            <w:tcW w:w="33.333333%" w:type="pct"/>
          </w:tcPr>
          <w:p>
            <w:pPr>
              <w:ind w:leftChars="0" w:left="0" w:right="0"/>
            </w:pPr>
            <w:r>
              <w:t>AQUIS EXCHANGE PLC AQUIS - EIX INFRASTRUCTURE BOND MARKET</w:t>
            </w:r>
          </w:p>
        </w:tc>
      </w:tr>
      <w:tr>
        <w:trPr>
          <w:cnfStyle w:evenHBand="false" w:oddHBand="true" w:firstRow="false"/>
        </w:trPr>
        <w:tc>
          <w:tcPr>
            <w:cnfStyle w:evenVBand="false" w:oddVBand="true" w:firstColumn="false"/>
            <w:tcW w:w="33.333333%" w:type="pct"/>
          </w:tcPr>
          <w:p>
            <w:pPr>
              <w:ind w:leftChars="0" w:left="0" w:right="0"/>
            </w:pPr>
            <w:r>
              <w:t>ELEU</w:t>
            </w:r>
          </w:p>
        </w:tc>
        <w:tc>
          <w:tcPr>
            <w:cnfStyle w:evenVBand="true" w:oddVBand="false" w:firstColumn="false"/>
            <w:tcW w:w="33.333333%" w:type="pct"/>
          </w:tcPr>
          <w:p>
            <w:pPr>
              <w:ind w:leftChars="0" w:left="0" w:right="0"/>
            </w:pPr>
            <w:r>
              <w:t>ELEU</w:t>
            </w:r>
          </w:p>
        </w:tc>
        <w:tc>
          <w:tcPr>
            <w:cnfStyle w:evenVBand="false" w:oddVBand="true" w:firstColumn="false"/>
            <w:tcW w:w="33.333333%" w:type="pct"/>
          </w:tcPr>
          <w:p>
            <w:pPr>
              <w:ind w:leftChars="0" w:left="0" w:right="0"/>
            </w:pPr>
            <w:r>
              <w:t>NASDAQ OSLO ASA - EUROPEAN POWER AND GAS DERIVATIVES</w:t>
            </w:r>
          </w:p>
        </w:tc>
      </w:tr>
      <w:tr>
        <w:trPr>
          <w:cnfStyle w:evenHBand="true" w:oddHBand="false" w:firstRow="false"/>
        </w:trPr>
        <w:tc>
          <w:tcPr>
            <w:cnfStyle w:evenVBand="false" w:oddVBand="true" w:firstColumn="false"/>
            <w:tcW w:w="33.333333%" w:type="pct"/>
          </w:tcPr>
          <w:p>
            <w:pPr>
              <w:ind w:leftChars="0" w:left="0" w:right="0"/>
            </w:pPr>
            <w:r>
              <w:t>ELIX</w:t>
            </w:r>
          </w:p>
        </w:tc>
        <w:tc>
          <w:tcPr>
            <w:cnfStyle w:evenVBand="true" w:oddVBand="false" w:firstColumn="false"/>
            <w:tcW w:w="33.333333%" w:type="pct"/>
          </w:tcPr>
          <w:p>
            <w:pPr>
              <w:ind w:leftChars="0" w:left="0" w:right="0"/>
            </w:pPr>
            <w:r>
              <w:t>ELIX</w:t>
            </w:r>
          </w:p>
        </w:tc>
        <w:tc>
          <w:tcPr>
            <w:cnfStyle w:evenVBand="false" w:oddVBand="true" w:firstColumn="false"/>
            <w:tcW w:w="33.333333%" w:type="pct"/>
          </w:tcPr>
          <w:p>
            <w:pPr>
              <w:ind w:leftChars="0" w:left="0" w:right="0"/>
            </w:pPr>
            <w:r>
              <w:t>ELIXIUM</w:t>
            </w:r>
          </w:p>
        </w:tc>
      </w:tr>
      <w:tr>
        <w:trPr>
          <w:cnfStyle w:evenHBand="false" w:oddHBand="true" w:firstRow="false"/>
        </w:trPr>
        <w:tc>
          <w:tcPr>
            <w:cnfStyle w:evenVBand="false" w:oddVBand="true" w:firstColumn="false"/>
            <w:tcW w:w="33.333333%" w:type="pct"/>
          </w:tcPr>
          <w:p>
            <w:pPr>
              <w:ind w:leftChars="0" w:left="0" w:right="0"/>
            </w:pPr>
            <w:r>
              <w:t>ELNO</w:t>
            </w:r>
          </w:p>
        </w:tc>
        <w:tc>
          <w:tcPr>
            <w:cnfStyle w:evenVBand="true" w:oddVBand="false" w:firstColumn="false"/>
            <w:tcW w:w="33.333333%" w:type="pct"/>
          </w:tcPr>
          <w:p>
            <w:pPr>
              <w:ind w:leftChars="0" w:left="0" w:right="0"/>
            </w:pPr>
            <w:r>
              <w:t>ELNO</w:t>
            </w:r>
          </w:p>
        </w:tc>
        <w:tc>
          <w:tcPr>
            <w:cnfStyle w:evenVBand="false" w:oddVBand="true" w:firstColumn="false"/>
            <w:tcW w:w="33.333333%" w:type="pct"/>
          </w:tcPr>
          <w:p>
            <w:pPr>
              <w:ind w:leftChars="0" w:left="0" w:right="0"/>
            </w:pPr>
            <w:r>
              <w:t>NASDAQ OSLO ASA - NORDIC POWER DERIVATIVES AND EUROPEAN UNION ALLOWANCES</w:t>
            </w:r>
          </w:p>
        </w:tc>
      </w:tr>
      <w:tr>
        <w:trPr>
          <w:cnfStyle w:evenHBand="true" w:oddHBand="false" w:firstRow="false"/>
        </w:trPr>
        <w:tc>
          <w:tcPr>
            <w:cnfStyle w:evenVBand="false" w:oddVBand="true" w:firstColumn="false"/>
            <w:tcW w:w="33.333333%" w:type="pct"/>
          </w:tcPr>
          <w:p>
            <w:pPr>
              <w:ind w:leftChars="0" w:left="0" w:right="0"/>
            </w:pPr>
            <w:r>
              <w:t>ELSE</w:t>
            </w:r>
          </w:p>
        </w:tc>
        <w:tc>
          <w:tcPr>
            <w:cnfStyle w:evenVBand="true" w:oddVBand="false" w:firstColumn="false"/>
            <w:tcW w:w="33.333333%" w:type="pct"/>
          </w:tcPr>
          <w:p>
            <w:pPr>
              <w:ind w:leftChars="0" w:left="0" w:right="0"/>
            </w:pPr>
            <w:r>
              <w:t>ELSE</w:t>
            </w:r>
          </w:p>
        </w:tc>
        <w:tc>
          <w:tcPr>
            <w:cnfStyle w:evenVBand="false" w:oddVBand="true" w:firstColumn="false"/>
            <w:tcW w:w="33.333333%" w:type="pct"/>
          </w:tcPr>
          <w:p>
            <w:pPr>
              <w:ind w:leftChars="0" w:left="0" w:right="0"/>
            </w:pPr>
            <w:r>
              <w:t>NASDAQ OSLO ASA - SWEDISH ELECTRICITY CERTIFICATE</w:t>
            </w:r>
          </w:p>
        </w:tc>
      </w:tr>
      <w:tr>
        <w:trPr>
          <w:cnfStyle w:evenHBand="false" w:oddHBand="true" w:firstRow="false"/>
        </w:trPr>
        <w:tc>
          <w:tcPr>
            <w:cnfStyle w:evenVBand="false" w:oddVBand="true" w:firstColumn="false"/>
            <w:tcW w:w="33.333333%" w:type="pct"/>
          </w:tcPr>
          <w:p>
            <w:pPr>
              <w:ind w:leftChars="0" w:left="0" w:right="0"/>
            </w:pPr>
            <w:r>
              <w:t>ELUK</w:t>
            </w:r>
          </w:p>
        </w:tc>
        <w:tc>
          <w:tcPr>
            <w:cnfStyle w:evenVBand="true" w:oddVBand="false" w:firstColumn="false"/>
            <w:tcW w:w="33.333333%" w:type="pct"/>
          </w:tcPr>
          <w:p>
            <w:pPr>
              <w:ind w:leftChars="0" w:left="0" w:right="0"/>
            </w:pPr>
            <w:r>
              <w:t>ELUK</w:t>
            </w:r>
          </w:p>
        </w:tc>
        <w:tc>
          <w:tcPr>
            <w:cnfStyle w:evenVBand="false" w:oddVBand="true" w:firstColumn="false"/>
            <w:tcW w:w="33.333333%" w:type="pct"/>
          </w:tcPr>
          <w:p>
            <w:pPr>
              <w:ind w:leftChars="0" w:left="0" w:right="0"/>
            </w:pPr>
            <w:r>
              <w:t>NASDAQ COMMODITIES - GBP POWER/ENERGY</w:t>
            </w:r>
          </w:p>
        </w:tc>
      </w:tr>
      <w:tr>
        <w:trPr>
          <w:cnfStyle w:evenHBand="true" w:oddHBand="false" w:firstRow="false"/>
        </w:trPr>
        <w:tc>
          <w:tcPr>
            <w:cnfStyle w:evenVBand="false" w:oddVBand="true" w:firstColumn="false"/>
            <w:tcW w:w="33.333333%" w:type="pct"/>
          </w:tcPr>
          <w:p>
            <w:pPr>
              <w:ind w:leftChars="0" w:left="0" w:right="0"/>
            </w:pPr>
            <w:r>
              <w:t>ELXE</w:t>
            </w:r>
          </w:p>
        </w:tc>
        <w:tc>
          <w:tcPr>
            <w:cnfStyle w:evenVBand="true" w:oddVBand="false" w:firstColumn="false"/>
            <w:tcW w:w="33.333333%" w:type="pct"/>
          </w:tcPr>
          <w:p>
            <w:pPr>
              <w:ind w:leftChars="0" w:left="0" w:right="0"/>
            </w:pPr>
            <w:r>
              <w:t>ELXE</w:t>
            </w:r>
          </w:p>
        </w:tc>
        <w:tc>
          <w:tcPr>
            <w:cnfStyle w:evenVBand="false" w:oddVBand="true" w:firstColumn="false"/>
            <w:tcW w:w="33.333333%" w:type="pct"/>
          </w:tcPr>
          <w:p>
            <w:pPr>
              <w:ind w:leftChars="0" w:left="0" w:right="0"/>
            </w:pPr>
            <w:r>
              <w:t>ELIXIUM S.A.</w:t>
            </w:r>
          </w:p>
        </w:tc>
      </w:tr>
      <w:tr>
        <w:trPr>
          <w:cnfStyle w:evenHBand="false" w:oddHBand="true" w:firstRow="false"/>
        </w:trPr>
        <w:tc>
          <w:tcPr>
            <w:cnfStyle w:evenVBand="false" w:oddVBand="true" w:firstColumn="false"/>
            <w:tcW w:w="33.333333%" w:type="pct"/>
          </w:tcPr>
          <w:p>
            <w:pPr>
              <w:ind w:leftChars="0" w:left="0" w:right="0"/>
            </w:pPr>
            <w:r>
              <w:t>EMBX</w:t>
            </w:r>
          </w:p>
        </w:tc>
        <w:tc>
          <w:tcPr>
            <w:cnfStyle w:evenVBand="true" w:oddVBand="false" w:firstColumn="false"/>
            <w:tcW w:w="33.333333%" w:type="pct"/>
          </w:tcPr>
          <w:p>
            <w:pPr>
              <w:ind w:leftChars="0" w:left="0" w:right="0"/>
            </w:pPr>
            <w:r>
              <w:t>EMBX</w:t>
            </w:r>
          </w:p>
        </w:tc>
        <w:tc>
          <w:tcPr>
            <w:cnfStyle w:evenVBand="false" w:oddVBand="true" w:firstColumn="false"/>
            <w:tcW w:w="33.333333%" w:type="pct"/>
          </w:tcPr>
          <w:p>
            <w:pPr>
              <w:ind w:leftChars="0" w:left="0" w:right="0"/>
            </w:pPr>
            <w:r>
              <w:t>EMERGING MARKETS BOND EXCHANGE LIMITED</w:t>
            </w:r>
          </w:p>
        </w:tc>
      </w:tr>
      <w:tr>
        <w:trPr>
          <w:cnfStyle w:evenHBand="true" w:oddHBand="false" w:firstRow="false"/>
        </w:trPr>
        <w:tc>
          <w:tcPr>
            <w:cnfStyle w:evenVBand="false" w:oddVBand="true" w:firstColumn="false"/>
            <w:tcW w:w="33.333333%" w:type="pct"/>
          </w:tcPr>
          <w:p>
            <w:pPr>
              <w:ind w:leftChars="0" w:left="0" w:right="0"/>
            </w:pPr>
            <w:r>
              <w:t>EMCE</w:t>
            </w:r>
          </w:p>
        </w:tc>
        <w:tc>
          <w:tcPr>
            <w:cnfStyle w:evenVBand="true" w:oddVBand="false" w:firstColumn="false"/>
            <w:tcW w:w="33.333333%" w:type="pct"/>
          </w:tcPr>
          <w:p>
            <w:pPr>
              <w:ind w:leftChars="0" w:left="0" w:right="0"/>
            </w:pPr>
            <w:r>
              <w:t>EMCE</w:t>
            </w:r>
          </w:p>
        </w:tc>
        <w:tc>
          <w:tcPr>
            <w:cnfStyle w:evenVBand="false" w:oddVBand="true" w:firstColumn="false"/>
            <w:tcW w:w="33.333333%" w:type="pct"/>
          </w:tcPr>
          <w:p>
            <w:pPr>
              <w:ind w:leftChars="0" w:left="0" w:right="0"/>
            </w:pPr>
            <w:r>
              <w:t>ROMANIAN  COMMODITIES EXCHANGE - OTF</w:t>
            </w:r>
          </w:p>
        </w:tc>
      </w:tr>
      <w:tr>
        <w:trPr>
          <w:cnfStyle w:evenHBand="false" w:oddHBand="true" w:firstRow="false"/>
        </w:trPr>
        <w:tc>
          <w:tcPr>
            <w:cnfStyle w:evenVBand="false" w:oddVBand="true" w:firstColumn="false"/>
            <w:tcW w:w="33.333333%" w:type="pct"/>
          </w:tcPr>
          <w:p>
            <w:pPr>
              <w:ind w:leftChars="0" w:left="0" w:right="0"/>
            </w:pPr>
            <w:r>
              <w:t>EMCH</w:t>
            </w:r>
          </w:p>
        </w:tc>
        <w:tc>
          <w:tcPr>
            <w:cnfStyle w:evenVBand="true" w:oddVBand="false" w:firstColumn="false"/>
            <w:tcW w:w="33.333333%" w:type="pct"/>
          </w:tcPr>
          <w:p>
            <w:pPr>
              <w:ind w:leftChars="0" w:left="0" w:right="0"/>
            </w:pPr>
            <w:r>
              <w:t>EMCH</w:t>
            </w:r>
          </w:p>
        </w:tc>
        <w:tc>
          <w:tcPr>
            <w:cnfStyle w:evenVBand="false" w:oddVBand="true" w:firstColumn="false"/>
            <w:tcW w:w="33.333333%" w:type="pct"/>
          </w:tcPr>
          <w:p>
            <w:pPr>
              <w:ind w:leftChars="0" w:left="0" w:right="0"/>
            </w:pPr>
            <w:r>
              <w:t>FINACOR EMATCH</w:t>
            </w:r>
          </w:p>
        </w:tc>
      </w:tr>
      <w:tr>
        <w:trPr>
          <w:cnfStyle w:evenHBand="true" w:oddHBand="false" w:firstRow="false"/>
        </w:trPr>
        <w:tc>
          <w:tcPr>
            <w:cnfStyle w:evenVBand="false" w:oddVBand="true" w:firstColumn="false"/>
            <w:tcW w:w="33.333333%" w:type="pct"/>
          </w:tcPr>
          <w:p>
            <w:pPr>
              <w:ind w:leftChars="0" w:left="0" w:right="0"/>
            </w:pPr>
            <w:r>
              <w:t>EMDR</w:t>
            </w:r>
          </w:p>
        </w:tc>
        <w:tc>
          <w:tcPr>
            <w:cnfStyle w:evenVBand="true" w:oddVBand="false" w:firstColumn="false"/>
            <w:tcW w:w="33.333333%" w:type="pct"/>
          </w:tcPr>
          <w:p>
            <w:pPr>
              <w:ind w:leftChars="0" w:left="0" w:right="0"/>
            </w:pPr>
            <w:r>
              <w:t>EMDR</w:t>
            </w:r>
          </w:p>
        </w:tc>
        <w:tc>
          <w:tcPr>
            <w:cnfStyle w:evenVBand="false" w:oddVBand="true" w:firstColumn="false"/>
            <w:tcW w:w="33.333333%" w:type="pct"/>
          </w:tcPr>
          <w:p>
            <w:pPr>
              <w:ind w:leftChars="0" w:left="0" w:right="0"/>
            </w:pPr>
            <w:r>
              <w:t>E-MID - E-MIDER MARKET</w:t>
            </w:r>
          </w:p>
        </w:tc>
      </w:tr>
      <w:tr>
        <w:trPr>
          <w:cnfStyle w:evenHBand="false" w:oddHBand="true" w:firstRow="false"/>
        </w:trPr>
        <w:tc>
          <w:tcPr>
            <w:cnfStyle w:evenVBand="false" w:oddVBand="true" w:firstColumn="false"/>
            <w:tcW w:w="33.333333%" w:type="pct"/>
          </w:tcPr>
          <w:p>
            <w:pPr>
              <w:ind w:leftChars="0" w:left="0" w:right="0"/>
            </w:pPr>
            <w:r>
              <w:t>EMIB</w:t>
            </w:r>
          </w:p>
        </w:tc>
        <w:tc>
          <w:tcPr>
            <w:cnfStyle w:evenVBand="true" w:oddVBand="false" w:firstColumn="false"/>
            <w:tcW w:w="33.333333%" w:type="pct"/>
          </w:tcPr>
          <w:p>
            <w:pPr>
              <w:ind w:leftChars="0" w:left="0" w:right="0"/>
            </w:pPr>
            <w:r>
              <w:t>EMIB</w:t>
            </w:r>
          </w:p>
        </w:tc>
        <w:tc>
          <w:tcPr>
            <w:cnfStyle w:evenVBand="false" w:oddVBand="true" w:firstColumn="false"/>
            <w:tcW w:w="33.333333%" w:type="pct"/>
          </w:tcPr>
          <w:p>
            <w:pPr>
              <w:ind w:leftChars="0" w:left="0" w:right="0"/>
            </w:pPr>
            <w:r>
              <w:t>E-MID - BANCA D’ITALIA SHARES TRADING MARKET</w:t>
            </w:r>
          </w:p>
        </w:tc>
      </w:tr>
      <w:tr>
        <w:trPr>
          <w:cnfStyle w:evenHBand="true" w:oddHBand="false" w:firstRow="false"/>
        </w:trPr>
        <w:tc>
          <w:tcPr>
            <w:cnfStyle w:evenVBand="false" w:oddVBand="true" w:firstColumn="false"/>
            <w:tcW w:w="33.333333%" w:type="pct"/>
          </w:tcPr>
          <w:p>
            <w:pPr>
              <w:ind w:leftChars="0" w:left="0" w:right="0"/>
            </w:pPr>
            <w:r>
              <w:t>EMID</w:t>
            </w:r>
          </w:p>
        </w:tc>
        <w:tc>
          <w:tcPr>
            <w:cnfStyle w:evenVBand="true" w:oddVBand="false" w:firstColumn="false"/>
            <w:tcW w:w="33.333333%" w:type="pct"/>
          </w:tcPr>
          <w:p>
            <w:pPr>
              <w:ind w:leftChars="0" w:left="0" w:right="0"/>
            </w:pPr>
            <w:r>
              <w:t>EMID</w:t>
            </w:r>
          </w:p>
        </w:tc>
        <w:tc>
          <w:tcPr>
            <w:cnfStyle w:evenVBand="false" w:oddVBand="true" w:firstColumn="false"/>
            <w:tcW w:w="33.333333%" w:type="pct"/>
          </w:tcPr>
          <w:p>
            <w:pPr>
              <w:ind w:leftChars="0" w:left="0" w:right="0"/>
            </w:pPr>
            <w:r>
              <w:t>E-MID</w:t>
            </w:r>
          </w:p>
        </w:tc>
      </w:tr>
      <w:tr>
        <w:trPr>
          <w:cnfStyle w:evenHBand="false" w:oddHBand="true" w:firstRow="false"/>
        </w:trPr>
        <w:tc>
          <w:tcPr>
            <w:cnfStyle w:evenVBand="false" w:oddVBand="true" w:firstColumn="false"/>
            <w:tcW w:w="33.333333%" w:type="pct"/>
          </w:tcPr>
          <w:p>
            <w:pPr>
              <w:ind w:leftChars="0" w:left="0" w:right="0"/>
            </w:pPr>
            <w:r>
              <w:t>EMIR</w:t>
            </w:r>
          </w:p>
        </w:tc>
        <w:tc>
          <w:tcPr>
            <w:cnfStyle w:evenVBand="true" w:oddVBand="false" w:firstColumn="false"/>
            <w:tcW w:w="33.333333%" w:type="pct"/>
          </w:tcPr>
          <w:p>
            <w:pPr>
              <w:ind w:leftChars="0" w:left="0" w:right="0"/>
            </w:pPr>
            <w:r>
              <w:t>EMIR</w:t>
            </w:r>
          </w:p>
        </w:tc>
        <w:tc>
          <w:tcPr>
            <w:cnfStyle w:evenVBand="false" w:oddVBand="true" w:firstColumn="false"/>
            <w:tcW w:w="33.333333%" w:type="pct"/>
          </w:tcPr>
          <w:p>
            <w:pPr>
              <w:ind w:leftChars="0" w:left="0" w:right="0"/>
            </w:pPr>
            <w:r>
              <w:t>E-MID REPO</w:t>
            </w:r>
          </w:p>
        </w:tc>
      </w:tr>
      <w:tr>
        <w:trPr>
          <w:cnfStyle w:evenHBand="true" w:oddHBand="false" w:firstRow="false"/>
        </w:trPr>
        <w:tc>
          <w:tcPr>
            <w:cnfStyle w:evenVBand="false" w:oddVBand="true" w:firstColumn="false"/>
            <w:tcW w:w="33.333333%" w:type="pct"/>
          </w:tcPr>
          <w:p>
            <w:pPr>
              <w:ind w:leftChars="0" w:left="0" w:right="0"/>
            </w:pPr>
            <w:r>
              <w:t>EMLD</w:t>
            </w:r>
          </w:p>
        </w:tc>
        <w:tc>
          <w:tcPr>
            <w:cnfStyle w:evenVBand="true" w:oddVBand="false" w:firstColumn="false"/>
            <w:tcW w:w="33.333333%" w:type="pct"/>
          </w:tcPr>
          <w:p>
            <w:pPr>
              <w:ind w:leftChars="0" w:left="0" w:right="0"/>
            </w:pPr>
            <w:r>
              <w:t>EMLD</w:t>
            </w:r>
          </w:p>
        </w:tc>
        <w:tc>
          <w:tcPr>
            <w:cnfStyle w:evenVBand="false" w:oddVBand="true" w:firstColumn="false"/>
            <w:tcW w:w="33.333333%" w:type="pct"/>
          </w:tcPr>
          <w:p>
            <w:pPr>
              <w:ind w:leftChars="0" w:left="0" w:right="0"/>
            </w:pPr>
            <w:r>
              <w:t>MIAX EMERALD, LLC</w:t>
            </w:r>
          </w:p>
        </w:tc>
      </w:tr>
      <w:tr>
        <w:trPr>
          <w:cnfStyle w:evenHBand="false" w:oddHBand="true" w:firstRow="false"/>
        </w:trPr>
        <w:tc>
          <w:tcPr>
            <w:cnfStyle w:evenVBand="false" w:oddVBand="true" w:firstColumn="false"/>
            <w:tcW w:w="33.333333%" w:type="pct"/>
          </w:tcPr>
          <w:p>
            <w:pPr>
              <w:ind w:leftChars="0" w:left="0" w:right="0"/>
            </w:pPr>
            <w:r>
              <w:t>EMTF</w:t>
            </w:r>
          </w:p>
        </w:tc>
        <w:tc>
          <w:tcPr>
            <w:cnfStyle w:evenVBand="true" w:oddVBand="false" w:firstColumn="false"/>
            <w:tcW w:w="33.333333%" w:type="pct"/>
          </w:tcPr>
          <w:p>
            <w:pPr>
              <w:ind w:leftChars="0" w:left="0" w:right="0"/>
            </w:pPr>
            <w:r>
              <w:t>EMTF</w:t>
            </w:r>
          </w:p>
        </w:tc>
        <w:tc>
          <w:tcPr>
            <w:cnfStyle w:evenVBand="false" w:oddVBand="true" w:firstColumn="false"/>
            <w:tcW w:w="33.333333%" w:type="pct"/>
          </w:tcPr>
          <w:p>
            <w:pPr>
              <w:ind w:leftChars="0" w:left="0" w:right="0"/>
            </w:pPr>
            <w:r>
              <w:t>EURO MTF</w:t>
            </w:r>
          </w:p>
        </w:tc>
      </w:tr>
      <w:tr>
        <w:trPr>
          <w:cnfStyle w:evenHBand="true" w:oddHBand="false" w:firstRow="false"/>
        </w:trPr>
        <w:tc>
          <w:tcPr>
            <w:cnfStyle w:evenVBand="false" w:oddVBand="true" w:firstColumn="false"/>
            <w:tcW w:w="33.333333%" w:type="pct"/>
          </w:tcPr>
          <w:p>
            <w:pPr>
              <w:ind w:leftChars="0" w:left="0" w:right="0"/>
            </w:pPr>
            <w:r>
              <w:t>EMTS</w:t>
            </w:r>
          </w:p>
        </w:tc>
        <w:tc>
          <w:tcPr>
            <w:cnfStyle w:evenVBand="true" w:oddVBand="false" w:firstColumn="false"/>
            <w:tcW w:w="33.333333%" w:type="pct"/>
          </w:tcPr>
          <w:p>
            <w:pPr>
              <w:ind w:leftChars="0" w:left="0" w:right="0"/>
            </w:pPr>
            <w:r>
              <w:t>EMTS</w:t>
            </w:r>
          </w:p>
        </w:tc>
        <w:tc>
          <w:tcPr>
            <w:cnfStyle w:evenVBand="false" w:oddVBand="true" w:firstColumn="false"/>
            <w:tcW w:w="33.333333%" w:type="pct"/>
          </w:tcPr>
          <w:p>
            <w:pPr>
              <w:ind w:leftChars="0" w:left="0" w:right="0"/>
            </w:pPr>
            <w:r>
              <w:t>EBM</w:t>
            </w:r>
          </w:p>
        </w:tc>
      </w:tr>
      <w:tr>
        <w:trPr>
          <w:cnfStyle w:evenHBand="false" w:oddHBand="true" w:firstRow="false"/>
        </w:trPr>
        <w:tc>
          <w:tcPr>
            <w:cnfStyle w:evenVBand="false" w:oddVBand="true" w:firstColumn="false"/>
            <w:tcW w:w="33.333333%" w:type="pct"/>
          </w:tcPr>
          <w:p>
            <w:pPr>
              <w:ind w:leftChars="0" w:left="0" w:right="0"/>
            </w:pPr>
            <w:r>
              <w:t>ENAX</w:t>
            </w:r>
          </w:p>
        </w:tc>
        <w:tc>
          <w:tcPr>
            <w:cnfStyle w:evenVBand="true" w:oddVBand="false" w:firstColumn="false"/>
            <w:tcW w:w="33.333333%" w:type="pct"/>
          </w:tcPr>
          <w:p>
            <w:pPr>
              <w:ind w:leftChars="0" w:left="0" w:right="0"/>
            </w:pPr>
            <w:r>
              <w:t>ENAX</w:t>
            </w:r>
          </w:p>
        </w:tc>
        <w:tc>
          <w:tcPr>
            <w:cnfStyle w:evenVBand="false" w:oddVBand="true" w:firstColumn="false"/>
            <w:tcW w:w="33.333333%" w:type="pct"/>
          </w:tcPr>
          <w:p>
            <w:pPr>
              <w:ind w:leftChars="0" w:left="0" w:right="0"/>
            </w:pPr>
            <w:r>
              <w:t>ATHENS EXCHANGE ALTERNATIVE MARKET</w:t>
            </w:r>
          </w:p>
        </w:tc>
      </w:tr>
      <w:tr>
        <w:trPr>
          <w:cnfStyle w:evenHBand="true" w:oddHBand="false" w:firstRow="false"/>
        </w:trPr>
        <w:tc>
          <w:tcPr>
            <w:cnfStyle w:evenVBand="false" w:oddVBand="true" w:firstColumn="false"/>
            <w:tcW w:w="33.333333%" w:type="pct"/>
          </w:tcPr>
          <w:p>
            <w:pPr>
              <w:ind w:leftChars="0" w:left="0" w:right="0"/>
            </w:pPr>
            <w:r>
              <w:t>ENCL</w:t>
            </w:r>
          </w:p>
        </w:tc>
        <w:tc>
          <w:tcPr>
            <w:cnfStyle w:evenVBand="true" w:oddVBand="false" w:firstColumn="false"/>
            <w:tcW w:w="33.333333%" w:type="pct"/>
          </w:tcPr>
          <w:p>
            <w:pPr>
              <w:ind w:leftChars="0" w:left="0" w:right="0"/>
            </w:pPr>
            <w:r>
              <w:t>ENCL</w:t>
            </w:r>
          </w:p>
        </w:tc>
        <w:tc>
          <w:tcPr>
            <w:cnfStyle w:evenVBand="false" w:oddVBand="true" w:firstColumn="false"/>
            <w:tcW w:w="33.333333%" w:type="pct"/>
          </w:tcPr>
          <w:p>
            <w:pPr>
              <w:ind w:leftChars="0" w:left="0" w:right="0"/>
            </w:pPr>
            <w:r>
              <w:t>ENCLEAR</w:t>
            </w:r>
          </w:p>
        </w:tc>
      </w:tr>
      <w:tr>
        <w:trPr>
          <w:cnfStyle w:evenHBand="false" w:oddHBand="true" w:firstRow="false"/>
        </w:trPr>
        <w:tc>
          <w:tcPr>
            <w:cnfStyle w:evenVBand="false" w:oddVBand="true" w:firstColumn="false"/>
            <w:tcW w:w="33.333333%" w:type="pct"/>
          </w:tcPr>
          <w:p>
            <w:pPr>
              <w:ind w:leftChars="0" w:left="0" w:right="0"/>
            </w:pPr>
            <w:r>
              <w:t>ENMS</w:t>
            </w:r>
          </w:p>
        </w:tc>
        <w:tc>
          <w:tcPr>
            <w:cnfStyle w:evenVBand="true" w:oddVBand="false" w:firstColumn="false"/>
            <w:tcW w:w="33.333333%" w:type="pct"/>
          </w:tcPr>
          <w:p>
            <w:pPr>
              <w:ind w:leftChars="0" w:left="0" w:right="0"/>
            </w:pPr>
            <w:r>
              <w:t>ENMS</w:t>
            </w:r>
          </w:p>
        </w:tc>
        <w:tc>
          <w:tcPr>
            <w:cnfStyle w:evenVBand="false" w:oddVBand="true" w:firstColumn="false"/>
            <w:tcW w:w="33.333333%" w:type="pct"/>
          </w:tcPr>
          <w:p>
            <w:pPr>
              <w:ind w:leftChars="0" w:left="0" w:right="0"/>
            </w:pPr>
            <w:r>
              <w:t>EURONEXT MARKETS SINGAPORE PTE. LTD.</w:t>
            </w:r>
          </w:p>
        </w:tc>
      </w:tr>
      <w:tr>
        <w:trPr>
          <w:cnfStyle w:evenHBand="true" w:oddHBand="false" w:firstRow="false"/>
        </w:trPr>
        <w:tc>
          <w:tcPr>
            <w:cnfStyle w:evenVBand="false" w:oddVBand="true" w:firstColumn="false"/>
            <w:tcW w:w="33.333333%" w:type="pct"/>
          </w:tcPr>
          <w:p>
            <w:pPr>
              <w:ind w:leftChars="0" w:left="0" w:right="0"/>
            </w:pPr>
            <w:r>
              <w:t>ENSL</w:t>
            </w:r>
          </w:p>
        </w:tc>
        <w:tc>
          <w:tcPr>
            <w:cnfStyle w:evenVBand="true" w:oddVBand="false" w:firstColumn="false"/>
            <w:tcW w:w="33.333333%" w:type="pct"/>
          </w:tcPr>
          <w:p>
            <w:pPr>
              <w:ind w:leftChars="0" w:left="0" w:right="0"/>
            </w:pPr>
            <w:r>
              <w:t>ENSL</w:t>
            </w:r>
          </w:p>
        </w:tc>
        <w:tc>
          <w:tcPr>
            <w:cnfStyle w:evenVBand="false" w:oddVBand="true" w:firstColumn="false"/>
            <w:tcW w:w="33.333333%" w:type="pct"/>
          </w:tcPr>
          <w:p>
            <w:pPr>
              <w:ind w:leftChars="0" w:left="0" w:right="0"/>
            </w:pPr>
            <w:r>
              <w:t>ENGNSOL - OMP</w:t>
            </w:r>
          </w:p>
        </w:tc>
      </w:tr>
      <w:tr>
        <w:trPr>
          <w:cnfStyle w:evenHBand="false" w:oddHBand="true" w:firstRow="false"/>
        </w:trPr>
        <w:tc>
          <w:tcPr>
            <w:cnfStyle w:evenVBand="false" w:oddVBand="true" w:firstColumn="false"/>
            <w:tcW w:w="33.333333%" w:type="pct"/>
          </w:tcPr>
          <w:p>
            <w:pPr>
              <w:ind w:leftChars="0" w:left="0" w:right="0"/>
            </w:pPr>
            <w:r>
              <w:t>ENSX</w:t>
            </w:r>
          </w:p>
        </w:tc>
        <w:tc>
          <w:tcPr>
            <w:cnfStyle w:evenVBand="true" w:oddVBand="false" w:firstColumn="false"/>
            <w:tcW w:w="33.333333%" w:type="pct"/>
          </w:tcPr>
          <w:p>
            <w:pPr>
              <w:ind w:leftChars="0" w:left="0" w:right="0"/>
            </w:pPr>
            <w:r>
              <w:t>ENSX</w:t>
            </w:r>
          </w:p>
        </w:tc>
        <w:tc>
          <w:tcPr>
            <w:cnfStyle w:evenVBand="false" w:oddVBand="true" w:firstColumn="false"/>
            <w:tcW w:w="33.333333%" w:type="pct"/>
          </w:tcPr>
          <w:p>
            <w:pPr>
              <w:ind w:leftChars="0" w:left="0" w:right="0"/>
            </w:pPr>
            <w:r>
              <w:t>SEB ENSKILDA</w:t>
            </w:r>
          </w:p>
        </w:tc>
      </w:tr>
      <w:tr>
        <w:trPr>
          <w:cnfStyle w:evenHBand="true" w:oddHBand="false" w:firstRow="false"/>
        </w:trPr>
        <w:tc>
          <w:tcPr>
            <w:cnfStyle w:evenVBand="false" w:oddVBand="true" w:firstColumn="false"/>
            <w:tcW w:w="33.333333%" w:type="pct"/>
          </w:tcPr>
          <w:p>
            <w:pPr>
              <w:ind w:leftChars="0" w:left="0" w:right="0"/>
            </w:pPr>
            <w:r>
              <w:t>ENSY</w:t>
            </w:r>
          </w:p>
        </w:tc>
        <w:tc>
          <w:tcPr>
            <w:cnfStyle w:evenVBand="true" w:oddVBand="false" w:firstColumn="false"/>
            <w:tcW w:w="33.333333%" w:type="pct"/>
          </w:tcPr>
          <w:p>
            <w:pPr>
              <w:ind w:leftChars="0" w:left="0" w:right="0"/>
            </w:pPr>
            <w:r>
              <w:t>ENSY</w:t>
            </w:r>
          </w:p>
        </w:tc>
        <w:tc>
          <w:tcPr>
            <w:cnfStyle w:evenVBand="false" w:oddVBand="true" w:firstColumn="false"/>
            <w:tcW w:w="33.333333%" w:type="pct"/>
          </w:tcPr>
          <w:p>
            <w:pPr>
              <w:ind w:leftChars="0" w:left="0" w:right="0"/>
            </w:pPr>
            <w:r>
              <w:t>EURONEXT SYNAPSE</w:t>
            </w:r>
          </w:p>
        </w:tc>
      </w:tr>
      <w:tr>
        <w:trPr>
          <w:cnfStyle w:evenHBand="false" w:oddHBand="true" w:firstRow="false"/>
        </w:trPr>
        <w:tc>
          <w:tcPr>
            <w:cnfStyle w:evenVBand="false" w:oddVBand="true" w:firstColumn="false"/>
            <w:tcW w:w="33.333333%" w:type="pct"/>
          </w:tcPr>
          <w:p>
            <w:pPr>
              <w:ind w:leftChars="0" w:left="0" w:right="0"/>
            </w:pPr>
            <w:r>
              <w:t>ENTW</w:t>
            </w:r>
          </w:p>
        </w:tc>
        <w:tc>
          <w:tcPr>
            <w:cnfStyle w:evenVBand="true" w:oddVBand="false" w:firstColumn="false"/>
            <w:tcW w:w="33.333333%" w:type="pct"/>
          </w:tcPr>
          <w:p>
            <w:pPr>
              <w:ind w:leftChars="0" w:left="0" w:right="0"/>
            </w:pPr>
            <w:r>
              <w:t>ENTW</w:t>
            </w:r>
          </w:p>
        </w:tc>
        <w:tc>
          <w:tcPr>
            <w:cnfStyle w:evenVBand="false" w:oddVBand="true" w:firstColumn="false"/>
            <w:tcW w:w="33.333333%" w:type="pct"/>
          </w:tcPr>
          <w:p>
            <w:pPr>
              <w:ind w:leftChars="0" w:left="0" w:right="0"/>
            </w:pPr>
            <w:r>
              <w:t>BLOCKMATCH EUROPE NT</w:t>
            </w:r>
          </w:p>
        </w:tc>
      </w:tr>
      <w:tr>
        <w:trPr>
          <w:cnfStyle w:evenHBand="true" w:oddHBand="false" w:firstRow="false"/>
        </w:trPr>
        <w:tc>
          <w:tcPr>
            <w:cnfStyle w:evenVBand="false" w:oddVBand="true" w:firstColumn="false"/>
            <w:tcW w:w="33.333333%" w:type="pct"/>
          </w:tcPr>
          <w:p>
            <w:pPr>
              <w:ind w:leftChars="0" w:left="0" w:right="0"/>
            </w:pPr>
            <w:r>
              <w:t>ENXB</w:t>
            </w:r>
          </w:p>
        </w:tc>
        <w:tc>
          <w:tcPr>
            <w:cnfStyle w:evenVBand="true" w:oddVBand="false" w:firstColumn="false"/>
            <w:tcW w:w="33.333333%" w:type="pct"/>
          </w:tcPr>
          <w:p>
            <w:pPr>
              <w:ind w:leftChars="0" w:left="0" w:right="0"/>
            </w:pPr>
            <w:r>
              <w:t>ENXB</w:t>
            </w:r>
          </w:p>
        </w:tc>
        <w:tc>
          <w:tcPr>
            <w:cnfStyle w:evenVBand="false" w:oddVBand="true" w:firstColumn="false"/>
            <w:tcW w:w="33.333333%" w:type="pct"/>
          </w:tcPr>
          <w:p>
            <w:pPr>
              <w:ind w:leftChars="0" w:left="0" w:right="0"/>
            </w:pPr>
            <w:r>
              <w:t>EURONEXT - EASY NEXT</w:t>
            </w:r>
          </w:p>
        </w:tc>
      </w:tr>
      <w:tr>
        <w:trPr>
          <w:cnfStyle w:evenHBand="false" w:oddHBand="true" w:firstRow="false"/>
        </w:trPr>
        <w:tc>
          <w:tcPr>
            <w:cnfStyle w:evenVBand="false" w:oddVBand="true" w:firstColumn="false"/>
            <w:tcW w:w="33.333333%" w:type="pct"/>
          </w:tcPr>
          <w:p>
            <w:pPr>
              <w:ind w:leftChars="0" w:left="0" w:right="0"/>
            </w:pPr>
            <w:r>
              <w:t>ENXL</w:t>
            </w:r>
          </w:p>
        </w:tc>
        <w:tc>
          <w:tcPr>
            <w:cnfStyle w:evenVBand="true" w:oddVBand="false" w:firstColumn="false"/>
            <w:tcW w:w="33.333333%" w:type="pct"/>
          </w:tcPr>
          <w:p>
            <w:pPr>
              <w:ind w:leftChars="0" w:left="0" w:right="0"/>
            </w:pPr>
            <w:r>
              <w:t>ENXL</w:t>
            </w:r>
          </w:p>
        </w:tc>
        <w:tc>
          <w:tcPr>
            <w:cnfStyle w:evenVBand="false" w:oddVBand="true" w:firstColumn="false"/>
            <w:tcW w:w="33.333333%" w:type="pct"/>
          </w:tcPr>
          <w:p>
            <w:pPr>
              <w:ind w:leftChars="0" w:left="0" w:right="0"/>
            </w:pPr>
            <w:r>
              <w:t>EURONEXT ACCESS LISBON</w:t>
            </w:r>
          </w:p>
        </w:tc>
      </w:tr>
      <w:tr>
        <w:trPr>
          <w:cnfStyle w:evenHBand="true" w:oddHBand="false" w:firstRow="false"/>
        </w:trPr>
        <w:tc>
          <w:tcPr>
            <w:cnfStyle w:evenVBand="false" w:oddVBand="true" w:firstColumn="false"/>
            <w:tcW w:w="33.333333%" w:type="pct"/>
          </w:tcPr>
          <w:p>
            <w:pPr>
              <w:ind w:leftChars="0" w:left="0" w:right="0"/>
            </w:pPr>
            <w:r>
              <w:t>EOTC</w:t>
            </w:r>
          </w:p>
        </w:tc>
        <w:tc>
          <w:tcPr>
            <w:cnfStyle w:evenVBand="true" w:oddVBand="false" w:firstColumn="false"/>
            <w:tcW w:w="33.333333%" w:type="pct"/>
          </w:tcPr>
          <w:p>
            <w:pPr>
              <w:ind w:leftChars="0" w:left="0" w:right="0"/>
            </w:pPr>
            <w:r>
              <w:t>EOTC</w:t>
            </w:r>
          </w:p>
        </w:tc>
        <w:tc>
          <w:tcPr>
            <w:cnfStyle w:evenVBand="false" w:oddVBand="true" w:firstColumn="false"/>
            <w:tcW w:w="33.333333%" w:type="pct"/>
          </w:tcPr>
          <w:p>
            <w:pPr>
              <w:ind w:leftChars="0" w:left="0" w:right="0"/>
            </w:pPr>
            <w:r>
              <w:t>E-OTC</w:t>
            </w:r>
          </w:p>
        </w:tc>
      </w:tr>
      <w:tr>
        <w:trPr>
          <w:cnfStyle w:evenHBand="false" w:oddHBand="true" w:firstRow="false"/>
        </w:trPr>
        <w:tc>
          <w:tcPr>
            <w:cnfStyle w:evenVBand="false" w:oddVBand="true" w:firstColumn="false"/>
            <w:tcW w:w="33.333333%" w:type="pct"/>
          </w:tcPr>
          <w:p>
            <w:pPr>
              <w:ind w:leftChars="0" w:left="0" w:right="0"/>
            </w:pPr>
            <w:r>
              <w:t>EPEX</w:t>
            </w:r>
          </w:p>
        </w:tc>
        <w:tc>
          <w:tcPr>
            <w:cnfStyle w:evenVBand="true" w:oddVBand="false" w:firstColumn="false"/>
            <w:tcW w:w="33.333333%" w:type="pct"/>
          </w:tcPr>
          <w:p>
            <w:pPr>
              <w:ind w:leftChars="0" w:left="0" w:right="0"/>
            </w:pPr>
            <w:r>
              <w:t>EPEX</w:t>
            </w:r>
          </w:p>
        </w:tc>
        <w:tc>
          <w:tcPr>
            <w:cnfStyle w:evenVBand="false" w:oddVBand="true" w:firstColumn="false"/>
            <w:tcW w:w="33.333333%" w:type="pct"/>
          </w:tcPr>
          <w:p>
            <w:pPr>
              <w:ind w:leftChars="0" w:left="0" w:right="0"/>
            </w:pPr>
            <w:r>
              <w:t>EPEX SPOT SE</w:t>
            </w:r>
          </w:p>
        </w:tc>
      </w:tr>
      <w:tr>
        <w:trPr>
          <w:cnfStyle w:evenHBand="true" w:oddHBand="false" w:firstRow="false"/>
        </w:trPr>
        <w:tc>
          <w:tcPr>
            <w:cnfStyle w:evenVBand="false" w:oddVBand="true" w:firstColumn="false"/>
            <w:tcW w:w="33.333333%" w:type="pct"/>
          </w:tcPr>
          <w:p>
            <w:pPr>
              <w:ind w:leftChars="0" w:left="0" w:right="0"/>
            </w:pPr>
            <w:r>
              <w:t>EPRD</w:t>
            </w:r>
          </w:p>
        </w:tc>
        <w:tc>
          <w:tcPr>
            <w:cnfStyle w:evenVBand="true" w:oddVBand="false" w:firstColumn="false"/>
            <w:tcW w:w="33.333333%" w:type="pct"/>
          </w:tcPr>
          <w:p>
            <w:pPr>
              <w:ind w:leftChars="0" w:left="0" w:right="0"/>
            </w:pPr>
            <w:r>
              <w:t>EPRD</w:t>
            </w:r>
          </w:p>
        </w:tc>
        <w:tc>
          <w:tcPr>
            <w:cnfStyle w:evenVBand="false" w:oddVBand="true" w:firstColumn="false"/>
            <w:tcW w:w="33.333333%" w:type="pct"/>
          </w:tcPr>
          <w:p>
            <w:pPr>
              <w:ind w:leftChars="0" w:left="0" w:right="0"/>
            </w:pPr>
            <w:r>
              <w:t>MIAX PEARL EQUITIES EXCHANGE DARK</w:t>
            </w:r>
          </w:p>
        </w:tc>
      </w:tr>
      <w:tr>
        <w:trPr>
          <w:cnfStyle w:evenHBand="false" w:oddHBand="true" w:firstRow="false"/>
        </w:trPr>
        <w:tc>
          <w:tcPr>
            <w:cnfStyle w:evenVBand="false" w:oddVBand="true" w:firstColumn="false"/>
            <w:tcW w:w="33.333333%" w:type="pct"/>
          </w:tcPr>
          <w:p>
            <w:pPr>
              <w:ind w:leftChars="0" w:left="0" w:right="0"/>
            </w:pPr>
            <w:r>
              <w:t>EPRL</w:t>
            </w:r>
          </w:p>
        </w:tc>
        <w:tc>
          <w:tcPr>
            <w:cnfStyle w:evenVBand="true" w:oddVBand="false" w:firstColumn="false"/>
            <w:tcW w:w="33.333333%" w:type="pct"/>
          </w:tcPr>
          <w:p>
            <w:pPr>
              <w:ind w:leftChars="0" w:left="0" w:right="0"/>
            </w:pPr>
            <w:r>
              <w:t>EPRL</w:t>
            </w:r>
          </w:p>
        </w:tc>
        <w:tc>
          <w:tcPr>
            <w:cnfStyle w:evenVBand="false" w:oddVBand="true" w:firstColumn="false"/>
            <w:tcW w:w="33.333333%" w:type="pct"/>
          </w:tcPr>
          <w:p>
            <w:pPr>
              <w:ind w:leftChars="0" w:left="0" w:right="0"/>
            </w:pPr>
            <w:r>
              <w:t>MIAX PEARL EQUITIES</w:t>
            </w:r>
          </w:p>
        </w:tc>
      </w:tr>
      <w:tr>
        <w:trPr>
          <w:cnfStyle w:evenHBand="true" w:oddHBand="false" w:firstRow="false"/>
        </w:trPr>
        <w:tc>
          <w:tcPr>
            <w:cnfStyle w:evenVBand="false" w:oddVBand="true" w:firstColumn="false"/>
            <w:tcW w:w="33.333333%" w:type="pct"/>
          </w:tcPr>
          <w:p>
            <w:pPr>
              <w:ind w:leftChars="0" w:left="0" w:right="0"/>
            </w:pPr>
            <w:r>
              <w:t>EQCA</w:t>
            </w:r>
          </w:p>
        </w:tc>
        <w:tc>
          <w:tcPr>
            <w:cnfStyle w:evenVBand="true" w:oddVBand="false" w:firstColumn="false"/>
            <w:tcW w:w="33.333333%" w:type="pct"/>
          </w:tcPr>
          <w:p>
            <w:pPr>
              <w:ind w:leftChars="0" w:left="0" w:right="0"/>
            </w:pPr>
            <w:r>
              <w:t>EQCA</w:t>
            </w:r>
          </w:p>
        </w:tc>
        <w:tc>
          <w:tcPr>
            <w:cnfStyle w:evenVBand="false" w:oddVBand="true" w:firstColumn="false"/>
            <w:tcW w:w="33.333333%" w:type="pct"/>
          </w:tcPr>
          <w:p>
            <w:pPr>
              <w:ind w:leftChars="0" w:left="0" w:right="0"/>
            </w:pPr>
            <w:r>
              <w:t>EQUILEND CANADA CORP.</w:t>
            </w:r>
          </w:p>
        </w:tc>
      </w:tr>
      <w:tr>
        <w:trPr>
          <w:cnfStyle w:evenHBand="false" w:oddHBand="true" w:firstRow="false"/>
        </w:trPr>
        <w:tc>
          <w:tcPr>
            <w:cnfStyle w:evenVBand="false" w:oddVBand="true" w:firstColumn="false"/>
            <w:tcW w:w="33.333333%" w:type="pct"/>
          </w:tcPr>
          <w:p>
            <w:pPr>
              <w:ind w:leftChars="0" w:left="0" w:right="0"/>
            </w:pPr>
            <w:r>
              <w:t>EQIE</w:t>
            </w:r>
          </w:p>
        </w:tc>
        <w:tc>
          <w:tcPr>
            <w:cnfStyle w:evenVBand="true" w:oddVBand="false" w:firstColumn="false"/>
            <w:tcW w:w="33.333333%" w:type="pct"/>
          </w:tcPr>
          <w:p>
            <w:pPr>
              <w:ind w:leftChars="0" w:left="0" w:right="0"/>
            </w:pPr>
            <w:r>
              <w:t>EQIE</w:t>
            </w:r>
          </w:p>
        </w:tc>
        <w:tc>
          <w:tcPr>
            <w:cnfStyle w:evenVBand="false" w:oddVBand="true" w:firstColumn="false"/>
            <w:tcW w:w="33.333333%" w:type="pct"/>
          </w:tcPr>
          <w:p>
            <w:pPr>
              <w:ind w:leftChars="0" w:left="0" w:right="0"/>
            </w:pPr>
            <w:r>
              <w:t>EQUILEND LIMITED</w:t>
            </w:r>
          </w:p>
        </w:tc>
      </w:tr>
      <w:tr>
        <w:trPr>
          <w:cnfStyle w:evenHBand="true" w:oddHBand="false" w:firstRow="false"/>
        </w:trPr>
        <w:tc>
          <w:tcPr>
            <w:cnfStyle w:evenVBand="false" w:oddVBand="true" w:firstColumn="false"/>
            <w:tcW w:w="33.333333%" w:type="pct"/>
          </w:tcPr>
          <w:p>
            <w:pPr>
              <w:ind w:leftChars="0" w:left="0" w:right="0"/>
            </w:pPr>
            <w:r>
              <w:t>EQLD</w:t>
            </w:r>
          </w:p>
        </w:tc>
        <w:tc>
          <w:tcPr>
            <w:cnfStyle w:evenVBand="true" w:oddVBand="false" w:firstColumn="false"/>
            <w:tcW w:w="33.333333%" w:type="pct"/>
          </w:tcPr>
          <w:p>
            <w:pPr>
              <w:ind w:leftChars="0" w:left="0" w:right="0"/>
            </w:pPr>
            <w:r>
              <w:t>EQLD</w:t>
            </w:r>
          </w:p>
        </w:tc>
        <w:tc>
          <w:tcPr>
            <w:cnfStyle w:evenVBand="false" w:oddVBand="true" w:firstColumn="false"/>
            <w:tcW w:w="33.333333%" w:type="pct"/>
          </w:tcPr>
          <w:p>
            <w:pPr>
              <w:ind w:leftChars="0" w:left="0" w:right="0"/>
            </w:pPr>
            <w:r>
              <w:t>EQUILEND EUROPE LIMITED</w:t>
            </w:r>
          </w:p>
        </w:tc>
      </w:tr>
      <w:tr>
        <w:trPr>
          <w:cnfStyle w:evenHBand="false" w:oddHBand="true" w:firstRow="false"/>
        </w:trPr>
        <w:tc>
          <w:tcPr>
            <w:cnfStyle w:evenVBand="false" w:oddVBand="true" w:firstColumn="false"/>
            <w:tcW w:w="33.333333%" w:type="pct"/>
          </w:tcPr>
          <w:p>
            <w:pPr>
              <w:ind w:leftChars="0" w:left="0" w:right="0"/>
            </w:pPr>
            <w:r>
              <w:t>EQOC</w:t>
            </w:r>
          </w:p>
        </w:tc>
        <w:tc>
          <w:tcPr>
            <w:cnfStyle w:evenVBand="true" w:oddVBand="false" w:firstColumn="false"/>
            <w:tcW w:w="33.333333%" w:type="pct"/>
          </w:tcPr>
          <w:p>
            <w:pPr>
              <w:ind w:leftChars="0" w:left="0" w:right="0"/>
            </w:pPr>
            <w:r>
              <w:t>EQOC</w:t>
            </w:r>
          </w:p>
        </w:tc>
        <w:tc>
          <w:tcPr>
            <w:cnfStyle w:evenVBand="false" w:oddVBand="true" w:firstColumn="false"/>
            <w:tcW w:w="33.333333%" w:type="pct"/>
          </w:tcPr>
          <w:p>
            <w:pPr>
              <w:ind w:leftChars="0" w:left="0" w:right="0"/>
            </w:pPr>
            <w:r>
              <w:t>EQUOS SPOT</w:t>
            </w:r>
          </w:p>
        </w:tc>
      </w:tr>
      <w:tr>
        <w:trPr>
          <w:cnfStyle w:evenHBand="true" w:oddHBand="false" w:firstRow="false"/>
        </w:trPr>
        <w:tc>
          <w:tcPr>
            <w:cnfStyle w:evenVBand="false" w:oddVBand="true" w:firstColumn="false"/>
            <w:tcW w:w="33.333333%" w:type="pct"/>
          </w:tcPr>
          <w:p>
            <w:pPr>
              <w:ind w:leftChars="0" w:left="0" w:right="0"/>
            </w:pPr>
            <w:r>
              <w:t>EQOD</w:t>
            </w:r>
          </w:p>
        </w:tc>
        <w:tc>
          <w:tcPr>
            <w:cnfStyle w:evenVBand="true" w:oddVBand="false" w:firstColumn="false"/>
            <w:tcW w:w="33.333333%" w:type="pct"/>
          </w:tcPr>
          <w:p>
            <w:pPr>
              <w:ind w:leftChars="0" w:left="0" w:right="0"/>
            </w:pPr>
            <w:r>
              <w:t>EQOD</w:t>
            </w:r>
          </w:p>
        </w:tc>
        <w:tc>
          <w:tcPr>
            <w:cnfStyle w:evenVBand="false" w:oddVBand="true" w:firstColumn="false"/>
            <w:tcW w:w="33.333333%" w:type="pct"/>
          </w:tcPr>
          <w:p>
            <w:pPr>
              <w:ind w:leftChars="0" w:left="0" w:right="0"/>
            </w:pPr>
            <w:r>
              <w:t>EQUOS DERIVATIVES</w:t>
            </w:r>
          </w:p>
        </w:tc>
      </w:tr>
      <w:tr>
        <w:trPr>
          <w:cnfStyle w:evenHBand="false" w:oddHBand="true" w:firstRow="false"/>
        </w:trPr>
        <w:tc>
          <w:tcPr>
            <w:cnfStyle w:evenVBand="false" w:oddVBand="true" w:firstColumn="false"/>
            <w:tcW w:w="33.333333%" w:type="pct"/>
          </w:tcPr>
          <w:p>
            <w:pPr>
              <w:ind w:leftChars="0" w:left="0" w:right="0"/>
            </w:pPr>
            <w:r>
              <w:t>EQOS</w:t>
            </w:r>
          </w:p>
        </w:tc>
        <w:tc>
          <w:tcPr>
            <w:cnfStyle w:evenVBand="true" w:oddVBand="false" w:firstColumn="false"/>
            <w:tcW w:w="33.333333%" w:type="pct"/>
          </w:tcPr>
          <w:p>
            <w:pPr>
              <w:ind w:leftChars="0" w:left="0" w:right="0"/>
            </w:pPr>
            <w:r>
              <w:t>EQOS</w:t>
            </w:r>
          </w:p>
        </w:tc>
        <w:tc>
          <w:tcPr>
            <w:cnfStyle w:evenVBand="false" w:oddVBand="true" w:firstColumn="false"/>
            <w:tcW w:w="33.333333%" w:type="pct"/>
          </w:tcPr>
          <w:p>
            <w:pPr>
              <w:ind w:leftChars="0" w:left="0" w:right="0"/>
            </w:pPr>
            <w:r>
              <w:t>EQUOS</w:t>
            </w:r>
          </w:p>
        </w:tc>
      </w:tr>
      <w:tr>
        <w:trPr>
          <w:cnfStyle w:evenHBand="true" w:oddHBand="false" w:firstRow="false"/>
        </w:trPr>
        <w:tc>
          <w:tcPr>
            <w:cnfStyle w:evenVBand="false" w:oddVBand="true" w:firstColumn="false"/>
            <w:tcW w:w="33.333333%" w:type="pct"/>
          </w:tcPr>
          <w:p>
            <w:pPr>
              <w:ind w:leftChars="0" w:left="0" w:right="0"/>
            </w:pPr>
            <w:r>
              <w:t>EQSE</w:t>
            </w:r>
          </w:p>
        </w:tc>
        <w:tc>
          <w:tcPr>
            <w:cnfStyle w:evenVBand="true" w:oddVBand="false" w:firstColumn="false"/>
            <w:tcW w:w="33.333333%" w:type="pct"/>
          </w:tcPr>
          <w:p>
            <w:pPr>
              <w:ind w:leftChars="0" w:left="0" w:right="0"/>
            </w:pPr>
            <w:r>
              <w:t>EQSE</w:t>
            </w:r>
          </w:p>
        </w:tc>
        <w:tc>
          <w:tcPr>
            <w:cnfStyle w:evenVBand="false" w:oddVBand="true" w:firstColumn="false"/>
            <w:tcW w:w="33.333333%" w:type="pct"/>
          </w:tcPr>
          <w:p>
            <w:pPr>
              <w:ind w:leftChars="0" w:left="0" w:right="0"/>
            </w:pPr>
            <w:r>
              <w:t>EQUILEND LIMITED - SWAPS</w:t>
            </w:r>
          </w:p>
        </w:tc>
      </w:tr>
      <w:tr>
        <w:trPr>
          <w:cnfStyle w:evenHBand="false" w:oddHBand="true" w:firstRow="false"/>
        </w:trPr>
        <w:tc>
          <w:tcPr>
            <w:cnfStyle w:evenVBand="false" w:oddVBand="true" w:firstColumn="false"/>
            <w:tcW w:w="33.333333%" w:type="pct"/>
          </w:tcPr>
          <w:p>
            <w:pPr>
              <w:ind w:leftChars="0" w:left="0" w:right="0"/>
            </w:pPr>
            <w:r>
              <w:t>EQSL</w:t>
            </w:r>
          </w:p>
        </w:tc>
        <w:tc>
          <w:tcPr>
            <w:cnfStyle w:evenVBand="true" w:oddVBand="false" w:firstColumn="false"/>
            <w:tcW w:w="33.333333%" w:type="pct"/>
          </w:tcPr>
          <w:p>
            <w:pPr>
              <w:ind w:leftChars="0" w:left="0" w:right="0"/>
            </w:pPr>
            <w:r>
              <w:t>EQSL</w:t>
            </w:r>
          </w:p>
        </w:tc>
        <w:tc>
          <w:tcPr>
            <w:cnfStyle w:evenVBand="false" w:oddVBand="true" w:firstColumn="false"/>
            <w:tcW w:w="33.333333%" w:type="pct"/>
          </w:tcPr>
          <w:p>
            <w:pPr>
              <w:ind w:leftChars="0" w:left="0" w:right="0"/>
            </w:pPr>
            <w:r>
              <w:t>EQUILEND EUROPE LIMITED - SWAPS</w:t>
            </w:r>
          </w:p>
        </w:tc>
      </w:tr>
      <w:tr>
        <w:trPr>
          <w:cnfStyle w:evenHBand="true" w:oddHBand="false" w:firstRow="false"/>
        </w:trPr>
        <w:tc>
          <w:tcPr>
            <w:cnfStyle w:evenVBand="false" w:oddVBand="true" w:firstColumn="false"/>
            <w:tcW w:w="33.333333%" w:type="pct"/>
          </w:tcPr>
          <w:p>
            <w:pPr>
              <w:ind w:leftChars="0" w:left="0" w:right="0"/>
            </w:pPr>
            <w:r>
              <w:t>EQTA</w:t>
            </w:r>
          </w:p>
        </w:tc>
        <w:tc>
          <w:tcPr>
            <w:cnfStyle w:evenVBand="true" w:oddVBand="false" w:firstColumn="false"/>
            <w:tcW w:w="33.333333%" w:type="pct"/>
          </w:tcPr>
          <w:p>
            <w:pPr>
              <w:ind w:leftChars="0" w:left="0" w:right="0"/>
            </w:pPr>
            <w:r>
              <w:t>EQTA</w:t>
            </w:r>
          </w:p>
        </w:tc>
        <w:tc>
          <w:tcPr>
            <w:cnfStyle w:evenVBand="false" w:oddVBand="true" w:firstColumn="false"/>
            <w:tcW w:w="33.333333%" w:type="pct"/>
          </w:tcPr>
          <w:p>
            <w:pPr>
              <w:ind w:leftChars="0" w:left="0" w:right="0"/>
            </w:pPr>
            <w:r>
              <w:t>BOERSE BERLIN EQUIDUCT TRADING - REGULIERTER MARKT</w:t>
            </w:r>
          </w:p>
        </w:tc>
      </w:tr>
      <w:tr>
        <w:trPr>
          <w:cnfStyle w:evenHBand="false" w:oddHBand="true" w:firstRow="false"/>
        </w:trPr>
        <w:tc>
          <w:tcPr>
            <w:cnfStyle w:evenVBand="false" w:oddVBand="true" w:firstColumn="false"/>
            <w:tcW w:w="33.333333%" w:type="pct"/>
          </w:tcPr>
          <w:p>
            <w:pPr>
              <w:ind w:leftChars="0" w:left="0" w:right="0"/>
            </w:pPr>
            <w:r>
              <w:t>EQTB</w:t>
            </w:r>
          </w:p>
        </w:tc>
        <w:tc>
          <w:tcPr>
            <w:cnfStyle w:evenVBand="true" w:oddVBand="false" w:firstColumn="false"/>
            <w:tcW w:w="33.333333%" w:type="pct"/>
          </w:tcPr>
          <w:p>
            <w:pPr>
              <w:ind w:leftChars="0" w:left="0" w:right="0"/>
            </w:pPr>
            <w:r>
              <w:t>EQTB</w:t>
            </w:r>
          </w:p>
        </w:tc>
        <w:tc>
          <w:tcPr>
            <w:cnfStyle w:evenVBand="false" w:oddVBand="true" w:firstColumn="false"/>
            <w:tcW w:w="33.333333%" w:type="pct"/>
          </w:tcPr>
          <w:p>
            <w:pPr>
              <w:ind w:leftChars="0" w:left="0" w:right="0"/>
            </w:pPr>
            <w:r>
              <w:t>BOERSE BERLIN EQUIDUCT TRADING - BERLIN SECOND REGULATED MARKET</w:t>
            </w:r>
          </w:p>
        </w:tc>
      </w:tr>
      <w:tr>
        <w:trPr>
          <w:cnfStyle w:evenHBand="true" w:oddHBand="false" w:firstRow="false"/>
        </w:trPr>
        <w:tc>
          <w:tcPr>
            <w:cnfStyle w:evenVBand="false" w:oddVBand="true" w:firstColumn="false"/>
            <w:tcW w:w="33.333333%" w:type="pct"/>
          </w:tcPr>
          <w:p>
            <w:pPr>
              <w:ind w:leftChars="0" w:left="0" w:right="0"/>
            </w:pPr>
            <w:r>
              <w:t>EQTC</w:t>
            </w:r>
          </w:p>
        </w:tc>
        <w:tc>
          <w:tcPr>
            <w:cnfStyle w:evenVBand="true" w:oddVBand="false" w:firstColumn="false"/>
            <w:tcW w:w="33.333333%" w:type="pct"/>
          </w:tcPr>
          <w:p>
            <w:pPr>
              <w:ind w:leftChars="0" w:left="0" w:right="0"/>
            </w:pPr>
            <w:r>
              <w:t>EQTC</w:t>
            </w:r>
          </w:p>
        </w:tc>
        <w:tc>
          <w:tcPr>
            <w:cnfStyle w:evenVBand="false" w:oddVBand="true" w:firstColumn="false"/>
            <w:tcW w:w="33.333333%" w:type="pct"/>
          </w:tcPr>
          <w:p>
            <w:pPr>
              <w:ind w:leftChars="0" w:left="0" w:right="0"/>
            </w:pPr>
            <w:r>
              <w:t>BOERSE BERLIN EQUIDUCT TRADING - FREIVERKEHR</w:t>
            </w:r>
          </w:p>
        </w:tc>
      </w:tr>
      <w:tr>
        <w:trPr>
          <w:cnfStyle w:evenHBand="false" w:oddHBand="true" w:firstRow="false"/>
        </w:trPr>
        <w:tc>
          <w:tcPr>
            <w:cnfStyle w:evenVBand="false" w:oddVBand="true" w:firstColumn="false"/>
            <w:tcW w:w="33.333333%" w:type="pct"/>
          </w:tcPr>
          <w:p>
            <w:pPr>
              <w:ind w:leftChars="0" w:left="0" w:right="0"/>
            </w:pPr>
            <w:r>
              <w:t>EQTD</w:t>
            </w:r>
          </w:p>
        </w:tc>
        <w:tc>
          <w:tcPr>
            <w:cnfStyle w:evenVBand="true" w:oddVBand="false" w:firstColumn="false"/>
            <w:tcW w:w="33.333333%" w:type="pct"/>
          </w:tcPr>
          <w:p>
            <w:pPr>
              <w:ind w:leftChars="0" w:left="0" w:right="0"/>
            </w:pPr>
            <w:r>
              <w:t>EQTD</w:t>
            </w:r>
          </w:p>
        </w:tc>
        <w:tc>
          <w:tcPr>
            <w:cnfStyle w:evenVBand="false" w:oddVBand="true" w:firstColumn="false"/>
            <w:tcW w:w="33.333333%" w:type="pct"/>
          </w:tcPr>
          <w:p>
            <w:pPr>
              <w:ind w:leftChars="0" w:left="0" w:right="0"/>
            </w:pPr>
            <w:r>
              <w:t>BOERSE BERLIN EQUIDUCT TRADING - OTC</w:t>
            </w:r>
          </w:p>
        </w:tc>
      </w:tr>
      <w:tr>
        <w:trPr>
          <w:cnfStyle w:evenHBand="true" w:oddHBand="false" w:firstRow="false"/>
        </w:trPr>
        <w:tc>
          <w:tcPr>
            <w:cnfStyle w:evenVBand="false" w:oddVBand="true" w:firstColumn="false"/>
            <w:tcW w:w="33.333333%" w:type="pct"/>
          </w:tcPr>
          <w:p>
            <w:pPr>
              <w:ind w:leftChars="0" w:left="0" w:right="0"/>
            </w:pPr>
            <w:r>
              <w:t>EQUS</w:t>
            </w:r>
          </w:p>
        </w:tc>
        <w:tc>
          <w:tcPr>
            <w:cnfStyle w:evenVBand="true" w:oddVBand="false" w:firstColumn="false"/>
            <w:tcW w:w="33.333333%" w:type="pct"/>
          </w:tcPr>
          <w:p>
            <w:pPr>
              <w:ind w:leftChars="0" w:left="0" w:right="0"/>
            </w:pPr>
            <w:r>
              <w:t>EQUS</w:t>
            </w:r>
          </w:p>
        </w:tc>
        <w:tc>
          <w:tcPr>
            <w:cnfStyle w:evenVBand="false" w:oddVBand="true" w:firstColumn="false"/>
            <w:tcW w:w="33.333333%" w:type="pct"/>
          </w:tcPr>
          <w:p>
            <w:pPr>
              <w:ind w:leftChars="0" w:left="0" w:right="0"/>
            </w:pPr>
            <w:r>
              <w:t>EQUILEND LLC</w:t>
            </w:r>
          </w:p>
        </w:tc>
      </w:tr>
      <w:tr>
        <w:trPr>
          <w:cnfStyle w:evenHBand="false" w:oddHBand="true" w:firstRow="false"/>
        </w:trPr>
        <w:tc>
          <w:tcPr>
            <w:cnfStyle w:evenVBand="false" w:oddVBand="true" w:firstColumn="false"/>
            <w:tcW w:w="33.333333%" w:type="pct"/>
          </w:tcPr>
          <w:p>
            <w:pPr>
              <w:ind w:leftChars="0" w:left="0" w:right="0"/>
            </w:pPr>
            <w:r>
              <w:t>EQWB</w:t>
            </w:r>
          </w:p>
        </w:tc>
        <w:tc>
          <w:tcPr>
            <w:cnfStyle w:evenVBand="true" w:oddVBand="false" w:firstColumn="false"/>
            <w:tcW w:w="33.333333%" w:type="pct"/>
          </w:tcPr>
          <w:p>
            <w:pPr>
              <w:ind w:leftChars="0" w:left="0" w:right="0"/>
            </w:pPr>
            <w:r>
              <w:t>EQWB</w:t>
            </w:r>
          </w:p>
        </w:tc>
        <w:tc>
          <w:tcPr>
            <w:cnfStyle w:evenVBand="false" w:oddVBand="true" w:firstColumn="false"/>
            <w:tcW w:w="33.333333%" w:type="pct"/>
          </w:tcPr>
          <w:p>
            <w:pPr>
              <w:ind w:leftChars="0" w:left="0" w:right="0"/>
            </w:pPr>
            <w:r>
              <w:t>BX WORLDCAPS</w:t>
            </w:r>
          </w:p>
        </w:tc>
      </w:tr>
      <w:tr>
        <w:trPr>
          <w:cnfStyle w:evenHBand="true" w:oddHBand="false" w:firstRow="false"/>
        </w:trPr>
        <w:tc>
          <w:tcPr>
            <w:cnfStyle w:evenVBand="false" w:oddVBand="true" w:firstColumn="false"/>
            <w:tcW w:w="33.333333%" w:type="pct"/>
          </w:tcPr>
          <w:p>
            <w:pPr>
              <w:ind w:leftChars="0" w:left="0" w:right="0"/>
            </w:pPr>
            <w:r>
              <w:t>ERBX</w:t>
            </w:r>
          </w:p>
        </w:tc>
        <w:tc>
          <w:tcPr>
            <w:cnfStyle w:evenVBand="true" w:oddVBand="false" w:firstColumn="false"/>
            <w:tcW w:w="33.333333%" w:type="pct"/>
          </w:tcPr>
          <w:p>
            <w:pPr>
              <w:ind w:leftChars="0" w:left="0" w:right="0"/>
            </w:pPr>
            <w:r>
              <w:t>ERBX</w:t>
            </w:r>
          </w:p>
        </w:tc>
        <w:tc>
          <w:tcPr>
            <w:cnfStyle w:evenVBand="false" w:oddVBand="true" w:firstColumn="false"/>
            <w:tcW w:w="33.333333%" w:type="pct"/>
          </w:tcPr>
          <w:p>
            <w:pPr>
              <w:ind w:leftChars="0" w:left="0" w:right="0"/>
            </w:pPr>
            <w:r>
              <w:t>EUROBANK - SYSTEMATIC INTERNALISER</w:t>
            </w:r>
          </w:p>
        </w:tc>
      </w:tr>
      <w:tr>
        <w:trPr>
          <w:cnfStyle w:evenHBand="false" w:oddHBand="true" w:firstRow="false"/>
        </w:trPr>
        <w:tc>
          <w:tcPr>
            <w:cnfStyle w:evenVBand="false" w:oddVBand="true" w:firstColumn="false"/>
            <w:tcW w:w="33.333333%" w:type="pct"/>
          </w:tcPr>
          <w:p>
            <w:pPr>
              <w:ind w:leftChars="0" w:left="0" w:right="0"/>
            </w:pPr>
            <w:r>
              <w:t>ERFQ</w:t>
            </w:r>
          </w:p>
        </w:tc>
        <w:tc>
          <w:tcPr>
            <w:cnfStyle w:evenVBand="true" w:oddVBand="false" w:firstColumn="false"/>
            <w:tcW w:w="33.333333%" w:type="pct"/>
          </w:tcPr>
          <w:p>
            <w:pPr>
              <w:ind w:leftChars="0" w:left="0" w:right="0"/>
            </w:pPr>
            <w:r>
              <w:t>ERFQ</w:t>
            </w:r>
          </w:p>
        </w:tc>
        <w:tc>
          <w:tcPr>
            <w:cnfStyle w:evenVBand="false" w:oddVBand="true" w:firstColumn="false"/>
            <w:tcW w:w="33.333333%" w:type="pct"/>
          </w:tcPr>
          <w:p>
            <w:pPr>
              <w:ind w:leftChars="0" w:left="0" w:right="0"/>
            </w:pPr>
            <w:r>
              <w:t>BLOCKMATCH EUROPE RFQ</w:t>
            </w:r>
          </w:p>
        </w:tc>
      </w:tr>
      <w:tr>
        <w:trPr>
          <w:cnfStyle w:evenHBand="true" w:oddHBand="false" w:firstRow="false"/>
        </w:trPr>
        <w:tc>
          <w:tcPr>
            <w:cnfStyle w:evenVBand="false" w:oddVBand="true" w:firstColumn="false"/>
            <w:tcW w:w="33.333333%" w:type="pct"/>
          </w:tcPr>
          <w:p>
            <w:pPr>
              <w:ind w:leftChars="0" w:left="0" w:right="0"/>
            </w:pPr>
            <w:r>
              <w:t>ERIS</w:t>
            </w:r>
          </w:p>
        </w:tc>
        <w:tc>
          <w:tcPr>
            <w:cnfStyle w:evenVBand="true" w:oddVBand="false" w:firstColumn="false"/>
            <w:tcW w:w="33.333333%" w:type="pct"/>
          </w:tcPr>
          <w:p>
            <w:pPr>
              <w:ind w:leftChars="0" w:left="0" w:right="0"/>
            </w:pPr>
            <w:r>
              <w:t>ERIS</w:t>
            </w:r>
          </w:p>
        </w:tc>
        <w:tc>
          <w:tcPr>
            <w:cnfStyle w:evenVBand="false" w:oddVBand="true" w:firstColumn="false"/>
            <w:tcW w:w="33.333333%" w:type="pct"/>
          </w:tcPr>
          <w:p>
            <w:pPr>
              <w:ind w:leftChars="0" w:left="0" w:right="0"/>
            </w:pPr>
            <w:r>
              <w:t>ERSX</w:t>
            </w:r>
          </w:p>
        </w:tc>
      </w:tr>
      <w:tr>
        <w:trPr>
          <w:cnfStyle w:evenHBand="false" w:oddHBand="true" w:firstRow="false"/>
        </w:trPr>
        <w:tc>
          <w:tcPr>
            <w:cnfStyle w:evenVBand="false" w:oddVBand="true" w:firstColumn="false"/>
            <w:tcW w:w="33.333333%" w:type="pct"/>
          </w:tcPr>
          <w:p>
            <w:pPr>
              <w:ind w:leftChars="0" w:left="0" w:right="0"/>
            </w:pPr>
            <w:r>
              <w:t>ERST</w:t>
            </w:r>
          </w:p>
        </w:tc>
        <w:tc>
          <w:tcPr>
            <w:cnfStyle w:evenVBand="true" w:oddVBand="false" w:firstColumn="false"/>
            <w:tcW w:w="33.333333%" w:type="pct"/>
          </w:tcPr>
          <w:p>
            <w:pPr>
              <w:ind w:leftChars="0" w:left="0" w:right="0"/>
            </w:pPr>
            <w:r>
              <w:t>ERST</w:t>
            </w:r>
          </w:p>
        </w:tc>
        <w:tc>
          <w:tcPr>
            <w:cnfStyle w:evenVBand="false" w:oddVBand="true" w:firstColumn="false"/>
            <w:tcW w:w="33.333333%" w:type="pct"/>
          </w:tcPr>
          <w:p>
            <w:pPr>
              <w:ind w:leftChars="0" w:left="0" w:right="0"/>
            </w:pPr>
            <w:r>
              <w:t>ERSTE BEFEKTETESI ZRT - SYSTEMATIC INTERNALISER</w:t>
            </w:r>
          </w:p>
        </w:tc>
      </w:tr>
      <w:tr>
        <w:trPr>
          <w:cnfStyle w:evenHBand="true" w:oddHBand="false" w:firstRow="false"/>
        </w:trPr>
        <w:tc>
          <w:tcPr>
            <w:cnfStyle w:evenVBand="false" w:oddVBand="true" w:firstColumn="false"/>
            <w:tcW w:w="33.333333%" w:type="pct"/>
          </w:tcPr>
          <w:p>
            <w:pPr>
              <w:ind w:leftChars="0" w:left="0" w:right="0"/>
            </w:pPr>
            <w:r>
              <w:t>ESLO</w:t>
            </w:r>
          </w:p>
        </w:tc>
        <w:tc>
          <w:tcPr>
            <w:cnfStyle w:evenVBand="true" w:oddVBand="false" w:firstColumn="false"/>
            <w:tcW w:w="33.333333%" w:type="pct"/>
          </w:tcPr>
          <w:p>
            <w:pPr>
              <w:ind w:leftChars="0" w:left="0" w:right="0"/>
            </w:pPr>
            <w:r>
              <w:t>ESLO</w:t>
            </w:r>
          </w:p>
        </w:tc>
        <w:tc>
          <w:tcPr>
            <w:cnfStyle w:evenVBand="false" w:oddVBand="true" w:firstColumn="false"/>
            <w:tcW w:w="33.333333%" w:type="pct"/>
          </w:tcPr>
          <w:p>
            <w:pPr>
              <w:ind w:leftChars="0" w:left="0" w:right="0"/>
            </w:pPr>
            <w:r>
              <w:t>ENGNSOL</w:t>
            </w:r>
          </w:p>
        </w:tc>
      </w:tr>
      <w:tr>
        <w:trPr>
          <w:cnfStyle w:evenHBand="false" w:oddHBand="true" w:firstRow="false"/>
        </w:trPr>
        <w:tc>
          <w:tcPr>
            <w:cnfStyle w:evenVBand="false" w:oddVBand="true" w:firstColumn="false"/>
            <w:tcW w:w="33.333333%" w:type="pct"/>
          </w:tcPr>
          <w:p>
            <w:pPr>
              <w:ind w:leftChars="0" w:left="0" w:right="0"/>
            </w:pPr>
            <w:r>
              <w:t>ESPD</w:t>
            </w:r>
          </w:p>
        </w:tc>
        <w:tc>
          <w:tcPr>
            <w:cnfStyle w:evenVBand="true" w:oddVBand="false" w:firstColumn="false"/>
            <w:tcW w:w="33.333333%" w:type="pct"/>
          </w:tcPr>
          <w:p>
            <w:pPr>
              <w:ind w:leftChars="0" w:left="0" w:right="0"/>
            </w:pPr>
            <w:r>
              <w:t>ESPD</w:t>
            </w:r>
          </w:p>
        </w:tc>
        <w:tc>
          <w:tcPr>
            <w:cnfStyle w:evenVBand="false" w:oddVBand="true" w:firstColumn="false"/>
            <w:tcW w:w="33.333333%" w:type="pct"/>
          </w:tcPr>
          <w:p>
            <w:pPr>
              <w:ind w:leftChars="0" w:left="0" w:right="0"/>
            </w:pPr>
            <w:r>
              <w:t>NASDAQ OMX ESPEED</w:t>
            </w:r>
          </w:p>
        </w:tc>
      </w:tr>
      <w:tr>
        <w:trPr>
          <w:cnfStyle w:evenHBand="true" w:oddHBand="false" w:firstRow="false"/>
        </w:trPr>
        <w:tc>
          <w:tcPr>
            <w:cnfStyle w:evenVBand="false" w:oddVBand="true" w:firstColumn="false"/>
            <w:tcW w:w="33.333333%" w:type="pct"/>
          </w:tcPr>
          <w:p>
            <w:pPr>
              <w:ind w:leftChars="0" w:left="0" w:right="0"/>
            </w:pPr>
            <w:r>
              <w:t>ESTO</w:t>
            </w:r>
          </w:p>
        </w:tc>
        <w:tc>
          <w:tcPr>
            <w:cnfStyle w:evenVBand="true" w:oddVBand="false" w:firstColumn="false"/>
            <w:tcW w:w="33.333333%" w:type="pct"/>
          </w:tcPr>
          <w:p>
            <w:pPr>
              <w:ind w:leftChars="0" w:left="0" w:right="0"/>
            </w:pPr>
            <w:r>
              <w:t>ESTO</w:t>
            </w:r>
          </w:p>
        </w:tc>
        <w:tc>
          <w:tcPr>
            <w:cnfStyle w:evenVBand="false" w:oddVBand="true" w:firstColumn="false"/>
            <w:tcW w:w="33.333333%" w:type="pct"/>
          </w:tcPr>
          <w:p>
            <w:pPr>
              <w:ind w:leftChars="0" w:left="0" w:right="0"/>
            </w:pPr>
            <w:r>
              <w:t>NASDAQ STOCKHOLM AB - NORWAY ETF</w:t>
            </w:r>
          </w:p>
        </w:tc>
      </w:tr>
      <w:tr>
        <w:trPr>
          <w:cnfStyle w:evenHBand="false" w:oddHBand="true" w:firstRow="false"/>
        </w:trPr>
        <w:tc>
          <w:tcPr>
            <w:cnfStyle w:evenVBand="false" w:oddVBand="true" w:firstColumn="false"/>
            <w:tcW w:w="33.333333%" w:type="pct"/>
          </w:tcPr>
          <w:p>
            <w:pPr>
              <w:ind w:leftChars="0" w:left="0" w:right="0"/>
            </w:pPr>
            <w:r>
              <w:t>ETFP</w:t>
            </w:r>
          </w:p>
        </w:tc>
        <w:tc>
          <w:tcPr>
            <w:cnfStyle w:evenVBand="true" w:oddVBand="false" w:firstColumn="false"/>
            <w:tcW w:w="33.333333%" w:type="pct"/>
          </w:tcPr>
          <w:p>
            <w:pPr>
              <w:ind w:leftChars="0" w:left="0" w:right="0"/>
            </w:pPr>
            <w:r>
              <w:t>ETFP</w:t>
            </w:r>
          </w:p>
        </w:tc>
        <w:tc>
          <w:tcPr>
            <w:cnfStyle w:evenVBand="false" w:oddVBand="true" w:firstColumn="false"/>
            <w:tcW w:w="33.333333%" w:type="pct"/>
          </w:tcPr>
          <w:p>
            <w:pPr>
              <w:ind w:leftChars="0" w:left="0" w:right="0"/>
            </w:pPr>
            <w:r>
              <w:t>ELECTRONIC ETF, ETC/ETN AND OPEN-END FUNDS MARKET</w:t>
            </w:r>
          </w:p>
        </w:tc>
      </w:tr>
      <w:tr>
        <w:trPr>
          <w:cnfStyle w:evenHBand="true" w:oddHBand="false" w:firstRow="false"/>
        </w:trPr>
        <w:tc>
          <w:tcPr>
            <w:cnfStyle w:evenVBand="false" w:oddVBand="true" w:firstColumn="false"/>
            <w:tcW w:w="33.333333%" w:type="pct"/>
          </w:tcPr>
          <w:p>
            <w:pPr>
              <w:ind w:leftChars="0" w:left="0" w:right="0"/>
            </w:pPr>
            <w:r>
              <w:t>ETLX</w:t>
            </w:r>
          </w:p>
        </w:tc>
        <w:tc>
          <w:tcPr>
            <w:cnfStyle w:evenVBand="true" w:oddVBand="false" w:firstColumn="false"/>
            <w:tcW w:w="33.333333%" w:type="pct"/>
          </w:tcPr>
          <w:p>
            <w:pPr>
              <w:ind w:leftChars="0" w:left="0" w:right="0"/>
            </w:pPr>
            <w:r>
              <w:t>ETLX</w:t>
            </w:r>
          </w:p>
        </w:tc>
        <w:tc>
          <w:tcPr>
            <w:cnfStyle w:evenVBand="false" w:oddVBand="true" w:firstColumn="false"/>
            <w:tcW w:w="33.333333%" w:type="pct"/>
          </w:tcPr>
          <w:p>
            <w:pPr>
              <w:ind w:leftChars="0" w:left="0" w:right="0"/>
            </w:pPr>
            <w:r>
              <w:t>EUROTLX</w:t>
            </w:r>
          </w:p>
        </w:tc>
      </w:tr>
      <w:tr>
        <w:trPr>
          <w:cnfStyle w:evenHBand="false" w:oddHBand="true" w:firstRow="false"/>
        </w:trPr>
        <w:tc>
          <w:tcPr>
            <w:cnfStyle w:evenVBand="false" w:oddVBand="true" w:firstColumn="false"/>
            <w:tcW w:w="33.333333%" w:type="pct"/>
          </w:tcPr>
          <w:p>
            <w:pPr>
              <w:ind w:leftChars="0" w:left="0" w:right="0"/>
            </w:pPr>
            <w:r>
              <w:t>ETPA</w:t>
            </w:r>
          </w:p>
        </w:tc>
        <w:tc>
          <w:tcPr>
            <w:cnfStyle w:evenVBand="true" w:oddVBand="false" w:firstColumn="false"/>
            <w:tcW w:w="33.333333%" w:type="pct"/>
          </w:tcPr>
          <w:p>
            <w:pPr>
              <w:ind w:leftChars="0" w:left="0" w:right="0"/>
            </w:pPr>
            <w:r>
              <w:t>ETPA</w:t>
            </w:r>
          </w:p>
        </w:tc>
        <w:tc>
          <w:tcPr>
            <w:cnfStyle w:evenVBand="false" w:oddVBand="true" w:firstColumn="false"/>
            <w:tcW w:w="33.333333%" w:type="pct"/>
          </w:tcPr>
          <w:p>
            <w:pPr>
              <w:ind w:leftChars="0" w:left="0" w:right="0"/>
            </w:pPr>
            <w:r>
              <w:t>ENERGY TRADING PLATFORM AMSTERDAM</w:t>
            </w:r>
          </w:p>
        </w:tc>
      </w:tr>
      <w:tr>
        <w:trPr>
          <w:cnfStyle w:evenHBand="true" w:oddHBand="false" w:firstRow="false"/>
        </w:trPr>
        <w:tc>
          <w:tcPr>
            <w:cnfStyle w:evenVBand="false" w:oddVBand="true" w:firstColumn="false"/>
            <w:tcW w:w="33.333333%" w:type="pct"/>
          </w:tcPr>
          <w:p>
            <w:pPr>
              <w:ind w:leftChars="0" w:left="0" w:right="0"/>
            </w:pPr>
            <w:r>
              <w:t>ETSC</w:t>
            </w:r>
          </w:p>
        </w:tc>
        <w:tc>
          <w:tcPr>
            <w:cnfStyle w:evenVBand="true" w:oddVBand="false" w:firstColumn="false"/>
            <w:tcW w:w="33.333333%" w:type="pct"/>
          </w:tcPr>
          <w:p>
            <w:pPr>
              <w:ind w:leftChars="0" w:left="0" w:right="0"/>
            </w:pPr>
            <w:r>
              <w:t>ETSC</w:t>
            </w:r>
          </w:p>
        </w:tc>
        <w:tc>
          <w:tcPr>
            <w:cnfStyle w:evenVBand="false" w:oddVBand="true" w:firstColumn="false"/>
            <w:tcW w:w="33.333333%" w:type="pct"/>
          </w:tcPr>
          <w:p>
            <w:pPr>
              <w:ind w:leftChars="0" w:left="0" w:right="0"/>
            </w:pPr>
            <w:r>
              <w:t>ETS EURASIAN TRADING SYSTEM COMMODITY EXCHANGE</w:t>
            </w:r>
          </w:p>
        </w:tc>
      </w:tr>
      <w:tr>
        <w:trPr>
          <w:cnfStyle w:evenHBand="false" w:oddHBand="true" w:firstRow="false"/>
        </w:trPr>
        <w:tc>
          <w:tcPr>
            <w:cnfStyle w:evenVBand="false" w:oddVBand="true" w:firstColumn="false"/>
            <w:tcW w:w="33.333333%" w:type="pct"/>
          </w:tcPr>
          <w:p>
            <w:pPr>
              <w:ind w:leftChars="0" w:left="0" w:right="0"/>
            </w:pPr>
            <w:r>
              <w:t>EUAX</w:t>
            </w:r>
          </w:p>
        </w:tc>
        <w:tc>
          <w:tcPr>
            <w:cnfStyle w:evenVBand="true" w:oddVBand="false" w:firstColumn="false"/>
            <w:tcW w:w="33.333333%" w:type="pct"/>
          </w:tcPr>
          <w:p>
            <w:pPr>
              <w:ind w:leftChars="0" w:left="0" w:right="0"/>
            </w:pPr>
            <w:r>
              <w:t>EUAX</w:t>
            </w:r>
          </w:p>
        </w:tc>
        <w:tc>
          <w:tcPr>
            <w:cnfStyle w:evenVBand="false" w:oddVBand="true" w:firstColumn="false"/>
            <w:tcW w:w="33.333333%" w:type="pct"/>
          </w:tcPr>
          <w:p>
            <w:pPr>
              <w:ind w:leftChars="0" w:left="0" w:right="0"/>
            </w:pPr>
            <w:r>
              <w:t>ATHENS EXCHANGE EUAS MARKET</w:t>
            </w:r>
          </w:p>
        </w:tc>
      </w:tr>
      <w:tr>
        <w:trPr>
          <w:cnfStyle w:evenHBand="true" w:oddHBand="false" w:firstRow="false"/>
        </w:trPr>
        <w:tc>
          <w:tcPr>
            <w:cnfStyle w:evenVBand="false" w:oddVBand="true" w:firstColumn="false"/>
            <w:tcW w:w="33.333333%" w:type="pct"/>
          </w:tcPr>
          <w:p>
            <w:pPr>
              <w:ind w:leftChars="0" w:left="0" w:right="0"/>
            </w:pPr>
            <w:r>
              <w:t>EUCC</w:t>
            </w:r>
          </w:p>
        </w:tc>
        <w:tc>
          <w:tcPr>
            <w:cnfStyle w:evenVBand="true" w:oddVBand="false" w:firstColumn="false"/>
            <w:tcW w:w="33.333333%" w:type="pct"/>
          </w:tcPr>
          <w:p>
            <w:pPr>
              <w:ind w:leftChars="0" w:left="0" w:right="0"/>
            </w:pPr>
            <w:r>
              <w:t>EUCC</w:t>
            </w:r>
          </w:p>
        </w:tc>
        <w:tc>
          <w:tcPr>
            <w:cnfStyle w:evenVBand="false" w:oddVBand="true" w:firstColumn="false"/>
            <w:tcW w:w="33.333333%" w:type="pct"/>
          </w:tcPr>
          <w:p>
            <w:pPr>
              <w:ind w:leftChars="0" w:left="0" w:right="0"/>
            </w:pPr>
            <w:r>
              <w:t>CITADEL CONNECT EUROPE - EU - SYSTEMATIC INTERNALISER</w:t>
            </w:r>
          </w:p>
        </w:tc>
      </w:tr>
      <w:tr>
        <w:trPr>
          <w:cnfStyle w:evenHBand="false" w:oddHBand="true" w:firstRow="false"/>
        </w:trPr>
        <w:tc>
          <w:tcPr>
            <w:cnfStyle w:evenVBand="false" w:oddVBand="true" w:firstColumn="false"/>
            <w:tcW w:w="33.333333%" w:type="pct"/>
          </w:tcPr>
          <w:p>
            <w:pPr>
              <w:ind w:leftChars="0" w:left="0" w:right="0"/>
            </w:pPr>
            <w:r>
              <w:t>EUCH</w:t>
            </w:r>
          </w:p>
        </w:tc>
        <w:tc>
          <w:tcPr>
            <w:cnfStyle w:evenVBand="true" w:oddVBand="false" w:firstColumn="false"/>
            <w:tcW w:w="33.333333%" w:type="pct"/>
          </w:tcPr>
          <w:p>
            <w:pPr>
              <w:ind w:leftChars="0" w:left="0" w:right="0"/>
            </w:pPr>
            <w:r>
              <w:t>EUCH</w:t>
            </w:r>
          </w:p>
        </w:tc>
        <w:tc>
          <w:tcPr>
            <w:cnfStyle w:evenVBand="false" w:oddVBand="true" w:firstColumn="false"/>
            <w:tcW w:w="33.333333%" w:type="pct"/>
          </w:tcPr>
          <w:p>
            <w:pPr>
              <w:ind w:leftChars="0" w:left="0" w:right="0"/>
            </w:pPr>
            <w:r>
              <w:t>EUREX ZURICH</w:t>
            </w:r>
          </w:p>
        </w:tc>
      </w:tr>
      <w:tr>
        <w:trPr>
          <w:cnfStyle w:evenHBand="true" w:oddHBand="false" w:firstRow="false"/>
        </w:trPr>
        <w:tc>
          <w:tcPr>
            <w:cnfStyle w:evenVBand="false" w:oddVBand="true" w:firstColumn="false"/>
            <w:tcW w:w="33.333333%" w:type="pct"/>
          </w:tcPr>
          <w:p>
            <w:pPr>
              <w:ind w:leftChars="0" w:left="0" w:right="0"/>
            </w:pPr>
            <w:r>
              <w:t>EUFN</w:t>
            </w:r>
          </w:p>
        </w:tc>
        <w:tc>
          <w:tcPr>
            <w:cnfStyle w:evenVBand="true" w:oddVBand="false" w:firstColumn="false"/>
            <w:tcW w:w="33.333333%" w:type="pct"/>
          </w:tcPr>
          <w:p>
            <w:pPr>
              <w:ind w:leftChars="0" w:left="0" w:right="0"/>
            </w:pPr>
            <w:r>
              <w:t>EUFN</w:t>
            </w:r>
          </w:p>
        </w:tc>
        <w:tc>
          <w:tcPr>
            <w:cnfStyle w:evenVBand="false" w:oddVBand="true" w:firstColumn="false"/>
            <w:tcW w:w="33.333333%" w:type="pct"/>
          </w:tcPr>
          <w:p>
            <w:pPr>
              <w:ind w:leftChars="0" w:left="0" w:right="0"/>
            </w:pPr>
            <w:r>
              <w:t>EURO-FINANCE AD</w:t>
            </w:r>
          </w:p>
        </w:tc>
      </w:tr>
      <w:tr>
        <w:trPr>
          <w:cnfStyle w:evenHBand="false" w:oddHBand="true" w:firstRow="false"/>
        </w:trPr>
        <w:tc>
          <w:tcPr>
            <w:cnfStyle w:evenVBand="false" w:oddVBand="true" w:firstColumn="false"/>
            <w:tcW w:w="33.333333%" w:type="pct"/>
          </w:tcPr>
          <w:p>
            <w:pPr>
              <w:ind w:leftChars="0" w:left="0" w:right="0"/>
            </w:pPr>
            <w:r>
              <w:t>EUOB</w:t>
            </w:r>
          </w:p>
        </w:tc>
        <w:tc>
          <w:tcPr>
            <w:cnfStyle w:evenVBand="true" w:oddVBand="false" w:firstColumn="false"/>
            <w:tcW w:w="33.333333%" w:type="pct"/>
          </w:tcPr>
          <w:p>
            <w:pPr>
              <w:ind w:leftChars="0" w:left="0" w:right="0"/>
            </w:pPr>
            <w:r>
              <w:t>EUOB</w:t>
            </w:r>
          </w:p>
        </w:tc>
        <w:tc>
          <w:tcPr>
            <w:cnfStyle w:evenVBand="false" w:oddVBand="true" w:firstColumn="false"/>
            <w:tcW w:w="33.333333%" w:type="pct"/>
          </w:tcPr>
          <w:p>
            <w:pPr>
              <w:ind w:leftChars="0" w:left="0" w:right="0"/>
            </w:pPr>
            <w:r>
              <w:t>NASDAQ STOCKHOLM AB - OTC EUR WB EQ DERIVATIVES</w:t>
            </w:r>
          </w:p>
        </w:tc>
      </w:tr>
      <w:tr>
        <w:trPr>
          <w:cnfStyle w:evenHBand="true" w:oddHBand="false" w:firstRow="false"/>
        </w:trPr>
        <w:tc>
          <w:tcPr>
            <w:cnfStyle w:evenVBand="false" w:oddVBand="true" w:firstColumn="false"/>
            <w:tcW w:w="33.333333%" w:type="pct"/>
          </w:tcPr>
          <w:p>
            <w:pPr>
              <w:ind w:leftChars="0" w:left="0" w:right="0"/>
            </w:pPr>
            <w:r>
              <w:t>EURM</w:t>
            </w:r>
          </w:p>
        </w:tc>
        <w:tc>
          <w:tcPr>
            <w:cnfStyle w:evenVBand="true" w:oddVBand="false" w:firstColumn="false"/>
            <w:tcW w:w="33.333333%" w:type="pct"/>
          </w:tcPr>
          <w:p>
            <w:pPr>
              <w:ind w:leftChars="0" w:left="0" w:right="0"/>
            </w:pPr>
            <w:r>
              <w:t>EURM</w:t>
            </w:r>
          </w:p>
        </w:tc>
        <w:tc>
          <w:tcPr>
            <w:cnfStyle w:evenVBand="false" w:oddVBand="true" w:firstColumn="false"/>
            <w:tcW w:w="33.333333%" w:type="pct"/>
          </w:tcPr>
          <w:p>
            <w:pPr>
              <w:ind w:leftChars="0" w:left="0" w:right="0"/>
            </w:pPr>
            <w:r>
              <w:t>EUREX REPO MARKET</w:t>
            </w:r>
          </w:p>
        </w:tc>
      </w:tr>
      <w:tr>
        <w:trPr>
          <w:cnfStyle w:evenHBand="false" w:oddHBand="true" w:firstRow="false"/>
        </w:trPr>
        <w:tc>
          <w:tcPr>
            <w:cnfStyle w:evenVBand="false" w:oddVBand="true" w:firstColumn="false"/>
            <w:tcW w:w="33.333333%" w:type="pct"/>
          </w:tcPr>
          <w:p>
            <w:pPr>
              <w:ind w:leftChars="0" w:left="0" w:right="0"/>
            </w:pPr>
            <w:r>
              <w:t>EUSC</w:t>
            </w:r>
          </w:p>
        </w:tc>
        <w:tc>
          <w:tcPr>
            <w:cnfStyle w:evenVBand="true" w:oddVBand="false" w:firstColumn="false"/>
            <w:tcW w:w="33.333333%" w:type="pct"/>
          </w:tcPr>
          <w:p>
            <w:pPr>
              <w:ind w:leftChars="0" w:left="0" w:right="0"/>
            </w:pPr>
            <w:r>
              <w:t>EUSC</w:t>
            </w:r>
          </w:p>
        </w:tc>
        <w:tc>
          <w:tcPr>
            <w:cnfStyle w:evenVBand="false" w:oddVBand="true" w:firstColumn="false"/>
            <w:tcW w:w="33.333333%" w:type="pct"/>
          </w:tcPr>
          <w:p>
            <w:pPr>
              <w:ind w:leftChars="0" w:left="0" w:right="0"/>
            </w:pPr>
            <w:r>
              <w:t>EUREX CH SECLEND MARKET</w:t>
            </w:r>
          </w:p>
        </w:tc>
      </w:tr>
      <w:tr>
        <w:trPr>
          <w:cnfStyle w:evenHBand="true" w:oddHBand="false" w:firstRow="false"/>
        </w:trPr>
        <w:tc>
          <w:tcPr>
            <w:cnfStyle w:evenVBand="false" w:oddVBand="true" w:firstColumn="false"/>
            <w:tcW w:w="33.333333%" w:type="pct"/>
          </w:tcPr>
          <w:p>
            <w:pPr>
              <w:ind w:leftChars="0" w:left="0" w:right="0"/>
            </w:pPr>
            <w:r>
              <w:t>EUSP</w:t>
            </w:r>
          </w:p>
        </w:tc>
        <w:tc>
          <w:tcPr>
            <w:cnfStyle w:evenVBand="true" w:oddVBand="false" w:firstColumn="false"/>
            <w:tcW w:w="33.333333%" w:type="pct"/>
          </w:tcPr>
          <w:p>
            <w:pPr>
              <w:ind w:leftChars="0" w:left="0" w:right="0"/>
            </w:pPr>
            <w:r>
              <w:t>EUSP</w:t>
            </w:r>
          </w:p>
        </w:tc>
        <w:tc>
          <w:tcPr>
            <w:cnfStyle w:evenVBand="false" w:oddVBand="true" w:firstColumn="false"/>
            <w:tcW w:w="33.333333%" w:type="pct"/>
          </w:tcPr>
          <w:p>
            <w:pPr>
              <w:ind w:leftChars="0" w:left="0" w:right="0"/>
            </w:pPr>
            <w:r>
              <w:t>EUREX OTC SPOT MARKET</w:t>
            </w:r>
          </w:p>
        </w:tc>
      </w:tr>
      <w:tr>
        <w:trPr>
          <w:cnfStyle w:evenHBand="false" w:oddHBand="true" w:firstRow="false"/>
        </w:trPr>
        <w:tc>
          <w:tcPr>
            <w:cnfStyle w:evenVBand="false" w:oddVBand="true" w:firstColumn="false"/>
            <w:tcW w:w="33.333333%" w:type="pct"/>
          </w:tcPr>
          <w:p>
            <w:pPr>
              <w:ind w:leftChars="0" w:left="0" w:right="0"/>
            </w:pPr>
            <w:r>
              <w:t>EUWA</w:t>
            </w:r>
          </w:p>
        </w:tc>
        <w:tc>
          <w:tcPr>
            <w:cnfStyle w:evenVBand="true" w:oddVBand="false" w:firstColumn="false"/>
            <w:tcW w:w="33.333333%" w:type="pct"/>
          </w:tcPr>
          <w:p>
            <w:pPr>
              <w:ind w:leftChars="0" w:left="0" w:right="0"/>
            </w:pPr>
            <w:r>
              <w:t>EUWA</w:t>
            </w:r>
          </w:p>
        </w:tc>
        <w:tc>
          <w:tcPr>
            <w:cnfStyle w:evenVBand="false" w:oddVBand="true" w:firstColumn="false"/>
            <w:tcW w:w="33.333333%" w:type="pct"/>
          </w:tcPr>
          <w:p>
            <w:pPr>
              <w:ind w:leftChars="0" w:left="0" w:right="0"/>
            </w:pPr>
            <w:r>
              <w:t>EUWAX AG - SYSTEMATIC INTERNALISER</w:t>
            </w:r>
          </w:p>
        </w:tc>
      </w:tr>
      <w:tr>
        <w:trPr>
          <w:cnfStyle w:evenHBand="true" w:oddHBand="false" w:firstRow="false"/>
        </w:trPr>
        <w:tc>
          <w:tcPr>
            <w:cnfStyle w:evenVBand="false" w:oddVBand="true" w:firstColumn="false"/>
            <w:tcW w:w="33.333333%" w:type="pct"/>
          </w:tcPr>
          <w:p>
            <w:pPr>
              <w:ind w:leftChars="0" w:left="0" w:right="0"/>
            </w:pPr>
            <w:r>
              <w:t>EUWB</w:t>
            </w:r>
          </w:p>
        </w:tc>
        <w:tc>
          <w:tcPr>
            <w:cnfStyle w:evenVBand="true" w:oddVBand="false" w:firstColumn="false"/>
            <w:tcW w:w="33.333333%" w:type="pct"/>
          </w:tcPr>
          <w:p>
            <w:pPr>
              <w:ind w:leftChars="0" w:left="0" w:right="0"/>
            </w:pPr>
            <w:r>
              <w:t>EUWB</w:t>
            </w:r>
          </w:p>
        </w:tc>
        <w:tc>
          <w:tcPr>
            <w:cnfStyle w:evenVBand="false" w:oddVBand="true" w:firstColumn="false"/>
            <w:tcW w:w="33.333333%" w:type="pct"/>
          </w:tcPr>
          <w:p>
            <w:pPr>
              <w:ind w:leftChars="0" w:left="0" w:right="0"/>
            </w:pPr>
            <w:r>
              <w:t>NASDAQ STOCKHOLM AB - EUR WB EQ DERIVATIVES</w:t>
            </w:r>
          </w:p>
        </w:tc>
      </w:tr>
      <w:tr>
        <w:trPr>
          <w:cnfStyle w:evenHBand="false" w:oddHBand="true" w:firstRow="false"/>
        </w:trPr>
        <w:tc>
          <w:tcPr>
            <w:cnfStyle w:evenVBand="false" w:oddVBand="true" w:firstColumn="false"/>
            <w:tcW w:w="33.333333%" w:type="pct"/>
          </w:tcPr>
          <w:p>
            <w:pPr>
              <w:ind w:leftChars="0" w:left="0" w:right="0"/>
            </w:pPr>
            <w:r>
              <w:t>EUWX</w:t>
            </w:r>
          </w:p>
        </w:tc>
        <w:tc>
          <w:tcPr>
            <w:cnfStyle w:evenVBand="true" w:oddVBand="false" w:firstColumn="false"/>
            <w:tcW w:w="33.333333%" w:type="pct"/>
          </w:tcPr>
          <w:p>
            <w:pPr>
              <w:ind w:leftChars="0" w:left="0" w:right="0"/>
            </w:pPr>
            <w:r>
              <w:t>EUWX</w:t>
            </w:r>
          </w:p>
        </w:tc>
        <w:tc>
          <w:tcPr>
            <w:cnfStyle w:evenVBand="false" w:oddVBand="true" w:firstColumn="false"/>
            <w:tcW w:w="33.333333%" w:type="pct"/>
          </w:tcPr>
          <w:p>
            <w:pPr>
              <w:ind w:leftChars="0" w:left="0" w:right="0"/>
            </w:pPr>
            <w:r>
              <w:t>EUWAX</w:t>
            </w:r>
          </w:p>
        </w:tc>
      </w:tr>
      <w:tr>
        <w:trPr>
          <w:cnfStyle w:evenHBand="true" w:oddHBand="false" w:firstRow="false"/>
        </w:trPr>
        <w:tc>
          <w:tcPr>
            <w:cnfStyle w:evenVBand="false" w:oddVBand="true" w:firstColumn="false"/>
            <w:tcW w:w="33.333333%" w:type="pct"/>
          </w:tcPr>
          <w:p>
            <w:pPr>
              <w:ind w:leftChars="0" w:left="0" w:right="0"/>
            </w:pPr>
            <w:r>
              <w:t>EVOL</w:t>
            </w:r>
          </w:p>
        </w:tc>
        <w:tc>
          <w:tcPr>
            <w:cnfStyle w:evenVBand="true" w:oddVBand="false" w:firstColumn="false"/>
            <w:tcW w:w="33.333333%" w:type="pct"/>
          </w:tcPr>
          <w:p>
            <w:pPr>
              <w:ind w:leftChars="0" w:left="0" w:right="0"/>
            </w:pPr>
            <w:r>
              <w:t>EVOL</w:t>
            </w:r>
          </w:p>
        </w:tc>
        <w:tc>
          <w:tcPr>
            <w:cnfStyle w:evenVBand="false" w:oddVBand="true" w:firstColumn="false"/>
            <w:tcW w:w="33.333333%" w:type="pct"/>
          </w:tcPr>
          <w:p>
            <w:pPr>
              <w:ind w:leftChars="0" w:left="0" w:right="0"/>
            </w:pPr>
            <w:r>
              <w:t>EVOLUTION MARKETS</w:t>
            </w:r>
          </w:p>
        </w:tc>
      </w:tr>
      <w:tr>
        <w:trPr>
          <w:cnfStyle w:evenHBand="false" w:oddHBand="true" w:firstRow="false"/>
        </w:trPr>
        <w:tc>
          <w:tcPr>
            <w:cnfStyle w:evenVBand="false" w:oddVBand="true" w:firstColumn="false"/>
            <w:tcW w:w="33.333333%" w:type="pct"/>
          </w:tcPr>
          <w:p>
            <w:pPr>
              <w:ind w:leftChars="0" w:left="0" w:right="0"/>
            </w:pPr>
            <w:r>
              <w:t>EWRM</w:t>
            </w:r>
          </w:p>
        </w:tc>
        <w:tc>
          <w:tcPr>
            <w:cnfStyle w:evenVBand="true" w:oddVBand="false" w:firstColumn="false"/>
            <w:tcW w:w="33.333333%" w:type="pct"/>
          </w:tcPr>
          <w:p>
            <w:pPr>
              <w:ind w:leftChars="0" w:left="0" w:right="0"/>
            </w:pPr>
            <w:r>
              <w:t>EWRM</w:t>
            </w:r>
          </w:p>
        </w:tc>
        <w:tc>
          <w:tcPr>
            <w:cnfStyle w:evenVBand="false" w:oddVBand="true" w:firstColumn="false"/>
            <w:tcW w:w="33.333333%" w:type="pct"/>
          </w:tcPr>
          <w:p>
            <w:pPr>
              <w:ind w:leftChars="0" w:left="0" w:right="0"/>
            </w:pPr>
            <w:r>
              <w:t>TURKISH MERCANTILE EXCHANGE - ELECTRONIC WAREHOUSE RECEIPT MARKET</w:t>
            </w:r>
          </w:p>
        </w:tc>
      </w:tr>
      <w:tr>
        <w:trPr>
          <w:cnfStyle w:evenHBand="true" w:oddHBand="false" w:firstRow="false"/>
        </w:trPr>
        <w:tc>
          <w:tcPr>
            <w:cnfStyle w:evenVBand="false" w:oddVBand="true" w:firstColumn="false"/>
            <w:tcW w:w="33.333333%" w:type="pct"/>
          </w:tcPr>
          <w:p>
            <w:pPr>
              <w:ind w:leftChars="0" w:left="0" w:right="0"/>
            </w:pPr>
            <w:r>
              <w:t>EWSM</w:t>
            </w:r>
          </w:p>
        </w:tc>
        <w:tc>
          <w:tcPr>
            <w:cnfStyle w:evenVBand="true" w:oddVBand="false" w:firstColumn="false"/>
            <w:tcW w:w="33.333333%" w:type="pct"/>
          </w:tcPr>
          <w:p>
            <w:pPr>
              <w:ind w:leftChars="0" w:left="0" w:right="0"/>
            </w:pPr>
            <w:r>
              <w:t>EWSM</w:t>
            </w:r>
          </w:p>
        </w:tc>
        <w:tc>
          <w:tcPr>
            <w:cnfStyle w:evenVBand="false" w:oddVBand="true" w:firstColumn="false"/>
            <w:tcW w:w="33.333333%" w:type="pct"/>
          </w:tcPr>
          <w:p>
            <w:pPr>
              <w:ind w:leftChars="0" w:left="0" w:right="0"/>
            </w:pPr>
            <w:r>
              <w:t>EUROPEAN WHOLESALE SECURITIES MARKET</w:t>
            </w:r>
          </w:p>
        </w:tc>
      </w:tr>
      <w:tr>
        <w:trPr>
          <w:cnfStyle w:evenHBand="false" w:oddHBand="true" w:firstRow="false"/>
        </w:trPr>
        <w:tc>
          <w:tcPr>
            <w:cnfStyle w:evenVBand="false" w:oddVBand="true" w:firstColumn="false"/>
            <w:tcW w:w="33.333333%" w:type="pct"/>
          </w:tcPr>
          <w:p>
            <w:pPr>
              <w:ind w:leftChars="0" w:left="0" w:right="0"/>
            </w:pPr>
            <w:r>
              <w:t>EXAA</w:t>
            </w:r>
          </w:p>
        </w:tc>
        <w:tc>
          <w:tcPr>
            <w:cnfStyle w:evenVBand="true" w:oddVBand="false" w:firstColumn="false"/>
            <w:tcW w:w="33.333333%" w:type="pct"/>
          </w:tcPr>
          <w:p>
            <w:pPr>
              <w:ind w:leftChars="0" w:left="0" w:right="0"/>
            </w:pPr>
            <w:r>
              <w:t>EXAA</w:t>
            </w:r>
          </w:p>
        </w:tc>
        <w:tc>
          <w:tcPr>
            <w:cnfStyle w:evenVBand="false" w:oddVBand="true" w:firstColumn="false"/>
            <w:tcW w:w="33.333333%" w:type="pct"/>
          </w:tcPr>
          <w:p>
            <w:pPr>
              <w:ind w:leftChars="0" w:left="0" w:right="0"/>
            </w:pPr>
            <w:r>
              <w:t>WIENER BOERSE AG, AUSTRIAN ENERGY EXCHANGE</w:t>
            </w:r>
          </w:p>
        </w:tc>
      </w:tr>
      <w:tr>
        <w:trPr>
          <w:cnfStyle w:evenHBand="true" w:oddHBand="false" w:firstRow="false"/>
        </w:trPr>
        <w:tc>
          <w:tcPr>
            <w:cnfStyle w:evenVBand="false" w:oddVBand="true" w:firstColumn="false"/>
            <w:tcW w:w="33.333333%" w:type="pct"/>
          </w:tcPr>
          <w:p>
            <w:pPr>
              <w:ind w:leftChars="0" w:left="0" w:right="0"/>
            </w:pPr>
            <w:r>
              <w:t>EXBO</w:t>
            </w:r>
          </w:p>
        </w:tc>
        <w:tc>
          <w:tcPr>
            <w:cnfStyle w:evenVBand="true" w:oddVBand="false" w:firstColumn="false"/>
            <w:tcW w:w="33.333333%" w:type="pct"/>
          </w:tcPr>
          <w:p>
            <w:pPr>
              <w:ind w:leftChars="0" w:left="0" w:right="0"/>
            </w:pPr>
            <w:r>
              <w:t>EXBO</w:t>
            </w:r>
          </w:p>
        </w:tc>
        <w:tc>
          <w:tcPr>
            <w:cnfStyle w:evenVBand="false" w:oddVBand="true" w:firstColumn="false"/>
            <w:tcW w:w="33.333333%" w:type="pct"/>
          </w:tcPr>
          <w:p>
            <w:pPr>
              <w:ind w:leftChars="0" w:left="0" w:right="0"/>
            </w:pPr>
            <w:r>
              <w:t>EXANE BNP PARIBAS - BID-OFFER CROSSING</w:t>
            </w:r>
          </w:p>
        </w:tc>
      </w:tr>
      <w:tr>
        <w:trPr>
          <w:cnfStyle w:evenHBand="false" w:oddHBand="true" w:firstRow="false"/>
        </w:trPr>
        <w:tc>
          <w:tcPr>
            <w:cnfStyle w:evenVBand="false" w:oddVBand="true" w:firstColumn="false"/>
            <w:tcW w:w="33.333333%" w:type="pct"/>
          </w:tcPr>
          <w:p>
            <w:pPr>
              <w:ind w:leftChars="0" w:left="0" w:right="0"/>
            </w:pPr>
            <w:r>
              <w:t>EXCP</w:t>
            </w:r>
          </w:p>
        </w:tc>
        <w:tc>
          <w:tcPr>
            <w:cnfStyle w:evenVBand="true" w:oddVBand="false" w:firstColumn="false"/>
            <w:tcW w:w="33.333333%" w:type="pct"/>
          </w:tcPr>
          <w:p>
            <w:pPr>
              <w:ind w:leftChars="0" w:left="0" w:right="0"/>
            </w:pPr>
            <w:r>
              <w:t>EXCP</w:t>
            </w:r>
          </w:p>
        </w:tc>
        <w:tc>
          <w:tcPr>
            <w:cnfStyle w:evenVBand="false" w:oddVBand="true" w:firstColumn="false"/>
            <w:tcW w:w="33.333333%" w:type="pct"/>
          </w:tcPr>
          <w:p>
            <w:pPr>
              <w:ind w:leftChars="0" w:left="0" w:right="0"/>
            </w:pPr>
            <w:r>
              <w:t>EXANE BNP PARIBAS - CLOSING PRICE</w:t>
            </w:r>
          </w:p>
        </w:tc>
      </w:tr>
      <w:tr>
        <w:trPr>
          <w:cnfStyle w:evenHBand="true" w:oddHBand="false" w:firstRow="false"/>
        </w:trPr>
        <w:tc>
          <w:tcPr>
            <w:cnfStyle w:evenVBand="false" w:oddVBand="true" w:firstColumn="false"/>
            <w:tcW w:w="33.333333%" w:type="pct"/>
          </w:tcPr>
          <w:p>
            <w:pPr>
              <w:ind w:leftChars="0" w:left="0" w:right="0"/>
            </w:pPr>
            <w:r>
              <w:t>EXDC</w:t>
            </w:r>
          </w:p>
        </w:tc>
        <w:tc>
          <w:tcPr>
            <w:cnfStyle w:evenVBand="true" w:oddVBand="false" w:firstColumn="false"/>
            <w:tcW w:w="33.333333%" w:type="pct"/>
          </w:tcPr>
          <w:p>
            <w:pPr>
              <w:ind w:leftChars="0" w:left="0" w:right="0"/>
            </w:pPr>
            <w:r>
              <w:t>EXDC</w:t>
            </w:r>
          </w:p>
        </w:tc>
        <w:tc>
          <w:tcPr>
            <w:cnfStyle w:evenVBand="false" w:oddVBand="true" w:firstColumn="false"/>
            <w:tcW w:w="33.333333%" w:type="pct"/>
          </w:tcPr>
          <w:p>
            <w:pPr>
              <w:ind w:leftChars="0" w:left="0" w:right="0"/>
            </w:pPr>
            <w:r>
              <w:t>EXANE BNP PARIBAS - DIRECT CAPITAL ACCESS</w:t>
            </w:r>
          </w:p>
        </w:tc>
      </w:tr>
      <w:tr>
        <w:trPr>
          <w:cnfStyle w:evenHBand="false" w:oddHBand="true" w:firstRow="false"/>
        </w:trPr>
        <w:tc>
          <w:tcPr>
            <w:cnfStyle w:evenVBand="false" w:oddVBand="true" w:firstColumn="false"/>
            <w:tcW w:w="33.333333%" w:type="pct"/>
          </w:tcPr>
          <w:p>
            <w:pPr>
              <w:ind w:leftChars="0" w:left="0" w:right="0"/>
            </w:pPr>
            <w:r>
              <w:t>EXEU</w:t>
            </w:r>
          </w:p>
        </w:tc>
        <w:tc>
          <w:tcPr>
            <w:cnfStyle w:evenVBand="true" w:oddVBand="false" w:firstColumn="false"/>
            <w:tcW w:w="33.333333%" w:type="pct"/>
          </w:tcPr>
          <w:p>
            <w:pPr>
              <w:ind w:leftChars="0" w:left="0" w:right="0"/>
            </w:pPr>
            <w:r>
              <w:t>EXEU</w:t>
            </w:r>
          </w:p>
        </w:tc>
        <w:tc>
          <w:tcPr>
            <w:cnfStyle w:evenVBand="false" w:oddVBand="true" w:firstColumn="false"/>
            <w:tcW w:w="33.333333%" w:type="pct"/>
          </w:tcPr>
          <w:p>
            <w:pPr>
              <w:ind w:leftChars="0" w:left="0" w:right="0"/>
            </w:pPr>
            <w:r>
              <w:t>EXANE BNP PARIBAS</w:t>
            </w:r>
          </w:p>
        </w:tc>
      </w:tr>
      <w:tr>
        <w:trPr>
          <w:cnfStyle w:evenHBand="true" w:oddHBand="false" w:firstRow="false"/>
        </w:trPr>
        <w:tc>
          <w:tcPr>
            <w:cnfStyle w:evenVBand="false" w:oddVBand="true" w:firstColumn="false"/>
            <w:tcW w:w="33.333333%" w:type="pct"/>
          </w:tcPr>
          <w:p>
            <w:pPr>
              <w:ind w:leftChars="0" w:left="0" w:right="0"/>
            </w:pPr>
            <w:r>
              <w:t>EXGM</w:t>
            </w:r>
          </w:p>
        </w:tc>
        <w:tc>
          <w:tcPr>
            <w:cnfStyle w:evenVBand="true" w:oddVBand="false" w:firstColumn="false"/>
            <w:tcW w:w="33.333333%" w:type="pct"/>
          </w:tcPr>
          <w:p>
            <w:pPr>
              <w:ind w:leftChars="0" w:left="0" w:right="0"/>
            </w:pPr>
            <w:r>
              <w:t>EXGM</w:t>
            </w:r>
          </w:p>
        </w:tc>
        <w:tc>
          <w:tcPr>
            <w:cnfStyle w:evenVBand="false" w:oddVBand="true" w:firstColumn="false"/>
            <w:tcW w:w="33.333333%" w:type="pct"/>
          </w:tcPr>
          <w:p>
            <w:pPr>
              <w:ind w:leftChars="0" w:left="0" w:right="0"/>
            </w:pPr>
            <w:r>
              <w:t>EURONEXT GROWTH MILAN</w:t>
            </w:r>
          </w:p>
        </w:tc>
      </w:tr>
      <w:tr>
        <w:trPr>
          <w:cnfStyle w:evenHBand="false" w:oddHBand="true" w:firstRow="false"/>
        </w:trPr>
        <w:tc>
          <w:tcPr>
            <w:cnfStyle w:evenVBand="false" w:oddVBand="true" w:firstColumn="false"/>
            <w:tcW w:w="33.333333%" w:type="pct"/>
          </w:tcPr>
          <w:p>
            <w:pPr>
              <w:ind w:leftChars="0" w:left="0" w:right="0"/>
            </w:pPr>
            <w:r>
              <w:t>EXLP</w:t>
            </w:r>
          </w:p>
        </w:tc>
        <w:tc>
          <w:tcPr>
            <w:cnfStyle w:evenVBand="true" w:oddVBand="false" w:firstColumn="false"/>
            <w:tcW w:w="33.333333%" w:type="pct"/>
          </w:tcPr>
          <w:p>
            <w:pPr>
              <w:ind w:leftChars="0" w:left="0" w:right="0"/>
            </w:pPr>
            <w:r>
              <w:t>EXLP</w:t>
            </w:r>
          </w:p>
        </w:tc>
        <w:tc>
          <w:tcPr>
            <w:cnfStyle w:evenVBand="false" w:oddVBand="true" w:firstColumn="false"/>
            <w:tcW w:w="33.333333%" w:type="pct"/>
          </w:tcPr>
          <w:p>
            <w:pPr>
              <w:ind w:leftChars="0" w:left="0" w:right="0"/>
            </w:pPr>
            <w:r>
              <w:t>EXANE BNP PARIBAS - LIQUIDITY PROVISION</w:t>
            </w:r>
          </w:p>
        </w:tc>
      </w:tr>
      <w:tr>
        <w:trPr>
          <w:cnfStyle w:evenHBand="true" w:oddHBand="false" w:firstRow="false"/>
        </w:trPr>
        <w:tc>
          <w:tcPr>
            <w:cnfStyle w:evenVBand="false" w:oddVBand="true" w:firstColumn="false"/>
            <w:tcW w:w="33.333333%" w:type="pct"/>
          </w:tcPr>
          <w:p>
            <w:pPr>
              <w:ind w:leftChars="0" w:left="0" w:right="0"/>
            </w:pPr>
            <w:r>
              <w:t>EXMP</w:t>
            </w:r>
          </w:p>
        </w:tc>
        <w:tc>
          <w:tcPr>
            <w:cnfStyle w:evenVBand="true" w:oddVBand="false" w:firstColumn="false"/>
            <w:tcW w:w="33.333333%" w:type="pct"/>
          </w:tcPr>
          <w:p>
            <w:pPr>
              <w:ind w:leftChars="0" w:left="0" w:right="0"/>
            </w:pPr>
            <w:r>
              <w:t>EXMP</w:t>
            </w:r>
          </w:p>
        </w:tc>
        <w:tc>
          <w:tcPr>
            <w:cnfStyle w:evenVBand="false" w:oddVBand="true" w:firstColumn="false"/>
            <w:tcW w:w="33.333333%" w:type="pct"/>
          </w:tcPr>
          <w:p>
            <w:pPr>
              <w:ind w:leftChars="0" w:left="0" w:right="0"/>
            </w:pPr>
            <w:r>
              <w:t>EXANE BNP PARIBAS - MID POINT</w:t>
            </w:r>
          </w:p>
        </w:tc>
      </w:tr>
      <w:tr>
        <w:trPr>
          <w:cnfStyle w:evenHBand="false" w:oddHBand="true" w:firstRow="false"/>
        </w:trPr>
        <w:tc>
          <w:tcPr>
            <w:cnfStyle w:evenVBand="false" w:oddVBand="true" w:firstColumn="false"/>
            <w:tcW w:w="33.333333%" w:type="pct"/>
          </w:tcPr>
          <w:p>
            <w:pPr>
              <w:ind w:leftChars="0" w:left="0" w:right="0"/>
            </w:pPr>
            <w:r>
              <w:t>EXOR</w:t>
            </w:r>
          </w:p>
        </w:tc>
        <w:tc>
          <w:tcPr>
            <w:cnfStyle w:evenVBand="true" w:oddVBand="false" w:firstColumn="false"/>
            <w:tcW w:w="33.333333%" w:type="pct"/>
          </w:tcPr>
          <w:p>
            <w:pPr>
              <w:ind w:leftChars="0" w:left="0" w:right="0"/>
            </w:pPr>
            <w:r>
              <w:t>EXOR</w:t>
            </w:r>
          </w:p>
        </w:tc>
        <w:tc>
          <w:tcPr>
            <w:cnfStyle w:evenVBand="false" w:oddVBand="true" w:firstColumn="false"/>
            <w:tcW w:w="33.333333%" w:type="pct"/>
          </w:tcPr>
          <w:p>
            <w:pPr>
              <w:ind w:leftChars="0" w:left="0" w:right="0"/>
            </w:pPr>
            <w:r>
              <w:t>EXANE BNP PARIBAS - CHILD ORDER CROSSING</w:t>
            </w:r>
          </w:p>
        </w:tc>
      </w:tr>
      <w:tr>
        <w:trPr>
          <w:cnfStyle w:evenHBand="true" w:oddHBand="false" w:firstRow="false"/>
        </w:trPr>
        <w:tc>
          <w:tcPr>
            <w:cnfStyle w:evenVBand="false" w:oddVBand="true" w:firstColumn="false"/>
            <w:tcW w:w="33.333333%" w:type="pct"/>
          </w:tcPr>
          <w:p>
            <w:pPr>
              <w:ind w:leftChars="0" w:left="0" w:right="0"/>
            </w:pPr>
            <w:r>
              <w:t>EXOT</w:t>
            </w:r>
          </w:p>
        </w:tc>
        <w:tc>
          <w:tcPr>
            <w:cnfStyle w:evenVBand="true" w:oddVBand="false" w:firstColumn="false"/>
            <w:tcW w:w="33.333333%" w:type="pct"/>
          </w:tcPr>
          <w:p>
            <w:pPr>
              <w:ind w:leftChars="0" w:left="0" w:right="0"/>
            </w:pPr>
            <w:r>
              <w:t>EXOT</w:t>
            </w:r>
          </w:p>
        </w:tc>
        <w:tc>
          <w:tcPr>
            <w:cnfStyle w:evenVBand="false" w:oddVBand="true" w:firstColumn="false"/>
            <w:tcW w:w="33.333333%" w:type="pct"/>
          </w:tcPr>
          <w:p>
            <w:pPr>
              <w:ind w:leftChars="0" w:left="0" w:right="0"/>
            </w:pPr>
            <w:r>
              <w:t>EXOTIX CAPITAL  - OTF</w:t>
            </w:r>
          </w:p>
        </w:tc>
      </w:tr>
      <w:tr>
        <w:trPr>
          <w:cnfStyle w:evenHBand="false" w:oddHBand="true" w:firstRow="false"/>
        </w:trPr>
        <w:tc>
          <w:tcPr>
            <w:cnfStyle w:evenVBand="false" w:oddVBand="true" w:firstColumn="false"/>
            <w:tcW w:w="33.333333%" w:type="pct"/>
          </w:tcPr>
          <w:p>
            <w:pPr>
              <w:ind w:leftChars="0" w:left="0" w:right="0"/>
            </w:pPr>
            <w:r>
              <w:t>EXPA</w:t>
            </w:r>
          </w:p>
        </w:tc>
        <w:tc>
          <w:tcPr>
            <w:cnfStyle w:evenVBand="true" w:oddVBand="false" w:firstColumn="false"/>
            <w:tcW w:w="33.333333%" w:type="pct"/>
          </w:tcPr>
          <w:p>
            <w:pPr>
              <w:ind w:leftChars="0" w:left="0" w:right="0"/>
            </w:pPr>
            <w:r>
              <w:t>EXPA</w:t>
            </w:r>
          </w:p>
        </w:tc>
        <w:tc>
          <w:tcPr>
            <w:cnfStyle w:evenVBand="false" w:oddVBand="true" w:firstColumn="false"/>
            <w:tcW w:w="33.333333%" w:type="pct"/>
          </w:tcPr>
          <w:p>
            <w:pPr>
              <w:ind w:leftChars="0" w:left="0" w:right="0"/>
            </w:pPr>
            <w:r>
              <w:t>EXPANDI MARKET</w:t>
            </w:r>
          </w:p>
        </w:tc>
      </w:tr>
      <w:tr>
        <w:trPr>
          <w:cnfStyle w:evenHBand="true" w:oddHBand="false" w:firstRow="false"/>
        </w:trPr>
        <w:tc>
          <w:tcPr>
            <w:cnfStyle w:evenVBand="false" w:oddVBand="true" w:firstColumn="false"/>
            <w:tcW w:w="33.333333%" w:type="pct"/>
          </w:tcPr>
          <w:p>
            <w:pPr>
              <w:ind w:leftChars="0" w:left="0" w:right="0"/>
            </w:pPr>
            <w:r>
              <w:t>EXPM</w:t>
            </w:r>
          </w:p>
        </w:tc>
        <w:tc>
          <w:tcPr>
            <w:cnfStyle w:evenVBand="true" w:oddVBand="false" w:firstColumn="false"/>
            <w:tcW w:w="33.333333%" w:type="pct"/>
          </w:tcPr>
          <w:p>
            <w:pPr>
              <w:ind w:leftChars="0" w:left="0" w:right="0"/>
            </w:pPr>
            <w:r>
              <w:t>EXPM</w:t>
            </w:r>
          </w:p>
        </w:tc>
        <w:tc>
          <w:tcPr>
            <w:cnfStyle w:evenVBand="false" w:oddVBand="true" w:firstColumn="false"/>
            <w:tcW w:w="33.333333%" w:type="pct"/>
          </w:tcPr>
          <w:p>
            <w:pPr>
              <w:ind w:leftChars="0" w:left="0" w:right="0"/>
            </w:pPr>
            <w:r>
              <w:t>EXPERT MARKET</w:t>
            </w:r>
          </w:p>
        </w:tc>
      </w:tr>
      <w:tr>
        <w:trPr>
          <w:cnfStyle w:evenHBand="false" w:oddHBand="true" w:firstRow="false"/>
        </w:trPr>
        <w:tc>
          <w:tcPr>
            <w:cnfStyle w:evenVBand="false" w:oddVBand="true" w:firstColumn="false"/>
            <w:tcW w:w="33.333333%" w:type="pct"/>
          </w:tcPr>
          <w:p>
            <w:pPr>
              <w:ind w:leftChars="0" w:left="0" w:right="0"/>
            </w:pPr>
            <w:r>
              <w:t>EXSB</w:t>
            </w:r>
          </w:p>
        </w:tc>
        <w:tc>
          <w:tcPr>
            <w:cnfStyle w:evenVBand="true" w:oddVBand="false" w:firstColumn="false"/>
            <w:tcW w:w="33.333333%" w:type="pct"/>
          </w:tcPr>
          <w:p>
            <w:pPr>
              <w:ind w:leftChars="0" w:left="0" w:right="0"/>
            </w:pPr>
            <w:r>
              <w:t>EXSB</w:t>
            </w:r>
          </w:p>
        </w:tc>
        <w:tc>
          <w:tcPr>
            <w:cnfStyle w:evenVBand="false" w:oddVBand="true" w:firstColumn="false"/>
            <w:tcW w:w="33.333333%" w:type="pct"/>
          </w:tcPr>
          <w:p>
            <w:pPr>
              <w:ind w:leftChars="0" w:left="0" w:right="0"/>
            </w:pPr>
            <w:r>
              <w:t>EXANE DERIVATIVES - SYSTEMATIC INTERNALISER CORPORATE BONDS</w:t>
            </w:r>
          </w:p>
        </w:tc>
      </w:tr>
      <w:tr>
        <w:trPr>
          <w:cnfStyle w:evenHBand="true" w:oddHBand="false" w:firstRow="false"/>
        </w:trPr>
        <w:tc>
          <w:tcPr>
            <w:cnfStyle w:evenVBand="false" w:oddVBand="true" w:firstColumn="false"/>
            <w:tcW w:w="33.333333%" w:type="pct"/>
          </w:tcPr>
          <w:p>
            <w:pPr>
              <w:ind w:leftChars="0" w:left="0" w:right="0"/>
            </w:pPr>
            <w:r>
              <w:t>EXSD</w:t>
            </w:r>
          </w:p>
        </w:tc>
        <w:tc>
          <w:tcPr>
            <w:cnfStyle w:evenVBand="true" w:oddVBand="false" w:firstColumn="false"/>
            <w:tcW w:w="33.333333%" w:type="pct"/>
          </w:tcPr>
          <w:p>
            <w:pPr>
              <w:ind w:leftChars="0" w:left="0" w:right="0"/>
            </w:pPr>
            <w:r>
              <w:t>EXSD</w:t>
            </w:r>
          </w:p>
        </w:tc>
        <w:tc>
          <w:tcPr>
            <w:cnfStyle w:evenVBand="false" w:oddVBand="true" w:firstColumn="false"/>
            <w:tcW w:w="33.333333%" w:type="pct"/>
          </w:tcPr>
          <w:p>
            <w:pPr>
              <w:ind w:leftChars="0" w:left="0" w:right="0"/>
            </w:pPr>
            <w:r>
              <w:t>EXANE DERIVATIVES - SYSTEMATIC INTERNALISER OTC DERIVATIVES</w:t>
            </w:r>
          </w:p>
        </w:tc>
      </w:tr>
      <w:tr>
        <w:trPr>
          <w:cnfStyle w:evenHBand="false" w:oddHBand="true" w:firstRow="false"/>
        </w:trPr>
        <w:tc>
          <w:tcPr>
            <w:cnfStyle w:evenVBand="false" w:oddVBand="true" w:firstColumn="false"/>
            <w:tcW w:w="33.333333%" w:type="pct"/>
          </w:tcPr>
          <w:p>
            <w:pPr>
              <w:ind w:leftChars="0" w:left="0" w:right="0"/>
            </w:pPr>
            <w:r>
              <w:t>EXSE</w:t>
            </w:r>
          </w:p>
        </w:tc>
        <w:tc>
          <w:tcPr>
            <w:cnfStyle w:evenVBand="true" w:oddVBand="false" w:firstColumn="false"/>
            <w:tcW w:w="33.333333%" w:type="pct"/>
          </w:tcPr>
          <w:p>
            <w:pPr>
              <w:ind w:leftChars="0" w:left="0" w:right="0"/>
            </w:pPr>
            <w:r>
              <w:t>EXSE</w:t>
            </w:r>
          </w:p>
        </w:tc>
        <w:tc>
          <w:tcPr>
            <w:cnfStyle w:evenVBand="false" w:oddVBand="true" w:firstColumn="false"/>
            <w:tcW w:w="33.333333%" w:type="pct"/>
          </w:tcPr>
          <w:p>
            <w:pPr>
              <w:ind w:leftChars="0" w:left="0" w:right="0"/>
            </w:pPr>
            <w:r>
              <w:t>EXANE BNP PARIBAS - SYSTEMATIC INTERNALISER</w:t>
            </w:r>
          </w:p>
        </w:tc>
      </w:tr>
      <w:tr>
        <w:trPr>
          <w:cnfStyle w:evenHBand="true" w:oddHBand="false" w:firstRow="false"/>
        </w:trPr>
        <w:tc>
          <w:tcPr>
            <w:cnfStyle w:evenVBand="false" w:oddVBand="true" w:firstColumn="false"/>
            <w:tcW w:w="33.333333%" w:type="pct"/>
          </w:tcPr>
          <w:p>
            <w:pPr>
              <w:ind w:leftChars="0" w:left="0" w:right="0"/>
            </w:pPr>
            <w:r>
              <w:t>EXSF</w:t>
            </w:r>
          </w:p>
        </w:tc>
        <w:tc>
          <w:tcPr>
            <w:cnfStyle w:evenVBand="true" w:oddVBand="false" w:firstColumn="false"/>
            <w:tcW w:w="33.333333%" w:type="pct"/>
          </w:tcPr>
          <w:p>
            <w:pPr>
              <w:ind w:leftChars="0" w:left="0" w:right="0"/>
            </w:pPr>
            <w:r>
              <w:t>EXSF</w:t>
            </w:r>
          </w:p>
        </w:tc>
        <w:tc>
          <w:tcPr>
            <w:cnfStyle w:evenVBand="false" w:oddVBand="true" w:firstColumn="false"/>
            <w:tcW w:w="33.333333%" w:type="pct"/>
          </w:tcPr>
          <w:p>
            <w:pPr>
              <w:ind w:leftChars="0" w:left="0" w:right="0"/>
            </w:pPr>
            <w:r>
              <w:t>EXANE DERIVATIVES - SYSTEMATIC INTERNALISER OTHER BONDS</w:t>
            </w:r>
          </w:p>
        </w:tc>
      </w:tr>
      <w:tr>
        <w:trPr>
          <w:cnfStyle w:evenHBand="false" w:oddHBand="true" w:firstRow="false"/>
        </w:trPr>
        <w:tc>
          <w:tcPr>
            <w:cnfStyle w:evenVBand="false" w:oddVBand="true" w:firstColumn="false"/>
            <w:tcW w:w="33.333333%" w:type="pct"/>
          </w:tcPr>
          <w:p>
            <w:pPr>
              <w:ind w:leftChars="0" w:left="0" w:right="0"/>
            </w:pPr>
            <w:r>
              <w:t>EXSH</w:t>
            </w:r>
          </w:p>
        </w:tc>
        <w:tc>
          <w:tcPr>
            <w:cnfStyle w:evenVBand="true" w:oddVBand="false" w:firstColumn="false"/>
            <w:tcW w:w="33.333333%" w:type="pct"/>
          </w:tcPr>
          <w:p>
            <w:pPr>
              <w:ind w:leftChars="0" w:left="0" w:right="0"/>
            </w:pPr>
            <w:r>
              <w:t>EXSH</w:t>
            </w:r>
          </w:p>
        </w:tc>
        <w:tc>
          <w:tcPr>
            <w:cnfStyle w:evenVBand="false" w:oddVBand="true" w:firstColumn="false"/>
            <w:tcW w:w="33.333333%" w:type="pct"/>
          </w:tcPr>
          <w:p>
            <w:pPr>
              <w:ind w:leftChars="0" w:left="0" w:right="0"/>
            </w:pPr>
            <w:r>
              <w:t>EXANE DERIVATIVES - SYSTEMATIC INTERNALISER SHARES</w:t>
            </w:r>
          </w:p>
        </w:tc>
      </w:tr>
      <w:tr>
        <w:trPr>
          <w:cnfStyle w:evenHBand="true" w:oddHBand="false" w:firstRow="false"/>
        </w:trPr>
        <w:tc>
          <w:tcPr>
            <w:cnfStyle w:evenVBand="false" w:oddVBand="true" w:firstColumn="false"/>
            <w:tcW w:w="33.333333%" w:type="pct"/>
          </w:tcPr>
          <w:p>
            <w:pPr>
              <w:ind w:leftChars="0" w:left="0" w:right="0"/>
            </w:pPr>
            <w:r>
              <w:t>EXSI</w:t>
            </w:r>
          </w:p>
        </w:tc>
        <w:tc>
          <w:tcPr>
            <w:cnfStyle w:evenVBand="true" w:oddVBand="false" w:firstColumn="false"/>
            <w:tcW w:w="33.333333%" w:type="pct"/>
          </w:tcPr>
          <w:p>
            <w:pPr>
              <w:ind w:leftChars="0" w:left="0" w:right="0"/>
            </w:pPr>
            <w:r>
              <w:t>EXSI</w:t>
            </w:r>
          </w:p>
        </w:tc>
        <w:tc>
          <w:tcPr>
            <w:cnfStyle w:evenVBand="false" w:oddVBand="true" w:firstColumn="false"/>
            <w:tcW w:w="33.333333%" w:type="pct"/>
          </w:tcPr>
          <w:p>
            <w:pPr>
              <w:ind w:leftChars="0" w:left="0" w:right="0"/>
            </w:pPr>
            <w:r>
              <w:t>EXANE BNP PARIBAS - GB - SYSTEMATIC INTERNALISER</w:t>
            </w:r>
          </w:p>
        </w:tc>
      </w:tr>
      <w:tr>
        <w:trPr>
          <w:cnfStyle w:evenHBand="false" w:oddHBand="true" w:firstRow="false"/>
        </w:trPr>
        <w:tc>
          <w:tcPr>
            <w:cnfStyle w:evenVBand="false" w:oddVBand="true" w:firstColumn="false"/>
            <w:tcW w:w="33.333333%" w:type="pct"/>
          </w:tcPr>
          <w:p>
            <w:pPr>
              <w:ind w:leftChars="0" w:left="0" w:right="0"/>
            </w:pPr>
            <w:r>
              <w:t>EXSP</w:t>
            </w:r>
          </w:p>
        </w:tc>
        <w:tc>
          <w:tcPr>
            <w:cnfStyle w:evenVBand="true" w:oddVBand="false" w:firstColumn="false"/>
            <w:tcW w:w="33.333333%" w:type="pct"/>
          </w:tcPr>
          <w:p>
            <w:pPr>
              <w:ind w:leftChars="0" w:left="0" w:right="0"/>
            </w:pPr>
            <w:r>
              <w:t>EXSP</w:t>
            </w:r>
          </w:p>
        </w:tc>
        <w:tc>
          <w:tcPr>
            <w:cnfStyle w:evenVBand="false" w:oddVBand="true" w:firstColumn="false"/>
            <w:tcW w:w="33.333333%" w:type="pct"/>
          </w:tcPr>
          <w:p>
            <w:pPr>
              <w:ind w:leftChars="0" w:left="0" w:right="0"/>
            </w:pPr>
            <w:r>
              <w:t>EXANE DERIVATIVES - SYSTEMATIC INTERNALISER STRUCTURED PRODUCTS</w:t>
            </w:r>
          </w:p>
        </w:tc>
      </w:tr>
      <w:tr>
        <w:trPr>
          <w:cnfStyle w:evenHBand="true" w:oddHBand="false" w:firstRow="false"/>
        </w:trPr>
        <w:tc>
          <w:tcPr>
            <w:cnfStyle w:evenVBand="false" w:oddVBand="true" w:firstColumn="false"/>
            <w:tcW w:w="33.333333%" w:type="pct"/>
          </w:tcPr>
          <w:p>
            <w:pPr>
              <w:ind w:leftChars="0" w:left="0" w:right="0"/>
            </w:pPr>
            <w:r>
              <w:t>EXSY</w:t>
            </w:r>
          </w:p>
        </w:tc>
        <w:tc>
          <w:tcPr>
            <w:cnfStyle w:evenVBand="true" w:oddVBand="false" w:firstColumn="false"/>
            <w:tcW w:w="33.333333%" w:type="pct"/>
          </w:tcPr>
          <w:p>
            <w:pPr>
              <w:ind w:leftChars="0" w:left="0" w:right="0"/>
            </w:pPr>
            <w:r>
              <w:t>EXSY</w:t>
            </w:r>
          </w:p>
        </w:tc>
        <w:tc>
          <w:tcPr>
            <w:cnfStyle w:evenVBand="false" w:oddVBand="true" w:firstColumn="false"/>
            <w:tcW w:w="33.333333%" w:type="pct"/>
          </w:tcPr>
          <w:p>
            <w:pPr>
              <w:ind w:leftChars="0" w:left="0" w:right="0"/>
            </w:pPr>
            <w:r>
              <w:t>EXANE DERIVATIVES - SYSTEMATIC INTERNALISER</w:t>
            </w:r>
          </w:p>
        </w:tc>
      </w:tr>
      <w:tr>
        <w:trPr>
          <w:cnfStyle w:evenHBand="false" w:oddHBand="true" w:firstRow="false"/>
        </w:trPr>
        <w:tc>
          <w:tcPr>
            <w:cnfStyle w:evenVBand="false" w:oddVBand="true" w:firstColumn="false"/>
            <w:tcW w:w="33.333333%" w:type="pct"/>
          </w:tcPr>
          <w:p>
            <w:pPr>
              <w:ind w:leftChars="0" w:left="0" w:right="0"/>
            </w:pPr>
            <w:r>
              <w:t>EXTR</w:t>
            </w:r>
          </w:p>
        </w:tc>
        <w:tc>
          <w:tcPr>
            <w:cnfStyle w:evenVBand="true" w:oddVBand="false" w:firstColumn="false"/>
            <w:tcW w:w="33.333333%" w:type="pct"/>
          </w:tcPr>
          <w:p>
            <w:pPr>
              <w:ind w:leftChars="0" w:left="0" w:right="0"/>
            </w:pPr>
            <w:r>
              <w:t>EXTR</w:t>
            </w:r>
          </w:p>
        </w:tc>
        <w:tc>
          <w:tcPr>
            <w:cnfStyle w:evenVBand="false" w:oddVBand="true" w:firstColumn="false"/>
            <w:tcW w:w="33.333333%" w:type="pct"/>
          </w:tcPr>
          <w:p>
            <w:pPr>
              <w:ind w:leftChars="0" w:left="0" w:right="0"/>
            </w:pPr>
            <w:r>
              <w:t>ENERGY EXCHANGE ISTANBUL</w:t>
            </w:r>
          </w:p>
        </w:tc>
      </w:tr>
      <w:tr>
        <w:trPr>
          <w:cnfStyle w:evenHBand="true" w:oddHBand="false" w:firstRow="false"/>
        </w:trPr>
        <w:tc>
          <w:tcPr>
            <w:cnfStyle w:evenVBand="false" w:oddVBand="true" w:firstColumn="false"/>
            <w:tcW w:w="33.333333%" w:type="pct"/>
          </w:tcPr>
          <w:p>
            <w:pPr>
              <w:ind w:leftChars="0" w:left="0" w:right="0"/>
            </w:pPr>
            <w:r>
              <w:t>EXVP</w:t>
            </w:r>
          </w:p>
        </w:tc>
        <w:tc>
          <w:tcPr>
            <w:cnfStyle w:evenVBand="true" w:oddVBand="false" w:firstColumn="false"/>
            <w:tcW w:w="33.333333%" w:type="pct"/>
          </w:tcPr>
          <w:p>
            <w:pPr>
              <w:ind w:leftChars="0" w:left="0" w:right="0"/>
            </w:pPr>
            <w:r>
              <w:t>EXVP</w:t>
            </w:r>
          </w:p>
        </w:tc>
        <w:tc>
          <w:tcPr>
            <w:cnfStyle w:evenVBand="false" w:oddVBand="true" w:firstColumn="false"/>
            <w:tcW w:w="33.333333%" w:type="pct"/>
          </w:tcPr>
          <w:p>
            <w:pPr>
              <w:ind w:leftChars="0" w:left="0" w:right="0"/>
            </w:pPr>
            <w:r>
              <w:t>EXANE BNP PARIBAS - VOLUME PROFILE CROSSING</w:t>
            </w:r>
          </w:p>
        </w:tc>
      </w:tr>
      <w:tr>
        <w:trPr>
          <w:cnfStyle w:evenHBand="false" w:oddHBand="true" w:firstRow="false"/>
        </w:trPr>
        <w:tc>
          <w:tcPr>
            <w:cnfStyle w:evenVBand="false" w:oddVBand="true" w:firstColumn="false"/>
            <w:tcW w:w="33.333333%" w:type="pct"/>
          </w:tcPr>
          <w:p>
            <w:pPr>
              <w:ind w:leftChars="0" w:left="0" w:right="0"/>
            </w:pPr>
            <w:r>
              <w:t>EXYY</w:t>
            </w:r>
          </w:p>
        </w:tc>
        <w:tc>
          <w:tcPr>
            <w:cnfStyle w:evenVBand="true" w:oddVBand="false" w:firstColumn="false"/>
            <w:tcW w:w="33.333333%" w:type="pct"/>
          </w:tcPr>
          <w:p>
            <w:pPr>
              <w:ind w:leftChars="0" w:left="0" w:right="0"/>
            </w:pPr>
            <w:r>
              <w:t>EXYY</w:t>
            </w:r>
          </w:p>
        </w:tc>
        <w:tc>
          <w:tcPr>
            <w:cnfStyle w:evenVBand="false" w:oddVBand="true" w:firstColumn="false"/>
            <w:tcW w:w="33.333333%" w:type="pct"/>
          </w:tcPr>
          <w:p>
            <w:pPr>
              <w:ind w:leftChars="0" w:left="0" w:right="0"/>
            </w:pPr>
            <w:r>
              <w:t>EXANE DERIVATIVES - SYSTEMATIC INTERNALISER CONVERTIBLES</w:t>
            </w:r>
          </w:p>
        </w:tc>
      </w:tr>
      <w:tr>
        <w:trPr>
          <w:cnfStyle w:evenHBand="true" w:oddHBand="false" w:firstRow="false"/>
        </w:trPr>
        <w:tc>
          <w:tcPr>
            <w:cnfStyle w:evenVBand="false" w:oddVBand="true" w:firstColumn="false"/>
            <w:tcW w:w="33.333333%" w:type="pct"/>
          </w:tcPr>
          <w:p>
            <w:pPr>
              <w:ind w:leftChars="0" w:left="0" w:right="0"/>
            </w:pPr>
            <w:r>
              <w:t>FAIR</w:t>
            </w:r>
          </w:p>
        </w:tc>
        <w:tc>
          <w:tcPr>
            <w:cnfStyle w:evenVBand="true" w:oddVBand="false" w:firstColumn="false"/>
            <w:tcW w:w="33.333333%" w:type="pct"/>
          </w:tcPr>
          <w:p>
            <w:pPr>
              <w:ind w:leftChars="0" w:left="0" w:right="0"/>
            </w:pPr>
            <w:r>
              <w:t>FAIR</w:t>
            </w:r>
          </w:p>
        </w:tc>
        <w:tc>
          <w:tcPr>
            <w:cnfStyle w:evenVBand="false" w:oddVBand="true" w:firstColumn="false"/>
            <w:tcW w:w="33.333333%" w:type="pct"/>
          </w:tcPr>
          <w:p>
            <w:pPr>
              <w:ind w:leftChars="0" w:left="0" w:right="0"/>
            </w:pPr>
            <w:r>
              <w:t>CANTOR SPREADFAIR</w:t>
            </w:r>
          </w:p>
        </w:tc>
      </w:tr>
      <w:tr>
        <w:trPr>
          <w:cnfStyle w:evenHBand="false" w:oddHBand="true" w:firstRow="false"/>
        </w:trPr>
        <w:tc>
          <w:tcPr>
            <w:cnfStyle w:evenVBand="false" w:oddVBand="true" w:firstColumn="false"/>
            <w:tcW w:w="33.333333%" w:type="pct"/>
          </w:tcPr>
          <w:p>
            <w:pPr>
              <w:ind w:leftChars="0" w:left="0" w:right="0"/>
            </w:pPr>
            <w:r>
              <w:t>FAST</w:t>
            </w:r>
          </w:p>
        </w:tc>
        <w:tc>
          <w:tcPr>
            <w:cnfStyle w:evenVBand="true" w:oddVBand="false" w:firstColumn="false"/>
            <w:tcW w:w="33.333333%" w:type="pct"/>
          </w:tcPr>
          <w:p>
            <w:pPr>
              <w:ind w:leftChars="0" w:left="0" w:right="0"/>
            </w:pPr>
            <w:r>
              <w:t>FAST</w:t>
            </w:r>
          </w:p>
        </w:tc>
        <w:tc>
          <w:tcPr>
            <w:cnfStyle w:evenVBand="false" w:oddVBand="true" w:firstColumn="false"/>
            <w:tcW w:w="33.333333%" w:type="pct"/>
          </w:tcPr>
          <w:p>
            <w:pPr>
              <w:ind w:leftChars="0" w:left="0" w:right="0"/>
            </w:pPr>
            <w:r>
              <w:t>EURONEXT FX</w:t>
            </w:r>
          </w:p>
        </w:tc>
      </w:tr>
      <w:tr>
        <w:trPr>
          <w:cnfStyle w:evenHBand="true" w:oddHBand="false" w:firstRow="false"/>
        </w:trPr>
        <w:tc>
          <w:tcPr>
            <w:cnfStyle w:evenVBand="false" w:oddVBand="true" w:firstColumn="false"/>
            <w:tcW w:w="33.333333%" w:type="pct"/>
          </w:tcPr>
          <w:p>
            <w:pPr>
              <w:ind w:leftChars="0" w:left="0" w:right="0"/>
            </w:pPr>
            <w:r>
              <w:t>FBSI</w:t>
            </w:r>
          </w:p>
        </w:tc>
        <w:tc>
          <w:tcPr>
            <w:cnfStyle w:evenVBand="true" w:oddVBand="false" w:firstColumn="false"/>
            <w:tcW w:w="33.333333%" w:type="pct"/>
          </w:tcPr>
          <w:p>
            <w:pPr>
              <w:ind w:leftChars="0" w:left="0" w:right="0"/>
            </w:pPr>
            <w:r>
              <w:t>FBSI</w:t>
            </w:r>
          </w:p>
        </w:tc>
        <w:tc>
          <w:tcPr>
            <w:cnfStyle w:evenVBand="false" w:oddVBand="true" w:firstColumn="false"/>
            <w:tcW w:w="33.333333%" w:type="pct"/>
          </w:tcPr>
          <w:p>
            <w:pPr>
              <w:ind w:leftChars="0" w:left="0" w:right="0"/>
            </w:pPr>
            <w:r>
              <w:t>FINECO BANK - SYSTEMATIC INTERNALISER</w:t>
            </w:r>
          </w:p>
        </w:tc>
      </w:tr>
      <w:tr>
        <w:trPr>
          <w:cnfStyle w:evenHBand="false" w:oddHBand="true" w:firstRow="false"/>
        </w:trPr>
        <w:tc>
          <w:tcPr>
            <w:cnfStyle w:evenVBand="false" w:oddVBand="true" w:firstColumn="false"/>
            <w:tcW w:w="33.333333%" w:type="pct"/>
          </w:tcPr>
          <w:p>
            <w:pPr>
              <w:ind w:leftChars="0" w:left="0" w:right="0"/>
            </w:pPr>
            <w:r>
              <w:t>FCBT</w:t>
            </w:r>
          </w:p>
        </w:tc>
        <w:tc>
          <w:tcPr>
            <w:cnfStyle w:evenVBand="true" w:oddVBand="false" w:firstColumn="false"/>
            <w:tcW w:w="33.333333%" w:type="pct"/>
          </w:tcPr>
          <w:p>
            <w:pPr>
              <w:ind w:leftChars="0" w:left="0" w:right="0"/>
            </w:pPr>
            <w:r>
              <w:t>FCBT</w:t>
            </w:r>
          </w:p>
        </w:tc>
        <w:tc>
          <w:tcPr>
            <w:cnfStyle w:evenVBand="false" w:oddVBand="true" w:firstColumn="false"/>
            <w:tcW w:w="33.333333%" w:type="pct"/>
          </w:tcPr>
          <w:p>
            <w:pPr>
              <w:ind w:leftChars="0" w:left="0" w:right="0"/>
            </w:pPr>
            <w:r>
              <w:t>CHICAGO BOARD OF TRADE (FLOOR)</w:t>
            </w:r>
          </w:p>
        </w:tc>
      </w:tr>
      <w:tr>
        <w:trPr>
          <w:cnfStyle w:evenHBand="true" w:oddHBand="false" w:firstRow="false"/>
        </w:trPr>
        <w:tc>
          <w:tcPr>
            <w:cnfStyle w:evenVBand="false" w:oddVBand="true" w:firstColumn="false"/>
            <w:tcW w:w="33.333333%" w:type="pct"/>
          </w:tcPr>
          <w:p>
            <w:pPr>
              <w:ind w:leftChars="0" w:left="0" w:right="0"/>
            </w:pPr>
            <w:r>
              <w:t>FCME</w:t>
            </w:r>
          </w:p>
        </w:tc>
        <w:tc>
          <w:tcPr>
            <w:cnfStyle w:evenVBand="true" w:oddVBand="false" w:firstColumn="false"/>
            <w:tcW w:w="33.333333%" w:type="pct"/>
          </w:tcPr>
          <w:p>
            <w:pPr>
              <w:ind w:leftChars="0" w:left="0" w:right="0"/>
            </w:pPr>
            <w:r>
              <w:t>FCME</w:t>
            </w:r>
          </w:p>
        </w:tc>
        <w:tc>
          <w:tcPr>
            <w:cnfStyle w:evenVBand="false" w:oddVBand="true" w:firstColumn="false"/>
            <w:tcW w:w="33.333333%" w:type="pct"/>
          </w:tcPr>
          <w:p>
            <w:pPr>
              <w:ind w:leftChars="0" w:left="0" w:right="0"/>
            </w:pPr>
            <w:r>
              <w:t>CHICAGO MERCANTILE EXCHANGE (FLOOR)</w:t>
            </w:r>
          </w:p>
        </w:tc>
      </w:tr>
      <w:tr>
        <w:trPr>
          <w:cnfStyle w:evenHBand="false" w:oddHBand="true" w:firstRow="false"/>
        </w:trPr>
        <w:tc>
          <w:tcPr>
            <w:cnfStyle w:evenVBand="false" w:oddVBand="true" w:firstColumn="false"/>
            <w:tcW w:w="33.333333%" w:type="pct"/>
          </w:tcPr>
          <w:p>
            <w:pPr>
              <w:ind w:leftChars="0" w:left="0" w:right="0"/>
            </w:pPr>
            <w:r>
              <w:t>FGEX</w:t>
            </w:r>
          </w:p>
        </w:tc>
        <w:tc>
          <w:tcPr>
            <w:cnfStyle w:evenVBand="true" w:oddVBand="false" w:firstColumn="false"/>
            <w:tcW w:w="33.333333%" w:type="pct"/>
          </w:tcPr>
          <w:p>
            <w:pPr>
              <w:ind w:leftChars="0" w:left="0" w:right="0"/>
            </w:pPr>
            <w:r>
              <w:t>FGEX</w:t>
            </w:r>
          </w:p>
        </w:tc>
        <w:tc>
          <w:tcPr>
            <w:cnfStyle w:evenVBand="false" w:oddVBand="true" w:firstColumn="false"/>
            <w:tcW w:w="33.333333%" w:type="pct"/>
          </w:tcPr>
          <w:p>
            <w:pPr>
              <w:ind w:leftChars="0" w:left="0" w:right="0"/>
            </w:pPr>
            <w:r>
              <w:t>KAASUPORSSI - FINNISH GAS EXCHANGE</w:t>
            </w:r>
          </w:p>
        </w:tc>
      </w:tr>
      <w:tr>
        <w:trPr>
          <w:cnfStyle w:evenHBand="true" w:oddHBand="false" w:firstRow="false"/>
        </w:trPr>
        <w:tc>
          <w:tcPr>
            <w:cnfStyle w:evenVBand="false" w:oddVBand="true" w:firstColumn="false"/>
            <w:tcW w:w="33.333333%" w:type="pct"/>
          </w:tcPr>
          <w:p>
            <w:pPr>
              <w:ind w:leftChars="0" w:left="0" w:right="0"/>
            </w:pPr>
            <w:r>
              <w:t>FICO</w:t>
            </w:r>
          </w:p>
        </w:tc>
        <w:tc>
          <w:tcPr>
            <w:cnfStyle w:evenVBand="true" w:oddVBand="false" w:firstColumn="false"/>
            <w:tcW w:w="33.333333%" w:type="pct"/>
          </w:tcPr>
          <w:p>
            <w:pPr>
              <w:ind w:leftChars="0" w:left="0" w:right="0"/>
            </w:pPr>
            <w:r>
              <w:t>FICO</w:t>
            </w:r>
          </w:p>
        </w:tc>
        <w:tc>
          <w:tcPr>
            <w:cnfStyle w:evenVBand="false" w:oddVBand="true" w:firstColumn="false"/>
            <w:tcW w:w="33.333333%" w:type="pct"/>
          </w:tcPr>
          <w:p>
            <w:pPr>
              <w:ind w:leftChars="0" w:left="0" w:right="0"/>
            </w:pPr>
            <w:r>
              <w:t>FINANCIALCONTENT</w:t>
            </w:r>
          </w:p>
        </w:tc>
      </w:tr>
      <w:tr>
        <w:trPr>
          <w:cnfStyle w:evenHBand="false" w:oddHBand="true" w:firstRow="false"/>
        </w:trPr>
        <w:tc>
          <w:tcPr>
            <w:cnfStyle w:evenVBand="false" w:oddVBand="true" w:firstColumn="false"/>
            <w:tcW w:w="33.333333%" w:type="pct"/>
          </w:tcPr>
          <w:p>
            <w:pPr>
              <w:ind w:leftChars="0" w:left="0" w:right="0"/>
            </w:pPr>
            <w:r>
              <w:t>FICX</w:t>
            </w:r>
          </w:p>
        </w:tc>
        <w:tc>
          <w:tcPr>
            <w:cnfStyle w:evenVBand="true" w:oddVBand="false" w:firstColumn="false"/>
            <w:tcW w:w="33.333333%" w:type="pct"/>
          </w:tcPr>
          <w:p>
            <w:pPr>
              <w:ind w:leftChars="0" w:left="0" w:right="0"/>
            </w:pPr>
            <w:r>
              <w:t>FICX</w:t>
            </w:r>
          </w:p>
        </w:tc>
        <w:tc>
          <w:tcPr>
            <w:cnfStyle w:evenVBand="false" w:oddVBand="true" w:firstColumn="false"/>
            <w:tcW w:w="33.333333%" w:type="pct"/>
          </w:tcPr>
          <w:p>
            <w:pPr>
              <w:ind w:leftChars="0" w:left="0" w:right="0"/>
            </w:pPr>
            <w:r>
              <w:t>FINANCIAL INFORMATION CONTRIBUTORS EXCHANGE</w:t>
            </w:r>
          </w:p>
        </w:tc>
      </w:tr>
      <w:tr>
        <w:trPr>
          <w:cnfStyle w:evenHBand="true" w:oddHBand="false" w:firstRow="false"/>
        </w:trPr>
        <w:tc>
          <w:tcPr>
            <w:cnfStyle w:evenVBand="false" w:oddVBand="true" w:firstColumn="false"/>
            <w:tcW w:w="33.333333%" w:type="pct"/>
          </w:tcPr>
          <w:p>
            <w:pPr>
              <w:ind w:leftChars="0" w:left="0" w:right="0"/>
            </w:pPr>
            <w:r>
              <w:t>FIED</w:t>
            </w:r>
          </w:p>
        </w:tc>
        <w:tc>
          <w:tcPr>
            <w:cnfStyle w:evenVBand="true" w:oddVBand="false" w:firstColumn="false"/>
            <w:tcW w:w="33.333333%" w:type="pct"/>
          </w:tcPr>
          <w:p>
            <w:pPr>
              <w:ind w:leftChars="0" w:left="0" w:right="0"/>
            </w:pPr>
            <w:r>
              <w:t>FIED</w:t>
            </w:r>
          </w:p>
        </w:tc>
        <w:tc>
          <w:tcPr>
            <w:cnfStyle w:evenVBand="false" w:oddVBand="true" w:firstColumn="false"/>
            <w:tcW w:w="33.333333%" w:type="pct"/>
          </w:tcPr>
          <w:p>
            <w:pPr>
              <w:ind w:leftChars="0" w:left="0" w:right="0"/>
            </w:pPr>
            <w:r>
              <w:t>NASDAQ STOCKHOLM AB - FINNISH EQ DERIVATIVES</w:t>
            </w:r>
          </w:p>
        </w:tc>
      </w:tr>
      <w:tr>
        <w:trPr>
          <w:cnfStyle w:evenHBand="false" w:oddHBand="true" w:firstRow="false"/>
        </w:trPr>
        <w:tc>
          <w:tcPr>
            <w:cnfStyle w:evenVBand="false" w:oddVBand="true" w:firstColumn="false"/>
            <w:tcW w:w="33.333333%" w:type="pct"/>
          </w:tcPr>
          <w:p>
            <w:pPr>
              <w:ind w:leftChars="0" w:left="0" w:right="0"/>
            </w:pPr>
            <w:r>
              <w:t>FINC</w:t>
            </w:r>
          </w:p>
        </w:tc>
        <w:tc>
          <w:tcPr>
            <w:cnfStyle w:evenVBand="true" w:oddVBand="false" w:firstColumn="false"/>
            <w:tcW w:w="33.333333%" w:type="pct"/>
          </w:tcPr>
          <w:p>
            <w:pPr>
              <w:ind w:leftChars="0" w:left="0" w:right="0"/>
            </w:pPr>
            <w:r>
              <w:t>FINC</w:t>
            </w:r>
          </w:p>
        </w:tc>
        <w:tc>
          <w:tcPr>
            <w:cnfStyle w:evenVBand="false" w:oddVBand="true" w:firstColumn="false"/>
            <w:tcW w:w="33.333333%" w:type="pct"/>
          </w:tcPr>
          <w:p>
            <w:pPr>
              <w:ind w:leftChars="0" w:left="0" w:right="0"/>
            </w:pPr>
            <w:r>
              <w:t>FINRA/NASDAQ TRF CHICAGO (TRADE REPORTING FACILITY)</w:t>
            </w:r>
          </w:p>
        </w:tc>
      </w:tr>
      <w:tr>
        <w:trPr>
          <w:cnfStyle w:evenHBand="true" w:oddHBand="false" w:firstRow="false"/>
        </w:trPr>
        <w:tc>
          <w:tcPr>
            <w:cnfStyle w:evenVBand="false" w:oddVBand="true" w:firstColumn="false"/>
            <w:tcW w:w="33.333333%" w:type="pct"/>
          </w:tcPr>
          <w:p>
            <w:pPr>
              <w:ind w:leftChars="0" w:left="0" w:right="0"/>
            </w:pPr>
            <w:r>
              <w:t>FINN</w:t>
            </w:r>
          </w:p>
        </w:tc>
        <w:tc>
          <w:tcPr>
            <w:cnfStyle w:evenVBand="true" w:oddVBand="false" w:firstColumn="false"/>
            <w:tcW w:w="33.333333%" w:type="pct"/>
          </w:tcPr>
          <w:p>
            <w:pPr>
              <w:ind w:leftChars="0" w:left="0" w:right="0"/>
            </w:pPr>
            <w:r>
              <w:t>FINN</w:t>
            </w:r>
          </w:p>
        </w:tc>
        <w:tc>
          <w:tcPr>
            <w:cnfStyle w:evenVBand="false" w:oddVBand="true" w:firstColumn="false"/>
            <w:tcW w:w="33.333333%" w:type="pct"/>
          </w:tcPr>
          <w:p>
            <w:pPr>
              <w:ind w:leftChars="0" w:left="0" w:right="0"/>
            </w:pPr>
            <w:r>
              <w:t>FINRA/NASDAQ TRF CARTERET (TRADE REPORTING FACILITY)</w:t>
            </w:r>
          </w:p>
        </w:tc>
      </w:tr>
      <w:tr>
        <w:trPr>
          <w:cnfStyle w:evenHBand="false" w:oddHBand="true" w:firstRow="false"/>
        </w:trPr>
        <w:tc>
          <w:tcPr>
            <w:cnfStyle w:evenVBand="false" w:oddVBand="true" w:firstColumn="false"/>
            <w:tcW w:w="33.333333%" w:type="pct"/>
          </w:tcPr>
          <w:p>
            <w:pPr>
              <w:ind w:leftChars="0" w:left="0" w:right="0"/>
            </w:pPr>
            <w:r>
              <w:t>FINO</w:t>
            </w:r>
          </w:p>
        </w:tc>
        <w:tc>
          <w:tcPr>
            <w:cnfStyle w:evenVBand="true" w:oddVBand="false" w:firstColumn="false"/>
            <w:tcW w:w="33.333333%" w:type="pct"/>
          </w:tcPr>
          <w:p>
            <w:pPr>
              <w:ind w:leftChars="0" w:left="0" w:right="0"/>
            </w:pPr>
            <w:r>
              <w:t>FINO</w:t>
            </w:r>
          </w:p>
        </w:tc>
        <w:tc>
          <w:tcPr>
            <w:cnfStyle w:evenVBand="false" w:oddVBand="true" w:firstColumn="false"/>
            <w:tcW w:w="33.333333%" w:type="pct"/>
          </w:tcPr>
          <w:p>
            <w:pPr>
              <w:ind w:leftChars="0" w:left="0" w:right="0"/>
            </w:pPr>
            <w:r>
              <w:t>FINRA ORF (TRADE REPORTING FACILITY)</w:t>
            </w:r>
          </w:p>
        </w:tc>
      </w:tr>
      <w:tr>
        <w:trPr>
          <w:cnfStyle w:evenHBand="true" w:oddHBand="false" w:firstRow="false"/>
        </w:trPr>
        <w:tc>
          <w:tcPr>
            <w:cnfStyle w:evenVBand="false" w:oddVBand="true" w:firstColumn="false"/>
            <w:tcW w:w="33.333333%" w:type="pct"/>
          </w:tcPr>
          <w:p>
            <w:pPr>
              <w:ind w:leftChars="0" w:left="0" w:right="0"/>
            </w:pPr>
            <w:r>
              <w:t>FINR</w:t>
            </w:r>
          </w:p>
        </w:tc>
        <w:tc>
          <w:tcPr>
            <w:cnfStyle w:evenVBand="true" w:oddVBand="false" w:firstColumn="false"/>
            <w:tcW w:w="33.333333%" w:type="pct"/>
          </w:tcPr>
          <w:p>
            <w:pPr>
              <w:ind w:leftChars="0" w:left="0" w:right="0"/>
            </w:pPr>
            <w:r>
              <w:t>FINR</w:t>
            </w:r>
          </w:p>
        </w:tc>
        <w:tc>
          <w:tcPr>
            <w:cnfStyle w:evenVBand="false" w:oddVBand="true" w:firstColumn="false"/>
            <w:tcW w:w="33.333333%" w:type="pct"/>
          </w:tcPr>
          <w:p>
            <w:pPr>
              <w:ind w:leftChars="0" w:left="0" w:right="0"/>
            </w:pPr>
            <w:r>
              <w:t>FINRA</w:t>
            </w:r>
          </w:p>
        </w:tc>
      </w:tr>
      <w:tr>
        <w:trPr>
          <w:cnfStyle w:evenHBand="false" w:oddHBand="true" w:firstRow="false"/>
        </w:trPr>
        <w:tc>
          <w:tcPr>
            <w:cnfStyle w:evenVBand="false" w:oddVBand="true" w:firstColumn="false"/>
            <w:tcW w:w="33.333333%" w:type="pct"/>
          </w:tcPr>
          <w:p>
            <w:pPr>
              <w:ind w:leftChars="0" w:left="0" w:right="0"/>
            </w:pPr>
            <w:r>
              <w:t>FINY</w:t>
            </w:r>
          </w:p>
        </w:tc>
        <w:tc>
          <w:tcPr>
            <w:cnfStyle w:evenVBand="true" w:oddVBand="false" w:firstColumn="false"/>
            <w:tcW w:w="33.333333%" w:type="pct"/>
          </w:tcPr>
          <w:p>
            <w:pPr>
              <w:ind w:leftChars="0" w:left="0" w:right="0"/>
            </w:pPr>
            <w:r>
              <w:t>FINY</w:t>
            </w:r>
          </w:p>
        </w:tc>
        <w:tc>
          <w:tcPr>
            <w:cnfStyle w:evenVBand="false" w:oddVBand="true" w:firstColumn="false"/>
            <w:tcW w:w="33.333333%" w:type="pct"/>
          </w:tcPr>
          <w:p>
            <w:pPr>
              <w:ind w:leftChars="0" w:left="0" w:right="0"/>
            </w:pPr>
            <w:r>
              <w:t>FINRA/NYSE TRF (TRADE REPORTING FACILITY)</w:t>
            </w:r>
          </w:p>
        </w:tc>
      </w:tr>
      <w:tr>
        <w:trPr>
          <w:cnfStyle w:evenHBand="true" w:oddHBand="false" w:firstRow="false"/>
        </w:trPr>
        <w:tc>
          <w:tcPr>
            <w:cnfStyle w:evenVBand="false" w:oddVBand="true" w:firstColumn="false"/>
            <w:tcW w:w="33.333333%" w:type="pct"/>
          </w:tcPr>
          <w:p>
            <w:pPr>
              <w:ind w:leftChars="0" w:left="0" w:right="0"/>
            </w:pPr>
            <w:r>
              <w:t>FISH</w:t>
            </w:r>
          </w:p>
        </w:tc>
        <w:tc>
          <w:tcPr>
            <w:cnfStyle w:evenVBand="true" w:oddVBand="false" w:firstColumn="false"/>
            <w:tcW w:w="33.333333%" w:type="pct"/>
          </w:tcPr>
          <w:p>
            <w:pPr>
              <w:ind w:leftChars="0" w:left="0" w:right="0"/>
            </w:pPr>
            <w:r>
              <w:t>FISH</w:t>
            </w:r>
          </w:p>
        </w:tc>
        <w:tc>
          <w:tcPr>
            <w:cnfStyle w:evenVBand="false" w:oddVBand="true" w:firstColumn="false"/>
            <w:tcW w:w="33.333333%" w:type="pct"/>
          </w:tcPr>
          <w:p>
            <w:pPr>
              <w:ind w:leftChars="0" w:left="0" w:right="0"/>
            </w:pPr>
            <w:r>
              <w:t>FISH POOL ASA</w:t>
            </w:r>
          </w:p>
        </w:tc>
      </w:tr>
      <w:tr>
        <w:trPr>
          <w:cnfStyle w:evenHBand="false" w:oddHBand="true" w:firstRow="false"/>
        </w:trPr>
        <w:tc>
          <w:tcPr>
            <w:cnfStyle w:evenVBand="false" w:oddVBand="true" w:firstColumn="false"/>
            <w:tcW w:w="33.333333%" w:type="pct"/>
          </w:tcPr>
          <w:p>
            <w:pPr>
              <w:ind w:leftChars="0" w:left="0" w:right="0"/>
            </w:pPr>
            <w:r>
              <w:t>FISU</w:t>
            </w:r>
          </w:p>
        </w:tc>
        <w:tc>
          <w:tcPr>
            <w:cnfStyle w:evenVBand="true" w:oddVBand="false" w:firstColumn="false"/>
            <w:tcW w:w="33.333333%" w:type="pct"/>
          </w:tcPr>
          <w:p>
            <w:pPr>
              <w:ind w:leftChars="0" w:left="0" w:right="0"/>
            </w:pPr>
            <w:r>
              <w:t>FISU</w:t>
            </w:r>
          </w:p>
        </w:tc>
        <w:tc>
          <w:tcPr>
            <w:cnfStyle w:evenVBand="false" w:oddVBand="true" w:firstColumn="false"/>
            <w:tcW w:w="33.333333%" w:type="pct"/>
          </w:tcPr>
          <w:p>
            <w:pPr>
              <w:ind w:leftChars="0" w:left="0" w:right="0"/>
            </w:pPr>
            <w:r>
              <w:t>FREIGHT INVESTOR SERVICES LIMITED</w:t>
            </w:r>
          </w:p>
        </w:tc>
      </w:tr>
      <w:tr>
        <w:trPr>
          <w:cnfStyle w:evenHBand="true" w:oddHBand="false" w:firstRow="false"/>
        </w:trPr>
        <w:tc>
          <w:tcPr>
            <w:cnfStyle w:evenVBand="false" w:oddVBand="true" w:firstColumn="false"/>
            <w:tcW w:w="33.333333%" w:type="pct"/>
          </w:tcPr>
          <w:p>
            <w:pPr>
              <w:ind w:leftChars="0" w:left="0" w:right="0"/>
            </w:pPr>
            <w:r>
              <w:t>FLTB</w:t>
            </w:r>
          </w:p>
        </w:tc>
        <w:tc>
          <w:tcPr>
            <w:cnfStyle w:evenVBand="true" w:oddVBand="false" w:firstColumn="false"/>
            <w:tcW w:w="33.333333%" w:type="pct"/>
          </w:tcPr>
          <w:p>
            <w:pPr>
              <w:ind w:leftChars="0" w:left="0" w:right="0"/>
            </w:pPr>
            <w:r>
              <w:t>FLTB</w:t>
            </w:r>
          </w:p>
        </w:tc>
        <w:tc>
          <w:tcPr>
            <w:cnfStyle w:evenVBand="false" w:oddVBand="true" w:firstColumn="false"/>
            <w:tcW w:w="33.333333%" w:type="pct"/>
          </w:tcPr>
          <w:p>
            <w:pPr>
              <w:ind w:leftChars="0" w:left="0" w:right="0"/>
            </w:pPr>
            <w:r>
              <w:t>FLOW TRADERS B.V. - SYSTEMATIC INTERNALISER BONDS</w:t>
            </w:r>
          </w:p>
        </w:tc>
      </w:tr>
      <w:tr>
        <w:trPr>
          <w:cnfStyle w:evenHBand="false" w:oddHBand="true" w:firstRow="false"/>
        </w:trPr>
        <w:tc>
          <w:tcPr>
            <w:cnfStyle w:evenVBand="false" w:oddVBand="true" w:firstColumn="false"/>
            <w:tcW w:w="33.333333%" w:type="pct"/>
          </w:tcPr>
          <w:p>
            <w:pPr>
              <w:ind w:leftChars="0" w:left="0" w:right="0"/>
            </w:pPr>
            <w:r>
              <w:t>FLTR</w:t>
            </w:r>
          </w:p>
        </w:tc>
        <w:tc>
          <w:tcPr>
            <w:cnfStyle w:evenVBand="true" w:oddVBand="false" w:firstColumn="false"/>
            <w:tcW w:w="33.333333%" w:type="pct"/>
          </w:tcPr>
          <w:p>
            <w:pPr>
              <w:ind w:leftChars="0" w:left="0" w:right="0"/>
            </w:pPr>
            <w:r>
              <w:t>FLTR</w:t>
            </w:r>
          </w:p>
        </w:tc>
        <w:tc>
          <w:tcPr>
            <w:cnfStyle w:evenVBand="false" w:oddVBand="true" w:firstColumn="false"/>
            <w:tcW w:w="33.333333%" w:type="pct"/>
          </w:tcPr>
          <w:p>
            <w:pPr>
              <w:ind w:leftChars="0" w:left="0" w:right="0"/>
            </w:pPr>
            <w:r>
              <w:t>FLOW TRADERS - SYSTEMATIC INTERNALISER</w:t>
            </w:r>
          </w:p>
        </w:tc>
      </w:tr>
      <w:tr>
        <w:trPr>
          <w:cnfStyle w:evenHBand="true" w:oddHBand="false" w:firstRow="false"/>
        </w:trPr>
        <w:tc>
          <w:tcPr>
            <w:cnfStyle w:evenVBand="false" w:oddVBand="true" w:firstColumn="false"/>
            <w:tcW w:w="33.333333%" w:type="pct"/>
          </w:tcPr>
          <w:p>
            <w:pPr>
              <w:ind w:leftChars="0" w:left="0" w:right="0"/>
            </w:pPr>
            <w:r>
              <w:t>FLWX</w:t>
            </w:r>
          </w:p>
        </w:tc>
        <w:tc>
          <w:tcPr>
            <w:cnfStyle w:evenVBand="true" w:oddVBand="false" w:firstColumn="false"/>
            <w:tcW w:w="33.333333%" w:type="pct"/>
          </w:tcPr>
          <w:p>
            <w:pPr>
              <w:ind w:leftChars="0" w:left="0" w:right="0"/>
            </w:pPr>
            <w:r>
              <w:t>FLWX</w:t>
            </w:r>
          </w:p>
        </w:tc>
        <w:tc>
          <w:tcPr>
            <w:cnfStyle w:evenVBand="false" w:oddVBand="true" w:firstColumn="false"/>
            <w:tcW w:w="33.333333%" w:type="pct"/>
          </w:tcPr>
          <w:p>
            <w:pPr>
              <w:ind w:leftChars="0" w:left="0" w:right="0"/>
            </w:pPr>
            <w:r>
              <w:t>FLOW TRADERS</w:t>
            </w:r>
          </w:p>
        </w:tc>
      </w:tr>
      <w:tr>
        <w:trPr>
          <w:cnfStyle w:evenHBand="false" w:oddHBand="true" w:firstRow="false"/>
        </w:trPr>
        <w:tc>
          <w:tcPr>
            <w:cnfStyle w:evenVBand="false" w:oddVBand="true" w:firstColumn="false"/>
            <w:tcW w:w="33.333333%" w:type="pct"/>
          </w:tcPr>
          <w:p>
            <w:pPr>
              <w:ind w:leftChars="0" w:left="0" w:right="0"/>
            </w:pPr>
            <w:r>
              <w:t>FMTS</w:t>
            </w:r>
          </w:p>
        </w:tc>
        <w:tc>
          <w:tcPr>
            <w:cnfStyle w:evenVBand="true" w:oddVBand="false" w:firstColumn="false"/>
            <w:tcW w:w="33.333333%" w:type="pct"/>
          </w:tcPr>
          <w:p>
            <w:pPr>
              <w:ind w:leftChars="0" w:left="0" w:right="0"/>
            </w:pPr>
            <w:r>
              <w:t>FMTS</w:t>
            </w:r>
          </w:p>
        </w:tc>
        <w:tc>
          <w:tcPr>
            <w:cnfStyle w:evenVBand="false" w:oddVBand="true" w:firstColumn="false"/>
            <w:tcW w:w="33.333333%" w:type="pct"/>
          </w:tcPr>
          <w:p>
            <w:pPr>
              <w:ind w:leftChars="0" w:left="0" w:right="0"/>
            </w:pPr>
            <w:r>
              <w:t>MTS FRANCE SAS</w:t>
            </w:r>
          </w:p>
        </w:tc>
      </w:tr>
      <w:tr>
        <w:trPr>
          <w:cnfStyle w:evenHBand="true" w:oddHBand="false" w:firstRow="false"/>
        </w:trPr>
        <w:tc>
          <w:tcPr>
            <w:cnfStyle w:evenVBand="false" w:oddVBand="true" w:firstColumn="false"/>
            <w:tcW w:w="33.333333%" w:type="pct"/>
          </w:tcPr>
          <w:p>
            <w:pPr>
              <w:ind w:leftChars="0" w:left="0" w:right="0"/>
            </w:pPr>
            <w:r>
              <w:t>FNCS</w:t>
            </w:r>
          </w:p>
        </w:tc>
        <w:tc>
          <w:tcPr>
            <w:cnfStyle w:evenVBand="true" w:oddVBand="false" w:firstColumn="false"/>
            <w:tcW w:w="33.333333%" w:type="pct"/>
          </w:tcPr>
          <w:p>
            <w:pPr>
              <w:ind w:leftChars="0" w:left="0" w:right="0"/>
            </w:pPr>
            <w:r>
              <w:t>FNCS</w:t>
            </w:r>
          </w:p>
        </w:tc>
        <w:tc>
          <w:tcPr>
            <w:cnfStyle w:evenVBand="false" w:oddVBand="true" w:firstColumn="false"/>
            <w:tcW w:w="33.333333%" w:type="pct"/>
          </w:tcPr>
          <w:p>
            <w:pPr>
              <w:ind w:leftChars="0" w:left="0" w:right="0"/>
            </w:pPr>
            <w:r>
              <w:t>FENICS - US TREASURIES</w:t>
            </w:r>
          </w:p>
        </w:tc>
      </w:tr>
      <w:tr>
        <w:trPr>
          <w:cnfStyle w:evenHBand="false" w:oddHBand="true" w:firstRow="false"/>
        </w:trPr>
        <w:tc>
          <w:tcPr>
            <w:cnfStyle w:evenVBand="false" w:oddVBand="true" w:firstColumn="false"/>
            <w:tcW w:w="33.333333%" w:type="pct"/>
          </w:tcPr>
          <w:p>
            <w:pPr>
              <w:ind w:leftChars="0" w:left="0" w:right="0"/>
            </w:pPr>
            <w:r>
              <w:t>FNDK</w:t>
            </w:r>
          </w:p>
        </w:tc>
        <w:tc>
          <w:tcPr>
            <w:cnfStyle w:evenVBand="true" w:oddVBand="false" w:firstColumn="false"/>
            <w:tcW w:w="33.333333%" w:type="pct"/>
          </w:tcPr>
          <w:p>
            <w:pPr>
              <w:ind w:leftChars="0" w:left="0" w:right="0"/>
            </w:pPr>
            <w:r>
              <w:t>FNDK</w:t>
            </w:r>
          </w:p>
        </w:tc>
        <w:tc>
          <w:tcPr>
            <w:cnfStyle w:evenVBand="false" w:oddVBand="true" w:firstColumn="false"/>
            <w:tcW w:w="33.333333%" w:type="pct"/>
          </w:tcPr>
          <w:p>
            <w:pPr>
              <w:ind w:leftChars="0" w:left="0" w:right="0"/>
            </w:pPr>
            <w:r>
              <w:t>FIRST NORTH DENMARK</w:t>
            </w:r>
          </w:p>
        </w:tc>
      </w:tr>
      <w:tr>
        <w:trPr>
          <w:cnfStyle w:evenHBand="true" w:oddHBand="false" w:firstRow="false"/>
        </w:trPr>
        <w:tc>
          <w:tcPr>
            <w:cnfStyle w:evenVBand="false" w:oddVBand="true" w:firstColumn="false"/>
            <w:tcW w:w="33.333333%" w:type="pct"/>
          </w:tcPr>
          <w:p>
            <w:pPr>
              <w:ind w:leftChars="0" w:left="0" w:right="0"/>
            </w:pPr>
            <w:r>
              <w:t>FNEE</w:t>
            </w:r>
          </w:p>
        </w:tc>
        <w:tc>
          <w:tcPr>
            <w:cnfStyle w:evenVBand="true" w:oddVBand="false" w:firstColumn="false"/>
            <w:tcW w:w="33.333333%" w:type="pct"/>
          </w:tcPr>
          <w:p>
            <w:pPr>
              <w:ind w:leftChars="0" w:left="0" w:right="0"/>
            </w:pPr>
            <w:r>
              <w:t>FNEE</w:t>
            </w:r>
          </w:p>
        </w:tc>
        <w:tc>
          <w:tcPr>
            <w:cnfStyle w:evenVBand="false" w:oddVBand="true" w:firstColumn="false"/>
            <w:tcW w:w="33.333333%" w:type="pct"/>
          </w:tcPr>
          <w:p>
            <w:pPr>
              <w:ind w:leftChars="0" w:left="0" w:right="0"/>
            </w:pPr>
            <w:r>
              <w:t>FIRST NORTH ESTONIA</w:t>
            </w:r>
          </w:p>
        </w:tc>
      </w:tr>
      <w:tr>
        <w:trPr>
          <w:cnfStyle w:evenHBand="false" w:oddHBand="true" w:firstRow="false"/>
        </w:trPr>
        <w:tc>
          <w:tcPr>
            <w:cnfStyle w:evenVBand="false" w:oddVBand="true" w:firstColumn="false"/>
            <w:tcW w:w="33.333333%" w:type="pct"/>
          </w:tcPr>
          <w:p>
            <w:pPr>
              <w:ind w:leftChars="0" w:left="0" w:right="0"/>
            </w:pPr>
            <w:r>
              <w:t>FNFI</w:t>
            </w:r>
          </w:p>
        </w:tc>
        <w:tc>
          <w:tcPr>
            <w:cnfStyle w:evenVBand="true" w:oddVBand="false" w:firstColumn="false"/>
            <w:tcW w:w="33.333333%" w:type="pct"/>
          </w:tcPr>
          <w:p>
            <w:pPr>
              <w:ind w:leftChars="0" w:left="0" w:right="0"/>
            </w:pPr>
            <w:r>
              <w:t>FNFI</w:t>
            </w:r>
          </w:p>
        </w:tc>
        <w:tc>
          <w:tcPr>
            <w:cnfStyle w:evenVBand="false" w:oddVBand="true" w:firstColumn="false"/>
            <w:tcW w:w="33.333333%" w:type="pct"/>
          </w:tcPr>
          <w:p>
            <w:pPr>
              <w:ind w:leftChars="0" w:left="0" w:right="0"/>
            </w:pPr>
            <w:r>
              <w:t>FIRST NORTH FINLAND</w:t>
            </w:r>
          </w:p>
        </w:tc>
      </w:tr>
      <w:tr>
        <w:trPr>
          <w:cnfStyle w:evenHBand="true" w:oddHBand="false" w:firstRow="false"/>
        </w:trPr>
        <w:tc>
          <w:tcPr>
            <w:cnfStyle w:evenVBand="false" w:oddVBand="true" w:firstColumn="false"/>
            <w:tcW w:w="33.333333%" w:type="pct"/>
          </w:tcPr>
          <w:p>
            <w:pPr>
              <w:ind w:leftChars="0" w:left="0" w:right="0"/>
            </w:pPr>
            <w:r>
              <w:t>FNFT</w:t>
            </w:r>
          </w:p>
        </w:tc>
        <w:tc>
          <w:tcPr>
            <w:cnfStyle w:evenVBand="true" w:oddVBand="false" w:firstColumn="false"/>
            <w:tcW w:w="33.333333%" w:type="pct"/>
          </w:tcPr>
          <w:p>
            <w:pPr>
              <w:ind w:leftChars="0" w:left="0" w:right="0"/>
            </w:pPr>
            <w:r>
              <w:t>FNFT</w:t>
            </w:r>
          </w:p>
        </w:tc>
        <w:tc>
          <w:tcPr>
            <w:cnfStyle w:evenVBand="false" w:oddVBand="true" w:firstColumn="false"/>
            <w:tcW w:w="33.333333%" w:type="pct"/>
          </w:tcPr>
          <w:p>
            <w:pPr>
              <w:ind w:leftChars="0" w:left="0" w:right="0"/>
            </w:pPr>
            <w:r>
              <w:t>FENICS FUTURES</w:t>
            </w:r>
          </w:p>
        </w:tc>
      </w:tr>
      <w:tr>
        <w:trPr>
          <w:cnfStyle w:evenHBand="false" w:oddHBand="true" w:firstRow="false"/>
        </w:trPr>
        <w:tc>
          <w:tcPr>
            <w:cnfStyle w:evenVBand="false" w:oddVBand="true" w:firstColumn="false"/>
            <w:tcW w:w="33.333333%" w:type="pct"/>
          </w:tcPr>
          <w:p>
            <w:pPr>
              <w:ind w:leftChars="0" w:left="0" w:right="0"/>
            </w:pPr>
            <w:r>
              <w:t>FNFX</w:t>
            </w:r>
          </w:p>
        </w:tc>
        <w:tc>
          <w:tcPr>
            <w:cnfStyle w:evenVBand="true" w:oddVBand="false" w:firstColumn="false"/>
            <w:tcW w:w="33.333333%" w:type="pct"/>
          </w:tcPr>
          <w:p>
            <w:pPr>
              <w:ind w:leftChars="0" w:left="0" w:right="0"/>
            </w:pPr>
            <w:r>
              <w:t>FNFX</w:t>
            </w:r>
          </w:p>
        </w:tc>
        <w:tc>
          <w:tcPr>
            <w:cnfStyle w:evenVBand="false" w:oddVBand="true" w:firstColumn="false"/>
            <w:tcW w:w="33.333333%" w:type="pct"/>
          </w:tcPr>
          <w:p>
            <w:pPr>
              <w:ind w:leftChars="0" w:left="0" w:right="0"/>
            </w:pPr>
            <w:r>
              <w:t>FENICS FX ECN</w:t>
            </w:r>
          </w:p>
        </w:tc>
      </w:tr>
      <w:tr>
        <w:trPr>
          <w:cnfStyle w:evenHBand="true" w:oddHBand="false" w:firstRow="false"/>
        </w:trPr>
        <w:tc>
          <w:tcPr>
            <w:cnfStyle w:evenVBand="false" w:oddVBand="true" w:firstColumn="false"/>
            <w:tcW w:w="33.333333%" w:type="pct"/>
          </w:tcPr>
          <w:p>
            <w:pPr>
              <w:ind w:leftChars="0" w:left="0" w:right="0"/>
            </w:pPr>
            <w:r>
              <w:t>FNIS</w:t>
            </w:r>
          </w:p>
        </w:tc>
        <w:tc>
          <w:tcPr>
            <w:cnfStyle w:evenVBand="true" w:oddVBand="false" w:firstColumn="false"/>
            <w:tcW w:w="33.333333%" w:type="pct"/>
          </w:tcPr>
          <w:p>
            <w:pPr>
              <w:ind w:leftChars="0" w:left="0" w:right="0"/>
            </w:pPr>
            <w:r>
              <w:t>FNIS</w:t>
            </w:r>
          </w:p>
        </w:tc>
        <w:tc>
          <w:tcPr>
            <w:cnfStyle w:evenVBand="false" w:oddVBand="true" w:firstColumn="false"/>
            <w:tcW w:w="33.333333%" w:type="pct"/>
          </w:tcPr>
          <w:p>
            <w:pPr>
              <w:ind w:leftChars="0" w:left="0" w:right="0"/>
            </w:pPr>
            <w:r>
              <w:t>FIRST NORTH ICELAND</w:t>
            </w:r>
          </w:p>
        </w:tc>
      </w:tr>
      <w:tr>
        <w:trPr>
          <w:cnfStyle w:evenHBand="false" w:oddHBand="true" w:firstRow="false"/>
        </w:trPr>
        <w:tc>
          <w:tcPr>
            <w:cnfStyle w:evenVBand="false" w:oddVBand="true" w:firstColumn="false"/>
            <w:tcW w:w="33.333333%" w:type="pct"/>
          </w:tcPr>
          <w:p>
            <w:pPr>
              <w:ind w:leftChars="0" w:left="0" w:right="0"/>
            </w:pPr>
            <w:r>
              <w:t>FNIX</w:t>
            </w:r>
          </w:p>
        </w:tc>
        <w:tc>
          <w:tcPr>
            <w:cnfStyle w:evenVBand="true" w:oddVBand="false" w:firstColumn="false"/>
            <w:tcW w:w="33.333333%" w:type="pct"/>
          </w:tcPr>
          <w:p>
            <w:pPr>
              <w:ind w:leftChars="0" w:left="0" w:right="0"/>
            </w:pPr>
            <w:r>
              <w:t>FNIX</w:t>
            </w:r>
          </w:p>
        </w:tc>
        <w:tc>
          <w:tcPr>
            <w:cnfStyle w:evenVBand="false" w:oddVBand="true" w:firstColumn="false"/>
            <w:tcW w:w="33.333333%" w:type="pct"/>
          </w:tcPr>
          <w:p>
            <w:pPr>
              <w:ind w:leftChars="0" w:left="0" w:right="0"/>
            </w:pPr>
            <w:r>
              <w:t>GFI SECURITIES LLC - FENICS DELTA X</w:t>
            </w:r>
          </w:p>
        </w:tc>
      </w:tr>
      <w:tr>
        <w:trPr>
          <w:cnfStyle w:evenHBand="true" w:oddHBand="false" w:firstRow="false"/>
        </w:trPr>
        <w:tc>
          <w:tcPr>
            <w:cnfStyle w:evenVBand="false" w:oddVBand="true" w:firstColumn="false"/>
            <w:tcW w:w="33.333333%" w:type="pct"/>
          </w:tcPr>
          <w:p>
            <w:pPr>
              <w:ind w:leftChars="0" w:left="0" w:right="0"/>
            </w:pPr>
            <w:r>
              <w:t>FNLT</w:t>
            </w:r>
          </w:p>
        </w:tc>
        <w:tc>
          <w:tcPr>
            <w:cnfStyle w:evenVBand="true" w:oddVBand="false" w:firstColumn="false"/>
            <w:tcW w:w="33.333333%" w:type="pct"/>
          </w:tcPr>
          <w:p>
            <w:pPr>
              <w:ind w:leftChars="0" w:left="0" w:right="0"/>
            </w:pPr>
            <w:r>
              <w:t>FNLT</w:t>
            </w:r>
          </w:p>
        </w:tc>
        <w:tc>
          <w:tcPr>
            <w:cnfStyle w:evenVBand="false" w:oddVBand="true" w:firstColumn="false"/>
            <w:tcW w:w="33.333333%" w:type="pct"/>
          </w:tcPr>
          <w:p>
            <w:pPr>
              <w:ind w:leftChars="0" w:left="0" w:right="0"/>
            </w:pPr>
            <w:r>
              <w:t>FIRST NORTH LITHUANIA</w:t>
            </w:r>
          </w:p>
        </w:tc>
      </w:tr>
      <w:tr>
        <w:trPr>
          <w:cnfStyle w:evenHBand="false" w:oddHBand="true" w:firstRow="false"/>
        </w:trPr>
        <w:tc>
          <w:tcPr>
            <w:cnfStyle w:evenVBand="false" w:oddVBand="true" w:firstColumn="false"/>
            <w:tcW w:w="33.333333%" w:type="pct"/>
          </w:tcPr>
          <w:p>
            <w:pPr>
              <w:ind w:leftChars="0" w:left="0" w:right="0"/>
            </w:pPr>
            <w:r>
              <w:t>FNLV</w:t>
            </w:r>
          </w:p>
        </w:tc>
        <w:tc>
          <w:tcPr>
            <w:cnfStyle w:evenVBand="true" w:oddVBand="false" w:firstColumn="false"/>
            <w:tcW w:w="33.333333%" w:type="pct"/>
          </w:tcPr>
          <w:p>
            <w:pPr>
              <w:ind w:leftChars="0" w:left="0" w:right="0"/>
            </w:pPr>
            <w:r>
              <w:t>FNLV</w:t>
            </w:r>
          </w:p>
        </w:tc>
        <w:tc>
          <w:tcPr>
            <w:cnfStyle w:evenVBand="false" w:oddVBand="true" w:firstColumn="false"/>
            <w:tcW w:w="33.333333%" w:type="pct"/>
          </w:tcPr>
          <w:p>
            <w:pPr>
              <w:ind w:leftChars="0" w:left="0" w:right="0"/>
            </w:pPr>
            <w:r>
              <w:t>FIRST NORTH LATVIA</w:t>
            </w:r>
          </w:p>
        </w:tc>
      </w:tr>
      <w:tr>
        <w:trPr>
          <w:cnfStyle w:evenHBand="true" w:oddHBand="false" w:firstRow="false"/>
        </w:trPr>
        <w:tc>
          <w:tcPr>
            <w:cnfStyle w:evenVBand="false" w:oddVBand="true" w:firstColumn="false"/>
            <w:tcW w:w="33.333333%" w:type="pct"/>
          </w:tcPr>
          <w:p>
            <w:pPr>
              <w:ind w:leftChars="0" w:left="0" w:right="0"/>
            </w:pPr>
            <w:r>
              <w:t>FNSE</w:t>
            </w:r>
          </w:p>
        </w:tc>
        <w:tc>
          <w:tcPr>
            <w:cnfStyle w:evenVBand="true" w:oddVBand="false" w:firstColumn="false"/>
            <w:tcW w:w="33.333333%" w:type="pct"/>
          </w:tcPr>
          <w:p>
            <w:pPr>
              <w:ind w:leftChars="0" w:left="0" w:right="0"/>
            </w:pPr>
            <w:r>
              <w:t>FNSE</w:t>
            </w:r>
          </w:p>
        </w:tc>
        <w:tc>
          <w:tcPr>
            <w:cnfStyle w:evenVBand="false" w:oddVBand="true" w:firstColumn="false"/>
            <w:tcW w:w="33.333333%" w:type="pct"/>
          </w:tcPr>
          <w:p>
            <w:pPr>
              <w:ind w:leftChars="0" w:left="0" w:right="0"/>
            </w:pPr>
            <w:r>
              <w:t>FIRST NORTH SWEDEN</w:t>
            </w:r>
          </w:p>
        </w:tc>
      </w:tr>
      <w:tr>
        <w:trPr>
          <w:cnfStyle w:evenHBand="false" w:oddHBand="true" w:firstRow="false"/>
        </w:trPr>
        <w:tc>
          <w:tcPr>
            <w:cnfStyle w:evenVBand="false" w:oddVBand="true" w:firstColumn="false"/>
            <w:tcW w:w="33.333333%" w:type="pct"/>
          </w:tcPr>
          <w:p>
            <w:pPr>
              <w:ind w:leftChars="0" w:left="0" w:right="0"/>
            </w:pPr>
            <w:r>
              <w:t>FNUK</w:t>
            </w:r>
          </w:p>
        </w:tc>
        <w:tc>
          <w:tcPr>
            <w:cnfStyle w:evenVBand="true" w:oddVBand="false" w:firstColumn="false"/>
            <w:tcW w:w="33.333333%" w:type="pct"/>
          </w:tcPr>
          <w:p>
            <w:pPr>
              <w:ind w:leftChars="0" w:left="0" w:right="0"/>
            </w:pPr>
            <w:r>
              <w:t>FNUK</w:t>
            </w:r>
          </w:p>
        </w:tc>
        <w:tc>
          <w:tcPr>
            <w:cnfStyle w:evenVBand="false" w:oddVBand="true" w:firstColumn="false"/>
            <w:tcW w:w="33.333333%" w:type="pct"/>
          </w:tcPr>
          <w:p>
            <w:pPr>
              <w:ind w:leftChars="0" w:left="0" w:right="0"/>
            </w:pPr>
            <w:r>
              <w:t>FINANTIA UK LIMITED - SYSTEMATIC INTERNALISER</w:t>
            </w:r>
          </w:p>
        </w:tc>
      </w:tr>
      <w:tr>
        <w:trPr>
          <w:cnfStyle w:evenHBand="true" w:oddHBand="false" w:firstRow="false"/>
        </w:trPr>
        <w:tc>
          <w:tcPr>
            <w:cnfStyle w:evenVBand="false" w:oddVBand="true" w:firstColumn="false"/>
            <w:tcW w:w="33.333333%" w:type="pct"/>
          </w:tcPr>
          <w:p>
            <w:pPr>
              <w:ind w:leftChars="0" w:left="0" w:right="0"/>
            </w:pPr>
            <w:r>
              <w:t>FNXB</w:t>
            </w:r>
          </w:p>
        </w:tc>
        <w:tc>
          <w:tcPr>
            <w:cnfStyle w:evenVBand="true" w:oddVBand="false" w:firstColumn="false"/>
            <w:tcW w:w="33.333333%" w:type="pct"/>
          </w:tcPr>
          <w:p>
            <w:pPr>
              <w:ind w:leftChars="0" w:left="0" w:right="0"/>
            </w:pPr>
            <w:r>
              <w:t>FNXB</w:t>
            </w:r>
          </w:p>
        </w:tc>
        <w:tc>
          <w:tcPr>
            <w:cnfStyle w:evenVBand="false" w:oddVBand="true" w:firstColumn="false"/>
            <w:tcW w:w="33.333333%" w:type="pct"/>
          </w:tcPr>
          <w:p>
            <w:pPr>
              <w:ind w:leftChars="0" w:left="0" w:right="0"/>
            </w:pPr>
            <w:r>
              <w:t>FENICS INVITATIONS</w:t>
            </w:r>
          </w:p>
        </w:tc>
      </w:tr>
      <w:tr>
        <w:trPr>
          <w:cnfStyle w:evenHBand="false" w:oddHBand="true" w:firstRow="false"/>
        </w:trPr>
        <w:tc>
          <w:tcPr>
            <w:cnfStyle w:evenVBand="false" w:oddVBand="true" w:firstColumn="false"/>
            <w:tcW w:w="33.333333%" w:type="pct"/>
          </w:tcPr>
          <w:p>
            <w:pPr>
              <w:ind w:leftChars="0" w:left="0" w:right="0"/>
            </w:pPr>
            <w:r>
              <w:t>FPWB</w:t>
            </w:r>
          </w:p>
        </w:tc>
        <w:tc>
          <w:tcPr>
            <w:cnfStyle w:evenVBand="true" w:oddVBand="false" w:firstColumn="false"/>
            <w:tcW w:w="33.333333%" w:type="pct"/>
          </w:tcPr>
          <w:p>
            <w:pPr>
              <w:ind w:leftChars="0" w:left="0" w:right="0"/>
            </w:pPr>
            <w:r>
              <w:t>FPWB</w:t>
            </w:r>
          </w:p>
        </w:tc>
        <w:tc>
          <w:tcPr>
            <w:cnfStyle w:evenVBand="false" w:oddVBand="true" w:firstColumn="false"/>
            <w:tcW w:w="33.333333%" w:type="pct"/>
          </w:tcPr>
          <w:p>
            <w:pPr>
              <w:ind w:leftChars="0" w:left="0" w:right="0"/>
            </w:pPr>
            <w:r>
              <w:t>FIRSTPLACE WIENER BOERSE</w:t>
            </w:r>
          </w:p>
        </w:tc>
      </w:tr>
      <w:tr>
        <w:trPr>
          <w:cnfStyle w:evenHBand="true" w:oddHBand="false" w:firstRow="false"/>
        </w:trPr>
        <w:tc>
          <w:tcPr>
            <w:cnfStyle w:evenVBand="false" w:oddVBand="true" w:firstColumn="false"/>
            <w:tcW w:w="33.333333%" w:type="pct"/>
          </w:tcPr>
          <w:p>
            <w:pPr>
              <w:ind w:leftChars="0" w:left="0" w:right="0"/>
            </w:pPr>
            <w:r>
              <w:t>FRAA</w:t>
            </w:r>
          </w:p>
        </w:tc>
        <w:tc>
          <w:tcPr>
            <w:cnfStyle w:evenVBand="true" w:oddVBand="false" w:firstColumn="false"/>
            <w:tcW w:w="33.333333%" w:type="pct"/>
          </w:tcPr>
          <w:p>
            <w:pPr>
              <w:ind w:leftChars="0" w:left="0" w:right="0"/>
            </w:pPr>
            <w:r>
              <w:t>FRAA</w:t>
            </w:r>
          </w:p>
        </w:tc>
        <w:tc>
          <w:tcPr>
            <w:cnfStyle w:evenVBand="false" w:oddVBand="true" w:firstColumn="false"/>
            <w:tcW w:w="33.333333%" w:type="pct"/>
          </w:tcPr>
          <w:p>
            <w:pPr>
              <w:ind w:leftChars="0" w:left="0" w:right="0"/>
            </w:pPr>
            <w:r>
              <w:t>BOERSE FRANKFURT - REGULIERTER MARKT</w:t>
            </w:r>
          </w:p>
        </w:tc>
      </w:tr>
      <w:tr>
        <w:trPr>
          <w:cnfStyle w:evenHBand="false" w:oddHBand="true" w:firstRow="false"/>
        </w:trPr>
        <w:tc>
          <w:tcPr>
            <w:cnfStyle w:evenVBand="false" w:oddVBand="true" w:firstColumn="false"/>
            <w:tcW w:w="33.333333%" w:type="pct"/>
          </w:tcPr>
          <w:p>
            <w:pPr>
              <w:ind w:leftChars="0" w:left="0" w:right="0"/>
            </w:pPr>
            <w:r>
              <w:t>FRAB</w:t>
            </w:r>
          </w:p>
        </w:tc>
        <w:tc>
          <w:tcPr>
            <w:cnfStyle w:evenVBand="true" w:oddVBand="false" w:firstColumn="false"/>
            <w:tcW w:w="33.333333%" w:type="pct"/>
          </w:tcPr>
          <w:p>
            <w:pPr>
              <w:ind w:leftChars="0" w:left="0" w:right="0"/>
            </w:pPr>
            <w:r>
              <w:t>FRAB</w:t>
            </w:r>
          </w:p>
        </w:tc>
        <w:tc>
          <w:tcPr>
            <w:cnfStyle w:evenVBand="false" w:oddVBand="true" w:firstColumn="false"/>
            <w:tcW w:w="33.333333%" w:type="pct"/>
          </w:tcPr>
          <w:p>
            <w:pPr>
              <w:ind w:leftChars="0" w:left="0" w:right="0"/>
            </w:pPr>
            <w:r>
              <w:t>BOERSE FRANKFURT - FREIVERKEHR</w:t>
            </w:r>
          </w:p>
        </w:tc>
      </w:tr>
      <w:tr>
        <w:trPr>
          <w:cnfStyle w:evenHBand="true" w:oddHBand="false" w:firstRow="false"/>
        </w:trPr>
        <w:tc>
          <w:tcPr>
            <w:cnfStyle w:evenVBand="false" w:oddVBand="true" w:firstColumn="false"/>
            <w:tcW w:w="33.333333%" w:type="pct"/>
          </w:tcPr>
          <w:p>
            <w:pPr>
              <w:ind w:leftChars="0" w:left="0" w:right="0"/>
            </w:pPr>
            <w:r>
              <w:t>FRAD</w:t>
            </w:r>
          </w:p>
        </w:tc>
        <w:tc>
          <w:tcPr>
            <w:cnfStyle w:evenVBand="true" w:oddVBand="false" w:firstColumn="false"/>
            <w:tcW w:w="33.333333%" w:type="pct"/>
          </w:tcPr>
          <w:p>
            <w:pPr>
              <w:ind w:leftChars="0" w:left="0" w:right="0"/>
            </w:pPr>
            <w:r>
              <w:t>FRAD</w:t>
            </w:r>
          </w:p>
        </w:tc>
        <w:tc>
          <w:tcPr>
            <w:cnfStyle w:evenVBand="false" w:oddVBand="true" w:firstColumn="false"/>
            <w:tcW w:w="33.333333%" w:type="pct"/>
          </w:tcPr>
          <w:p>
            <w:pPr>
              <w:ind w:leftChars="0" w:left="0" w:right="0"/>
            </w:pPr>
            <w:r>
              <w:t>DEUTSCHE BOERSE MID-POINT CROSS</w:t>
            </w:r>
          </w:p>
        </w:tc>
      </w:tr>
      <w:tr>
        <w:trPr>
          <w:cnfStyle w:evenHBand="false" w:oddHBand="true" w:firstRow="false"/>
        </w:trPr>
        <w:tc>
          <w:tcPr>
            <w:cnfStyle w:evenVBand="false" w:oddVBand="true" w:firstColumn="false"/>
            <w:tcW w:w="33.333333%" w:type="pct"/>
          </w:tcPr>
          <w:p>
            <w:pPr>
              <w:ind w:leftChars="0" w:left="0" w:right="0"/>
            </w:pPr>
            <w:r>
              <w:t>FRAS</w:t>
            </w:r>
          </w:p>
        </w:tc>
        <w:tc>
          <w:tcPr>
            <w:cnfStyle w:evenVBand="true" w:oddVBand="false" w:firstColumn="false"/>
            <w:tcW w:w="33.333333%" w:type="pct"/>
          </w:tcPr>
          <w:p>
            <w:pPr>
              <w:ind w:leftChars="0" w:left="0" w:right="0"/>
            </w:pPr>
            <w:r>
              <w:t>FRAS</w:t>
            </w:r>
          </w:p>
        </w:tc>
        <w:tc>
          <w:tcPr>
            <w:cnfStyle w:evenVBand="false" w:oddVBand="true" w:firstColumn="false"/>
            <w:tcW w:w="33.333333%" w:type="pct"/>
          </w:tcPr>
          <w:p>
            <w:pPr>
              <w:ind w:leftChars="0" w:left="0" w:right="0"/>
            </w:pPr>
            <w:r>
              <w:t>BOERSE FRANKFURT - SCALE</w:t>
            </w:r>
          </w:p>
        </w:tc>
      </w:tr>
      <w:tr>
        <w:trPr>
          <w:cnfStyle w:evenHBand="true" w:oddHBand="false" w:firstRow="false"/>
        </w:trPr>
        <w:tc>
          <w:tcPr>
            <w:cnfStyle w:evenVBand="false" w:oddVBand="true" w:firstColumn="false"/>
            <w:tcW w:w="33.333333%" w:type="pct"/>
          </w:tcPr>
          <w:p>
            <w:pPr>
              <w:ind w:leftChars="0" w:left="0" w:right="0"/>
            </w:pPr>
            <w:r>
              <w:t>FRAU</w:t>
            </w:r>
          </w:p>
        </w:tc>
        <w:tc>
          <w:tcPr>
            <w:cnfStyle w:evenVBand="true" w:oddVBand="false" w:firstColumn="false"/>
            <w:tcW w:w="33.333333%" w:type="pct"/>
          </w:tcPr>
          <w:p>
            <w:pPr>
              <w:ind w:leftChars="0" w:left="0" w:right="0"/>
            </w:pPr>
            <w:r>
              <w:t>FRAU</w:t>
            </w:r>
          </w:p>
        </w:tc>
        <w:tc>
          <w:tcPr>
            <w:cnfStyle w:evenVBand="false" w:oddVBand="true" w:firstColumn="false"/>
            <w:tcW w:w="33.333333%" w:type="pct"/>
          </w:tcPr>
          <w:p>
            <w:pPr>
              <w:ind w:leftChars="0" w:left="0" w:right="0"/>
            </w:pPr>
            <w:r>
              <w:t>BOERSE FRANKFURT - REGULIERTERMARKT - OFF-BOOK</w:t>
            </w:r>
          </w:p>
        </w:tc>
      </w:tr>
      <w:tr>
        <w:trPr>
          <w:cnfStyle w:evenHBand="false" w:oddHBand="true" w:firstRow="false"/>
        </w:trPr>
        <w:tc>
          <w:tcPr>
            <w:cnfStyle w:evenVBand="false" w:oddVBand="true" w:firstColumn="false"/>
            <w:tcW w:w="33.333333%" w:type="pct"/>
          </w:tcPr>
          <w:p>
            <w:pPr>
              <w:ind w:leftChars="0" w:left="0" w:right="0"/>
            </w:pPr>
            <w:r>
              <w:t>FRAV</w:t>
            </w:r>
          </w:p>
        </w:tc>
        <w:tc>
          <w:tcPr>
            <w:cnfStyle w:evenVBand="true" w:oddVBand="false" w:firstColumn="false"/>
            <w:tcW w:w="33.333333%" w:type="pct"/>
          </w:tcPr>
          <w:p>
            <w:pPr>
              <w:ind w:leftChars="0" w:left="0" w:right="0"/>
            </w:pPr>
            <w:r>
              <w:t>FRAV</w:t>
            </w:r>
          </w:p>
        </w:tc>
        <w:tc>
          <w:tcPr>
            <w:cnfStyle w:evenVBand="false" w:oddVBand="true" w:firstColumn="false"/>
            <w:tcW w:w="33.333333%" w:type="pct"/>
          </w:tcPr>
          <w:p>
            <w:pPr>
              <w:ind w:leftChars="0" w:left="0" w:right="0"/>
            </w:pPr>
            <w:r>
              <w:t>BOERSE FRANKFURT - FREIVERKEHR - OFF-BOOK</w:t>
            </w:r>
          </w:p>
        </w:tc>
      </w:tr>
      <w:tr>
        <w:trPr>
          <w:cnfStyle w:evenHBand="true" w:oddHBand="false" w:firstRow="false"/>
        </w:trPr>
        <w:tc>
          <w:tcPr>
            <w:cnfStyle w:evenVBand="false" w:oddVBand="true" w:firstColumn="false"/>
            <w:tcW w:w="33.333333%" w:type="pct"/>
          </w:tcPr>
          <w:p>
            <w:pPr>
              <w:ind w:leftChars="0" w:left="0" w:right="0"/>
            </w:pPr>
            <w:r>
              <w:t>FRAW</w:t>
            </w:r>
          </w:p>
        </w:tc>
        <w:tc>
          <w:tcPr>
            <w:cnfStyle w:evenVBand="true" w:oddVBand="false" w:firstColumn="false"/>
            <w:tcW w:w="33.333333%" w:type="pct"/>
          </w:tcPr>
          <w:p>
            <w:pPr>
              <w:ind w:leftChars="0" w:left="0" w:right="0"/>
            </w:pPr>
            <w:r>
              <w:t>FRAW</w:t>
            </w:r>
          </w:p>
        </w:tc>
        <w:tc>
          <w:tcPr>
            <w:cnfStyle w:evenVBand="false" w:oddVBand="true" w:firstColumn="false"/>
            <w:tcW w:w="33.333333%" w:type="pct"/>
          </w:tcPr>
          <w:p>
            <w:pPr>
              <w:ind w:leftChars="0" w:left="0" w:right="0"/>
            </w:pPr>
            <w:r>
              <w:t>BOERSE FRANKFURT - SCALE - OFF-BOOK</w:t>
            </w:r>
          </w:p>
        </w:tc>
      </w:tr>
      <w:tr>
        <w:trPr>
          <w:cnfStyle w:evenHBand="false" w:oddHBand="true" w:firstRow="false"/>
        </w:trPr>
        <w:tc>
          <w:tcPr>
            <w:cnfStyle w:evenVBand="false" w:oddVBand="true" w:firstColumn="false"/>
            <w:tcW w:w="33.333333%" w:type="pct"/>
          </w:tcPr>
          <w:p>
            <w:pPr>
              <w:ind w:leftChars="0" w:left="0" w:right="0"/>
            </w:pPr>
            <w:r>
              <w:t>FREI</w:t>
            </w:r>
          </w:p>
        </w:tc>
        <w:tc>
          <w:tcPr>
            <w:cnfStyle w:evenVBand="true" w:oddVBand="false" w:firstColumn="false"/>
            <w:tcW w:w="33.333333%" w:type="pct"/>
          </w:tcPr>
          <w:p>
            <w:pPr>
              <w:ind w:leftChars="0" w:left="0" w:right="0"/>
            </w:pPr>
            <w:r>
              <w:t>FREI</w:t>
            </w:r>
          </w:p>
        </w:tc>
        <w:tc>
          <w:tcPr>
            <w:cnfStyle w:evenVBand="false" w:oddVBand="true" w:firstColumn="false"/>
            <w:tcW w:w="33.333333%" w:type="pct"/>
          </w:tcPr>
          <w:p>
            <w:pPr>
              <w:ind w:leftChars="0" w:left="0" w:right="0"/>
            </w:pPr>
            <w:r>
              <w:t>NASDAQ COMMODITIES - FREIGHT COMMODITY</w:t>
            </w:r>
          </w:p>
        </w:tc>
      </w:tr>
      <w:tr>
        <w:trPr>
          <w:cnfStyle w:evenHBand="true" w:oddHBand="false" w:firstRow="false"/>
        </w:trPr>
        <w:tc>
          <w:tcPr>
            <w:cnfStyle w:evenVBand="false" w:oddVBand="true" w:firstColumn="false"/>
            <w:tcW w:w="33.333333%" w:type="pct"/>
          </w:tcPr>
          <w:p>
            <w:pPr>
              <w:ind w:leftChars="0" w:left="0" w:right="0"/>
            </w:pPr>
            <w:r>
              <w:t>FREX</w:t>
            </w:r>
          </w:p>
        </w:tc>
        <w:tc>
          <w:tcPr>
            <w:cnfStyle w:evenVBand="true" w:oddVBand="false" w:firstColumn="false"/>
            <w:tcW w:w="33.333333%" w:type="pct"/>
          </w:tcPr>
          <w:p>
            <w:pPr>
              <w:ind w:leftChars="0" w:left="0" w:right="0"/>
            </w:pPr>
            <w:r>
              <w:t>FREX</w:t>
            </w:r>
          </w:p>
        </w:tc>
        <w:tc>
          <w:tcPr>
            <w:cnfStyle w:evenVBand="false" w:oddVBand="true" w:firstColumn="false"/>
            <w:tcW w:w="33.333333%" w:type="pct"/>
          </w:tcPr>
          <w:p>
            <w:pPr>
              <w:ind w:leftChars="0" w:left="0" w:right="0"/>
            </w:pPr>
            <w:r>
              <w:t>COINBASE DERIVATIVES</w:t>
            </w:r>
          </w:p>
        </w:tc>
      </w:tr>
      <w:tr>
        <w:trPr>
          <w:cnfStyle w:evenHBand="false" w:oddHBand="true" w:firstRow="false"/>
        </w:trPr>
        <w:tc>
          <w:tcPr>
            <w:cnfStyle w:evenVBand="false" w:oddVBand="true" w:firstColumn="false"/>
            <w:tcW w:w="33.333333%" w:type="pct"/>
          </w:tcPr>
          <w:p>
            <w:pPr>
              <w:ind w:leftChars="0" w:left="0" w:right="0"/>
            </w:pPr>
            <w:r>
              <w:t>FRRF</w:t>
            </w:r>
          </w:p>
        </w:tc>
        <w:tc>
          <w:tcPr>
            <w:cnfStyle w:evenVBand="true" w:oddVBand="false" w:firstColumn="false"/>
            <w:tcW w:w="33.333333%" w:type="pct"/>
          </w:tcPr>
          <w:p>
            <w:pPr>
              <w:ind w:leftChars="0" w:left="0" w:right="0"/>
            </w:pPr>
            <w:r>
              <w:t>FRRF</w:t>
            </w:r>
          </w:p>
        </w:tc>
        <w:tc>
          <w:tcPr>
            <w:cnfStyle w:evenVBand="false" w:oddVBand="true" w:firstColumn="false"/>
            <w:tcW w:w="33.333333%" w:type="pct"/>
          </w:tcPr>
          <w:p>
            <w:pPr>
              <w:ind w:leftChars="0" w:left="0" w:right="0"/>
            </w:pPr>
            <w:r>
              <w:t>FONDS DES RENTES / RENTENFONDS</w:t>
            </w:r>
          </w:p>
        </w:tc>
      </w:tr>
      <w:tr>
        <w:trPr>
          <w:cnfStyle w:evenHBand="true" w:oddHBand="false" w:firstRow="false"/>
        </w:trPr>
        <w:tc>
          <w:tcPr>
            <w:cnfStyle w:evenVBand="false" w:oddVBand="true" w:firstColumn="false"/>
            <w:tcW w:w="33.333333%" w:type="pct"/>
          </w:tcPr>
          <w:p>
            <w:pPr>
              <w:ind w:leftChars="0" w:left="0" w:right="0"/>
            </w:pPr>
            <w:r>
              <w:t>FRTE</w:t>
            </w:r>
          </w:p>
        </w:tc>
        <w:tc>
          <w:tcPr>
            <w:cnfStyle w:evenVBand="true" w:oddVBand="false" w:firstColumn="false"/>
            <w:tcW w:w="33.333333%" w:type="pct"/>
          </w:tcPr>
          <w:p>
            <w:pPr>
              <w:ind w:leftChars="0" w:left="0" w:right="0"/>
            </w:pPr>
            <w:r>
              <w:t>FRTE</w:t>
            </w:r>
          </w:p>
        </w:tc>
        <w:tc>
          <w:tcPr>
            <w:cnfStyle w:evenVBand="false" w:oddVBand="true" w:firstColumn="false"/>
            <w:tcW w:w="33.333333%" w:type="pct"/>
          </w:tcPr>
          <w:p>
            <w:pPr>
              <w:ind w:leftChars="0" w:left="0" w:right="0"/>
            </w:pPr>
            <w:r>
              <w:t>FORTE  - OTF</w:t>
            </w:r>
          </w:p>
        </w:tc>
      </w:tr>
      <w:tr>
        <w:trPr>
          <w:cnfStyle w:evenHBand="false" w:oddHBand="true" w:firstRow="false"/>
        </w:trPr>
        <w:tc>
          <w:tcPr>
            <w:cnfStyle w:evenVBand="false" w:oddVBand="true" w:firstColumn="false"/>
            <w:tcW w:w="33.333333%" w:type="pct"/>
          </w:tcPr>
          <w:p>
            <w:pPr>
              <w:ind w:leftChars="0" w:left="0" w:right="0"/>
            </w:pPr>
            <w:r>
              <w:t>FSEF</w:t>
            </w:r>
          </w:p>
        </w:tc>
        <w:tc>
          <w:tcPr>
            <w:cnfStyle w:evenVBand="true" w:oddVBand="false" w:firstColumn="false"/>
            <w:tcW w:w="33.333333%" w:type="pct"/>
          </w:tcPr>
          <w:p>
            <w:pPr>
              <w:ind w:leftChars="0" w:left="0" w:right="0"/>
            </w:pPr>
            <w:r>
              <w:t>FSEF</w:t>
            </w:r>
          </w:p>
        </w:tc>
        <w:tc>
          <w:tcPr>
            <w:cnfStyle w:evenVBand="false" w:oddVBand="true" w:firstColumn="false"/>
            <w:tcW w:w="33.333333%" w:type="pct"/>
          </w:tcPr>
          <w:p>
            <w:pPr>
              <w:ind w:leftChars="0" w:left="0" w:right="0"/>
            </w:pPr>
            <w:r>
              <w:t>FTSEF LLC</w:t>
            </w:r>
          </w:p>
        </w:tc>
      </w:tr>
      <w:tr>
        <w:trPr>
          <w:cnfStyle w:evenHBand="true" w:oddHBand="false" w:firstRow="false"/>
        </w:trPr>
        <w:tc>
          <w:tcPr>
            <w:cnfStyle w:evenVBand="false" w:oddVBand="true" w:firstColumn="false"/>
            <w:tcW w:w="33.333333%" w:type="pct"/>
          </w:tcPr>
          <w:p>
            <w:pPr>
              <w:ind w:leftChars="0" w:left="0" w:right="0"/>
            </w:pPr>
            <w:r>
              <w:t>FSHX</w:t>
            </w:r>
          </w:p>
        </w:tc>
        <w:tc>
          <w:tcPr>
            <w:cnfStyle w:evenVBand="true" w:oddVBand="false" w:firstColumn="false"/>
            <w:tcW w:w="33.333333%" w:type="pct"/>
          </w:tcPr>
          <w:p>
            <w:pPr>
              <w:ind w:leftChars="0" w:left="0" w:right="0"/>
            </w:pPr>
            <w:r>
              <w:t>FSHX</w:t>
            </w:r>
          </w:p>
        </w:tc>
        <w:tc>
          <w:tcPr>
            <w:cnfStyle w:evenVBand="false" w:oddVBand="true" w:firstColumn="false"/>
            <w:tcW w:w="33.333333%" w:type="pct"/>
          </w:tcPr>
          <w:p>
            <w:pPr>
              <w:ind w:leftChars="0" w:left="0" w:right="0"/>
            </w:pPr>
            <w:r>
              <w:t>FISHEX</w:t>
            </w:r>
          </w:p>
        </w:tc>
      </w:tr>
      <w:tr>
        <w:trPr>
          <w:cnfStyle w:evenHBand="false" w:oddHBand="true" w:firstRow="false"/>
        </w:trPr>
        <w:tc>
          <w:tcPr>
            <w:cnfStyle w:evenVBand="false" w:oddVBand="true" w:firstColumn="false"/>
            <w:tcW w:w="33.333333%" w:type="pct"/>
          </w:tcPr>
          <w:p>
            <w:pPr>
              <w:ind w:leftChars="0" w:left="0" w:right="0"/>
            </w:pPr>
            <w:r>
              <w:t>FSME</w:t>
            </w:r>
          </w:p>
        </w:tc>
        <w:tc>
          <w:tcPr>
            <w:cnfStyle w:evenVBand="true" w:oddVBand="false" w:firstColumn="false"/>
            <w:tcW w:w="33.333333%" w:type="pct"/>
          </w:tcPr>
          <w:p>
            <w:pPr>
              <w:ind w:leftChars="0" w:left="0" w:right="0"/>
            </w:pPr>
            <w:r>
              <w:t>FSME</w:t>
            </w:r>
          </w:p>
        </w:tc>
        <w:tc>
          <w:tcPr>
            <w:cnfStyle w:evenVBand="false" w:oddVBand="true" w:firstColumn="false"/>
            <w:tcW w:w="33.333333%" w:type="pct"/>
          </w:tcPr>
          <w:p>
            <w:pPr>
              <w:ind w:leftChars="0" w:left="0" w:right="0"/>
            </w:pPr>
            <w:r>
              <w:t>FIRST NORTH FINLAND - SME GROWTH MARKET</w:t>
            </w:r>
          </w:p>
        </w:tc>
      </w:tr>
      <w:tr>
        <w:trPr>
          <w:cnfStyle w:evenHBand="true" w:oddHBand="false" w:firstRow="false"/>
        </w:trPr>
        <w:tc>
          <w:tcPr>
            <w:cnfStyle w:evenVBand="false" w:oddVBand="true" w:firstColumn="false"/>
            <w:tcW w:w="33.333333%" w:type="pct"/>
          </w:tcPr>
          <w:p>
            <w:pPr>
              <w:ind w:leftChars="0" w:left="0" w:right="0"/>
            </w:pPr>
            <w:r>
              <w:t>FTFM</w:t>
            </w:r>
          </w:p>
        </w:tc>
        <w:tc>
          <w:tcPr>
            <w:cnfStyle w:evenVBand="true" w:oddVBand="false" w:firstColumn="false"/>
            <w:tcW w:w="33.333333%" w:type="pct"/>
          </w:tcPr>
          <w:p>
            <w:pPr>
              <w:ind w:leftChars="0" w:left="0" w:right="0"/>
            </w:pPr>
            <w:r>
              <w:t>FTFM</w:t>
            </w:r>
          </w:p>
        </w:tc>
        <w:tc>
          <w:tcPr>
            <w:cnfStyle w:evenVBand="false" w:oddVBand="true" w:firstColumn="false"/>
            <w:tcW w:w="33.333333%" w:type="pct"/>
          </w:tcPr>
          <w:p>
            <w:pPr>
              <w:ind w:leftChars="0" w:left="0" w:right="0"/>
            </w:pPr>
            <w:r>
              <w:t>42 FINANCIAL SERVICES - MTF</w:t>
            </w:r>
          </w:p>
        </w:tc>
      </w:tr>
      <w:tr>
        <w:trPr>
          <w:cnfStyle w:evenHBand="false" w:oddHBand="true" w:firstRow="false"/>
        </w:trPr>
        <w:tc>
          <w:tcPr>
            <w:cnfStyle w:evenVBand="false" w:oddVBand="true" w:firstColumn="false"/>
            <w:tcW w:w="33.333333%" w:type="pct"/>
          </w:tcPr>
          <w:p>
            <w:pPr>
              <w:ind w:leftChars="0" w:left="0" w:right="0"/>
            </w:pPr>
            <w:r>
              <w:t>FTFS</w:t>
            </w:r>
          </w:p>
        </w:tc>
        <w:tc>
          <w:tcPr>
            <w:cnfStyle w:evenVBand="true" w:oddVBand="false" w:firstColumn="false"/>
            <w:tcW w:w="33.333333%" w:type="pct"/>
          </w:tcPr>
          <w:p>
            <w:pPr>
              <w:ind w:leftChars="0" w:left="0" w:right="0"/>
            </w:pPr>
            <w:r>
              <w:t>FTFS</w:t>
            </w:r>
          </w:p>
        </w:tc>
        <w:tc>
          <w:tcPr>
            <w:cnfStyle w:evenVBand="false" w:oddVBand="true" w:firstColumn="false"/>
            <w:tcW w:w="33.333333%" w:type="pct"/>
          </w:tcPr>
          <w:p>
            <w:pPr>
              <w:ind w:leftChars="0" w:left="0" w:right="0"/>
            </w:pPr>
            <w:r>
              <w:t>42 FINANCIAL SERVICES</w:t>
            </w:r>
          </w:p>
        </w:tc>
      </w:tr>
      <w:tr>
        <w:trPr>
          <w:cnfStyle w:evenHBand="true" w:oddHBand="false" w:firstRow="false"/>
        </w:trPr>
        <w:tc>
          <w:tcPr>
            <w:cnfStyle w:evenVBand="false" w:oddVBand="true" w:firstColumn="false"/>
            <w:tcW w:w="33.333333%" w:type="pct"/>
          </w:tcPr>
          <w:p>
            <w:pPr>
              <w:ind w:leftChars="0" w:left="0" w:right="0"/>
            </w:pPr>
            <w:r>
              <w:t>FTUS</w:t>
            </w:r>
          </w:p>
        </w:tc>
        <w:tc>
          <w:tcPr>
            <w:cnfStyle w:evenVBand="true" w:oddVBand="false" w:firstColumn="false"/>
            <w:tcW w:w="33.333333%" w:type="pct"/>
          </w:tcPr>
          <w:p>
            <w:pPr>
              <w:ind w:leftChars="0" w:left="0" w:right="0"/>
            </w:pPr>
            <w:r>
              <w:t>FTUS</w:t>
            </w:r>
          </w:p>
        </w:tc>
        <w:tc>
          <w:tcPr>
            <w:cnfStyle w:evenVBand="false" w:oddVBand="true" w:firstColumn="false"/>
            <w:tcW w:w="33.333333%" w:type="pct"/>
          </w:tcPr>
          <w:p>
            <w:pPr>
              <w:ind w:leftChars="0" w:left="0" w:right="0"/>
            </w:pPr>
            <w:r>
              <w:t>FLOW TRADERS U.S LLC</w:t>
            </w:r>
          </w:p>
        </w:tc>
      </w:tr>
      <w:tr>
        <w:trPr>
          <w:cnfStyle w:evenHBand="false" w:oddHBand="true" w:firstRow="false"/>
        </w:trPr>
        <w:tc>
          <w:tcPr>
            <w:cnfStyle w:evenVBand="false" w:oddVBand="true" w:firstColumn="false"/>
            <w:tcW w:w="33.333333%" w:type="pct"/>
          </w:tcPr>
          <w:p>
            <w:pPr>
              <w:ind w:leftChars="0" w:left="0" w:right="0"/>
            </w:pPr>
            <w:r>
              <w:t>FUSD</w:t>
            </w:r>
          </w:p>
        </w:tc>
        <w:tc>
          <w:tcPr>
            <w:cnfStyle w:evenVBand="true" w:oddVBand="false" w:firstColumn="false"/>
            <w:tcW w:w="33.333333%" w:type="pct"/>
          </w:tcPr>
          <w:p>
            <w:pPr>
              <w:ind w:leftChars="0" w:left="0" w:right="0"/>
            </w:pPr>
            <w:r>
              <w:t>FUSD</w:t>
            </w:r>
          </w:p>
        </w:tc>
        <w:tc>
          <w:tcPr>
            <w:cnfStyle w:evenVBand="false" w:oddVBand="true" w:firstColumn="false"/>
            <w:tcW w:w="33.333333%" w:type="pct"/>
          </w:tcPr>
          <w:p>
            <w:pPr>
              <w:ind w:leftChars="0" w:left="0" w:right="0"/>
            </w:pPr>
            <w:r>
              <w:t>FTX US DERIVATIVES</w:t>
            </w:r>
          </w:p>
        </w:tc>
      </w:tr>
      <w:tr>
        <w:trPr>
          <w:cnfStyle w:evenHBand="true" w:oddHBand="false" w:firstRow="false"/>
        </w:trPr>
        <w:tc>
          <w:tcPr>
            <w:cnfStyle w:evenVBand="false" w:oddVBand="true" w:firstColumn="false"/>
            <w:tcW w:w="33.333333%" w:type="pct"/>
          </w:tcPr>
          <w:p>
            <w:pPr>
              <w:ind w:leftChars="0" w:left="0" w:right="0"/>
            </w:pPr>
            <w:r>
              <w:t>FXAL</w:t>
            </w:r>
          </w:p>
        </w:tc>
        <w:tc>
          <w:tcPr>
            <w:cnfStyle w:evenVBand="true" w:oddVBand="false" w:firstColumn="false"/>
            <w:tcW w:w="33.333333%" w:type="pct"/>
          </w:tcPr>
          <w:p>
            <w:pPr>
              <w:ind w:leftChars="0" w:left="0" w:right="0"/>
            </w:pPr>
            <w:r>
              <w:t>FXAL</w:t>
            </w:r>
          </w:p>
        </w:tc>
        <w:tc>
          <w:tcPr>
            <w:cnfStyle w:evenVBand="false" w:oddVBand="true" w:firstColumn="false"/>
            <w:tcW w:w="33.333333%" w:type="pct"/>
          </w:tcPr>
          <w:p>
            <w:pPr>
              <w:ind w:leftChars="0" w:left="0" w:right="0"/>
            </w:pPr>
            <w:r>
              <w:t>FXALL</w:t>
            </w:r>
          </w:p>
        </w:tc>
      </w:tr>
      <w:tr>
        <w:trPr>
          <w:cnfStyle w:evenHBand="false" w:oddHBand="true" w:firstRow="false"/>
        </w:trPr>
        <w:tc>
          <w:tcPr>
            <w:cnfStyle w:evenVBand="false" w:oddVBand="true" w:firstColumn="false"/>
            <w:tcW w:w="33.333333%" w:type="pct"/>
          </w:tcPr>
          <w:p>
            <w:pPr>
              <w:ind w:leftChars="0" w:left="0" w:right="0"/>
            </w:pPr>
            <w:r>
              <w:t>FXCL</w:t>
            </w:r>
          </w:p>
        </w:tc>
        <w:tc>
          <w:tcPr>
            <w:cnfStyle w:evenVBand="true" w:oddVBand="false" w:firstColumn="false"/>
            <w:tcW w:w="33.333333%" w:type="pct"/>
          </w:tcPr>
          <w:p>
            <w:pPr>
              <w:ind w:leftChars="0" w:left="0" w:right="0"/>
            </w:pPr>
            <w:r>
              <w:t>FXCL</w:t>
            </w:r>
          </w:p>
        </w:tc>
        <w:tc>
          <w:tcPr>
            <w:cnfStyle w:evenVBand="false" w:oddVBand="true" w:firstColumn="false"/>
            <w:tcW w:w="33.333333%" w:type="pct"/>
          </w:tcPr>
          <w:p>
            <w:pPr>
              <w:ind w:leftChars="0" w:left="0" w:right="0"/>
            </w:pPr>
            <w:r>
              <w:t>CLEARCORP DEALING SYSTEMS INDIA LIMITED - FX-CLEAR</w:t>
            </w:r>
          </w:p>
        </w:tc>
      </w:tr>
      <w:tr>
        <w:trPr>
          <w:cnfStyle w:evenHBand="true" w:oddHBand="false" w:firstRow="false"/>
        </w:trPr>
        <w:tc>
          <w:tcPr>
            <w:cnfStyle w:evenVBand="false" w:oddVBand="true" w:firstColumn="false"/>
            <w:tcW w:w="33.333333%" w:type="pct"/>
          </w:tcPr>
          <w:p>
            <w:pPr>
              <w:ind w:leftChars="0" w:left="0" w:right="0"/>
            </w:pPr>
            <w:r>
              <w:t>FXCM</w:t>
            </w:r>
          </w:p>
        </w:tc>
        <w:tc>
          <w:tcPr>
            <w:cnfStyle w:evenVBand="true" w:oddVBand="false" w:firstColumn="false"/>
            <w:tcW w:w="33.333333%" w:type="pct"/>
          </w:tcPr>
          <w:p>
            <w:pPr>
              <w:ind w:leftChars="0" w:left="0" w:right="0"/>
            </w:pPr>
            <w:r>
              <w:t>FXCM</w:t>
            </w:r>
          </w:p>
        </w:tc>
        <w:tc>
          <w:tcPr>
            <w:cnfStyle w:evenVBand="false" w:oddVBand="true" w:firstColumn="false"/>
            <w:tcW w:w="33.333333%" w:type="pct"/>
          </w:tcPr>
          <w:p>
            <w:pPr>
              <w:ind w:leftChars="0" w:left="0" w:right="0"/>
            </w:pPr>
            <w:r>
              <w:t>FXCM</w:t>
            </w:r>
          </w:p>
        </w:tc>
      </w:tr>
      <w:tr>
        <w:trPr>
          <w:cnfStyle w:evenHBand="false" w:oddHBand="true" w:firstRow="false"/>
        </w:trPr>
        <w:tc>
          <w:tcPr>
            <w:cnfStyle w:evenVBand="false" w:oddVBand="true" w:firstColumn="false"/>
            <w:tcW w:w="33.333333%" w:type="pct"/>
          </w:tcPr>
          <w:p>
            <w:pPr>
              <w:ind w:leftChars="0" w:left="0" w:right="0"/>
            </w:pPr>
            <w:r>
              <w:t>FXFM</w:t>
            </w:r>
          </w:p>
        </w:tc>
        <w:tc>
          <w:tcPr>
            <w:cnfStyle w:evenVBand="true" w:oddVBand="false" w:firstColumn="false"/>
            <w:tcW w:w="33.333333%" w:type="pct"/>
          </w:tcPr>
          <w:p>
            <w:pPr>
              <w:ind w:leftChars="0" w:left="0" w:right="0"/>
            </w:pPr>
            <w:r>
              <w:t>FXFM</w:t>
            </w:r>
          </w:p>
        </w:tc>
        <w:tc>
          <w:tcPr>
            <w:cnfStyle w:evenVBand="false" w:oddVBand="true" w:firstColumn="false"/>
            <w:tcW w:w="33.333333%" w:type="pct"/>
          </w:tcPr>
          <w:p>
            <w:pPr>
              <w:ind w:leftChars="0" w:left="0" w:right="0"/>
            </w:pPr>
            <w:r>
              <w:t>FINANCIAL AND RISK TRANSACTIONS SERVICES IRELAND LIMITED - FORWARDS MATCHING</w:t>
            </w:r>
          </w:p>
        </w:tc>
      </w:tr>
      <w:tr>
        <w:trPr>
          <w:cnfStyle w:evenHBand="true" w:oddHBand="false" w:firstRow="false"/>
        </w:trPr>
        <w:tc>
          <w:tcPr>
            <w:cnfStyle w:evenVBand="false" w:oddVBand="true" w:firstColumn="false"/>
            <w:tcW w:w="33.333333%" w:type="pct"/>
          </w:tcPr>
          <w:p>
            <w:pPr>
              <w:ind w:leftChars="0" w:left="0" w:right="0"/>
            </w:pPr>
            <w:r>
              <w:t>FXGB</w:t>
            </w:r>
          </w:p>
        </w:tc>
        <w:tc>
          <w:tcPr>
            <w:cnfStyle w:evenVBand="true" w:oddVBand="false" w:firstColumn="false"/>
            <w:tcW w:w="33.333333%" w:type="pct"/>
          </w:tcPr>
          <w:p>
            <w:pPr>
              <w:ind w:leftChars="0" w:left="0" w:right="0"/>
            </w:pPr>
            <w:r>
              <w:t>FXGB</w:t>
            </w:r>
          </w:p>
        </w:tc>
        <w:tc>
          <w:tcPr>
            <w:cnfStyle w:evenVBand="false" w:oddVBand="true" w:firstColumn="false"/>
            <w:tcW w:w="33.333333%" w:type="pct"/>
          </w:tcPr>
          <w:p>
            <w:pPr>
              <w:ind w:leftChars="0" w:left="0" w:right="0"/>
            </w:pPr>
            <w:r>
              <w:t>FXCM - MTF</w:t>
            </w:r>
          </w:p>
        </w:tc>
      </w:tr>
      <w:tr>
        <w:trPr>
          <w:cnfStyle w:evenHBand="false" w:oddHBand="true" w:firstRow="false"/>
        </w:trPr>
        <w:tc>
          <w:tcPr>
            <w:cnfStyle w:evenVBand="false" w:oddVBand="true" w:firstColumn="false"/>
            <w:tcW w:w="33.333333%" w:type="pct"/>
          </w:tcPr>
          <w:p>
            <w:pPr>
              <w:ind w:leftChars="0" w:left="0" w:right="0"/>
            </w:pPr>
            <w:r>
              <w:t>FXMT</w:t>
            </w:r>
          </w:p>
        </w:tc>
        <w:tc>
          <w:tcPr>
            <w:cnfStyle w:evenVBand="true" w:oddVBand="false" w:firstColumn="false"/>
            <w:tcW w:w="33.333333%" w:type="pct"/>
          </w:tcPr>
          <w:p>
            <w:pPr>
              <w:ind w:leftChars="0" w:left="0" w:right="0"/>
            </w:pPr>
            <w:r>
              <w:t>FXMT</w:t>
            </w:r>
          </w:p>
        </w:tc>
        <w:tc>
          <w:tcPr>
            <w:cnfStyle w:evenVBand="false" w:oddVBand="true" w:firstColumn="false"/>
            <w:tcW w:w="33.333333%" w:type="pct"/>
          </w:tcPr>
          <w:p>
            <w:pPr>
              <w:ind w:leftChars="0" w:left="0" w:right="0"/>
            </w:pPr>
            <w:r>
              <w:t>FXMARKETSPACE LIMITED</w:t>
            </w:r>
          </w:p>
        </w:tc>
      </w:tr>
      <w:tr>
        <w:trPr>
          <w:cnfStyle w:evenHBand="true" w:oddHBand="false" w:firstRow="false"/>
        </w:trPr>
        <w:tc>
          <w:tcPr>
            <w:cnfStyle w:evenVBand="false" w:oddVBand="true" w:firstColumn="false"/>
            <w:tcW w:w="33.333333%" w:type="pct"/>
          </w:tcPr>
          <w:p>
            <w:pPr>
              <w:ind w:leftChars="0" w:left="0" w:right="0"/>
            </w:pPr>
            <w:r>
              <w:t>FXNM</w:t>
            </w:r>
          </w:p>
        </w:tc>
        <w:tc>
          <w:tcPr>
            <w:cnfStyle w:evenVBand="true" w:oddVBand="false" w:firstColumn="false"/>
            <w:tcW w:w="33.333333%" w:type="pct"/>
          </w:tcPr>
          <w:p>
            <w:pPr>
              <w:ind w:leftChars="0" w:left="0" w:right="0"/>
            </w:pPr>
            <w:r>
              <w:t>FXNM</w:t>
            </w:r>
          </w:p>
        </w:tc>
        <w:tc>
          <w:tcPr>
            <w:cnfStyle w:evenVBand="false" w:oddVBand="true" w:firstColumn="false"/>
            <w:tcW w:w="33.333333%" w:type="pct"/>
          </w:tcPr>
          <w:p>
            <w:pPr>
              <w:ind w:leftChars="0" w:left="0" w:right="0"/>
            </w:pPr>
            <w:r>
              <w:t>REFINITIV MATCHING NDFS SEF</w:t>
            </w:r>
          </w:p>
        </w:tc>
      </w:tr>
      <w:tr>
        <w:trPr>
          <w:cnfStyle w:evenHBand="false" w:oddHBand="true" w:firstRow="false"/>
        </w:trPr>
        <w:tc>
          <w:tcPr>
            <w:cnfStyle w:evenVBand="false" w:oddVBand="true" w:firstColumn="false"/>
            <w:tcW w:w="33.333333%" w:type="pct"/>
          </w:tcPr>
          <w:p>
            <w:pPr>
              <w:ind w:leftChars="0" w:left="0" w:right="0"/>
            </w:pPr>
            <w:r>
              <w:t>FXOP</w:t>
            </w:r>
          </w:p>
        </w:tc>
        <w:tc>
          <w:tcPr>
            <w:cnfStyle w:evenVBand="true" w:oddVBand="false" w:firstColumn="false"/>
            <w:tcW w:w="33.333333%" w:type="pct"/>
          </w:tcPr>
          <w:p>
            <w:pPr>
              <w:ind w:leftChars="0" w:left="0" w:right="0"/>
            </w:pPr>
            <w:r>
              <w:t>FXOP</w:t>
            </w:r>
          </w:p>
        </w:tc>
        <w:tc>
          <w:tcPr>
            <w:cnfStyle w:evenVBand="false" w:oddVBand="true" w:firstColumn="false"/>
            <w:tcW w:w="33.333333%" w:type="pct"/>
          </w:tcPr>
          <w:p>
            <w:pPr>
              <w:ind w:leftChars="0" w:left="0" w:right="0"/>
            </w:pPr>
            <w:r>
              <w:t>TRADITION-NEX OTF</w:t>
            </w:r>
          </w:p>
        </w:tc>
      </w:tr>
      <w:tr>
        <w:trPr>
          <w:cnfStyle w:evenHBand="true" w:oddHBand="false" w:firstRow="false"/>
        </w:trPr>
        <w:tc>
          <w:tcPr>
            <w:cnfStyle w:evenVBand="false" w:oddVBand="true" w:firstColumn="false"/>
            <w:tcW w:w="33.333333%" w:type="pct"/>
          </w:tcPr>
          <w:p>
            <w:pPr>
              <w:ind w:leftChars="0" w:left="0" w:right="0"/>
            </w:pPr>
            <w:r>
              <w:t>FXPS</w:t>
            </w:r>
          </w:p>
        </w:tc>
        <w:tc>
          <w:tcPr>
            <w:cnfStyle w:evenVBand="true" w:oddVBand="false" w:firstColumn="false"/>
            <w:tcW w:w="33.333333%" w:type="pct"/>
          </w:tcPr>
          <w:p>
            <w:pPr>
              <w:ind w:leftChars="0" w:left="0" w:right="0"/>
            </w:pPr>
            <w:r>
              <w:t>FXPS</w:t>
            </w:r>
          </w:p>
        </w:tc>
        <w:tc>
          <w:tcPr>
            <w:cnfStyle w:evenVBand="false" w:oddVBand="true" w:firstColumn="false"/>
            <w:tcW w:w="33.333333%" w:type="pct"/>
          </w:tcPr>
          <w:p>
            <w:pPr>
              <w:ind w:leftChars="0" w:left="0" w:right="0"/>
            </w:pPr>
            <w:r>
              <w:t>REFINITIV SEF REQUEST FOR STREAM</w:t>
            </w:r>
          </w:p>
        </w:tc>
      </w:tr>
      <w:tr>
        <w:trPr>
          <w:cnfStyle w:evenHBand="false" w:oddHBand="true" w:firstRow="false"/>
        </w:trPr>
        <w:tc>
          <w:tcPr>
            <w:cnfStyle w:evenVBand="false" w:oddVBand="true" w:firstColumn="false"/>
            <w:tcW w:w="33.333333%" w:type="pct"/>
          </w:tcPr>
          <w:p>
            <w:pPr>
              <w:ind w:leftChars="0" w:left="0" w:right="0"/>
            </w:pPr>
            <w:r>
              <w:t>FXRQ</w:t>
            </w:r>
          </w:p>
        </w:tc>
        <w:tc>
          <w:tcPr>
            <w:cnfStyle w:evenVBand="true" w:oddVBand="false" w:firstColumn="false"/>
            <w:tcW w:w="33.333333%" w:type="pct"/>
          </w:tcPr>
          <w:p>
            <w:pPr>
              <w:ind w:leftChars="0" w:left="0" w:right="0"/>
            </w:pPr>
            <w:r>
              <w:t>FXRQ</w:t>
            </w:r>
          </w:p>
        </w:tc>
        <w:tc>
          <w:tcPr>
            <w:cnfStyle w:evenVBand="false" w:oddVBand="true" w:firstColumn="false"/>
            <w:tcW w:w="33.333333%" w:type="pct"/>
          </w:tcPr>
          <w:p>
            <w:pPr>
              <w:ind w:leftChars="0" w:left="0" w:right="0"/>
            </w:pPr>
            <w:r>
              <w:t>FINANCIAL AND RISK TRANSACTIONS SERVICES IRELAND LIMITED - FXALL RFQ MTF</w:t>
            </w:r>
          </w:p>
        </w:tc>
      </w:tr>
      <w:tr>
        <w:trPr>
          <w:cnfStyle w:evenHBand="true" w:oddHBand="false" w:firstRow="false"/>
        </w:trPr>
        <w:tc>
          <w:tcPr>
            <w:cnfStyle w:evenVBand="false" w:oddVBand="true" w:firstColumn="false"/>
            <w:tcW w:w="33.333333%" w:type="pct"/>
          </w:tcPr>
          <w:p>
            <w:pPr>
              <w:ind w:leftChars="0" w:left="0" w:right="0"/>
            </w:pPr>
            <w:r>
              <w:t>FXRS</w:t>
            </w:r>
          </w:p>
        </w:tc>
        <w:tc>
          <w:tcPr>
            <w:cnfStyle w:evenVBand="true" w:oddVBand="false" w:firstColumn="false"/>
            <w:tcW w:w="33.333333%" w:type="pct"/>
          </w:tcPr>
          <w:p>
            <w:pPr>
              <w:ind w:leftChars="0" w:left="0" w:right="0"/>
            </w:pPr>
            <w:r>
              <w:t>FXRS</w:t>
            </w:r>
          </w:p>
        </w:tc>
        <w:tc>
          <w:tcPr>
            <w:cnfStyle w:evenVBand="false" w:oddVBand="true" w:firstColumn="false"/>
            <w:tcW w:w="33.333333%" w:type="pct"/>
          </w:tcPr>
          <w:p>
            <w:pPr>
              <w:ind w:leftChars="0" w:left="0" w:right="0"/>
            </w:pPr>
            <w:r>
              <w:t>FINANCIAL AND RISK TRANSACTIONS SERVICES IRELAND LIMITED - FXALL RFS MTF</w:t>
            </w:r>
          </w:p>
        </w:tc>
      </w:tr>
      <w:tr>
        <w:trPr>
          <w:cnfStyle w:evenHBand="false" w:oddHBand="true" w:firstRow="false"/>
        </w:trPr>
        <w:tc>
          <w:tcPr>
            <w:cnfStyle w:evenVBand="false" w:oddVBand="true" w:firstColumn="false"/>
            <w:tcW w:w="33.333333%" w:type="pct"/>
          </w:tcPr>
          <w:p>
            <w:pPr>
              <w:ind w:leftChars="0" w:left="0" w:right="0"/>
            </w:pPr>
            <w:r>
              <w:t>FXSM</w:t>
            </w:r>
          </w:p>
        </w:tc>
        <w:tc>
          <w:tcPr>
            <w:cnfStyle w:evenVBand="true" w:oddVBand="false" w:firstColumn="false"/>
            <w:tcW w:w="33.333333%" w:type="pct"/>
          </w:tcPr>
          <w:p>
            <w:pPr>
              <w:ind w:leftChars="0" w:left="0" w:right="0"/>
            </w:pPr>
            <w:r>
              <w:t>FXSM</w:t>
            </w:r>
          </w:p>
        </w:tc>
        <w:tc>
          <w:tcPr>
            <w:cnfStyle w:evenVBand="false" w:oddVBand="true" w:firstColumn="false"/>
            <w:tcW w:w="33.333333%" w:type="pct"/>
          </w:tcPr>
          <w:p>
            <w:pPr>
              <w:ind w:leftChars="0" w:left="0" w:right="0"/>
            </w:pPr>
            <w:r>
              <w:t>REFINITIV MATCHING NDFS SINGAPORE</w:t>
            </w:r>
          </w:p>
        </w:tc>
      </w:tr>
      <w:tr>
        <w:trPr>
          <w:cnfStyle w:evenHBand="true" w:oddHBand="false" w:firstRow="false"/>
        </w:trPr>
        <w:tc>
          <w:tcPr>
            <w:cnfStyle w:evenVBand="false" w:oddVBand="true" w:firstColumn="false"/>
            <w:tcW w:w="33.333333%" w:type="pct"/>
          </w:tcPr>
          <w:p>
            <w:pPr>
              <w:ind w:leftChars="0" w:left="0" w:right="0"/>
            </w:pPr>
            <w:r>
              <w:t>FXSW</w:t>
            </w:r>
          </w:p>
        </w:tc>
        <w:tc>
          <w:tcPr>
            <w:cnfStyle w:evenVBand="true" w:oddVBand="false" w:firstColumn="false"/>
            <w:tcW w:w="33.333333%" w:type="pct"/>
          </w:tcPr>
          <w:p>
            <w:pPr>
              <w:ind w:leftChars="0" w:left="0" w:right="0"/>
            </w:pPr>
            <w:r>
              <w:t>FXSW</w:t>
            </w:r>
          </w:p>
        </w:tc>
        <w:tc>
          <w:tcPr>
            <w:cnfStyle w:evenVBand="false" w:oddVBand="true" w:firstColumn="false"/>
            <w:tcW w:w="33.333333%" w:type="pct"/>
          </w:tcPr>
          <w:p>
            <w:pPr>
              <w:ind w:leftChars="0" w:left="0" w:right="0"/>
            </w:pPr>
            <w:r>
              <w:t>CLEARCORP DEALING SYSTEMS INDIA LIMITED - FX-SWAP</w:t>
            </w:r>
          </w:p>
        </w:tc>
      </w:tr>
      <w:tr>
        <w:trPr>
          <w:cnfStyle w:evenHBand="false" w:oddHBand="true" w:firstRow="false"/>
        </w:trPr>
        <w:tc>
          <w:tcPr>
            <w:cnfStyle w:evenVBand="false" w:oddVBand="true" w:firstColumn="false"/>
            <w:tcW w:w="33.333333%" w:type="pct"/>
          </w:tcPr>
          <w:p>
            <w:pPr>
              <w:ind w:leftChars="0" w:left="0" w:right="0"/>
            </w:pPr>
            <w:r>
              <w:t>G1XX</w:t>
            </w:r>
          </w:p>
        </w:tc>
        <w:tc>
          <w:tcPr>
            <w:cnfStyle w:evenVBand="true" w:oddVBand="false" w:firstColumn="false"/>
            <w:tcW w:w="33.333333%" w:type="pct"/>
          </w:tcPr>
          <w:p>
            <w:pPr>
              <w:ind w:leftChars="0" w:left="0" w:right="0"/>
            </w:pPr>
            <w:r>
              <w:t>G1XX</w:t>
            </w:r>
          </w:p>
        </w:tc>
        <w:tc>
          <w:tcPr>
            <w:cnfStyle w:evenVBand="false" w:oddVBand="true" w:firstColumn="false"/>
            <w:tcW w:w="33.333333%" w:type="pct"/>
          </w:tcPr>
          <w:p>
            <w:pPr>
              <w:ind w:leftChars="0" w:left="0" w:right="0"/>
            </w:pPr>
            <w:r>
              <w:t>G1 EXECUTION SERVICES</w:t>
            </w:r>
          </w:p>
        </w:tc>
      </w:tr>
      <w:tr>
        <w:trPr>
          <w:cnfStyle w:evenHBand="true" w:oddHBand="false" w:firstRow="false"/>
        </w:trPr>
        <w:tc>
          <w:tcPr>
            <w:cnfStyle w:evenVBand="false" w:oddVBand="true" w:firstColumn="false"/>
            <w:tcW w:w="33.333333%" w:type="pct"/>
          </w:tcPr>
          <w:p>
            <w:pPr>
              <w:ind w:leftChars="0" w:left="0" w:right="0"/>
            </w:pPr>
            <w:r>
              <w:t>GBOB</w:t>
            </w:r>
          </w:p>
        </w:tc>
        <w:tc>
          <w:tcPr>
            <w:cnfStyle w:evenVBand="true" w:oddVBand="false" w:firstColumn="false"/>
            <w:tcW w:w="33.333333%" w:type="pct"/>
          </w:tcPr>
          <w:p>
            <w:pPr>
              <w:ind w:leftChars="0" w:left="0" w:right="0"/>
            </w:pPr>
            <w:r>
              <w:t>GBOB</w:t>
            </w:r>
          </w:p>
        </w:tc>
        <w:tc>
          <w:tcPr>
            <w:cnfStyle w:evenVBand="false" w:oddVBand="true" w:firstColumn="false"/>
            <w:tcW w:w="33.333333%" w:type="pct"/>
          </w:tcPr>
          <w:p>
            <w:pPr>
              <w:ind w:leftChars="0" w:left="0" w:right="0"/>
            </w:pPr>
            <w:r>
              <w:t>NASDAQ STOCKHOLM AB - OTC GBP WB EQ DERIVATIVES</w:t>
            </w:r>
          </w:p>
        </w:tc>
      </w:tr>
      <w:tr>
        <w:trPr>
          <w:cnfStyle w:evenHBand="false" w:oddHBand="true" w:firstRow="false"/>
        </w:trPr>
        <w:tc>
          <w:tcPr>
            <w:cnfStyle w:evenVBand="false" w:oddVBand="true" w:firstColumn="false"/>
            <w:tcW w:w="33.333333%" w:type="pct"/>
          </w:tcPr>
          <w:p>
            <w:pPr>
              <w:ind w:leftChars="0" w:left="0" w:right="0"/>
            </w:pPr>
            <w:r>
              <w:t>GBOT</w:t>
            </w:r>
          </w:p>
        </w:tc>
        <w:tc>
          <w:tcPr>
            <w:cnfStyle w:evenVBand="true" w:oddVBand="false" w:firstColumn="false"/>
            <w:tcW w:w="33.333333%" w:type="pct"/>
          </w:tcPr>
          <w:p>
            <w:pPr>
              <w:ind w:leftChars="0" w:left="0" w:right="0"/>
            </w:pPr>
            <w:r>
              <w:t>GBOT</w:t>
            </w:r>
          </w:p>
        </w:tc>
        <w:tc>
          <w:tcPr>
            <w:cnfStyle w:evenVBand="false" w:oddVBand="true" w:firstColumn="false"/>
            <w:tcW w:w="33.333333%" w:type="pct"/>
          </w:tcPr>
          <w:p>
            <w:pPr>
              <w:ind w:leftChars="0" w:left="0" w:right="0"/>
            </w:pPr>
            <w:r>
              <w:t>BOURSE AFRICA LIMITED</w:t>
            </w:r>
          </w:p>
        </w:tc>
      </w:tr>
      <w:tr>
        <w:trPr>
          <w:cnfStyle w:evenHBand="true" w:oddHBand="false" w:firstRow="false"/>
        </w:trPr>
        <w:tc>
          <w:tcPr>
            <w:cnfStyle w:evenVBand="false" w:oddVBand="true" w:firstColumn="false"/>
            <w:tcW w:w="33.333333%" w:type="pct"/>
          </w:tcPr>
          <w:p>
            <w:pPr>
              <w:ind w:leftChars="0" w:left="0" w:right="0"/>
            </w:pPr>
            <w:r>
              <w:t>GBSI</w:t>
            </w:r>
          </w:p>
        </w:tc>
        <w:tc>
          <w:tcPr>
            <w:cnfStyle w:evenVBand="true" w:oddVBand="false" w:firstColumn="false"/>
            <w:tcW w:w="33.333333%" w:type="pct"/>
          </w:tcPr>
          <w:p>
            <w:pPr>
              <w:ind w:leftChars="0" w:left="0" w:right="0"/>
            </w:pPr>
            <w:r>
              <w:t>GBSI</w:t>
            </w:r>
          </w:p>
        </w:tc>
        <w:tc>
          <w:tcPr>
            <w:cnfStyle w:evenVBand="false" w:oddVBand="true" w:firstColumn="false"/>
            <w:tcW w:w="33.333333%" w:type="pct"/>
          </w:tcPr>
          <w:p>
            <w:pPr>
              <w:ind w:leftChars="0" w:left="0" w:right="0"/>
            </w:pPr>
            <w:r>
              <w:t>GOODBODY STOCKBROKERS UC</w:t>
            </w:r>
          </w:p>
        </w:tc>
      </w:tr>
      <w:tr>
        <w:trPr>
          <w:cnfStyle w:evenHBand="false" w:oddHBand="true" w:firstRow="false"/>
        </w:trPr>
        <w:tc>
          <w:tcPr>
            <w:cnfStyle w:evenVBand="false" w:oddVBand="true" w:firstColumn="false"/>
            <w:tcW w:w="33.333333%" w:type="pct"/>
          </w:tcPr>
          <w:p>
            <w:pPr>
              <w:ind w:leftChars="0" w:left="0" w:right="0"/>
            </w:pPr>
            <w:r>
              <w:t>GBUL</w:t>
            </w:r>
          </w:p>
        </w:tc>
        <w:tc>
          <w:tcPr>
            <w:cnfStyle w:evenVBand="true" w:oddVBand="false" w:firstColumn="false"/>
            <w:tcW w:w="33.333333%" w:type="pct"/>
          </w:tcPr>
          <w:p>
            <w:pPr>
              <w:ind w:leftChars="0" w:left="0" w:right="0"/>
            </w:pPr>
            <w:r>
              <w:t>GBUL</w:t>
            </w:r>
          </w:p>
        </w:tc>
        <w:tc>
          <w:tcPr>
            <w:cnfStyle w:evenVBand="false" w:oddVBand="true" w:firstColumn="false"/>
            <w:tcW w:w="33.333333%" w:type="pct"/>
          </w:tcPr>
          <w:p>
            <w:pPr>
              <w:ind w:leftChars="0" w:left="0" w:right="0"/>
            </w:pPr>
            <w:r>
              <w:t>BULGARIAN STOCK EXCHANGE - SME GROWTH MARKET BEAM</w:t>
            </w:r>
          </w:p>
        </w:tc>
      </w:tr>
      <w:tr>
        <w:trPr>
          <w:cnfStyle w:evenHBand="true" w:oddHBand="false" w:firstRow="false"/>
        </w:trPr>
        <w:tc>
          <w:tcPr>
            <w:cnfStyle w:evenVBand="false" w:oddVBand="true" w:firstColumn="false"/>
            <w:tcW w:w="33.333333%" w:type="pct"/>
          </w:tcPr>
          <w:p>
            <w:pPr>
              <w:ind w:leftChars="0" w:left="0" w:right="0"/>
            </w:pPr>
            <w:r>
              <w:t>GBWB</w:t>
            </w:r>
          </w:p>
        </w:tc>
        <w:tc>
          <w:tcPr>
            <w:cnfStyle w:evenVBand="true" w:oddVBand="false" w:firstColumn="false"/>
            <w:tcW w:w="33.333333%" w:type="pct"/>
          </w:tcPr>
          <w:p>
            <w:pPr>
              <w:ind w:leftChars="0" w:left="0" w:right="0"/>
            </w:pPr>
            <w:r>
              <w:t>GBWB</w:t>
            </w:r>
          </w:p>
        </w:tc>
        <w:tc>
          <w:tcPr>
            <w:cnfStyle w:evenVBand="false" w:oddVBand="true" w:firstColumn="false"/>
            <w:tcW w:w="33.333333%" w:type="pct"/>
          </w:tcPr>
          <w:p>
            <w:pPr>
              <w:ind w:leftChars="0" w:left="0" w:right="0"/>
            </w:pPr>
            <w:r>
              <w:t>NASDAQ STOCKHOLM AB - GBP WB EQ DERIVATIVES</w:t>
            </w:r>
          </w:p>
        </w:tc>
      </w:tr>
      <w:tr>
        <w:trPr>
          <w:cnfStyle w:evenHBand="false" w:oddHBand="true" w:firstRow="false"/>
        </w:trPr>
        <w:tc>
          <w:tcPr>
            <w:cnfStyle w:evenVBand="false" w:oddVBand="true" w:firstColumn="false"/>
            <w:tcW w:w="33.333333%" w:type="pct"/>
          </w:tcPr>
          <w:p>
            <w:pPr>
              <w:ind w:leftChars="0" w:left="0" w:right="0"/>
            </w:pPr>
            <w:r>
              <w:t>GEMX</w:t>
            </w:r>
          </w:p>
        </w:tc>
        <w:tc>
          <w:tcPr>
            <w:cnfStyle w:evenVBand="true" w:oddVBand="false" w:firstColumn="false"/>
            <w:tcW w:w="33.333333%" w:type="pct"/>
          </w:tcPr>
          <w:p>
            <w:pPr>
              <w:ind w:leftChars="0" w:left="0" w:right="0"/>
            </w:pPr>
            <w:r>
              <w:t>GEMX</w:t>
            </w:r>
          </w:p>
        </w:tc>
        <w:tc>
          <w:tcPr>
            <w:cnfStyle w:evenVBand="false" w:oddVBand="true" w:firstColumn="false"/>
            <w:tcW w:w="33.333333%" w:type="pct"/>
          </w:tcPr>
          <w:p>
            <w:pPr>
              <w:ind w:leftChars="0" w:left="0" w:right="0"/>
            </w:pPr>
            <w:r>
              <w:t>GEMMA (GILT EDGED MARKET MAKERS’ASSOCIATION)</w:t>
            </w:r>
          </w:p>
        </w:tc>
      </w:tr>
      <w:tr>
        <w:trPr>
          <w:cnfStyle w:evenHBand="true" w:oddHBand="false" w:firstRow="false"/>
        </w:trPr>
        <w:tc>
          <w:tcPr>
            <w:cnfStyle w:evenVBand="false" w:oddVBand="true" w:firstColumn="false"/>
            <w:tcW w:w="33.333333%" w:type="pct"/>
          </w:tcPr>
          <w:p>
            <w:pPr>
              <w:ind w:leftChars="0" w:left="0" w:right="0"/>
            </w:pPr>
            <w:r>
              <w:t>GETB</w:t>
            </w:r>
          </w:p>
        </w:tc>
        <w:tc>
          <w:tcPr>
            <w:cnfStyle w:evenVBand="true" w:oddVBand="false" w:firstColumn="false"/>
            <w:tcW w:w="33.333333%" w:type="pct"/>
          </w:tcPr>
          <w:p>
            <w:pPr>
              <w:ind w:leftChars="0" w:left="0" w:right="0"/>
            </w:pPr>
            <w:r>
              <w:t>GETB</w:t>
            </w:r>
          </w:p>
        </w:tc>
        <w:tc>
          <w:tcPr>
            <w:cnfStyle w:evenVBand="false" w:oddVBand="true" w:firstColumn="false"/>
            <w:tcW w:w="33.333333%" w:type="pct"/>
          </w:tcPr>
          <w:p>
            <w:pPr>
              <w:ind w:leftChars="0" w:left="0" w:right="0"/>
            </w:pPr>
            <w:r>
              <w:t>LITHUANIAN NATURAL GAS EXCHANGE</w:t>
            </w:r>
          </w:p>
        </w:tc>
      </w:tr>
      <w:tr>
        <w:trPr>
          <w:cnfStyle w:evenHBand="false" w:oddHBand="true" w:firstRow="false"/>
        </w:trPr>
        <w:tc>
          <w:tcPr>
            <w:cnfStyle w:evenVBand="false" w:oddVBand="true" w:firstColumn="false"/>
            <w:tcW w:w="33.333333%" w:type="pct"/>
          </w:tcPr>
          <w:p>
            <w:pPr>
              <w:ind w:leftChars="0" w:left="0" w:right="0"/>
            </w:pPr>
            <w:r>
              <w:t>GFAM</w:t>
            </w:r>
          </w:p>
        </w:tc>
        <w:tc>
          <w:tcPr>
            <w:cnfStyle w:evenVBand="true" w:oddVBand="false" w:firstColumn="false"/>
            <w:tcW w:w="33.333333%" w:type="pct"/>
          </w:tcPr>
          <w:p>
            <w:pPr>
              <w:ind w:leftChars="0" w:left="0" w:right="0"/>
            </w:pPr>
            <w:r>
              <w:t>GFAM</w:t>
            </w:r>
          </w:p>
        </w:tc>
        <w:tc>
          <w:tcPr>
            <w:cnfStyle w:evenVBand="false" w:oddVBand="true" w:firstColumn="false"/>
            <w:tcW w:w="33.333333%" w:type="pct"/>
          </w:tcPr>
          <w:p>
            <w:pPr>
              <w:ind w:leftChars="0" w:left="0" w:right="0"/>
            </w:pPr>
            <w:r>
              <w:t>GFI SECURITIES LLC - ALL MARKETS</w:t>
            </w:r>
          </w:p>
        </w:tc>
      </w:tr>
      <w:tr>
        <w:trPr>
          <w:cnfStyle w:evenHBand="true" w:oddHBand="false" w:firstRow="false"/>
        </w:trPr>
        <w:tc>
          <w:tcPr>
            <w:cnfStyle w:evenVBand="false" w:oddVBand="true" w:firstColumn="false"/>
            <w:tcW w:w="33.333333%" w:type="pct"/>
          </w:tcPr>
          <w:p>
            <w:pPr>
              <w:ind w:leftChars="0" w:left="0" w:right="0"/>
            </w:pPr>
            <w:r>
              <w:t>GFAU</w:t>
            </w:r>
          </w:p>
        </w:tc>
        <w:tc>
          <w:tcPr>
            <w:cnfStyle w:evenVBand="true" w:oddVBand="false" w:firstColumn="false"/>
            <w:tcW w:w="33.333333%" w:type="pct"/>
          </w:tcPr>
          <w:p>
            <w:pPr>
              <w:ind w:leftChars="0" w:left="0" w:right="0"/>
            </w:pPr>
            <w:r>
              <w:t>GFAU</w:t>
            </w:r>
          </w:p>
        </w:tc>
        <w:tc>
          <w:tcPr>
            <w:cnfStyle w:evenVBand="false" w:oddVBand="true" w:firstColumn="false"/>
            <w:tcW w:w="33.333333%" w:type="pct"/>
          </w:tcPr>
          <w:p>
            <w:pPr>
              <w:ind w:leftChars="0" w:left="0" w:right="0"/>
            </w:pPr>
            <w:r>
              <w:t>GFI AUSTRALIA PTY LTD</w:t>
            </w:r>
          </w:p>
        </w:tc>
      </w:tr>
      <w:tr>
        <w:trPr>
          <w:cnfStyle w:evenHBand="false" w:oddHBand="true" w:firstRow="false"/>
        </w:trPr>
        <w:tc>
          <w:tcPr>
            <w:cnfStyle w:evenVBand="false" w:oddVBand="true" w:firstColumn="false"/>
            <w:tcW w:w="33.333333%" w:type="pct"/>
          </w:tcPr>
          <w:p>
            <w:pPr>
              <w:ind w:leftChars="0" w:left="0" w:right="0"/>
            </w:pPr>
            <w:r>
              <w:t>GFBM</w:t>
            </w:r>
          </w:p>
        </w:tc>
        <w:tc>
          <w:tcPr>
            <w:cnfStyle w:evenVBand="true" w:oddVBand="false" w:firstColumn="false"/>
            <w:tcW w:w="33.333333%" w:type="pct"/>
          </w:tcPr>
          <w:p>
            <w:pPr>
              <w:ind w:leftChars="0" w:left="0" w:right="0"/>
            </w:pPr>
            <w:r>
              <w:t>GFBM</w:t>
            </w:r>
          </w:p>
        </w:tc>
        <w:tc>
          <w:tcPr>
            <w:cnfStyle w:evenVBand="false" w:oddVBand="true" w:firstColumn="false"/>
            <w:tcW w:w="33.333333%" w:type="pct"/>
          </w:tcPr>
          <w:p>
            <w:pPr>
              <w:ind w:leftChars="0" w:left="0" w:right="0"/>
            </w:pPr>
            <w:r>
              <w:t>GFI BROKERS - MTF</w:t>
            </w:r>
          </w:p>
        </w:tc>
      </w:tr>
      <w:tr>
        <w:trPr>
          <w:cnfStyle w:evenHBand="true" w:oddHBand="false" w:firstRow="false"/>
        </w:trPr>
        <w:tc>
          <w:tcPr>
            <w:cnfStyle w:evenVBand="false" w:oddVBand="true" w:firstColumn="false"/>
            <w:tcW w:w="33.333333%" w:type="pct"/>
          </w:tcPr>
          <w:p>
            <w:pPr>
              <w:ind w:leftChars="0" w:left="0" w:right="0"/>
            </w:pPr>
            <w:r>
              <w:t>GFBO</w:t>
            </w:r>
          </w:p>
        </w:tc>
        <w:tc>
          <w:tcPr>
            <w:cnfStyle w:evenVBand="true" w:oddVBand="false" w:firstColumn="false"/>
            <w:tcW w:w="33.333333%" w:type="pct"/>
          </w:tcPr>
          <w:p>
            <w:pPr>
              <w:ind w:leftChars="0" w:left="0" w:right="0"/>
            </w:pPr>
            <w:r>
              <w:t>GFBO</w:t>
            </w:r>
          </w:p>
        </w:tc>
        <w:tc>
          <w:tcPr>
            <w:cnfStyle w:evenVBand="false" w:oddVBand="true" w:firstColumn="false"/>
            <w:tcW w:w="33.333333%" w:type="pct"/>
          </w:tcPr>
          <w:p>
            <w:pPr>
              <w:ind w:leftChars="0" w:left="0" w:right="0"/>
            </w:pPr>
            <w:r>
              <w:t>GFI BROKERS - OTF</w:t>
            </w:r>
          </w:p>
        </w:tc>
      </w:tr>
      <w:tr>
        <w:trPr>
          <w:cnfStyle w:evenHBand="false" w:oddHBand="true" w:firstRow="false"/>
        </w:trPr>
        <w:tc>
          <w:tcPr>
            <w:cnfStyle w:evenVBand="false" w:oddVBand="true" w:firstColumn="false"/>
            <w:tcW w:w="33.333333%" w:type="pct"/>
          </w:tcPr>
          <w:p>
            <w:pPr>
              <w:ind w:leftChars="0" w:left="0" w:right="0"/>
            </w:pPr>
            <w:r>
              <w:t>GFIA</w:t>
            </w:r>
          </w:p>
        </w:tc>
        <w:tc>
          <w:tcPr>
            <w:cnfStyle w:evenVBand="true" w:oddVBand="false" w:firstColumn="false"/>
            <w:tcW w:w="33.333333%" w:type="pct"/>
          </w:tcPr>
          <w:p>
            <w:pPr>
              <w:ind w:leftChars="0" w:left="0" w:right="0"/>
            </w:pPr>
            <w:r>
              <w:t>GFIA</w:t>
            </w:r>
          </w:p>
        </w:tc>
        <w:tc>
          <w:tcPr>
            <w:cnfStyle w:evenVBand="false" w:oddVBand="true" w:firstColumn="false"/>
            <w:tcW w:w="33.333333%" w:type="pct"/>
          </w:tcPr>
          <w:p>
            <w:pPr>
              <w:ind w:leftChars="0" w:left="0" w:right="0"/>
            </w:pPr>
            <w:r>
              <w:t>GFI AUCTIONMATCH</w:t>
            </w:r>
          </w:p>
        </w:tc>
      </w:tr>
      <w:tr>
        <w:trPr>
          <w:cnfStyle w:evenHBand="true" w:oddHBand="false" w:firstRow="false"/>
        </w:trPr>
        <w:tc>
          <w:tcPr>
            <w:cnfStyle w:evenVBand="false" w:oddVBand="true" w:firstColumn="false"/>
            <w:tcW w:w="33.333333%" w:type="pct"/>
          </w:tcPr>
          <w:p>
            <w:pPr>
              <w:ind w:leftChars="0" w:left="0" w:right="0"/>
            </w:pPr>
            <w:r>
              <w:t>GFIB</w:t>
            </w:r>
          </w:p>
        </w:tc>
        <w:tc>
          <w:tcPr>
            <w:cnfStyle w:evenVBand="true" w:oddVBand="false" w:firstColumn="false"/>
            <w:tcW w:w="33.333333%" w:type="pct"/>
          </w:tcPr>
          <w:p>
            <w:pPr>
              <w:ind w:leftChars="0" w:left="0" w:right="0"/>
            </w:pPr>
            <w:r>
              <w:t>GFIB</w:t>
            </w:r>
          </w:p>
        </w:tc>
        <w:tc>
          <w:tcPr>
            <w:cnfStyle w:evenVBand="false" w:oddVBand="true" w:firstColumn="false"/>
            <w:tcW w:w="33.333333%" w:type="pct"/>
          </w:tcPr>
          <w:p>
            <w:pPr>
              <w:ind w:leftChars="0" w:left="0" w:right="0"/>
            </w:pPr>
            <w:r>
              <w:t>GFI BROKERS</w:t>
            </w:r>
          </w:p>
        </w:tc>
      </w:tr>
      <w:tr>
        <w:trPr>
          <w:cnfStyle w:evenHBand="false" w:oddHBand="true" w:firstRow="false"/>
        </w:trPr>
        <w:tc>
          <w:tcPr>
            <w:cnfStyle w:evenVBand="false" w:oddVBand="true" w:firstColumn="false"/>
            <w:tcW w:w="33.333333%" w:type="pct"/>
          </w:tcPr>
          <w:p>
            <w:pPr>
              <w:ind w:leftChars="0" w:left="0" w:right="0"/>
            </w:pPr>
            <w:r>
              <w:t>GFIC</w:t>
            </w:r>
          </w:p>
        </w:tc>
        <w:tc>
          <w:tcPr>
            <w:cnfStyle w:evenVBand="true" w:oddVBand="false" w:firstColumn="false"/>
            <w:tcW w:w="33.333333%" w:type="pct"/>
          </w:tcPr>
          <w:p>
            <w:pPr>
              <w:ind w:leftChars="0" w:left="0" w:right="0"/>
            </w:pPr>
            <w:r>
              <w:t>GFIC</w:t>
            </w:r>
          </w:p>
        </w:tc>
        <w:tc>
          <w:tcPr>
            <w:cnfStyle w:evenVBand="false" w:oddVBand="true" w:firstColumn="false"/>
            <w:tcW w:w="33.333333%" w:type="pct"/>
          </w:tcPr>
          <w:p>
            <w:pPr>
              <w:ind w:leftChars="0" w:left="0" w:right="0"/>
            </w:pPr>
            <w:r>
              <w:t>GFI SECURITIES LTD</w:t>
            </w:r>
          </w:p>
        </w:tc>
      </w:tr>
      <w:tr>
        <w:trPr>
          <w:cnfStyle w:evenHBand="true" w:oddHBand="false" w:firstRow="false"/>
        </w:trPr>
        <w:tc>
          <w:tcPr>
            <w:cnfStyle w:evenVBand="false" w:oddVBand="true" w:firstColumn="false"/>
            <w:tcW w:w="33.333333%" w:type="pct"/>
          </w:tcPr>
          <w:p>
            <w:pPr>
              <w:ind w:leftChars="0" w:left="0" w:right="0"/>
            </w:pPr>
            <w:r>
              <w:t>GFIF</w:t>
            </w:r>
          </w:p>
        </w:tc>
        <w:tc>
          <w:tcPr>
            <w:cnfStyle w:evenVBand="true" w:oddVBand="false" w:firstColumn="false"/>
            <w:tcW w:w="33.333333%" w:type="pct"/>
          </w:tcPr>
          <w:p>
            <w:pPr>
              <w:ind w:leftChars="0" w:left="0" w:right="0"/>
            </w:pPr>
            <w:r>
              <w:t>GFIF</w:t>
            </w:r>
          </w:p>
        </w:tc>
        <w:tc>
          <w:tcPr>
            <w:cnfStyle w:evenVBand="false" w:oddVBand="true" w:firstColumn="false"/>
            <w:tcW w:w="33.333333%" w:type="pct"/>
          </w:tcPr>
          <w:p>
            <w:pPr>
              <w:ind w:leftChars="0" w:left="0" w:right="0"/>
            </w:pPr>
            <w:r>
              <w:t>GFI FOREXMATCH</w:t>
            </w:r>
          </w:p>
        </w:tc>
      </w:tr>
      <w:tr>
        <w:trPr>
          <w:cnfStyle w:evenHBand="false" w:oddHBand="true" w:firstRow="false"/>
        </w:trPr>
        <w:tc>
          <w:tcPr>
            <w:cnfStyle w:evenVBand="false" w:oddVBand="true" w:firstColumn="false"/>
            <w:tcW w:w="33.333333%" w:type="pct"/>
          </w:tcPr>
          <w:p>
            <w:pPr>
              <w:ind w:leftChars="0" w:left="0" w:right="0"/>
            </w:pPr>
            <w:r>
              <w:t>GFIM</w:t>
            </w:r>
          </w:p>
        </w:tc>
        <w:tc>
          <w:tcPr>
            <w:cnfStyle w:evenVBand="true" w:oddVBand="false" w:firstColumn="false"/>
            <w:tcW w:w="33.333333%" w:type="pct"/>
          </w:tcPr>
          <w:p>
            <w:pPr>
              <w:ind w:leftChars="0" w:left="0" w:right="0"/>
            </w:pPr>
            <w:r>
              <w:t>GFIM</w:t>
            </w:r>
          </w:p>
        </w:tc>
        <w:tc>
          <w:tcPr>
            <w:cnfStyle w:evenVBand="false" w:oddVBand="true" w:firstColumn="false"/>
            <w:tcW w:w="33.333333%" w:type="pct"/>
          </w:tcPr>
          <w:p>
            <w:pPr>
              <w:ind w:leftChars="0" w:left="0" w:right="0"/>
            </w:pPr>
            <w:r>
              <w:t>GFI MARKETMATCH</w:t>
            </w:r>
          </w:p>
        </w:tc>
      </w:tr>
      <w:tr>
        <w:trPr>
          <w:cnfStyle w:evenHBand="true" w:oddHBand="false" w:firstRow="false"/>
        </w:trPr>
        <w:tc>
          <w:tcPr>
            <w:cnfStyle w:evenVBand="false" w:oddVBand="true" w:firstColumn="false"/>
            <w:tcW w:w="33.333333%" w:type="pct"/>
          </w:tcPr>
          <w:p>
            <w:pPr>
              <w:ind w:leftChars="0" w:left="0" w:right="0"/>
            </w:pPr>
            <w:r>
              <w:t>GFIN</w:t>
            </w:r>
          </w:p>
        </w:tc>
        <w:tc>
          <w:tcPr>
            <w:cnfStyle w:evenVBand="true" w:oddVBand="false" w:firstColumn="false"/>
            <w:tcW w:w="33.333333%" w:type="pct"/>
          </w:tcPr>
          <w:p>
            <w:pPr>
              <w:ind w:leftChars="0" w:left="0" w:right="0"/>
            </w:pPr>
            <w:r>
              <w:t>GFIN</w:t>
            </w:r>
          </w:p>
        </w:tc>
        <w:tc>
          <w:tcPr>
            <w:cnfStyle w:evenVBand="false" w:oddVBand="true" w:firstColumn="false"/>
            <w:tcW w:w="33.333333%" w:type="pct"/>
          </w:tcPr>
          <w:p>
            <w:pPr>
              <w:ind w:leftChars="0" w:left="0" w:right="0"/>
            </w:pPr>
            <w:r>
              <w:t>GFI ENERGYMATCH</w:t>
            </w:r>
          </w:p>
        </w:tc>
      </w:tr>
      <w:tr>
        <w:trPr>
          <w:cnfStyle w:evenHBand="false" w:oddHBand="true" w:firstRow="false"/>
        </w:trPr>
        <w:tc>
          <w:tcPr>
            <w:cnfStyle w:evenVBand="false" w:oddVBand="true" w:firstColumn="false"/>
            <w:tcW w:w="33.333333%" w:type="pct"/>
          </w:tcPr>
          <w:p>
            <w:pPr>
              <w:ind w:leftChars="0" w:left="0" w:right="0"/>
            </w:pPr>
            <w:r>
              <w:t>GFIR</w:t>
            </w:r>
          </w:p>
        </w:tc>
        <w:tc>
          <w:tcPr>
            <w:cnfStyle w:evenVBand="true" w:oddVBand="false" w:firstColumn="false"/>
            <w:tcW w:w="33.333333%" w:type="pct"/>
          </w:tcPr>
          <w:p>
            <w:pPr>
              <w:ind w:leftChars="0" w:left="0" w:right="0"/>
            </w:pPr>
            <w:r>
              <w:t>GFIR</w:t>
            </w:r>
          </w:p>
        </w:tc>
        <w:tc>
          <w:tcPr>
            <w:cnfStyle w:evenVBand="false" w:oddVBand="true" w:firstColumn="false"/>
            <w:tcW w:w="33.333333%" w:type="pct"/>
          </w:tcPr>
          <w:p>
            <w:pPr>
              <w:ind w:leftChars="0" w:left="0" w:right="0"/>
            </w:pPr>
            <w:r>
              <w:t>GFI RATESMATCH</w:t>
            </w:r>
          </w:p>
        </w:tc>
      </w:tr>
      <w:tr>
        <w:trPr>
          <w:cnfStyle w:evenHBand="true" w:oddHBand="false" w:firstRow="false"/>
        </w:trPr>
        <w:tc>
          <w:tcPr>
            <w:cnfStyle w:evenVBand="false" w:oddVBand="true" w:firstColumn="false"/>
            <w:tcW w:w="33.333333%" w:type="pct"/>
          </w:tcPr>
          <w:p>
            <w:pPr>
              <w:ind w:leftChars="0" w:left="0" w:right="0"/>
            </w:pPr>
            <w:r>
              <w:t>GFKS</w:t>
            </w:r>
          </w:p>
        </w:tc>
        <w:tc>
          <w:tcPr>
            <w:cnfStyle w:evenVBand="true" w:oddVBand="false" w:firstColumn="false"/>
            <w:tcW w:w="33.333333%" w:type="pct"/>
          </w:tcPr>
          <w:p>
            <w:pPr>
              <w:ind w:leftChars="0" w:left="0" w:right="0"/>
            </w:pPr>
            <w:r>
              <w:t>GFKS</w:t>
            </w:r>
          </w:p>
        </w:tc>
        <w:tc>
          <w:tcPr>
            <w:cnfStyle w:evenVBand="false" w:oddVBand="true" w:firstColumn="false"/>
            <w:tcW w:w="33.333333%" w:type="pct"/>
          </w:tcPr>
          <w:p>
            <w:pPr>
              <w:ind w:leftChars="0" w:left="0" w:right="0"/>
            </w:pPr>
            <w:r>
              <w:t>GARANTUM FONDKOMMISSION AB - SYSTEMATIC INTERNALISER</w:t>
            </w:r>
          </w:p>
        </w:tc>
      </w:tr>
      <w:tr>
        <w:trPr>
          <w:cnfStyle w:evenHBand="false" w:oddHBand="true" w:firstRow="false"/>
        </w:trPr>
        <w:tc>
          <w:tcPr>
            <w:cnfStyle w:evenVBand="false" w:oddVBand="true" w:firstColumn="false"/>
            <w:tcW w:w="33.333333%" w:type="pct"/>
          </w:tcPr>
          <w:p>
            <w:pPr>
              <w:ind w:leftChars="0" w:left="0" w:right="0"/>
            </w:pPr>
            <w:r>
              <w:t>GFOX</w:t>
            </w:r>
          </w:p>
        </w:tc>
        <w:tc>
          <w:tcPr>
            <w:cnfStyle w:evenVBand="true" w:oddVBand="false" w:firstColumn="false"/>
            <w:tcW w:w="33.333333%" w:type="pct"/>
          </w:tcPr>
          <w:p>
            <w:pPr>
              <w:ind w:leftChars="0" w:left="0" w:right="0"/>
            </w:pPr>
            <w:r>
              <w:t>GFOX</w:t>
            </w:r>
          </w:p>
        </w:tc>
        <w:tc>
          <w:tcPr>
            <w:cnfStyle w:evenVBand="false" w:oddVBand="true" w:firstColumn="false"/>
            <w:tcW w:w="33.333333%" w:type="pct"/>
          </w:tcPr>
          <w:p>
            <w:pPr>
              <w:ind w:leftChars="0" w:left="0" w:right="0"/>
            </w:pPr>
            <w:r>
              <w:t>GLOBAL FUTURES AND OPTIONS LTD</w:t>
            </w:r>
          </w:p>
        </w:tc>
      </w:tr>
      <w:tr>
        <w:trPr>
          <w:cnfStyle w:evenHBand="true" w:oddHBand="false" w:firstRow="false"/>
        </w:trPr>
        <w:tc>
          <w:tcPr>
            <w:cnfStyle w:evenVBand="false" w:oddVBand="true" w:firstColumn="false"/>
            <w:tcW w:w="33.333333%" w:type="pct"/>
          </w:tcPr>
          <w:p>
            <w:pPr>
              <w:ind w:leftChars="0" w:left="0" w:right="0"/>
            </w:pPr>
            <w:r>
              <w:t>GFPO</w:t>
            </w:r>
          </w:p>
        </w:tc>
        <w:tc>
          <w:tcPr>
            <w:cnfStyle w:evenVBand="true" w:oddVBand="false" w:firstColumn="false"/>
            <w:tcW w:w="33.333333%" w:type="pct"/>
          </w:tcPr>
          <w:p>
            <w:pPr>
              <w:ind w:leftChars="0" w:left="0" w:right="0"/>
            </w:pPr>
            <w:r>
              <w:t>GFPO</w:t>
            </w:r>
          </w:p>
        </w:tc>
        <w:tc>
          <w:tcPr>
            <w:cnfStyle w:evenVBand="false" w:oddVBand="true" w:firstColumn="false"/>
            <w:tcW w:w="33.333333%" w:type="pct"/>
          </w:tcPr>
          <w:p>
            <w:pPr>
              <w:ind w:leftChars="0" w:left="0" w:right="0"/>
            </w:pPr>
            <w:r>
              <w:t>GFI PARIS - OTF</w:t>
            </w:r>
          </w:p>
        </w:tc>
      </w:tr>
      <w:tr>
        <w:trPr>
          <w:cnfStyle w:evenHBand="false" w:oddHBand="true" w:firstRow="false"/>
        </w:trPr>
        <w:tc>
          <w:tcPr>
            <w:cnfStyle w:evenVBand="false" w:oddVBand="true" w:firstColumn="false"/>
            <w:tcW w:w="33.333333%" w:type="pct"/>
          </w:tcPr>
          <w:p>
            <w:pPr>
              <w:ind w:leftChars="0" w:left="0" w:right="0"/>
            </w:pPr>
            <w:r>
              <w:t>GFSM</w:t>
            </w:r>
          </w:p>
        </w:tc>
        <w:tc>
          <w:tcPr>
            <w:cnfStyle w:evenVBand="true" w:oddVBand="false" w:firstColumn="false"/>
            <w:tcW w:w="33.333333%" w:type="pct"/>
          </w:tcPr>
          <w:p>
            <w:pPr>
              <w:ind w:leftChars="0" w:left="0" w:right="0"/>
            </w:pPr>
            <w:r>
              <w:t>GFSM</w:t>
            </w:r>
          </w:p>
        </w:tc>
        <w:tc>
          <w:tcPr>
            <w:cnfStyle w:evenVBand="false" w:oddVBand="true" w:firstColumn="false"/>
            <w:tcW w:w="33.333333%" w:type="pct"/>
          </w:tcPr>
          <w:p>
            <w:pPr>
              <w:ind w:leftChars="0" w:left="0" w:right="0"/>
            </w:pPr>
            <w:r>
              <w:t>GFI SECURITIES LTD - MTF</w:t>
            </w:r>
          </w:p>
        </w:tc>
      </w:tr>
      <w:tr>
        <w:trPr>
          <w:cnfStyle w:evenHBand="true" w:oddHBand="false" w:firstRow="false"/>
        </w:trPr>
        <w:tc>
          <w:tcPr>
            <w:cnfStyle w:evenVBand="false" w:oddVBand="true" w:firstColumn="false"/>
            <w:tcW w:w="33.333333%" w:type="pct"/>
          </w:tcPr>
          <w:p>
            <w:pPr>
              <w:ind w:leftChars="0" w:left="0" w:right="0"/>
            </w:pPr>
            <w:r>
              <w:t>GFSO</w:t>
            </w:r>
          </w:p>
        </w:tc>
        <w:tc>
          <w:tcPr>
            <w:cnfStyle w:evenVBand="true" w:oddVBand="false" w:firstColumn="false"/>
            <w:tcW w:w="33.333333%" w:type="pct"/>
          </w:tcPr>
          <w:p>
            <w:pPr>
              <w:ind w:leftChars="0" w:left="0" w:right="0"/>
            </w:pPr>
            <w:r>
              <w:t>GFSO</w:t>
            </w:r>
          </w:p>
        </w:tc>
        <w:tc>
          <w:tcPr>
            <w:cnfStyle w:evenVBand="false" w:oddVBand="true" w:firstColumn="false"/>
            <w:tcW w:w="33.333333%" w:type="pct"/>
          </w:tcPr>
          <w:p>
            <w:pPr>
              <w:ind w:leftChars="0" w:left="0" w:right="0"/>
            </w:pPr>
            <w:r>
              <w:t>GFI SECURITIES LTD - OTF</w:t>
            </w:r>
          </w:p>
        </w:tc>
      </w:tr>
      <w:tr>
        <w:trPr>
          <w:cnfStyle w:evenHBand="false" w:oddHBand="true" w:firstRow="false"/>
        </w:trPr>
        <w:tc>
          <w:tcPr>
            <w:cnfStyle w:evenVBand="false" w:oddVBand="true" w:firstColumn="false"/>
            <w:tcW w:w="33.333333%" w:type="pct"/>
          </w:tcPr>
          <w:p>
            <w:pPr>
              <w:ind w:leftChars="0" w:left="0" w:right="0"/>
            </w:pPr>
            <w:r>
              <w:t>GIPB</w:t>
            </w:r>
          </w:p>
        </w:tc>
        <w:tc>
          <w:tcPr>
            <w:cnfStyle w:evenVBand="true" w:oddVBand="false" w:firstColumn="false"/>
            <w:tcW w:w="33.333333%" w:type="pct"/>
          </w:tcPr>
          <w:p>
            <w:pPr>
              <w:ind w:leftChars="0" w:left="0" w:right="0"/>
            </w:pPr>
            <w:r>
              <w:t>GIPB</w:t>
            </w:r>
          </w:p>
        </w:tc>
        <w:tc>
          <w:tcPr>
            <w:cnfStyle w:evenVBand="false" w:oddVBand="true" w:firstColumn="false"/>
            <w:tcW w:w="33.333333%" w:type="pct"/>
          </w:tcPr>
          <w:p>
            <w:pPr>
              <w:ind w:leftChars="0" w:left="0" w:right="0"/>
            </w:pPr>
            <w:r>
              <w:t>GOLDMAN SACHS INTERNATIONAL PARIS BRANCH</w:t>
            </w:r>
          </w:p>
        </w:tc>
      </w:tr>
      <w:tr>
        <w:trPr>
          <w:cnfStyle w:evenHBand="true" w:oddHBand="false" w:firstRow="false"/>
        </w:trPr>
        <w:tc>
          <w:tcPr>
            <w:cnfStyle w:evenVBand="false" w:oddVBand="true" w:firstColumn="false"/>
            <w:tcW w:w="33.333333%" w:type="pct"/>
          </w:tcPr>
          <w:p>
            <w:pPr>
              <w:ind w:leftChars="0" w:left="0" w:right="0"/>
            </w:pPr>
            <w:r>
              <w:t>GLBX</w:t>
            </w:r>
          </w:p>
        </w:tc>
        <w:tc>
          <w:tcPr>
            <w:cnfStyle w:evenVBand="true" w:oddVBand="false" w:firstColumn="false"/>
            <w:tcW w:w="33.333333%" w:type="pct"/>
          </w:tcPr>
          <w:p>
            <w:pPr>
              <w:ind w:leftChars="0" w:left="0" w:right="0"/>
            </w:pPr>
            <w:r>
              <w:t>GLBX</w:t>
            </w:r>
          </w:p>
        </w:tc>
        <w:tc>
          <w:tcPr>
            <w:cnfStyle w:evenVBand="false" w:oddVBand="true" w:firstColumn="false"/>
            <w:tcW w:w="33.333333%" w:type="pct"/>
          </w:tcPr>
          <w:p>
            <w:pPr>
              <w:ind w:leftChars="0" w:left="0" w:right="0"/>
            </w:pPr>
            <w:r>
              <w:t>CME GLOBEX</w:t>
            </w:r>
          </w:p>
        </w:tc>
      </w:tr>
      <w:tr>
        <w:trPr>
          <w:cnfStyle w:evenHBand="false" w:oddHBand="true" w:firstRow="false"/>
        </w:trPr>
        <w:tc>
          <w:tcPr>
            <w:cnfStyle w:evenVBand="false" w:oddVBand="true" w:firstColumn="false"/>
            <w:tcW w:w="33.333333%" w:type="pct"/>
          </w:tcPr>
          <w:p>
            <w:pPr>
              <w:ind w:leftChars="0" w:left="0" w:right="0"/>
            </w:pPr>
            <w:r>
              <w:t>GLLC</w:t>
            </w:r>
          </w:p>
        </w:tc>
        <w:tc>
          <w:tcPr>
            <w:cnfStyle w:evenVBand="true" w:oddVBand="false" w:firstColumn="false"/>
            <w:tcW w:w="33.333333%" w:type="pct"/>
          </w:tcPr>
          <w:p>
            <w:pPr>
              <w:ind w:leftChars="0" w:left="0" w:right="0"/>
            </w:pPr>
            <w:r>
              <w:t>GLLC</w:t>
            </w:r>
          </w:p>
        </w:tc>
        <w:tc>
          <w:tcPr>
            <w:cnfStyle w:evenVBand="false" w:oddVBand="true" w:firstColumn="false"/>
            <w:tcW w:w="33.333333%" w:type="pct"/>
          </w:tcPr>
          <w:p>
            <w:pPr>
              <w:ind w:leftChars="0" w:left="0" w:right="0"/>
            </w:pPr>
            <w:r>
              <w:t>GATE US LLC</w:t>
            </w:r>
          </w:p>
        </w:tc>
      </w:tr>
      <w:tr>
        <w:trPr>
          <w:cnfStyle w:evenHBand="true" w:oddHBand="false" w:firstRow="false"/>
        </w:trPr>
        <w:tc>
          <w:tcPr>
            <w:cnfStyle w:evenVBand="false" w:oddVBand="true" w:firstColumn="false"/>
            <w:tcW w:w="33.333333%" w:type="pct"/>
          </w:tcPr>
          <w:p>
            <w:pPr>
              <w:ind w:leftChars="0" w:left="0" w:right="0"/>
            </w:pPr>
            <w:r>
              <w:t>GLMX</w:t>
            </w:r>
          </w:p>
        </w:tc>
        <w:tc>
          <w:tcPr>
            <w:cnfStyle w:evenVBand="true" w:oddVBand="false" w:firstColumn="false"/>
            <w:tcW w:w="33.333333%" w:type="pct"/>
          </w:tcPr>
          <w:p>
            <w:pPr>
              <w:ind w:leftChars="0" w:left="0" w:right="0"/>
            </w:pPr>
            <w:r>
              <w:t>GLMX</w:t>
            </w:r>
          </w:p>
        </w:tc>
        <w:tc>
          <w:tcPr>
            <w:cnfStyle w:evenVBand="false" w:oddVBand="true" w:firstColumn="false"/>
            <w:tcW w:w="33.333333%" w:type="pct"/>
          </w:tcPr>
          <w:p>
            <w:pPr>
              <w:ind w:leftChars="0" w:left="0" w:right="0"/>
            </w:pPr>
            <w:r>
              <w:t>GLMX</w:t>
            </w:r>
          </w:p>
        </w:tc>
      </w:tr>
      <w:tr>
        <w:trPr>
          <w:cnfStyle w:evenHBand="false" w:oddHBand="true" w:firstRow="false"/>
        </w:trPr>
        <w:tc>
          <w:tcPr>
            <w:cnfStyle w:evenVBand="false" w:oddVBand="true" w:firstColumn="false"/>
            <w:tcW w:w="33.333333%" w:type="pct"/>
          </w:tcPr>
          <w:p>
            <w:pPr>
              <w:ind w:leftChars="0" w:left="0" w:right="0"/>
            </w:pPr>
            <w:r>
              <w:t>GLOM</w:t>
            </w:r>
          </w:p>
        </w:tc>
        <w:tc>
          <w:tcPr>
            <w:cnfStyle w:evenVBand="true" w:oddVBand="false" w:firstColumn="false"/>
            <w:tcW w:w="33.333333%" w:type="pct"/>
          </w:tcPr>
          <w:p>
            <w:pPr>
              <w:ind w:leftChars="0" w:left="0" w:right="0"/>
            </w:pPr>
            <w:r>
              <w:t>GLOM</w:t>
            </w:r>
          </w:p>
        </w:tc>
        <w:tc>
          <w:tcPr>
            <w:cnfStyle w:evenVBand="false" w:oddVBand="true" w:firstColumn="false"/>
            <w:tcW w:w="33.333333%" w:type="pct"/>
          </w:tcPr>
          <w:p>
            <w:pPr>
              <w:ind w:leftChars="0" w:left="0" w:right="0"/>
            </w:pPr>
            <w:r>
              <w:t>GLOMAX EXCHANGE LTD</w:t>
            </w:r>
          </w:p>
        </w:tc>
      </w:tr>
      <w:tr>
        <w:trPr>
          <w:cnfStyle w:evenHBand="true" w:oddHBand="false" w:firstRow="false"/>
        </w:trPr>
        <w:tc>
          <w:tcPr>
            <w:cnfStyle w:evenVBand="false" w:oddVBand="true" w:firstColumn="false"/>
            <w:tcW w:w="33.333333%" w:type="pct"/>
          </w:tcPr>
          <w:p>
            <w:pPr>
              <w:ind w:leftChars="0" w:left="0" w:right="0"/>
            </w:pPr>
            <w:r>
              <w:t>GLPS</w:t>
            </w:r>
          </w:p>
        </w:tc>
        <w:tc>
          <w:tcPr>
            <w:cnfStyle w:evenVBand="true" w:oddVBand="false" w:firstColumn="false"/>
            <w:tcW w:w="33.333333%" w:type="pct"/>
          </w:tcPr>
          <w:p>
            <w:pPr>
              <w:ind w:leftChars="0" w:left="0" w:right="0"/>
            </w:pPr>
            <w:r>
              <w:t>GLPS</w:t>
            </w:r>
          </w:p>
        </w:tc>
        <w:tc>
          <w:tcPr>
            <w:cnfStyle w:evenVBand="false" w:oddVBand="true" w:firstColumn="false"/>
            <w:tcW w:w="33.333333%" w:type="pct"/>
          </w:tcPr>
          <w:p>
            <w:pPr>
              <w:ind w:leftChars="0" w:left="0" w:right="0"/>
            </w:pPr>
            <w:r>
              <w:t>ESSEX RADEZ, LLC</w:t>
            </w:r>
          </w:p>
        </w:tc>
      </w:tr>
      <w:tr>
        <w:trPr>
          <w:cnfStyle w:evenHBand="false" w:oddHBand="true" w:firstRow="false"/>
        </w:trPr>
        <w:tc>
          <w:tcPr>
            <w:cnfStyle w:evenVBand="false" w:oddVBand="true" w:firstColumn="false"/>
            <w:tcW w:w="33.333333%" w:type="pct"/>
          </w:tcPr>
          <w:p>
            <w:pPr>
              <w:ind w:leftChars="0" w:left="0" w:right="0"/>
            </w:pPr>
            <w:r>
              <w:t>GLPX</w:t>
            </w:r>
          </w:p>
        </w:tc>
        <w:tc>
          <w:tcPr>
            <w:cnfStyle w:evenVBand="true" w:oddVBand="false" w:firstColumn="false"/>
            <w:tcW w:w="33.333333%" w:type="pct"/>
          </w:tcPr>
          <w:p>
            <w:pPr>
              <w:ind w:leftChars="0" w:left="0" w:right="0"/>
            </w:pPr>
            <w:r>
              <w:t>GLPX</w:t>
            </w:r>
          </w:p>
        </w:tc>
        <w:tc>
          <w:tcPr>
            <w:cnfStyle w:evenVBand="false" w:oddVBand="true" w:firstColumn="false"/>
            <w:tcW w:w="33.333333%" w:type="pct"/>
          </w:tcPr>
          <w:p>
            <w:pPr>
              <w:ind w:leftChars="0" w:left="0" w:right="0"/>
            </w:pPr>
            <w:r>
              <w:t>ACS EXECUTION SERVICES, LLC</w:t>
            </w:r>
          </w:p>
        </w:tc>
      </w:tr>
      <w:tr>
        <w:trPr>
          <w:cnfStyle w:evenHBand="true" w:oddHBand="false" w:firstRow="false"/>
        </w:trPr>
        <w:tc>
          <w:tcPr>
            <w:cnfStyle w:evenVBand="false" w:oddVBand="true" w:firstColumn="false"/>
            <w:tcW w:w="33.333333%" w:type="pct"/>
          </w:tcPr>
          <w:p>
            <w:pPr>
              <w:ind w:leftChars="0" w:left="0" w:right="0"/>
            </w:pPr>
            <w:r>
              <w:t>GMBG</w:t>
            </w:r>
          </w:p>
        </w:tc>
        <w:tc>
          <w:tcPr>
            <w:cnfStyle w:evenVBand="true" w:oddVBand="false" w:firstColumn="false"/>
            <w:tcW w:w="33.333333%" w:type="pct"/>
          </w:tcPr>
          <w:p>
            <w:pPr>
              <w:ind w:leftChars="0" w:left="0" w:right="0"/>
            </w:pPr>
            <w:r>
              <w:t>GMBG</w:t>
            </w:r>
          </w:p>
        </w:tc>
        <w:tc>
          <w:tcPr>
            <w:cnfStyle w:evenVBand="false" w:oddVBand="true" w:firstColumn="false"/>
            <w:tcW w:w="33.333333%" w:type="pct"/>
          </w:tcPr>
          <w:p>
            <w:pPr>
              <w:ind w:leftChars="0" w:left="0" w:right="0"/>
            </w:pPr>
            <w:r>
              <w:t>MTF SOFIA - GROWTH MARKET</w:t>
            </w:r>
          </w:p>
        </w:tc>
      </w:tr>
      <w:tr>
        <w:trPr>
          <w:cnfStyle w:evenHBand="false" w:oddHBand="true" w:firstRow="false"/>
        </w:trPr>
        <w:tc>
          <w:tcPr>
            <w:cnfStyle w:evenVBand="false" w:oddVBand="true" w:firstColumn="false"/>
            <w:tcW w:w="33.333333%" w:type="pct"/>
          </w:tcPr>
          <w:p>
            <w:pPr>
              <w:ind w:leftChars="0" w:left="0" w:right="0"/>
            </w:pPr>
            <w:r>
              <w:t>GMEG</w:t>
            </w:r>
          </w:p>
        </w:tc>
        <w:tc>
          <w:tcPr>
            <w:cnfStyle w:evenVBand="true" w:oddVBand="false" w:firstColumn="false"/>
            <w:tcW w:w="33.333333%" w:type="pct"/>
          </w:tcPr>
          <w:p>
            <w:pPr>
              <w:ind w:leftChars="0" w:left="0" w:right="0"/>
            </w:pPr>
            <w:r>
              <w:t>GMEG</w:t>
            </w:r>
          </w:p>
        </w:tc>
        <w:tc>
          <w:tcPr>
            <w:cnfStyle w:evenVBand="false" w:oddVBand="true" w:firstColumn="false"/>
            <w:tcW w:w="33.333333%" w:type="pct"/>
          </w:tcPr>
          <w:p>
            <w:pPr>
              <w:ind w:leftChars="0" w:left="0" w:right="0"/>
            </w:pPr>
            <w:r>
              <w:t>GMEX EXCHANGE</w:t>
            </w:r>
          </w:p>
        </w:tc>
      </w:tr>
      <w:tr>
        <w:trPr>
          <w:cnfStyle w:evenHBand="true" w:oddHBand="false" w:firstRow="false"/>
        </w:trPr>
        <w:tc>
          <w:tcPr>
            <w:cnfStyle w:evenVBand="false" w:oddVBand="true" w:firstColumn="false"/>
            <w:tcW w:w="33.333333%" w:type="pct"/>
          </w:tcPr>
          <w:p>
            <w:pPr>
              <w:ind w:leftChars="0" w:left="0" w:right="0"/>
            </w:pPr>
            <w:r>
              <w:t>GMEO</w:t>
            </w:r>
          </w:p>
        </w:tc>
        <w:tc>
          <w:tcPr>
            <w:cnfStyle w:evenVBand="true" w:oddVBand="false" w:firstColumn="false"/>
            <w:tcW w:w="33.333333%" w:type="pct"/>
          </w:tcPr>
          <w:p>
            <w:pPr>
              <w:ind w:leftChars="0" w:left="0" w:right="0"/>
            </w:pPr>
            <w:r>
              <w:t>GMEO</w:t>
            </w:r>
          </w:p>
        </w:tc>
        <w:tc>
          <w:tcPr>
            <w:cnfStyle w:evenVBand="false" w:oddVBand="true" w:firstColumn="false"/>
            <w:tcW w:w="33.333333%" w:type="pct"/>
          </w:tcPr>
          <w:p>
            <w:pPr>
              <w:ind w:leftChars="0" w:left="0" w:right="0"/>
            </w:pPr>
            <w:r>
              <w:t>GRIFFIN MARKETS EUROPE - OTF</w:t>
            </w:r>
          </w:p>
        </w:tc>
      </w:tr>
      <w:tr>
        <w:trPr>
          <w:cnfStyle w:evenHBand="false" w:oddHBand="true" w:firstRow="false"/>
        </w:trPr>
        <w:tc>
          <w:tcPr>
            <w:cnfStyle w:evenVBand="false" w:oddVBand="true" w:firstColumn="false"/>
            <w:tcW w:w="33.333333%" w:type="pct"/>
          </w:tcPr>
          <w:p>
            <w:pPr>
              <w:ind w:leftChars="0" w:left="0" w:right="0"/>
            </w:pPr>
            <w:r>
              <w:t>GMES</w:t>
            </w:r>
          </w:p>
        </w:tc>
        <w:tc>
          <w:tcPr>
            <w:cnfStyle w:evenVBand="true" w:oddVBand="false" w:firstColumn="false"/>
            <w:tcW w:w="33.333333%" w:type="pct"/>
          </w:tcPr>
          <w:p>
            <w:pPr>
              <w:ind w:leftChars="0" w:left="0" w:right="0"/>
            </w:pPr>
            <w:r>
              <w:t>GMES</w:t>
            </w:r>
          </w:p>
        </w:tc>
        <w:tc>
          <w:tcPr>
            <w:cnfStyle w:evenVBand="false" w:oddVBand="true" w:firstColumn="false"/>
            <w:tcW w:w="33.333333%" w:type="pct"/>
          </w:tcPr>
          <w:p>
            <w:pPr>
              <w:ind w:leftChars="0" w:left="0" w:right="0"/>
            </w:pPr>
            <w:r>
              <w:t>GRIFFIN MARKETS EUROPE</w:t>
            </w:r>
          </w:p>
        </w:tc>
      </w:tr>
      <w:tr>
        <w:trPr>
          <w:cnfStyle w:evenHBand="true" w:oddHBand="false" w:firstRow="false"/>
        </w:trPr>
        <w:tc>
          <w:tcPr>
            <w:cnfStyle w:evenVBand="false" w:oddVBand="true" w:firstColumn="false"/>
            <w:tcW w:w="33.333333%" w:type="pct"/>
          </w:tcPr>
          <w:p>
            <w:pPr>
              <w:ind w:leftChars="0" w:left="0" w:right="0"/>
            </w:pPr>
            <w:r>
              <w:t>GMEX</w:t>
            </w:r>
          </w:p>
        </w:tc>
        <w:tc>
          <w:tcPr>
            <w:cnfStyle w:evenVBand="true" w:oddVBand="false" w:firstColumn="false"/>
            <w:tcW w:w="33.333333%" w:type="pct"/>
          </w:tcPr>
          <w:p>
            <w:pPr>
              <w:ind w:leftChars="0" w:left="0" w:right="0"/>
            </w:pPr>
            <w:r>
              <w:t>GMEX</w:t>
            </w:r>
          </w:p>
        </w:tc>
        <w:tc>
          <w:tcPr>
            <w:cnfStyle w:evenVBand="false" w:oddVBand="true" w:firstColumn="false"/>
            <w:tcW w:w="33.333333%" w:type="pct"/>
          </w:tcPr>
          <w:p>
            <w:pPr>
              <w:ind w:leftChars="0" w:left="0" w:right="0"/>
            </w:pPr>
            <w:r>
              <w:t>GREENMARKET EXCHANGE</w:t>
            </w:r>
          </w:p>
        </w:tc>
      </w:tr>
      <w:tr>
        <w:trPr>
          <w:cnfStyle w:evenHBand="false" w:oddHBand="true" w:firstRow="false"/>
        </w:trPr>
        <w:tc>
          <w:tcPr>
            <w:cnfStyle w:evenVBand="false" w:oddVBand="true" w:firstColumn="false"/>
            <w:tcW w:w="33.333333%" w:type="pct"/>
          </w:tcPr>
          <w:p>
            <w:pPr>
              <w:ind w:leftChars="0" w:left="0" w:right="0"/>
            </w:pPr>
            <w:r>
              <w:t>GMGD</w:t>
            </w:r>
          </w:p>
        </w:tc>
        <w:tc>
          <w:tcPr>
            <w:cnfStyle w:evenVBand="true" w:oddVBand="false" w:firstColumn="false"/>
            <w:tcW w:w="33.333333%" w:type="pct"/>
          </w:tcPr>
          <w:p>
            <w:pPr>
              <w:ind w:leftChars="0" w:left="0" w:right="0"/>
            </w:pPr>
            <w:r>
              <w:t>GMGD</w:t>
            </w:r>
          </w:p>
        </w:tc>
        <w:tc>
          <w:tcPr>
            <w:cnfStyle w:evenVBand="false" w:oddVBand="true" w:firstColumn="false"/>
            <w:tcW w:w="33.333333%" w:type="pct"/>
          </w:tcPr>
          <w:p>
            <w:pPr>
              <w:ind w:leftChars="0" w:left="0" w:right="0"/>
            </w:pPr>
            <w:r>
              <w:t>GMG DUBAI LIMITED</w:t>
            </w:r>
          </w:p>
        </w:tc>
      </w:tr>
      <w:tr>
        <w:trPr>
          <w:cnfStyle w:evenHBand="true" w:oddHBand="false" w:firstRow="false"/>
        </w:trPr>
        <w:tc>
          <w:tcPr>
            <w:cnfStyle w:evenVBand="false" w:oddVBand="true" w:firstColumn="false"/>
            <w:tcW w:w="33.333333%" w:type="pct"/>
          </w:tcPr>
          <w:p>
            <w:pPr>
              <w:ind w:leftChars="0" w:left="0" w:right="0"/>
            </w:pPr>
            <w:r>
              <w:t>GMGE</w:t>
            </w:r>
          </w:p>
        </w:tc>
        <w:tc>
          <w:tcPr>
            <w:cnfStyle w:evenVBand="true" w:oddVBand="false" w:firstColumn="false"/>
            <w:tcW w:w="33.333333%" w:type="pct"/>
          </w:tcPr>
          <w:p>
            <w:pPr>
              <w:ind w:leftChars="0" w:left="0" w:right="0"/>
            </w:pPr>
            <w:r>
              <w:t>GMGE</w:t>
            </w:r>
          </w:p>
        </w:tc>
        <w:tc>
          <w:tcPr>
            <w:cnfStyle w:evenVBand="false" w:oddVBand="true" w:firstColumn="false"/>
            <w:tcW w:w="33.333333%" w:type="pct"/>
          </w:tcPr>
          <w:p>
            <w:pPr>
              <w:ind w:leftChars="0" w:left="0" w:right="0"/>
            </w:pPr>
            <w:r>
              <w:t>GMG EUROPE B.V.</w:t>
            </w:r>
          </w:p>
        </w:tc>
      </w:tr>
      <w:tr>
        <w:trPr>
          <w:cnfStyle w:evenHBand="false" w:oddHBand="true" w:firstRow="false"/>
        </w:trPr>
        <w:tc>
          <w:tcPr>
            <w:cnfStyle w:evenVBand="false" w:oddVBand="true" w:firstColumn="false"/>
            <w:tcW w:w="33.333333%" w:type="pct"/>
          </w:tcPr>
          <w:p>
            <w:pPr>
              <w:ind w:leftChars="0" w:left="0" w:right="0"/>
            </w:pPr>
            <w:r>
              <w:t>GMGL</w:t>
            </w:r>
          </w:p>
        </w:tc>
        <w:tc>
          <w:tcPr>
            <w:cnfStyle w:evenVBand="true" w:oddVBand="false" w:firstColumn="false"/>
            <w:tcW w:w="33.333333%" w:type="pct"/>
          </w:tcPr>
          <w:p>
            <w:pPr>
              <w:ind w:leftChars="0" w:left="0" w:right="0"/>
            </w:pPr>
            <w:r>
              <w:t>GMGL</w:t>
            </w:r>
          </w:p>
        </w:tc>
        <w:tc>
          <w:tcPr>
            <w:cnfStyle w:evenVBand="false" w:oddVBand="true" w:firstColumn="false"/>
            <w:tcW w:w="33.333333%" w:type="pct"/>
          </w:tcPr>
          <w:p>
            <w:pPr>
              <w:ind w:leftChars="0" w:left="0" w:right="0"/>
            </w:pPr>
            <w:r>
              <w:t>GMG BROKERS LIMITED</w:t>
            </w:r>
          </w:p>
        </w:tc>
      </w:tr>
      <w:tr>
        <w:trPr>
          <w:cnfStyle w:evenHBand="true" w:oddHBand="false" w:firstRow="false"/>
        </w:trPr>
        <w:tc>
          <w:tcPr>
            <w:cnfStyle w:evenVBand="false" w:oddVBand="true" w:firstColumn="false"/>
            <w:tcW w:w="33.333333%" w:type="pct"/>
          </w:tcPr>
          <w:p>
            <w:pPr>
              <w:ind w:leftChars="0" w:left="0" w:right="0"/>
            </w:pPr>
            <w:r>
              <w:t>GMNI</w:t>
            </w:r>
          </w:p>
        </w:tc>
        <w:tc>
          <w:tcPr>
            <w:cnfStyle w:evenVBand="true" w:oddVBand="false" w:firstColumn="false"/>
            <w:tcW w:w="33.333333%" w:type="pct"/>
          </w:tcPr>
          <w:p>
            <w:pPr>
              <w:ind w:leftChars="0" w:left="0" w:right="0"/>
            </w:pPr>
            <w:r>
              <w:t>GMNI</w:t>
            </w:r>
          </w:p>
        </w:tc>
        <w:tc>
          <w:tcPr>
            <w:cnfStyle w:evenVBand="false" w:oddVBand="true" w:firstColumn="false"/>
            <w:tcW w:w="33.333333%" w:type="pct"/>
          </w:tcPr>
          <w:p>
            <w:pPr>
              <w:ind w:leftChars="0" w:left="0" w:right="0"/>
            </w:pPr>
            <w:r>
              <w:t>ISE GEMINI EXCHANGE</w:t>
            </w:r>
          </w:p>
        </w:tc>
      </w:tr>
      <w:tr>
        <w:trPr>
          <w:cnfStyle w:evenHBand="false" w:oddHBand="true" w:firstRow="false"/>
        </w:trPr>
        <w:tc>
          <w:tcPr>
            <w:cnfStyle w:evenVBand="false" w:oddVBand="true" w:firstColumn="false"/>
            <w:tcW w:w="33.333333%" w:type="pct"/>
          </w:tcPr>
          <w:p>
            <w:pPr>
              <w:ind w:leftChars="0" w:left="0" w:right="0"/>
            </w:pPr>
            <w:r>
              <w:t>GMTF</w:t>
            </w:r>
          </w:p>
        </w:tc>
        <w:tc>
          <w:tcPr>
            <w:cnfStyle w:evenVBand="true" w:oddVBand="false" w:firstColumn="false"/>
            <w:tcW w:w="33.333333%" w:type="pct"/>
          </w:tcPr>
          <w:p>
            <w:pPr>
              <w:ind w:leftChars="0" w:left="0" w:right="0"/>
            </w:pPr>
            <w:r>
              <w:t>GMTF</w:t>
            </w:r>
          </w:p>
        </w:tc>
        <w:tc>
          <w:tcPr>
            <w:cnfStyle w:evenVBand="false" w:oddVBand="true" w:firstColumn="false"/>
            <w:tcW w:w="33.333333%" w:type="pct"/>
          </w:tcPr>
          <w:p>
            <w:pPr>
              <w:ind w:leftChars="0" w:left="0" w:right="0"/>
            </w:pPr>
            <w:r>
              <w:t>GALAXY</w:t>
            </w:r>
          </w:p>
        </w:tc>
      </w:tr>
      <w:tr>
        <w:trPr>
          <w:cnfStyle w:evenHBand="true" w:oddHBand="false" w:firstRow="false"/>
        </w:trPr>
        <w:tc>
          <w:tcPr>
            <w:cnfStyle w:evenVBand="false" w:oddVBand="true" w:firstColumn="false"/>
            <w:tcW w:w="33.333333%" w:type="pct"/>
          </w:tcPr>
          <w:p>
            <w:pPr>
              <w:ind w:leftChars="0" w:left="0" w:right="0"/>
            </w:pPr>
            <w:r>
              <w:t>GMTS</w:t>
            </w:r>
          </w:p>
        </w:tc>
        <w:tc>
          <w:tcPr>
            <w:cnfStyle w:evenVBand="true" w:oddVBand="false" w:firstColumn="false"/>
            <w:tcW w:w="33.333333%" w:type="pct"/>
          </w:tcPr>
          <w:p>
            <w:pPr>
              <w:ind w:leftChars="0" w:left="0" w:right="0"/>
            </w:pPr>
            <w:r>
              <w:t>GMTS</w:t>
            </w:r>
          </w:p>
        </w:tc>
        <w:tc>
          <w:tcPr>
            <w:cnfStyle w:evenVBand="false" w:oddVBand="true" w:firstColumn="false"/>
            <w:tcW w:w="33.333333%" w:type="pct"/>
          </w:tcPr>
          <w:p>
            <w:pPr>
              <w:ind w:leftChars="0" w:left="0" w:right="0"/>
            </w:pPr>
            <w:r>
              <w:t>MTS GERMANY</w:t>
            </w:r>
          </w:p>
        </w:tc>
      </w:tr>
      <w:tr>
        <w:trPr>
          <w:cnfStyle w:evenHBand="false" w:oddHBand="true" w:firstRow="false"/>
        </w:trPr>
        <w:tc>
          <w:tcPr>
            <w:cnfStyle w:evenVBand="false" w:oddVBand="true" w:firstColumn="false"/>
            <w:tcW w:w="33.333333%" w:type="pct"/>
          </w:tcPr>
          <w:p>
            <w:pPr>
              <w:ind w:leftChars="0" w:left="0" w:right="0"/>
            </w:pPr>
            <w:r>
              <w:t>GOTC</w:t>
            </w:r>
          </w:p>
        </w:tc>
        <w:tc>
          <w:tcPr>
            <w:cnfStyle w:evenVBand="true" w:oddVBand="false" w:firstColumn="false"/>
            <w:tcW w:w="33.333333%" w:type="pct"/>
          </w:tcPr>
          <w:p>
            <w:pPr>
              <w:ind w:leftChars="0" w:left="0" w:right="0"/>
            </w:pPr>
            <w:r>
              <w:t>GOTC</w:t>
            </w:r>
          </w:p>
        </w:tc>
        <w:tc>
          <w:tcPr>
            <w:cnfStyle w:evenVBand="false" w:oddVBand="true" w:firstColumn="false"/>
            <w:tcW w:w="33.333333%" w:type="pct"/>
          </w:tcPr>
          <w:p>
            <w:pPr>
              <w:ind w:leftChars="0" w:left="0" w:right="0"/>
            </w:pPr>
            <w:r>
              <w:t>GLOBAL OTC</w:t>
            </w:r>
          </w:p>
        </w:tc>
      </w:tr>
      <w:tr>
        <w:trPr>
          <w:cnfStyle w:evenHBand="true" w:oddHBand="false" w:firstRow="false"/>
        </w:trPr>
        <w:tc>
          <w:tcPr>
            <w:cnfStyle w:evenVBand="false" w:oddVBand="true" w:firstColumn="false"/>
            <w:tcW w:w="33.333333%" w:type="pct"/>
          </w:tcPr>
          <w:p>
            <w:pPr>
              <w:ind w:leftChars="0" w:left="0" w:right="0"/>
            </w:pPr>
            <w:r>
              <w:t>GOVX</w:t>
            </w:r>
          </w:p>
        </w:tc>
        <w:tc>
          <w:tcPr>
            <w:cnfStyle w:evenVBand="true" w:oddVBand="false" w:firstColumn="false"/>
            <w:tcW w:w="33.333333%" w:type="pct"/>
          </w:tcPr>
          <w:p>
            <w:pPr>
              <w:ind w:leftChars="0" w:left="0" w:right="0"/>
            </w:pPr>
            <w:r>
              <w:t>GOVX</w:t>
            </w:r>
          </w:p>
        </w:tc>
        <w:tc>
          <w:tcPr>
            <w:cnfStyle w:evenVBand="false" w:oddVBand="true" w:firstColumn="false"/>
            <w:tcW w:w="33.333333%" w:type="pct"/>
          </w:tcPr>
          <w:p>
            <w:pPr>
              <w:ind w:leftChars="0" w:left="0" w:right="0"/>
            </w:pPr>
            <w:r>
              <w:t>GOVEX</w:t>
            </w:r>
          </w:p>
        </w:tc>
      </w:tr>
      <w:tr>
        <w:trPr>
          <w:cnfStyle w:evenHBand="false" w:oddHBand="true" w:firstRow="false"/>
        </w:trPr>
        <w:tc>
          <w:tcPr>
            <w:cnfStyle w:evenVBand="false" w:oddVBand="true" w:firstColumn="false"/>
            <w:tcW w:w="33.333333%" w:type="pct"/>
          </w:tcPr>
          <w:p>
            <w:pPr>
              <w:ind w:leftChars="0" w:left="0" w:right="0"/>
            </w:pPr>
            <w:r>
              <w:t>GPBC</w:t>
            </w:r>
          </w:p>
        </w:tc>
        <w:tc>
          <w:tcPr>
            <w:cnfStyle w:evenVBand="true" w:oddVBand="false" w:firstColumn="false"/>
            <w:tcW w:w="33.333333%" w:type="pct"/>
          </w:tcPr>
          <w:p>
            <w:pPr>
              <w:ind w:leftChars="0" w:left="0" w:right="0"/>
            </w:pPr>
            <w:r>
              <w:t>GPBC</w:t>
            </w:r>
          </w:p>
        </w:tc>
        <w:tc>
          <w:tcPr>
            <w:cnfStyle w:evenVBand="false" w:oddVBand="true" w:firstColumn="false"/>
            <w:tcW w:w="33.333333%" w:type="pct"/>
          </w:tcPr>
          <w:p>
            <w:pPr>
              <w:ind w:leftChars="0" w:left="0" w:right="0"/>
            </w:pPr>
            <w:r>
              <w:t>GPB-FINANCIAL SERVICES LTD - SYSTEMATIC INTERNALISER</w:t>
            </w:r>
          </w:p>
        </w:tc>
      </w:tr>
      <w:tr>
        <w:trPr>
          <w:cnfStyle w:evenHBand="true" w:oddHBand="false" w:firstRow="false"/>
        </w:trPr>
        <w:tc>
          <w:tcPr>
            <w:cnfStyle w:evenVBand="false" w:oddVBand="true" w:firstColumn="false"/>
            <w:tcW w:w="33.333333%" w:type="pct"/>
          </w:tcPr>
          <w:p>
            <w:pPr>
              <w:ind w:leftChars="0" w:left="0" w:right="0"/>
            </w:pPr>
            <w:r>
              <w:t>GREE</w:t>
            </w:r>
          </w:p>
        </w:tc>
        <w:tc>
          <w:tcPr>
            <w:cnfStyle w:evenVBand="true" w:oddVBand="false" w:firstColumn="false"/>
            <w:tcW w:w="33.333333%" w:type="pct"/>
          </w:tcPr>
          <w:p>
            <w:pPr>
              <w:ind w:leftChars="0" w:left="0" w:right="0"/>
            </w:pPr>
            <w:r>
              <w:t>GREE</w:t>
            </w:r>
          </w:p>
        </w:tc>
        <w:tc>
          <w:tcPr>
            <w:cnfStyle w:evenVBand="false" w:oddVBand="true" w:firstColumn="false"/>
            <w:tcW w:w="33.333333%" w:type="pct"/>
          </w:tcPr>
          <w:p>
            <w:pPr>
              <w:ind w:leftChars="0" w:left="0" w:right="0"/>
            </w:pPr>
            <w:r>
              <w:t>THE GREEN EXCHANGE</w:t>
            </w:r>
          </w:p>
        </w:tc>
      </w:tr>
      <w:tr>
        <w:trPr>
          <w:cnfStyle w:evenHBand="false" w:oddHBand="true" w:firstRow="false"/>
        </w:trPr>
        <w:tc>
          <w:tcPr>
            <w:cnfStyle w:evenVBand="false" w:oddVBand="true" w:firstColumn="false"/>
            <w:tcW w:w="33.333333%" w:type="pct"/>
          </w:tcPr>
          <w:p>
            <w:pPr>
              <w:ind w:leftChars="0" w:left="0" w:right="0"/>
            </w:pPr>
            <w:r>
              <w:t>GRIF</w:t>
            </w:r>
          </w:p>
        </w:tc>
        <w:tc>
          <w:tcPr>
            <w:cnfStyle w:evenVBand="true" w:oddVBand="false" w:firstColumn="false"/>
            <w:tcW w:w="33.333333%" w:type="pct"/>
          </w:tcPr>
          <w:p>
            <w:pPr>
              <w:ind w:leftChars="0" w:left="0" w:right="0"/>
            </w:pPr>
            <w:r>
              <w:t>GRIF</w:t>
            </w:r>
          </w:p>
        </w:tc>
        <w:tc>
          <w:tcPr>
            <w:cnfStyle w:evenVBand="false" w:oddVBand="true" w:firstColumn="false"/>
            <w:tcW w:w="33.333333%" w:type="pct"/>
          </w:tcPr>
          <w:p>
            <w:pPr>
              <w:ind w:leftChars="0" w:left="0" w:right="0"/>
            </w:pPr>
            <w:r>
              <w:t>GRIFFIN MARKETS LIMITED</w:t>
            </w:r>
          </w:p>
        </w:tc>
      </w:tr>
      <w:tr>
        <w:trPr>
          <w:cnfStyle w:evenHBand="true" w:oddHBand="false" w:firstRow="false"/>
        </w:trPr>
        <w:tc>
          <w:tcPr>
            <w:cnfStyle w:evenVBand="false" w:oddVBand="true" w:firstColumn="false"/>
            <w:tcW w:w="33.333333%" w:type="pct"/>
          </w:tcPr>
          <w:p>
            <w:pPr>
              <w:ind w:leftChars="0" w:left="0" w:right="0"/>
            </w:pPr>
            <w:r>
              <w:t>GRIO</w:t>
            </w:r>
          </w:p>
        </w:tc>
        <w:tc>
          <w:tcPr>
            <w:cnfStyle w:evenVBand="true" w:oddVBand="false" w:firstColumn="false"/>
            <w:tcW w:w="33.333333%" w:type="pct"/>
          </w:tcPr>
          <w:p>
            <w:pPr>
              <w:ind w:leftChars="0" w:left="0" w:right="0"/>
            </w:pPr>
            <w:r>
              <w:t>GRIO</w:t>
            </w:r>
          </w:p>
        </w:tc>
        <w:tc>
          <w:tcPr>
            <w:cnfStyle w:evenVBand="false" w:oddVBand="true" w:firstColumn="false"/>
            <w:tcW w:w="33.333333%" w:type="pct"/>
          </w:tcPr>
          <w:p>
            <w:pPr>
              <w:ind w:leftChars="0" w:left="0" w:right="0"/>
            </w:pPr>
            <w:r>
              <w:t>GRIFFIN MARKETS LIMITED - OTF</w:t>
            </w:r>
          </w:p>
        </w:tc>
      </w:tr>
      <w:tr>
        <w:trPr>
          <w:cnfStyle w:evenHBand="false" w:oddHBand="true" w:firstRow="false"/>
        </w:trPr>
        <w:tc>
          <w:tcPr>
            <w:cnfStyle w:evenVBand="false" w:oddVBand="true" w:firstColumn="false"/>
            <w:tcW w:w="33.333333%" w:type="pct"/>
          </w:tcPr>
          <w:p>
            <w:pPr>
              <w:ind w:leftChars="0" w:left="0" w:right="0"/>
            </w:pPr>
            <w:r>
              <w:t>GROW</w:t>
            </w:r>
          </w:p>
        </w:tc>
        <w:tc>
          <w:tcPr>
            <w:cnfStyle w:evenVBand="true" w:oddVBand="false" w:firstColumn="false"/>
            <w:tcW w:w="33.333333%" w:type="pct"/>
          </w:tcPr>
          <w:p>
            <w:pPr>
              <w:ind w:leftChars="0" w:left="0" w:right="0"/>
            </w:pPr>
            <w:r>
              <w:t>GROW</w:t>
            </w:r>
          </w:p>
        </w:tc>
        <w:tc>
          <w:tcPr>
            <w:cnfStyle w:evenVBand="false" w:oddVBand="true" w:firstColumn="false"/>
            <w:tcW w:w="33.333333%" w:type="pct"/>
          </w:tcPr>
          <w:p>
            <w:pPr>
              <w:ind w:leftChars="0" w:left="0" w:right="0"/>
            </w:pPr>
            <w:r>
              <w:t>BME GROWTH MARKET</w:t>
            </w:r>
          </w:p>
        </w:tc>
      </w:tr>
      <w:tr>
        <w:trPr>
          <w:cnfStyle w:evenHBand="true" w:oddHBand="false" w:firstRow="false"/>
        </w:trPr>
        <w:tc>
          <w:tcPr>
            <w:cnfStyle w:evenVBand="false" w:oddVBand="true" w:firstColumn="false"/>
            <w:tcW w:w="33.333333%" w:type="pct"/>
          </w:tcPr>
          <w:p>
            <w:pPr>
              <w:ind w:leftChars="0" w:left="0" w:right="0"/>
            </w:pPr>
            <w:r>
              <w:t>GRSE</w:t>
            </w:r>
          </w:p>
        </w:tc>
        <w:tc>
          <w:tcPr>
            <w:cnfStyle w:evenVBand="true" w:oddVBand="false" w:firstColumn="false"/>
            <w:tcW w:w="33.333333%" w:type="pct"/>
          </w:tcPr>
          <w:p>
            <w:pPr>
              <w:ind w:leftChars="0" w:left="0" w:right="0"/>
            </w:pPr>
            <w:r>
              <w:t>GRSE</w:t>
            </w:r>
          </w:p>
        </w:tc>
        <w:tc>
          <w:tcPr>
            <w:cnfStyle w:evenVBand="false" w:oddVBand="true" w:firstColumn="false"/>
            <w:tcW w:w="33.333333%" w:type="pct"/>
          </w:tcPr>
          <w:p>
            <w:pPr>
              <w:ind w:leftChars="0" w:left="0" w:right="0"/>
            </w:pPr>
            <w:r>
              <w:t>THE GREEN STOCK EXCHANGE - ACB IMPACT MARKETS</w:t>
            </w:r>
          </w:p>
        </w:tc>
      </w:tr>
      <w:tr>
        <w:trPr>
          <w:cnfStyle w:evenHBand="false" w:oddHBand="true" w:firstRow="false"/>
        </w:trPr>
        <w:tc>
          <w:tcPr>
            <w:cnfStyle w:evenVBand="false" w:oddVBand="true" w:firstColumn="false"/>
            <w:tcW w:w="33.333333%" w:type="pct"/>
          </w:tcPr>
          <w:p>
            <w:pPr>
              <w:ind w:leftChars="0" w:left="0" w:right="0"/>
            </w:pPr>
            <w:r>
              <w:t>GSAL</w:t>
            </w:r>
          </w:p>
        </w:tc>
        <w:tc>
          <w:tcPr>
            <w:cnfStyle w:evenVBand="true" w:oddVBand="false" w:firstColumn="false"/>
            <w:tcW w:w="33.333333%" w:type="pct"/>
          </w:tcPr>
          <w:p>
            <w:pPr>
              <w:ind w:leftChars="0" w:left="0" w:right="0"/>
            </w:pPr>
            <w:r>
              <w:t>GSAL</w:t>
            </w:r>
          </w:p>
        </w:tc>
        <w:tc>
          <w:tcPr>
            <w:cnfStyle w:evenVBand="false" w:oddVBand="true" w:firstColumn="false"/>
            <w:tcW w:w="33.333333%" w:type="pct"/>
          </w:tcPr>
          <w:p>
            <w:pPr>
              <w:ind w:leftChars="0" w:left="0" w:right="0"/>
            </w:pPr>
            <w:r>
              <w:t>GOLDMAN SACHS (ASIA) LLC</w:t>
            </w:r>
          </w:p>
        </w:tc>
      </w:tr>
      <w:tr>
        <w:trPr>
          <w:cnfStyle w:evenHBand="true" w:oddHBand="false" w:firstRow="false"/>
        </w:trPr>
        <w:tc>
          <w:tcPr>
            <w:cnfStyle w:evenVBand="false" w:oddVBand="true" w:firstColumn="false"/>
            <w:tcW w:w="33.333333%" w:type="pct"/>
          </w:tcPr>
          <w:p>
            <w:pPr>
              <w:ind w:leftChars="0" w:left="0" w:right="0"/>
            </w:pPr>
            <w:r>
              <w:t>GSBE</w:t>
            </w:r>
          </w:p>
        </w:tc>
        <w:tc>
          <w:tcPr>
            <w:cnfStyle w:evenVBand="true" w:oddVBand="false" w:firstColumn="false"/>
            <w:tcW w:w="33.333333%" w:type="pct"/>
          </w:tcPr>
          <w:p>
            <w:pPr>
              <w:ind w:leftChars="0" w:left="0" w:right="0"/>
            </w:pPr>
            <w:r>
              <w:t>GSBE</w:t>
            </w:r>
          </w:p>
        </w:tc>
        <w:tc>
          <w:tcPr>
            <w:cnfStyle w:evenVBand="false" w:oddVBand="true" w:firstColumn="false"/>
            <w:tcW w:w="33.333333%" w:type="pct"/>
          </w:tcPr>
          <w:p>
            <w:pPr>
              <w:ind w:leftChars="0" w:left="0" w:right="0"/>
            </w:pPr>
            <w:r>
              <w:t>GOLDMAN SACHS BANK EUROPE SE</w:t>
            </w:r>
          </w:p>
        </w:tc>
      </w:tr>
      <w:tr>
        <w:trPr>
          <w:cnfStyle w:evenHBand="false" w:oddHBand="true" w:firstRow="false"/>
        </w:trPr>
        <w:tc>
          <w:tcPr>
            <w:cnfStyle w:evenVBand="false" w:oddVBand="true" w:firstColumn="false"/>
            <w:tcW w:w="33.333333%" w:type="pct"/>
          </w:tcPr>
          <w:p>
            <w:pPr>
              <w:ind w:leftChars="0" w:left="0" w:right="0"/>
            </w:pPr>
            <w:r>
              <w:t>GSBX</w:t>
            </w:r>
          </w:p>
        </w:tc>
        <w:tc>
          <w:tcPr>
            <w:cnfStyle w:evenVBand="true" w:oddVBand="false" w:firstColumn="false"/>
            <w:tcW w:w="33.333333%" w:type="pct"/>
          </w:tcPr>
          <w:p>
            <w:pPr>
              <w:ind w:leftChars="0" w:left="0" w:right="0"/>
            </w:pPr>
            <w:r>
              <w:t>GSBX</w:t>
            </w:r>
          </w:p>
        </w:tc>
        <w:tc>
          <w:tcPr>
            <w:cnfStyle w:evenVBand="false" w:oddVBand="true" w:firstColumn="false"/>
            <w:tcW w:w="33.333333%" w:type="pct"/>
          </w:tcPr>
          <w:p>
            <w:pPr>
              <w:ind w:leftChars="0" w:left="0" w:right="0"/>
            </w:pPr>
            <w:r>
              <w:t>GOLDMAN SACHS INTERNATIONAL - SIGMA BCN</w:t>
            </w:r>
          </w:p>
        </w:tc>
      </w:tr>
      <w:tr>
        <w:trPr>
          <w:cnfStyle w:evenHBand="true" w:oddHBand="false" w:firstRow="false"/>
        </w:trPr>
        <w:tc>
          <w:tcPr>
            <w:cnfStyle w:evenVBand="false" w:oddVBand="true" w:firstColumn="false"/>
            <w:tcW w:w="33.333333%" w:type="pct"/>
          </w:tcPr>
          <w:p>
            <w:pPr>
              <w:ind w:leftChars="0" w:left="0" w:right="0"/>
            </w:pPr>
            <w:r>
              <w:t>GSCI</w:t>
            </w:r>
          </w:p>
        </w:tc>
        <w:tc>
          <w:tcPr>
            <w:cnfStyle w:evenVBand="true" w:oddVBand="false" w:firstColumn="false"/>
            <w:tcW w:w="33.333333%" w:type="pct"/>
          </w:tcPr>
          <w:p>
            <w:pPr>
              <w:ind w:leftChars="0" w:left="0" w:right="0"/>
            </w:pPr>
            <w:r>
              <w:t>GSCI</w:t>
            </w:r>
          </w:p>
        </w:tc>
        <w:tc>
          <w:tcPr>
            <w:cnfStyle w:evenVBand="false" w:oddVBand="true" w:firstColumn="false"/>
            <w:tcW w:w="33.333333%" w:type="pct"/>
          </w:tcPr>
          <w:p>
            <w:pPr>
              <w:ind w:leftChars="0" w:left="0" w:right="0"/>
            </w:pPr>
            <w:r>
              <w:t>THE GUYANA ASSOCIATION OF SECURITIES COMPANIES AND INTERMEDIARIES INC.</w:t>
            </w:r>
          </w:p>
        </w:tc>
      </w:tr>
      <w:tr>
        <w:trPr>
          <w:cnfStyle w:evenHBand="false" w:oddHBand="true" w:firstRow="false"/>
        </w:trPr>
        <w:tc>
          <w:tcPr>
            <w:cnfStyle w:evenVBand="false" w:oddVBand="true" w:firstColumn="false"/>
            <w:tcW w:w="33.333333%" w:type="pct"/>
          </w:tcPr>
          <w:p>
            <w:pPr>
              <w:ind w:leftChars="0" w:left="0" w:right="0"/>
            </w:pPr>
            <w:r>
              <w:t>GSCO</w:t>
            </w:r>
          </w:p>
        </w:tc>
        <w:tc>
          <w:tcPr>
            <w:cnfStyle w:evenVBand="true" w:oddVBand="false" w:firstColumn="false"/>
            <w:tcW w:w="33.333333%" w:type="pct"/>
          </w:tcPr>
          <w:p>
            <w:pPr>
              <w:ind w:leftChars="0" w:left="0" w:right="0"/>
            </w:pPr>
            <w:r>
              <w:t>GSCO</w:t>
            </w:r>
          </w:p>
        </w:tc>
        <w:tc>
          <w:tcPr>
            <w:cnfStyle w:evenVBand="false" w:oddVBand="true" w:firstColumn="false"/>
            <w:tcW w:w="33.333333%" w:type="pct"/>
          </w:tcPr>
          <w:p>
            <w:pPr>
              <w:ind w:leftChars="0" w:left="0" w:right="0"/>
            </w:pPr>
            <w:r>
              <w:t>GOLDMAN SACHS AND CO.</w:t>
            </w:r>
          </w:p>
        </w:tc>
      </w:tr>
      <w:tr>
        <w:trPr>
          <w:cnfStyle w:evenHBand="true" w:oddHBand="false" w:firstRow="false"/>
        </w:trPr>
        <w:tc>
          <w:tcPr>
            <w:cnfStyle w:evenVBand="false" w:oddVBand="true" w:firstColumn="false"/>
            <w:tcW w:w="33.333333%" w:type="pct"/>
          </w:tcPr>
          <w:p>
            <w:pPr>
              <w:ind w:leftChars="0" w:left="0" w:right="0"/>
            </w:pPr>
            <w:r>
              <w:t>GSEF</w:t>
            </w:r>
          </w:p>
        </w:tc>
        <w:tc>
          <w:tcPr>
            <w:cnfStyle w:evenVBand="true" w:oddVBand="false" w:firstColumn="false"/>
            <w:tcW w:w="33.333333%" w:type="pct"/>
          </w:tcPr>
          <w:p>
            <w:pPr>
              <w:ind w:leftChars="0" w:left="0" w:right="0"/>
            </w:pPr>
            <w:r>
              <w:t>GSEF</w:t>
            </w:r>
          </w:p>
        </w:tc>
        <w:tc>
          <w:tcPr>
            <w:cnfStyle w:evenVBand="false" w:oddVBand="true" w:firstColumn="false"/>
            <w:tcW w:w="33.333333%" w:type="pct"/>
          </w:tcPr>
          <w:p>
            <w:pPr>
              <w:ind w:leftChars="0" w:left="0" w:right="0"/>
            </w:pPr>
            <w:r>
              <w:t>GFI SWAPS EXCHANGE, LLC</w:t>
            </w:r>
          </w:p>
        </w:tc>
      </w:tr>
      <w:tr>
        <w:trPr>
          <w:cnfStyle w:evenHBand="false" w:oddHBand="true" w:firstRow="false"/>
        </w:trPr>
        <w:tc>
          <w:tcPr>
            <w:cnfStyle w:evenVBand="false" w:oddVBand="true" w:firstColumn="false"/>
            <w:tcW w:w="33.333333%" w:type="pct"/>
          </w:tcPr>
          <w:p>
            <w:pPr>
              <w:ind w:leftChars="0" w:left="0" w:right="0"/>
            </w:pPr>
            <w:r>
              <w:t>GSEI</w:t>
            </w:r>
          </w:p>
        </w:tc>
        <w:tc>
          <w:tcPr>
            <w:cnfStyle w:evenVBand="true" w:oddVBand="false" w:firstColumn="false"/>
            <w:tcW w:w="33.333333%" w:type="pct"/>
          </w:tcPr>
          <w:p>
            <w:pPr>
              <w:ind w:leftChars="0" w:left="0" w:right="0"/>
            </w:pPr>
            <w:r>
              <w:t>GSEI</w:t>
            </w:r>
          </w:p>
        </w:tc>
        <w:tc>
          <w:tcPr>
            <w:cnfStyle w:evenVBand="false" w:oddVBand="true" w:firstColumn="false"/>
            <w:tcW w:w="33.333333%" w:type="pct"/>
          </w:tcPr>
          <w:p>
            <w:pPr>
              <w:ind w:leftChars="0" w:left="0" w:right="0"/>
            </w:pPr>
            <w:r>
              <w:t>GOLDMAN SACHS BANK EUROPE SE - SYSTEMATIC INTERNALISER</w:t>
            </w:r>
          </w:p>
        </w:tc>
      </w:tr>
      <w:tr>
        <w:trPr>
          <w:cnfStyle w:evenHBand="true" w:oddHBand="false" w:firstRow="false"/>
        </w:trPr>
        <w:tc>
          <w:tcPr>
            <w:cnfStyle w:evenVBand="false" w:oddVBand="true" w:firstColumn="false"/>
            <w:tcW w:w="33.333333%" w:type="pct"/>
          </w:tcPr>
          <w:p>
            <w:pPr>
              <w:ind w:leftChars="0" w:left="0" w:right="0"/>
            </w:pPr>
            <w:r>
              <w:t>GSIB</w:t>
            </w:r>
          </w:p>
        </w:tc>
        <w:tc>
          <w:tcPr>
            <w:cnfStyle w:evenVBand="true" w:oddVBand="false" w:firstColumn="false"/>
            <w:tcW w:w="33.333333%" w:type="pct"/>
          </w:tcPr>
          <w:p>
            <w:pPr>
              <w:ind w:leftChars="0" w:left="0" w:right="0"/>
            </w:pPr>
            <w:r>
              <w:t>GSIB</w:t>
            </w:r>
          </w:p>
        </w:tc>
        <w:tc>
          <w:tcPr>
            <w:cnfStyle w:evenVBand="false" w:oddVBand="true" w:firstColumn="false"/>
            <w:tcW w:w="33.333333%" w:type="pct"/>
          </w:tcPr>
          <w:p>
            <w:pPr>
              <w:ind w:leftChars="0" w:left="0" w:right="0"/>
            </w:pPr>
            <w:r>
              <w:t>GOLDMAN SACHS INTERNATIONAL BANK</w:t>
            </w:r>
          </w:p>
        </w:tc>
      </w:tr>
      <w:tr>
        <w:trPr>
          <w:cnfStyle w:evenHBand="false" w:oddHBand="true" w:firstRow="false"/>
        </w:trPr>
        <w:tc>
          <w:tcPr>
            <w:cnfStyle w:evenVBand="false" w:oddVBand="true" w:firstColumn="false"/>
            <w:tcW w:w="33.333333%" w:type="pct"/>
          </w:tcPr>
          <w:p>
            <w:pPr>
              <w:ind w:leftChars="0" w:left="0" w:right="0"/>
            </w:pPr>
            <w:r>
              <w:t>GSIL</w:t>
            </w:r>
          </w:p>
        </w:tc>
        <w:tc>
          <w:tcPr>
            <w:cnfStyle w:evenVBand="true" w:oddVBand="false" w:firstColumn="false"/>
            <w:tcW w:w="33.333333%" w:type="pct"/>
          </w:tcPr>
          <w:p>
            <w:pPr>
              <w:ind w:leftChars="0" w:left="0" w:right="0"/>
            </w:pPr>
            <w:r>
              <w:t>GSIL</w:t>
            </w:r>
          </w:p>
        </w:tc>
        <w:tc>
          <w:tcPr>
            <w:cnfStyle w:evenVBand="false" w:oddVBand="true" w:firstColumn="false"/>
            <w:tcW w:w="33.333333%" w:type="pct"/>
          </w:tcPr>
          <w:p>
            <w:pPr>
              <w:ind w:leftChars="0" w:left="0" w:right="0"/>
            </w:pPr>
            <w:r>
              <w:t>GOLDMAN SACHS INTERNATIONAL</w:t>
            </w:r>
          </w:p>
        </w:tc>
      </w:tr>
      <w:tr>
        <w:trPr>
          <w:cnfStyle w:evenHBand="true" w:oddHBand="false" w:firstRow="false"/>
        </w:trPr>
        <w:tc>
          <w:tcPr>
            <w:cnfStyle w:evenVBand="false" w:oddVBand="true" w:firstColumn="false"/>
            <w:tcW w:w="33.333333%" w:type="pct"/>
          </w:tcPr>
          <w:p>
            <w:pPr>
              <w:ind w:leftChars="0" w:left="0" w:right="0"/>
            </w:pPr>
            <w:r>
              <w:t>GSPL</w:t>
            </w:r>
          </w:p>
        </w:tc>
        <w:tc>
          <w:tcPr>
            <w:cnfStyle w:evenVBand="true" w:oddVBand="false" w:firstColumn="false"/>
            <w:tcW w:w="33.333333%" w:type="pct"/>
          </w:tcPr>
          <w:p>
            <w:pPr>
              <w:ind w:leftChars="0" w:left="0" w:right="0"/>
            </w:pPr>
            <w:r>
              <w:t>GSPL</w:t>
            </w:r>
          </w:p>
        </w:tc>
        <w:tc>
          <w:tcPr>
            <w:cnfStyle w:evenVBand="false" w:oddVBand="true" w:firstColumn="false"/>
            <w:tcW w:w="33.333333%" w:type="pct"/>
          </w:tcPr>
          <w:p>
            <w:pPr>
              <w:ind w:leftChars="0" w:left="0" w:right="0"/>
            </w:pPr>
            <w:r>
              <w:t>GS PRINCIPAL LIQUIDITY ASIA</w:t>
            </w:r>
          </w:p>
        </w:tc>
      </w:tr>
      <w:tr>
        <w:trPr>
          <w:cnfStyle w:evenHBand="false" w:oddHBand="true" w:firstRow="false"/>
        </w:trPr>
        <w:tc>
          <w:tcPr>
            <w:cnfStyle w:evenVBand="false" w:oddVBand="true" w:firstColumn="false"/>
            <w:tcW w:w="33.333333%" w:type="pct"/>
          </w:tcPr>
          <w:p>
            <w:pPr>
              <w:ind w:leftChars="0" w:left="0" w:right="0"/>
            </w:pPr>
            <w:r>
              <w:t>GSPX</w:t>
            </w:r>
          </w:p>
        </w:tc>
        <w:tc>
          <w:tcPr>
            <w:cnfStyle w:evenVBand="true" w:oddVBand="false" w:firstColumn="false"/>
            <w:tcW w:w="33.333333%" w:type="pct"/>
          </w:tcPr>
          <w:p>
            <w:pPr>
              <w:ind w:leftChars="0" w:left="0" w:right="0"/>
            </w:pPr>
            <w:r>
              <w:t>GSPX</w:t>
            </w:r>
          </w:p>
        </w:tc>
        <w:tc>
          <w:tcPr>
            <w:cnfStyle w:evenVBand="false" w:oddVBand="true" w:firstColumn="false"/>
            <w:tcW w:w="33.333333%" w:type="pct"/>
          </w:tcPr>
          <w:p>
            <w:pPr>
              <w:ind w:leftChars="0" w:left="0" w:right="0"/>
            </w:pPr>
            <w:r>
              <w:t>GOLDMAN SACHS INTERNATIONAL PARIS BRANCH - SYSTEMATIC INTERNALISER</w:t>
            </w:r>
          </w:p>
        </w:tc>
      </w:tr>
      <w:tr>
        <w:trPr>
          <w:cnfStyle w:evenHBand="true" w:oddHBand="false" w:firstRow="false"/>
        </w:trPr>
        <w:tc>
          <w:tcPr>
            <w:cnfStyle w:evenVBand="false" w:oddVBand="true" w:firstColumn="false"/>
            <w:tcW w:w="33.333333%" w:type="pct"/>
          </w:tcPr>
          <w:p>
            <w:pPr>
              <w:ind w:leftChars="0" w:left="0" w:right="0"/>
            </w:pPr>
            <w:r>
              <w:t>GSSI</w:t>
            </w:r>
          </w:p>
        </w:tc>
        <w:tc>
          <w:tcPr>
            <w:cnfStyle w:evenVBand="true" w:oddVBand="false" w:firstColumn="false"/>
            <w:tcW w:w="33.333333%" w:type="pct"/>
          </w:tcPr>
          <w:p>
            <w:pPr>
              <w:ind w:leftChars="0" w:left="0" w:right="0"/>
            </w:pPr>
            <w:r>
              <w:t>GSSI</w:t>
            </w:r>
          </w:p>
        </w:tc>
        <w:tc>
          <w:tcPr>
            <w:cnfStyle w:evenVBand="false" w:oddVBand="true" w:firstColumn="false"/>
            <w:tcW w:w="33.333333%" w:type="pct"/>
          </w:tcPr>
          <w:p>
            <w:pPr>
              <w:ind w:leftChars="0" w:left="0" w:right="0"/>
            </w:pPr>
            <w:r>
              <w:t>GOLDMAN SACHS INTERNATIONAL - SYSTEMATIC INTERNALISER</w:t>
            </w:r>
          </w:p>
        </w:tc>
      </w:tr>
      <w:tr>
        <w:trPr>
          <w:cnfStyle w:evenHBand="false" w:oddHBand="true" w:firstRow="false"/>
        </w:trPr>
        <w:tc>
          <w:tcPr>
            <w:cnfStyle w:evenVBand="false" w:oddVBand="true" w:firstColumn="false"/>
            <w:tcW w:w="33.333333%" w:type="pct"/>
          </w:tcPr>
          <w:p>
            <w:pPr>
              <w:ind w:leftChars="0" w:left="0" w:right="0"/>
            </w:pPr>
            <w:r>
              <w:t>GSXC</w:t>
            </w:r>
          </w:p>
        </w:tc>
        <w:tc>
          <w:tcPr>
            <w:cnfStyle w:evenVBand="true" w:oddVBand="false" w:firstColumn="false"/>
            <w:tcW w:w="33.333333%" w:type="pct"/>
          </w:tcPr>
          <w:p>
            <w:pPr>
              <w:ind w:leftChars="0" w:left="0" w:right="0"/>
            </w:pPr>
            <w:r>
              <w:t>GSXC</w:t>
            </w:r>
          </w:p>
        </w:tc>
        <w:tc>
          <w:tcPr>
            <w:cnfStyle w:evenVBand="false" w:oddVBand="true" w:firstColumn="false"/>
            <w:tcW w:w="33.333333%" w:type="pct"/>
          </w:tcPr>
          <w:p>
            <w:pPr>
              <w:ind w:leftChars="0" w:left="0" w:right="0"/>
            </w:pPr>
            <w:r>
              <w:t>GSX CHINA</w:t>
            </w:r>
          </w:p>
        </w:tc>
      </w:tr>
      <w:tr>
        <w:trPr>
          <w:cnfStyle w:evenHBand="true" w:oddHBand="false" w:firstRow="false"/>
        </w:trPr>
        <w:tc>
          <w:tcPr>
            <w:cnfStyle w:evenVBand="false" w:oddVBand="true" w:firstColumn="false"/>
            <w:tcW w:w="33.333333%" w:type="pct"/>
          </w:tcPr>
          <w:p>
            <w:pPr>
              <w:ind w:leftChars="0" w:left="0" w:right="0"/>
            </w:pPr>
            <w:r>
              <w:t>GSXH</w:t>
            </w:r>
          </w:p>
        </w:tc>
        <w:tc>
          <w:tcPr>
            <w:cnfStyle w:evenVBand="true" w:oddVBand="false" w:firstColumn="false"/>
            <w:tcW w:w="33.333333%" w:type="pct"/>
          </w:tcPr>
          <w:p>
            <w:pPr>
              <w:ind w:leftChars="0" w:left="0" w:right="0"/>
            </w:pPr>
            <w:r>
              <w:t>GSXH</w:t>
            </w:r>
          </w:p>
        </w:tc>
        <w:tc>
          <w:tcPr>
            <w:cnfStyle w:evenVBand="false" w:oddVBand="true" w:firstColumn="false"/>
            <w:tcW w:w="33.333333%" w:type="pct"/>
          </w:tcPr>
          <w:p>
            <w:pPr>
              <w:ind w:leftChars="0" w:left="0" w:right="0"/>
            </w:pPr>
            <w:r>
              <w:t>GSX HONG KONG</w:t>
            </w:r>
          </w:p>
        </w:tc>
      </w:tr>
      <w:tr>
        <w:trPr>
          <w:cnfStyle w:evenHBand="false" w:oddHBand="true" w:firstRow="false"/>
        </w:trPr>
        <w:tc>
          <w:tcPr>
            <w:cnfStyle w:evenVBand="false" w:oddVBand="true" w:firstColumn="false"/>
            <w:tcW w:w="33.333333%" w:type="pct"/>
          </w:tcPr>
          <w:p>
            <w:pPr>
              <w:ind w:leftChars="0" w:left="0" w:right="0"/>
            </w:pPr>
            <w:r>
              <w:t>GSXK</w:t>
            </w:r>
          </w:p>
        </w:tc>
        <w:tc>
          <w:tcPr>
            <w:cnfStyle w:evenVBand="true" w:oddVBand="false" w:firstColumn="false"/>
            <w:tcW w:w="33.333333%" w:type="pct"/>
          </w:tcPr>
          <w:p>
            <w:pPr>
              <w:ind w:leftChars="0" w:left="0" w:right="0"/>
            </w:pPr>
            <w:r>
              <w:t>GSXK</w:t>
            </w:r>
          </w:p>
        </w:tc>
        <w:tc>
          <w:tcPr>
            <w:cnfStyle w:evenVBand="false" w:oddVBand="true" w:firstColumn="false"/>
            <w:tcW w:w="33.333333%" w:type="pct"/>
          </w:tcPr>
          <w:p>
            <w:pPr>
              <w:ind w:leftChars="0" w:left="0" w:right="0"/>
            </w:pPr>
            <w:r>
              <w:t>GSX KOREA</w:t>
            </w:r>
          </w:p>
        </w:tc>
      </w:tr>
      <w:tr>
        <w:trPr>
          <w:cnfStyle w:evenHBand="true" w:oddHBand="false" w:firstRow="false"/>
        </w:trPr>
        <w:tc>
          <w:tcPr>
            <w:cnfStyle w:evenVBand="false" w:oddVBand="true" w:firstColumn="false"/>
            <w:tcW w:w="33.333333%" w:type="pct"/>
          </w:tcPr>
          <w:p>
            <w:pPr>
              <w:ind w:leftChars="0" w:left="0" w:right="0"/>
            </w:pPr>
            <w:r>
              <w:t>GSXL</w:t>
            </w:r>
          </w:p>
        </w:tc>
        <w:tc>
          <w:tcPr>
            <w:cnfStyle w:evenVBand="true" w:oddVBand="false" w:firstColumn="false"/>
            <w:tcW w:w="33.333333%" w:type="pct"/>
          </w:tcPr>
          <w:p>
            <w:pPr>
              <w:ind w:leftChars="0" w:left="0" w:right="0"/>
            </w:pPr>
            <w:r>
              <w:t>GSXL</w:t>
            </w:r>
          </w:p>
        </w:tc>
        <w:tc>
          <w:tcPr>
            <w:cnfStyle w:evenVBand="false" w:oddVBand="true" w:firstColumn="false"/>
            <w:tcW w:w="33.333333%" w:type="pct"/>
          </w:tcPr>
          <w:p>
            <w:pPr>
              <w:ind w:leftChars="0" w:left="0" w:right="0"/>
            </w:pPr>
            <w:r>
              <w:t>THE GIBRALTAR STOCK EXCHANGE</w:t>
            </w:r>
          </w:p>
        </w:tc>
      </w:tr>
      <w:tr>
        <w:trPr>
          <w:cnfStyle w:evenHBand="false" w:oddHBand="true" w:firstRow="false"/>
        </w:trPr>
        <w:tc>
          <w:tcPr>
            <w:cnfStyle w:evenVBand="false" w:oddVBand="true" w:firstColumn="false"/>
            <w:tcW w:w="33.333333%" w:type="pct"/>
          </w:tcPr>
          <w:p>
            <w:pPr>
              <w:ind w:leftChars="0" w:left="0" w:right="0"/>
            </w:pPr>
            <w:r>
              <w:t>GSXT</w:t>
            </w:r>
          </w:p>
        </w:tc>
        <w:tc>
          <w:tcPr>
            <w:cnfStyle w:evenVBand="true" w:oddVBand="false" w:firstColumn="false"/>
            <w:tcW w:w="33.333333%" w:type="pct"/>
          </w:tcPr>
          <w:p>
            <w:pPr>
              <w:ind w:leftChars="0" w:left="0" w:right="0"/>
            </w:pPr>
            <w:r>
              <w:t>GSXT</w:t>
            </w:r>
          </w:p>
        </w:tc>
        <w:tc>
          <w:tcPr>
            <w:cnfStyle w:evenVBand="false" w:oddVBand="true" w:firstColumn="false"/>
            <w:tcW w:w="33.333333%" w:type="pct"/>
          </w:tcPr>
          <w:p>
            <w:pPr>
              <w:ind w:leftChars="0" w:left="0" w:right="0"/>
            </w:pPr>
            <w:r>
              <w:t>GSX TAIWAN</w:t>
            </w:r>
          </w:p>
        </w:tc>
      </w:tr>
      <w:tr>
        <w:trPr>
          <w:cnfStyle w:evenHBand="true" w:oddHBand="false" w:firstRow="false"/>
        </w:trPr>
        <w:tc>
          <w:tcPr>
            <w:cnfStyle w:evenVBand="false" w:oddVBand="true" w:firstColumn="false"/>
            <w:tcW w:w="33.333333%" w:type="pct"/>
          </w:tcPr>
          <w:p>
            <w:pPr>
              <w:ind w:leftChars="0" w:left="0" w:right="0"/>
            </w:pPr>
            <w:r>
              <w:t>GTCO</w:t>
            </w:r>
          </w:p>
        </w:tc>
        <w:tc>
          <w:tcPr>
            <w:cnfStyle w:evenVBand="true" w:oddVBand="false" w:firstColumn="false"/>
            <w:tcW w:w="33.333333%" w:type="pct"/>
          </w:tcPr>
          <w:p>
            <w:pPr>
              <w:ind w:leftChars="0" w:left="0" w:right="0"/>
            </w:pPr>
            <w:r>
              <w:t>GTCO</w:t>
            </w:r>
          </w:p>
        </w:tc>
        <w:tc>
          <w:tcPr>
            <w:cnfStyle w:evenVBand="false" w:oddVBand="true" w:firstColumn="false"/>
            <w:tcW w:w="33.333333%" w:type="pct"/>
          </w:tcPr>
          <w:p>
            <w:pPr>
              <w:ind w:leftChars="0" w:left="0" w:right="0"/>
            </w:pPr>
            <w:r>
              <w:t>KCG AMERICAS LLC</w:t>
            </w:r>
          </w:p>
        </w:tc>
      </w:tr>
      <w:tr>
        <w:trPr>
          <w:cnfStyle w:evenHBand="false" w:oddHBand="true" w:firstRow="false"/>
        </w:trPr>
        <w:tc>
          <w:tcPr>
            <w:cnfStyle w:evenVBand="false" w:oddVBand="true" w:firstColumn="false"/>
            <w:tcW w:w="33.333333%" w:type="pct"/>
          </w:tcPr>
          <w:p>
            <w:pPr>
              <w:ind w:leftChars="0" w:left="0" w:right="0"/>
            </w:pPr>
            <w:r>
              <w:t>GTSX</w:t>
            </w:r>
          </w:p>
        </w:tc>
        <w:tc>
          <w:tcPr>
            <w:cnfStyle w:evenVBand="true" w:oddVBand="false" w:firstColumn="false"/>
            <w:tcW w:w="33.333333%" w:type="pct"/>
          </w:tcPr>
          <w:p>
            <w:pPr>
              <w:ind w:leftChars="0" w:left="0" w:right="0"/>
            </w:pPr>
            <w:r>
              <w:t>GTSX</w:t>
            </w:r>
          </w:p>
        </w:tc>
        <w:tc>
          <w:tcPr>
            <w:cnfStyle w:evenVBand="false" w:oddVBand="true" w:firstColumn="false"/>
            <w:tcW w:w="33.333333%" w:type="pct"/>
          </w:tcPr>
          <w:p>
            <w:pPr>
              <w:ind w:leftChars="0" w:left="0" w:right="0"/>
            </w:pPr>
            <w:r>
              <w:t>GTSX</w:t>
            </w:r>
          </w:p>
        </w:tc>
      </w:tr>
      <w:tr>
        <w:trPr>
          <w:cnfStyle w:evenHBand="true" w:oddHBand="false" w:firstRow="false"/>
        </w:trPr>
        <w:tc>
          <w:tcPr>
            <w:cnfStyle w:evenVBand="false" w:oddVBand="true" w:firstColumn="false"/>
            <w:tcW w:w="33.333333%" w:type="pct"/>
          </w:tcPr>
          <w:p>
            <w:pPr>
              <w:ind w:leftChars="0" w:left="0" w:right="0"/>
            </w:pPr>
            <w:r>
              <w:t>GTXE</w:t>
            </w:r>
          </w:p>
        </w:tc>
        <w:tc>
          <w:tcPr>
            <w:cnfStyle w:evenVBand="true" w:oddVBand="false" w:firstColumn="false"/>
            <w:tcW w:w="33.333333%" w:type="pct"/>
          </w:tcPr>
          <w:p>
            <w:pPr>
              <w:ind w:leftChars="0" w:left="0" w:right="0"/>
            </w:pPr>
            <w:r>
              <w:t>GTXE</w:t>
            </w:r>
          </w:p>
        </w:tc>
        <w:tc>
          <w:tcPr>
            <w:cnfStyle w:evenVBand="false" w:oddVBand="true" w:firstColumn="false"/>
            <w:tcW w:w="33.333333%" w:type="pct"/>
          </w:tcPr>
          <w:p>
            <w:pPr>
              <w:ind w:leftChars="0" w:left="0" w:right="0"/>
            </w:pPr>
            <w:r>
              <w:t>GTX ECN</w:t>
            </w:r>
          </w:p>
        </w:tc>
      </w:tr>
      <w:tr>
        <w:trPr>
          <w:cnfStyle w:evenHBand="false" w:oddHBand="true" w:firstRow="false"/>
        </w:trPr>
        <w:tc>
          <w:tcPr>
            <w:cnfStyle w:evenVBand="false" w:oddVBand="true" w:firstColumn="false"/>
            <w:tcW w:w="33.333333%" w:type="pct"/>
          </w:tcPr>
          <w:p>
            <w:pPr>
              <w:ind w:leftChars="0" w:left="0" w:right="0"/>
            </w:pPr>
            <w:r>
              <w:t>GTXS</w:t>
            </w:r>
          </w:p>
        </w:tc>
        <w:tc>
          <w:tcPr>
            <w:cnfStyle w:evenVBand="true" w:oddVBand="false" w:firstColumn="false"/>
            <w:tcW w:w="33.333333%" w:type="pct"/>
          </w:tcPr>
          <w:p>
            <w:pPr>
              <w:ind w:leftChars="0" w:left="0" w:right="0"/>
            </w:pPr>
            <w:r>
              <w:t>GTXS</w:t>
            </w:r>
          </w:p>
        </w:tc>
        <w:tc>
          <w:tcPr>
            <w:cnfStyle w:evenVBand="false" w:oddVBand="true" w:firstColumn="false"/>
            <w:tcW w:w="33.333333%" w:type="pct"/>
          </w:tcPr>
          <w:p>
            <w:pPr>
              <w:ind w:leftChars="0" w:left="0" w:right="0"/>
            </w:pPr>
            <w:r>
              <w:t>GTX SEF, LLC</w:t>
            </w:r>
          </w:p>
        </w:tc>
      </w:tr>
      <w:tr>
        <w:trPr>
          <w:cnfStyle w:evenHBand="true" w:oddHBand="false" w:firstRow="false"/>
        </w:trPr>
        <w:tc>
          <w:tcPr>
            <w:cnfStyle w:evenVBand="false" w:oddVBand="true" w:firstColumn="false"/>
            <w:tcW w:w="33.333333%" w:type="pct"/>
          </w:tcPr>
          <w:p>
            <w:pPr>
              <w:ind w:leftChars="0" w:left="0" w:right="0"/>
            </w:pPr>
            <w:r>
              <w:t>GXGF</w:t>
            </w:r>
          </w:p>
        </w:tc>
        <w:tc>
          <w:tcPr>
            <w:cnfStyle w:evenVBand="true" w:oddVBand="false" w:firstColumn="false"/>
            <w:tcW w:w="33.333333%" w:type="pct"/>
          </w:tcPr>
          <w:p>
            <w:pPr>
              <w:ind w:leftChars="0" w:left="0" w:right="0"/>
            </w:pPr>
            <w:r>
              <w:t>GXGF</w:t>
            </w:r>
          </w:p>
        </w:tc>
        <w:tc>
          <w:tcPr>
            <w:cnfStyle w:evenVBand="false" w:oddVBand="true" w:firstColumn="false"/>
            <w:tcW w:w="33.333333%" w:type="pct"/>
          </w:tcPr>
          <w:p>
            <w:pPr>
              <w:ind w:leftChars="0" w:left="0" w:right="0"/>
            </w:pPr>
            <w:r>
              <w:t>GXG MTF FIRST QUOTE</w:t>
            </w:r>
          </w:p>
        </w:tc>
      </w:tr>
      <w:tr>
        <w:trPr>
          <w:cnfStyle w:evenHBand="false" w:oddHBand="true" w:firstRow="false"/>
        </w:trPr>
        <w:tc>
          <w:tcPr>
            <w:cnfStyle w:evenVBand="false" w:oddVBand="true" w:firstColumn="false"/>
            <w:tcW w:w="33.333333%" w:type="pct"/>
          </w:tcPr>
          <w:p>
            <w:pPr>
              <w:ind w:leftChars="0" w:left="0" w:right="0"/>
            </w:pPr>
            <w:r>
              <w:t>GXGM</w:t>
            </w:r>
          </w:p>
        </w:tc>
        <w:tc>
          <w:tcPr>
            <w:cnfStyle w:evenVBand="true" w:oddVBand="false" w:firstColumn="false"/>
            <w:tcW w:w="33.333333%" w:type="pct"/>
          </w:tcPr>
          <w:p>
            <w:pPr>
              <w:ind w:leftChars="0" w:left="0" w:right="0"/>
            </w:pPr>
            <w:r>
              <w:t>GXGM</w:t>
            </w:r>
          </w:p>
        </w:tc>
        <w:tc>
          <w:tcPr>
            <w:cnfStyle w:evenVBand="false" w:oddVBand="true" w:firstColumn="false"/>
            <w:tcW w:w="33.333333%" w:type="pct"/>
          </w:tcPr>
          <w:p>
            <w:pPr>
              <w:ind w:leftChars="0" w:left="0" w:right="0"/>
            </w:pPr>
            <w:r>
              <w:t>GXG MTF</w:t>
            </w:r>
          </w:p>
        </w:tc>
      </w:tr>
      <w:tr>
        <w:trPr>
          <w:cnfStyle w:evenHBand="true" w:oddHBand="false" w:firstRow="false"/>
        </w:trPr>
        <w:tc>
          <w:tcPr>
            <w:cnfStyle w:evenVBand="false" w:oddVBand="true" w:firstColumn="false"/>
            <w:tcW w:w="33.333333%" w:type="pct"/>
          </w:tcPr>
          <w:p>
            <w:pPr>
              <w:ind w:leftChars="0" w:left="0" w:right="0"/>
            </w:pPr>
            <w:r>
              <w:t>GXGR</w:t>
            </w:r>
          </w:p>
        </w:tc>
        <w:tc>
          <w:tcPr>
            <w:cnfStyle w:evenVBand="true" w:oddVBand="false" w:firstColumn="false"/>
            <w:tcW w:w="33.333333%" w:type="pct"/>
          </w:tcPr>
          <w:p>
            <w:pPr>
              <w:ind w:leftChars="0" w:left="0" w:right="0"/>
            </w:pPr>
            <w:r>
              <w:t>GXGR</w:t>
            </w:r>
          </w:p>
        </w:tc>
        <w:tc>
          <w:tcPr>
            <w:cnfStyle w:evenVBand="false" w:oddVBand="true" w:firstColumn="false"/>
            <w:tcW w:w="33.333333%" w:type="pct"/>
          </w:tcPr>
          <w:p>
            <w:pPr>
              <w:ind w:leftChars="0" w:left="0" w:right="0"/>
            </w:pPr>
            <w:r>
              <w:t>GXG MARKETS A/S</w:t>
            </w:r>
          </w:p>
        </w:tc>
      </w:tr>
      <w:tr>
        <w:trPr>
          <w:cnfStyle w:evenHBand="false" w:oddHBand="true" w:firstRow="false"/>
        </w:trPr>
        <w:tc>
          <w:tcPr>
            <w:cnfStyle w:evenVBand="false" w:oddVBand="true" w:firstColumn="false"/>
            <w:tcW w:w="33.333333%" w:type="pct"/>
          </w:tcPr>
          <w:p>
            <w:pPr>
              <w:ind w:leftChars="0" w:left="0" w:right="0"/>
            </w:pPr>
            <w:r>
              <w:t>GXMA</w:t>
            </w:r>
          </w:p>
        </w:tc>
        <w:tc>
          <w:tcPr>
            <w:cnfStyle w:evenVBand="true" w:oddVBand="false" w:firstColumn="false"/>
            <w:tcW w:w="33.333333%" w:type="pct"/>
          </w:tcPr>
          <w:p>
            <w:pPr>
              <w:ind w:leftChars="0" w:left="0" w:right="0"/>
            </w:pPr>
            <w:r>
              <w:t>GXMA</w:t>
            </w:r>
          </w:p>
        </w:tc>
        <w:tc>
          <w:tcPr>
            <w:cnfStyle w:evenVBand="false" w:oddVBand="true" w:firstColumn="false"/>
            <w:tcW w:w="33.333333%" w:type="pct"/>
          </w:tcPr>
          <w:p>
            <w:pPr>
              <w:ind w:leftChars="0" w:left="0" w:right="0"/>
            </w:pPr>
            <w:r>
              <w:t>GX MARKETCENTER</w:t>
            </w:r>
          </w:p>
        </w:tc>
      </w:tr>
      <w:tr>
        <w:trPr>
          <w:cnfStyle w:evenHBand="true" w:oddHBand="false" w:firstRow="false"/>
        </w:trPr>
        <w:tc>
          <w:tcPr>
            <w:cnfStyle w:evenVBand="false" w:oddVBand="true" w:firstColumn="false"/>
            <w:tcW w:w="33.333333%" w:type="pct"/>
          </w:tcPr>
          <w:p>
            <w:pPr>
              <w:ind w:leftChars="0" w:left="0" w:right="0"/>
            </w:pPr>
            <w:r>
              <w:t>HAMA</w:t>
            </w:r>
          </w:p>
        </w:tc>
        <w:tc>
          <w:tcPr>
            <w:cnfStyle w:evenVBand="true" w:oddVBand="false" w:firstColumn="false"/>
            <w:tcW w:w="33.333333%" w:type="pct"/>
          </w:tcPr>
          <w:p>
            <w:pPr>
              <w:ind w:leftChars="0" w:left="0" w:right="0"/>
            </w:pPr>
            <w:r>
              <w:t>HAMA</w:t>
            </w:r>
          </w:p>
        </w:tc>
        <w:tc>
          <w:tcPr>
            <w:cnfStyle w:evenVBand="false" w:oddVBand="true" w:firstColumn="false"/>
            <w:tcW w:w="33.333333%" w:type="pct"/>
          </w:tcPr>
          <w:p>
            <w:pPr>
              <w:ind w:leftChars="0" w:left="0" w:right="0"/>
            </w:pPr>
            <w:r>
              <w:t>BOERSE HAMBURG - REGULIERTER MARKT</w:t>
            </w:r>
          </w:p>
        </w:tc>
      </w:tr>
      <w:tr>
        <w:trPr>
          <w:cnfStyle w:evenHBand="false" w:oddHBand="true" w:firstRow="false"/>
        </w:trPr>
        <w:tc>
          <w:tcPr>
            <w:cnfStyle w:evenVBand="false" w:oddVBand="true" w:firstColumn="false"/>
            <w:tcW w:w="33.333333%" w:type="pct"/>
          </w:tcPr>
          <w:p>
            <w:pPr>
              <w:ind w:leftChars="0" w:left="0" w:right="0"/>
            </w:pPr>
            <w:r>
              <w:t>HAMB</w:t>
            </w:r>
          </w:p>
        </w:tc>
        <w:tc>
          <w:tcPr>
            <w:cnfStyle w:evenVBand="true" w:oddVBand="false" w:firstColumn="false"/>
            <w:tcW w:w="33.333333%" w:type="pct"/>
          </w:tcPr>
          <w:p>
            <w:pPr>
              <w:ind w:leftChars="0" w:left="0" w:right="0"/>
            </w:pPr>
            <w:r>
              <w:t>HAMB</w:t>
            </w:r>
          </w:p>
        </w:tc>
        <w:tc>
          <w:tcPr>
            <w:cnfStyle w:evenVBand="false" w:oddVBand="true" w:firstColumn="false"/>
            <w:tcW w:w="33.333333%" w:type="pct"/>
          </w:tcPr>
          <w:p>
            <w:pPr>
              <w:ind w:leftChars="0" w:left="0" w:right="0"/>
            </w:pPr>
            <w:r>
              <w:t>BOERSE HAMBURG - FREIVERKEHR</w:t>
            </w:r>
          </w:p>
        </w:tc>
      </w:tr>
      <w:tr>
        <w:trPr>
          <w:cnfStyle w:evenHBand="true" w:oddHBand="false" w:firstRow="false"/>
        </w:trPr>
        <w:tc>
          <w:tcPr>
            <w:cnfStyle w:evenVBand="false" w:oddVBand="true" w:firstColumn="false"/>
            <w:tcW w:w="33.333333%" w:type="pct"/>
          </w:tcPr>
          <w:p>
            <w:pPr>
              <w:ind w:leftChars="0" w:left="0" w:right="0"/>
            </w:pPr>
            <w:r>
              <w:t>HAML</w:t>
            </w:r>
          </w:p>
        </w:tc>
        <w:tc>
          <w:tcPr>
            <w:cnfStyle w:evenVBand="true" w:oddVBand="false" w:firstColumn="false"/>
            <w:tcW w:w="33.333333%" w:type="pct"/>
          </w:tcPr>
          <w:p>
            <w:pPr>
              <w:ind w:leftChars="0" w:left="0" w:right="0"/>
            </w:pPr>
            <w:r>
              <w:t>HAML</w:t>
            </w:r>
          </w:p>
        </w:tc>
        <w:tc>
          <w:tcPr>
            <w:cnfStyle w:evenVBand="false" w:oddVBand="true" w:firstColumn="false"/>
            <w:tcW w:w="33.333333%" w:type="pct"/>
          </w:tcPr>
          <w:p>
            <w:pPr>
              <w:ind w:leftChars="0" w:left="0" w:right="0"/>
            </w:pPr>
            <w:r>
              <w:t>BOERSE HAMBURG - LANG AND SCHWARZ EXCHANGE</w:t>
            </w:r>
          </w:p>
        </w:tc>
      </w:tr>
      <w:tr>
        <w:trPr>
          <w:cnfStyle w:evenHBand="false" w:oddHBand="true" w:firstRow="false"/>
        </w:trPr>
        <w:tc>
          <w:tcPr>
            <w:cnfStyle w:evenVBand="false" w:oddVBand="true" w:firstColumn="false"/>
            <w:tcW w:w="33.333333%" w:type="pct"/>
          </w:tcPr>
          <w:p>
            <w:pPr>
              <w:ind w:leftChars="0" w:left="0" w:right="0"/>
            </w:pPr>
            <w:r>
              <w:t>HAMM</w:t>
            </w:r>
          </w:p>
        </w:tc>
        <w:tc>
          <w:tcPr>
            <w:cnfStyle w:evenVBand="true" w:oddVBand="false" w:firstColumn="false"/>
            <w:tcW w:w="33.333333%" w:type="pct"/>
          </w:tcPr>
          <w:p>
            <w:pPr>
              <w:ind w:leftChars="0" w:left="0" w:right="0"/>
            </w:pPr>
            <w:r>
              <w:t>HAMM</w:t>
            </w:r>
          </w:p>
        </w:tc>
        <w:tc>
          <w:tcPr>
            <w:cnfStyle w:evenVBand="false" w:oddVBand="true" w:firstColumn="false"/>
            <w:tcW w:w="33.333333%" w:type="pct"/>
          </w:tcPr>
          <w:p>
            <w:pPr>
              <w:ind w:leftChars="0" w:left="0" w:right="0"/>
            </w:pPr>
            <w:r>
              <w:t>BOERSE HAMBURG - LANG AND SCHWARZ EXCHANGE - REGULIERTER MARKT</w:t>
            </w:r>
          </w:p>
        </w:tc>
      </w:tr>
      <w:tr>
        <w:trPr>
          <w:cnfStyle w:evenHBand="true" w:oddHBand="false" w:firstRow="false"/>
        </w:trPr>
        <w:tc>
          <w:tcPr>
            <w:cnfStyle w:evenVBand="false" w:oddVBand="true" w:firstColumn="false"/>
            <w:tcW w:w="33.333333%" w:type="pct"/>
          </w:tcPr>
          <w:p>
            <w:pPr>
              <w:ind w:leftChars="0" w:left="0" w:right="0"/>
            </w:pPr>
            <w:r>
              <w:t>HAMN</w:t>
            </w:r>
          </w:p>
        </w:tc>
        <w:tc>
          <w:tcPr>
            <w:cnfStyle w:evenVBand="true" w:oddVBand="false" w:firstColumn="false"/>
            <w:tcW w:w="33.333333%" w:type="pct"/>
          </w:tcPr>
          <w:p>
            <w:pPr>
              <w:ind w:leftChars="0" w:left="0" w:right="0"/>
            </w:pPr>
            <w:r>
              <w:t>HAMN</w:t>
            </w:r>
          </w:p>
        </w:tc>
        <w:tc>
          <w:tcPr>
            <w:cnfStyle w:evenVBand="false" w:oddVBand="true" w:firstColumn="false"/>
            <w:tcW w:w="33.333333%" w:type="pct"/>
          </w:tcPr>
          <w:p>
            <w:pPr>
              <w:ind w:leftChars="0" w:left="0" w:right="0"/>
            </w:pPr>
            <w:r>
              <w:t>BOERSE HAMBURG - LANG AND SCHWARZ EXCHANGE - FREIVERKEHR</w:t>
            </w:r>
          </w:p>
        </w:tc>
      </w:tr>
      <w:tr>
        <w:trPr>
          <w:cnfStyle w:evenHBand="false" w:oddHBand="true" w:firstRow="false"/>
        </w:trPr>
        <w:tc>
          <w:tcPr>
            <w:cnfStyle w:evenVBand="false" w:oddVBand="true" w:firstColumn="false"/>
            <w:tcW w:w="33.333333%" w:type="pct"/>
          </w:tcPr>
          <w:p>
            <w:pPr>
              <w:ind w:leftChars="0" w:left="0" w:right="0"/>
            </w:pPr>
            <w:r>
              <w:t>HANA</w:t>
            </w:r>
          </w:p>
        </w:tc>
        <w:tc>
          <w:tcPr>
            <w:cnfStyle w:evenVBand="true" w:oddVBand="false" w:firstColumn="false"/>
            <w:tcW w:w="33.333333%" w:type="pct"/>
          </w:tcPr>
          <w:p>
            <w:pPr>
              <w:ind w:leftChars="0" w:left="0" w:right="0"/>
            </w:pPr>
            <w:r>
              <w:t>HANA</w:t>
            </w:r>
          </w:p>
        </w:tc>
        <w:tc>
          <w:tcPr>
            <w:cnfStyle w:evenVBand="false" w:oddVBand="true" w:firstColumn="false"/>
            <w:tcW w:w="33.333333%" w:type="pct"/>
          </w:tcPr>
          <w:p>
            <w:pPr>
              <w:ind w:leftChars="0" w:left="0" w:right="0"/>
            </w:pPr>
            <w:r>
              <w:t>BOERSE HANNOVER - REGULIERTER MARKT</w:t>
            </w:r>
          </w:p>
        </w:tc>
      </w:tr>
      <w:tr>
        <w:trPr>
          <w:cnfStyle w:evenHBand="true" w:oddHBand="false" w:firstRow="false"/>
        </w:trPr>
        <w:tc>
          <w:tcPr>
            <w:cnfStyle w:evenVBand="false" w:oddVBand="true" w:firstColumn="false"/>
            <w:tcW w:w="33.333333%" w:type="pct"/>
          </w:tcPr>
          <w:p>
            <w:pPr>
              <w:ind w:leftChars="0" w:left="0" w:right="0"/>
            </w:pPr>
            <w:r>
              <w:t>HANB</w:t>
            </w:r>
          </w:p>
        </w:tc>
        <w:tc>
          <w:tcPr>
            <w:cnfStyle w:evenVBand="true" w:oddVBand="false" w:firstColumn="false"/>
            <w:tcW w:w="33.333333%" w:type="pct"/>
          </w:tcPr>
          <w:p>
            <w:pPr>
              <w:ind w:leftChars="0" w:left="0" w:right="0"/>
            </w:pPr>
            <w:r>
              <w:t>HANB</w:t>
            </w:r>
          </w:p>
        </w:tc>
        <w:tc>
          <w:tcPr>
            <w:cnfStyle w:evenVBand="false" w:oddVBand="true" w:firstColumn="false"/>
            <w:tcW w:w="33.333333%" w:type="pct"/>
          </w:tcPr>
          <w:p>
            <w:pPr>
              <w:ind w:leftChars="0" w:left="0" w:right="0"/>
            </w:pPr>
            <w:r>
              <w:t>BOERSE HANNOVER - FREIVERKEHR</w:t>
            </w:r>
          </w:p>
        </w:tc>
      </w:tr>
      <w:tr>
        <w:trPr>
          <w:cnfStyle w:evenHBand="false" w:oddHBand="true" w:firstRow="false"/>
        </w:trPr>
        <w:tc>
          <w:tcPr>
            <w:cnfStyle w:evenVBand="false" w:oddVBand="true" w:firstColumn="false"/>
            <w:tcW w:w="33.333333%" w:type="pct"/>
          </w:tcPr>
          <w:p>
            <w:pPr>
              <w:ind w:leftChars="0" w:left="0" w:right="0"/>
            </w:pPr>
            <w:r>
              <w:t>HBFR</w:t>
            </w:r>
          </w:p>
        </w:tc>
        <w:tc>
          <w:tcPr>
            <w:cnfStyle w:evenVBand="true" w:oddVBand="false" w:firstColumn="false"/>
            <w:tcW w:w="33.333333%" w:type="pct"/>
          </w:tcPr>
          <w:p>
            <w:pPr>
              <w:ind w:leftChars="0" w:left="0" w:right="0"/>
            </w:pPr>
            <w:r>
              <w:t>HBFR</w:t>
            </w:r>
          </w:p>
        </w:tc>
        <w:tc>
          <w:tcPr>
            <w:cnfStyle w:evenVBand="false" w:oddVBand="true" w:firstColumn="false"/>
            <w:tcW w:w="33.333333%" w:type="pct"/>
          </w:tcPr>
          <w:p>
            <w:pPr>
              <w:ind w:leftChars="0" w:left="0" w:right="0"/>
            </w:pPr>
            <w:r>
              <w:t>HSBC CONTINENTAL EUROPE - SYSTEMATIC INTERNALISER</w:t>
            </w:r>
          </w:p>
        </w:tc>
      </w:tr>
      <w:tr>
        <w:trPr>
          <w:cnfStyle w:evenHBand="true" w:oddHBand="false" w:firstRow="false"/>
        </w:trPr>
        <w:tc>
          <w:tcPr>
            <w:cnfStyle w:evenVBand="false" w:oddVBand="true" w:firstColumn="false"/>
            <w:tcW w:w="33.333333%" w:type="pct"/>
          </w:tcPr>
          <w:p>
            <w:pPr>
              <w:ind w:leftChars="0" w:left="0" w:right="0"/>
            </w:pPr>
            <w:r>
              <w:t>HBPL</w:t>
            </w:r>
          </w:p>
        </w:tc>
        <w:tc>
          <w:tcPr>
            <w:cnfStyle w:evenVBand="true" w:oddVBand="false" w:firstColumn="false"/>
            <w:tcW w:w="33.333333%" w:type="pct"/>
          </w:tcPr>
          <w:p>
            <w:pPr>
              <w:ind w:leftChars="0" w:left="0" w:right="0"/>
            </w:pPr>
            <w:r>
              <w:t>HBPL</w:t>
            </w:r>
          </w:p>
        </w:tc>
        <w:tc>
          <w:tcPr>
            <w:cnfStyle w:evenVBand="false" w:oddVBand="true" w:firstColumn="false"/>
            <w:tcW w:w="33.333333%" w:type="pct"/>
          </w:tcPr>
          <w:p>
            <w:pPr>
              <w:ind w:leftChars="0" w:left="0" w:right="0"/>
            </w:pPr>
            <w:r>
              <w:t>HSBC BANK POLSKA S.A. - SYSTEMATIC INTERNALISER</w:t>
            </w:r>
          </w:p>
        </w:tc>
      </w:tr>
      <w:tr>
        <w:trPr>
          <w:cnfStyle w:evenHBand="false" w:oddHBand="true" w:firstRow="false"/>
        </w:trPr>
        <w:tc>
          <w:tcPr>
            <w:cnfStyle w:evenVBand="false" w:oddVBand="true" w:firstColumn="false"/>
            <w:tcW w:w="33.333333%" w:type="pct"/>
          </w:tcPr>
          <w:p>
            <w:pPr>
              <w:ind w:leftChars="0" w:left="0" w:right="0"/>
            </w:pPr>
            <w:r>
              <w:t>HCER</w:t>
            </w:r>
          </w:p>
        </w:tc>
        <w:tc>
          <w:tcPr>
            <w:cnfStyle w:evenVBand="true" w:oddVBand="false" w:firstColumn="false"/>
            <w:tcW w:w="33.333333%" w:type="pct"/>
          </w:tcPr>
          <w:p>
            <w:pPr>
              <w:ind w:leftChars="0" w:left="0" w:right="0"/>
            </w:pPr>
            <w:r>
              <w:t>HCER</w:t>
            </w:r>
          </w:p>
        </w:tc>
        <w:tc>
          <w:tcPr>
            <w:cnfStyle w:evenVBand="false" w:oddVBand="true" w:firstColumn="false"/>
            <w:tcW w:w="33.333333%" w:type="pct"/>
          </w:tcPr>
          <w:p>
            <w:pPr>
              <w:ind w:leftChars="0" w:left="0" w:right="0"/>
            </w:pPr>
            <w:r>
              <w:t>HI-CERT - MULTILATERAL TRADING FACILITY</w:t>
            </w:r>
          </w:p>
        </w:tc>
      </w:tr>
      <w:tr>
        <w:trPr>
          <w:cnfStyle w:evenHBand="true" w:oddHBand="false" w:firstRow="false"/>
        </w:trPr>
        <w:tc>
          <w:tcPr>
            <w:cnfStyle w:evenVBand="false" w:oddVBand="true" w:firstColumn="false"/>
            <w:tcW w:w="33.333333%" w:type="pct"/>
          </w:tcPr>
          <w:p>
            <w:pPr>
              <w:ind w:leftChars="0" w:left="0" w:right="0"/>
            </w:pPr>
            <w:r>
              <w:t>HCHC</w:t>
            </w:r>
          </w:p>
        </w:tc>
        <w:tc>
          <w:tcPr>
            <w:cnfStyle w:evenVBand="true" w:oddVBand="false" w:firstColumn="false"/>
            <w:tcW w:w="33.333333%" w:type="pct"/>
          </w:tcPr>
          <w:p>
            <w:pPr>
              <w:ind w:leftChars="0" w:left="0" w:right="0"/>
            </w:pPr>
            <w:r>
              <w:t>HCHC</w:t>
            </w:r>
          </w:p>
        </w:tc>
        <w:tc>
          <w:tcPr>
            <w:cnfStyle w:evenVBand="false" w:oddVBand="true" w:firstColumn="false"/>
            <w:tcW w:w="33.333333%" w:type="pct"/>
          </w:tcPr>
          <w:p>
            <w:pPr>
              <w:ind w:leftChars="0" w:left="0" w:right="0"/>
            </w:pPr>
            <w:r>
              <w:t>ICE CLEAR NETHERLANDS B.V.</w:t>
            </w:r>
          </w:p>
        </w:tc>
      </w:tr>
      <w:tr>
        <w:trPr>
          <w:cnfStyle w:evenHBand="false" w:oddHBand="true" w:firstRow="false"/>
        </w:trPr>
        <w:tc>
          <w:tcPr>
            <w:cnfStyle w:evenVBand="false" w:oddVBand="true" w:firstColumn="false"/>
            <w:tcW w:w="33.333333%" w:type="pct"/>
          </w:tcPr>
          <w:p>
            <w:pPr>
              <w:ind w:leftChars="0" w:left="0" w:right="0"/>
            </w:pPr>
            <w:r>
              <w:t>HDAT</w:t>
            </w:r>
          </w:p>
        </w:tc>
        <w:tc>
          <w:tcPr>
            <w:cnfStyle w:evenVBand="true" w:oddVBand="false" w:firstColumn="false"/>
            <w:tcW w:w="33.333333%" w:type="pct"/>
          </w:tcPr>
          <w:p>
            <w:pPr>
              <w:ind w:leftChars="0" w:left="0" w:right="0"/>
            </w:pPr>
            <w:r>
              <w:t>HDAT</w:t>
            </w:r>
          </w:p>
        </w:tc>
        <w:tc>
          <w:tcPr>
            <w:cnfStyle w:evenVBand="false" w:oddVBand="true" w:firstColumn="false"/>
            <w:tcW w:w="33.333333%" w:type="pct"/>
          </w:tcPr>
          <w:p>
            <w:pPr>
              <w:ind w:leftChars="0" w:left="0" w:right="0"/>
            </w:pPr>
            <w:r>
              <w:t>ELECTRONIC SECONDARY SECURITIES MARKET (HDAT)</w:t>
            </w:r>
          </w:p>
        </w:tc>
      </w:tr>
      <w:tr>
        <w:trPr>
          <w:cnfStyle w:evenHBand="true" w:oddHBand="false" w:firstRow="false"/>
        </w:trPr>
        <w:tc>
          <w:tcPr>
            <w:cnfStyle w:evenVBand="false" w:oddVBand="true" w:firstColumn="false"/>
            <w:tcW w:w="33.333333%" w:type="pct"/>
          </w:tcPr>
          <w:p>
            <w:pPr>
              <w:ind w:leftChars="0" w:left="0" w:right="0"/>
            </w:pPr>
            <w:r>
              <w:t>HEDE</w:t>
            </w:r>
          </w:p>
        </w:tc>
        <w:tc>
          <w:tcPr>
            <w:cnfStyle w:evenVBand="true" w:oddVBand="false" w:firstColumn="false"/>
            <w:tcW w:w="33.333333%" w:type="pct"/>
          </w:tcPr>
          <w:p>
            <w:pPr>
              <w:ind w:leftChars="0" w:left="0" w:right="0"/>
            </w:pPr>
            <w:r>
              <w:t>HEDE</w:t>
            </w:r>
          </w:p>
        </w:tc>
        <w:tc>
          <w:tcPr>
            <w:cnfStyle w:evenVBand="false" w:oddVBand="true" w:firstColumn="false"/>
            <w:tcW w:w="33.333333%" w:type="pct"/>
          </w:tcPr>
          <w:p>
            <w:pPr>
              <w:ind w:leftChars="0" w:left="0" w:right="0"/>
            </w:pPr>
            <w:r>
              <w:t>HENEX FINANCIAL ENERGY MARKET - DERIVATIVES MARKET</w:t>
            </w:r>
          </w:p>
        </w:tc>
      </w:tr>
      <w:tr>
        <w:trPr>
          <w:cnfStyle w:evenHBand="false" w:oddHBand="true" w:firstRow="false"/>
        </w:trPr>
        <w:tc>
          <w:tcPr>
            <w:cnfStyle w:evenVBand="false" w:oddVBand="true" w:firstColumn="false"/>
            <w:tcW w:w="33.333333%" w:type="pct"/>
          </w:tcPr>
          <w:p>
            <w:pPr>
              <w:ind w:leftChars="0" w:left="0" w:right="0"/>
            </w:pPr>
            <w:r>
              <w:t>HEGX</w:t>
            </w:r>
          </w:p>
        </w:tc>
        <w:tc>
          <w:tcPr>
            <w:cnfStyle w:evenVBand="true" w:oddVBand="false" w:firstColumn="false"/>
            <w:tcW w:w="33.333333%" w:type="pct"/>
          </w:tcPr>
          <w:p>
            <w:pPr>
              <w:ind w:leftChars="0" w:left="0" w:right="0"/>
            </w:pPr>
            <w:r>
              <w:t>HEGX</w:t>
            </w:r>
          </w:p>
        </w:tc>
        <w:tc>
          <w:tcPr>
            <w:cnfStyle w:evenVBand="false" w:oddVBand="true" w:firstColumn="false"/>
            <w:tcW w:w="33.333333%" w:type="pct"/>
          </w:tcPr>
          <w:p>
            <w:pPr>
              <w:ind w:leftChars="0" w:left="0" w:right="0"/>
            </w:pPr>
            <w:r>
              <w:t>NADEX</w:t>
            </w:r>
          </w:p>
        </w:tc>
      </w:tr>
      <w:tr>
        <w:trPr>
          <w:cnfStyle w:evenHBand="true" w:oddHBand="false" w:firstRow="false"/>
        </w:trPr>
        <w:tc>
          <w:tcPr>
            <w:cnfStyle w:evenVBand="false" w:oddVBand="true" w:firstColumn="false"/>
            <w:tcW w:w="33.333333%" w:type="pct"/>
          </w:tcPr>
          <w:p>
            <w:pPr>
              <w:ind w:leftChars="0" w:left="0" w:right="0"/>
            </w:pPr>
            <w:r>
              <w:t>HELA</w:t>
            </w:r>
          </w:p>
        </w:tc>
        <w:tc>
          <w:tcPr>
            <w:cnfStyle w:evenVBand="true" w:oddVBand="false" w:firstColumn="false"/>
            <w:tcW w:w="33.333333%" w:type="pct"/>
          </w:tcPr>
          <w:p>
            <w:pPr>
              <w:ind w:leftChars="0" w:left="0" w:right="0"/>
            </w:pPr>
            <w:r>
              <w:t>HELA</w:t>
            </w:r>
          </w:p>
        </w:tc>
        <w:tc>
          <w:tcPr>
            <w:cnfStyle w:evenVBand="false" w:oddVBand="true" w:firstColumn="false"/>
            <w:tcW w:w="33.333333%" w:type="pct"/>
          </w:tcPr>
          <w:p>
            <w:pPr>
              <w:ind w:leftChars="0" w:left="0" w:right="0"/>
            </w:pPr>
            <w:r>
              <w:t>HELABA - SYSTEMATIC INTERNALISER</w:t>
            </w:r>
          </w:p>
        </w:tc>
      </w:tr>
      <w:tr>
        <w:trPr>
          <w:cnfStyle w:evenHBand="false" w:oddHBand="true" w:firstRow="false"/>
        </w:trPr>
        <w:tc>
          <w:tcPr>
            <w:cnfStyle w:evenVBand="false" w:oddVBand="true" w:firstColumn="false"/>
            <w:tcW w:w="33.333333%" w:type="pct"/>
          </w:tcPr>
          <w:p>
            <w:pPr>
              <w:ind w:leftChars="0" w:left="0" w:right="0"/>
            </w:pPr>
            <w:r>
              <w:t>HEMO</w:t>
            </w:r>
          </w:p>
        </w:tc>
        <w:tc>
          <w:tcPr>
            <w:cnfStyle w:evenVBand="true" w:oddVBand="false" w:firstColumn="false"/>
            <w:tcW w:w="33.333333%" w:type="pct"/>
          </w:tcPr>
          <w:p>
            <w:pPr>
              <w:ind w:leftChars="0" w:left="0" w:right="0"/>
            </w:pPr>
            <w:r>
              <w:t>HEMO</w:t>
            </w:r>
          </w:p>
        </w:tc>
        <w:tc>
          <w:tcPr>
            <w:cnfStyle w:evenVBand="false" w:oddVBand="true" w:firstColumn="false"/>
            <w:tcW w:w="33.333333%" w:type="pct"/>
          </w:tcPr>
          <w:p>
            <w:pPr>
              <w:ind w:leftChars="0" w:left="0" w:right="0"/>
            </w:pPr>
            <w:r>
              <w:t>HENEX S.A.</w:t>
            </w:r>
          </w:p>
        </w:tc>
      </w:tr>
      <w:tr>
        <w:trPr>
          <w:cnfStyle w:evenHBand="true" w:oddHBand="false" w:firstRow="false"/>
        </w:trPr>
        <w:tc>
          <w:tcPr>
            <w:cnfStyle w:evenVBand="false" w:oddVBand="true" w:firstColumn="false"/>
            <w:tcW w:w="33.333333%" w:type="pct"/>
          </w:tcPr>
          <w:p>
            <w:pPr>
              <w:ind w:leftChars="0" w:left="0" w:right="0"/>
            </w:pPr>
            <w:r>
              <w:t>HESP</w:t>
            </w:r>
          </w:p>
        </w:tc>
        <w:tc>
          <w:tcPr>
            <w:cnfStyle w:evenVBand="true" w:oddVBand="false" w:firstColumn="false"/>
            <w:tcW w:w="33.333333%" w:type="pct"/>
          </w:tcPr>
          <w:p>
            <w:pPr>
              <w:ind w:leftChars="0" w:left="0" w:right="0"/>
            </w:pPr>
            <w:r>
              <w:t>HESP</w:t>
            </w:r>
          </w:p>
        </w:tc>
        <w:tc>
          <w:tcPr>
            <w:cnfStyle w:evenVBand="false" w:oddVBand="true" w:firstColumn="false"/>
            <w:tcW w:w="33.333333%" w:type="pct"/>
          </w:tcPr>
          <w:p>
            <w:pPr>
              <w:ind w:leftChars="0" w:left="0" w:right="0"/>
            </w:pPr>
            <w:r>
              <w:t>HENEX ELECTRICITY SPOT MARKET</w:t>
            </w:r>
          </w:p>
        </w:tc>
      </w:tr>
      <w:tr>
        <w:trPr>
          <w:cnfStyle w:evenHBand="false" w:oddHBand="true" w:firstRow="false"/>
        </w:trPr>
        <w:tc>
          <w:tcPr>
            <w:cnfStyle w:evenVBand="false" w:oddVBand="true" w:firstColumn="false"/>
            <w:tcW w:w="33.333333%" w:type="pct"/>
          </w:tcPr>
          <w:p>
            <w:pPr>
              <w:ind w:leftChars="0" w:left="0" w:right="0"/>
            </w:pPr>
            <w:r>
              <w:t>HGSP</w:t>
            </w:r>
          </w:p>
        </w:tc>
        <w:tc>
          <w:tcPr>
            <w:cnfStyle w:evenVBand="true" w:oddVBand="false" w:firstColumn="false"/>
            <w:tcW w:w="33.333333%" w:type="pct"/>
          </w:tcPr>
          <w:p>
            <w:pPr>
              <w:ind w:leftChars="0" w:left="0" w:right="0"/>
            </w:pPr>
            <w:r>
              <w:t>HGSP</w:t>
            </w:r>
          </w:p>
        </w:tc>
        <w:tc>
          <w:tcPr>
            <w:cnfStyle w:evenVBand="false" w:oddVBand="true" w:firstColumn="false"/>
            <w:tcW w:w="33.333333%" w:type="pct"/>
          </w:tcPr>
          <w:p>
            <w:pPr>
              <w:ind w:leftChars="0" w:left="0" w:right="0"/>
            </w:pPr>
            <w:r>
              <w:t>HENEX GAS SPOT MARKET</w:t>
            </w:r>
          </w:p>
        </w:tc>
      </w:tr>
      <w:tr>
        <w:trPr>
          <w:cnfStyle w:evenHBand="true" w:oddHBand="false" w:firstRow="false"/>
        </w:trPr>
        <w:tc>
          <w:tcPr>
            <w:cnfStyle w:evenVBand="false" w:oddVBand="true" w:firstColumn="false"/>
            <w:tcW w:w="33.333333%" w:type="pct"/>
          </w:tcPr>
          <w:p>
            <w:pPr>
              <w:ind w:leftChars="0" w:left="0" w:right="0"/>
            </w:pPr>
            <w:r>
              <w:t>HKME</w:t>
            </w:r>
          </w:p>
        </w:tc>
        <w:tc>
          <w:tcPr>
            <w:cnfStyle w:evenVBand="true" w:oddVBand="false" w:firstColumn="false"/>
            <w:tcW w:w="33.333333%" w:type="pct"/>
          </w:tcPr>
          <w:p>
            <w:pPr>
              <w:ind w:leftChars="0" w:left="0" w:right="0"/>
            </w:pPr>
            <w:r>
              <w:t>HKME</w:t>
            </w:r>
          </w:p>
        </w:tc>
        <w:tc>
          <w:tcPr>
            <w:cnfStyle w:evenVBand="false" w:oddVBand="true" w:firstColumn="false"/>
            <w:tcW w:w="33.333333%" w:type="pct"/>
          </w:tcPr>
          <w:p>
            <w:pPr>
              <w:ind w:leftChars="0" w:left="0" w:right="0"/>
            </w:pPr>
            <w:r>
              <w:t>HONG KONG MERCANTILE EXCHANGE</w:t>
            </w:r>
          </w:p>
        </w:tc>
      </w:tr>
      <w:tr>
        <w:trPr>
          <w:cnfStyle w:evenHBand="false" w:oddHBand="true" w:firstRow="false"/>
        </w:trPr>
        <w:tc>
          <w:tcPr>
            <w:cnfStyle w:evenVBand="false" w:oddVBand="true" w:firstColumn="false"/>
            <w:tcW w:w="33.333333%" w:type="pct"/>
          </w:tcPr>
          <w:p>
            <w:pPr>
              <w:ind w:leftChars="0" w:left="0" w:right="0"/>
            </w:pPr>
            <w:r>
              <w:t>HMOD</w:t>
            </w:r>
          </w:p>
        </w:tc>
        <w:tc>
          <w:tcPr>
            <w:cnfStyle w:evenVBand="true" w:oddVBand="false" w:firstColumn="false"/>
            <w:tcW w:w="33.333333%" w:type="pct"/>
          </w:tcPr>
          <w:p>
            <w:pPr>
              <w:ind w:leftChars="0" w:left="0" w:right="0"/>
            </w:pPr>
            <w:r>
              <w:t>HMOD</w:t>
            </w:r>
          </w:p>
        </w:tc>
        <w:tc>
          <w:tcPr>
            <w:cnfStyle w:evenVBand="false" w:oddVBand="true" w:firstColumn="false"/>
            <w:tcW w:w="33.333333%" w:type="pct"/>
          </w:tcPr>
          <w:p>
            <w:pPr>
              <w:ind w:leftChars="0" w:left="0" w:right="0"/>
            </w:pPr>
            <w:r>
              <w:t>HI-MTF ORDER DRIVEN</w:t>
            </w:r>
          </w:p>
        </w:tc>
      </w:tr>
      <w:tr>
        <w:trPr>
          <w:cnfStyle w:evenHBand="true" w:oddHBand="false" w:firstRow="false"/>
        </w:trPr>
        <w:tc>
          <w:tcPr>
            <w:cnfStyle w:evenVBand="false" w:oddVBand="true" w:firstColumn="false"/>
            <w:tcW w:w="33.333333%" w:type="pct"/>
          </w:tcPr>
          <w:p>
            <w:pPr>
              <w:ind w:leftChars="0" w:left="0" w:right="0"/>
            </w:pPr>
            <w:r>
              <w:t>HMTF</w:t>
            </w:r>
          </w:p>
        </w:tc>
        <w:tc>
          <w:tcPr>
            <w:cnfStyle w:evenVBand="true" w:oddVBand="false" w:firstColumn="false"/>
            <w:tcW w:w="33.333333%" w:type="pct"/>
          </w:tcPr>
          <w:p>
            <w:pPr>
              <w:ind w:leftChars="0" w:left="0" w:right="0"/>
            </w:pPr>
            <w:r>
              <w:t>HMTF</w:t>
            </w:r>
          </w:p>
        </w:tc>
        <w:tc>
          <w:tcPr>
            <w:cnfStyle w:evenVBand="false" w:oddVBand="true" w:firstColumn="false"/>
            <w:tcW w:w="33.333333%" w:type="pct"/>
          </w:tcPr>
          <w:p>
            <w:pPr>
              <w:ind w:leftChars="0" w:left="0" w:right="0"/>
            </w:pPr>
            <w:r>
              <w:t>HI-MTF</w:t>
            </w:r>
          </w:p>
        </w:tc>
      </w:tr>
      <w:tr>
        <w:trPr>
          <w:cnfStyle w:evenHBand="false" w:oddHBand="true" w:firstRow="false"/>
        </w:trPr>
        <w:tc>
          <w:tcPr>
            <w:cnfStyle w:evenVBand="false" w:oddVBand="true" w:firstColumn="false"/>
            <w:tcW w:w="33.333333%" w:type="pct"/>
          </w:tcPr>
          <w:p>
            <w:pPr>
              <w:ind w:leftChars="0" w:left="0" w:right="0"/>
            </w:pPr>
            <w:r>
              <w:t>HOTC</w:t>
            </w:r>
          </w:p>
        </w:tc>
        <w:tc>
          <w:tcPr>
            <w:cnfStyle w:evenVBand="true" w:oddVBand="false" w:firstColumn="false"/>
            <w:tcW w:w="33.333333%" w:type="pct"/>
          </w:tcPr>
          <w:p>
            <w:pPr>
              <w:ind w:leftChars="0" w:left="0" w:right="0"/>
            </w:pPr>
            <w:r>
              <w:t>HOTC</w:t>
            </w:r>
          </w:p>
        </w:tc>
        <w:tc>
          <w:tcPr>
            <w:cnfStyle w:evenVBand="false" w:oddVBand="true" w:firstColumn="false"/>
            <w:tcW w:w="33.333333%" w:type="pct"/>
          </w:tcPr>
          <w:p>
            <w:pPr>
              <w:ind w:leftChars="0" w:left="0" w:right="0"/>
            </w:pPr>
            <w:r>
              <w:t>HELLENIC EXCHANGE OTC MARKET</w:t>
            </w:r>
          </w:p>
        </w:tc>
      </w:tr>
      <w:tr>
        <w:trPr>
          <w:cnfStyle w:evenHBand="true" w:oddHBand="false" w:firstRow="false"/>
        </w:trPr>
        <w:tc>
          <w:tcPr>
            <w:cnfStyle w:evenVBand="false" w:oddVBand="true" w:firstColumn="false"/>
            <w:tcW w:w="33.333333%" w:type="pct"/>
          </w:tcPr>
          <w:p>
            <w:pPr>
              <w:ind w:leftChars="0" w:left="0" w:right="0"/>
            </w:pPr>
            <w:r>
              <w:t>HPCO</w:t>
            </w:r>
          </w:p>
        </w:tc>
        <w:tc>
          <w:tcPr>
            <w:cnfStyle w:evenVBand="true" w:oddVBand="false" w:firstColumn="false"/>
            <w:tcW w:w="33.333333%" w:type="pct"/>
          </w:tcPr>
          <w:p>
            <w:pPr>
              <w:ind w:leftChars="0" w:left="0" w:right="0"/>
            </w:pPr>
            <w:r>
              <w:t>HPCO</w:t>
            </w:r>
          </w:p>
        </w:tc>
        <w:tc>
          <w:tcPr>
            <w:cnfStyle w:evenVBand="false" w:oddVBand="true" w:firstColumn="false"/>
            <w:tcW w:w="33.333333%" w:type="pct"/>
          </w:tcPr>
          <w:p>
            <w:pPr>
              <w:ind w:leftChars="0" w:left="0" w:right="0"/>
            </w:pPr>
            <w:r>
              <w:t>HPC ETRADING</w:t>
            </w:r>
          </w:p>
        </w:tc>
      </w:tr>
      <w:tr>
        <w:trPr>
          <w:cnfStyle w:evenHBand="false" w:oddHBand="true" w:firstRow="false"/>
        </w:trPr>
        <w:tc>
          <w:tcPr>
            <w:cnfStyle w:evenVBand="false" w:oddVBand="true" w:firstColumn="false"/>
            <w:tcW w:w="33.333333%" w:type="pct"/>
          </w:tcPr>
          <w:p>
            <w:pPr>
              <w:ind w:leftChars="0" w:left="0" w:right="0"/>
            </w:pPr>
            <w:r>
              <w:t>HPCS</w:t>
            </w:r>
          </w:p>
        </w:tc>
        <w:tc>
          <w:tcPr>
            <w:cnfStyle w:evenVBand="true" w:oddVBand="false" w:firstColumn="false"/>
            <w:tcW w:w="33.333333%" w:type="pct"/>
          </w:tcPr>
          <w:p>
            <w:pPr>
              <w:ind w:leftChars="0" w:left="0" w:right="0"/>
            </w:pPr>
            <w:r>
              <w:t>HPCS</w:t>
            </w:r>
          </w:p>
        </w:tc>
        <w:tc>
          <w:tcPr>
            <w:cnfStyle w:evenVBand="false" w:oddVBand="true" w:firstColumn="false"/>
            <w:tcW w:w="33.333333%" w:type="pct"/>
          </w:tcPr>
          <w:p>
            <w:pPr>
              <w:ind w:leftChars="0" w:left="0" w:right="0"/>
            </w:pPr>
            <w:r>
              <w:t>HPC ENERGY TRADING</w:t>
            </w:r>
          </w:p>
        </w:tc>
      </w:tr>
      <w:tr>
        <w:trPr>
          <w:cnfStyle w:evenHBand="true" w:oddHBand="false" w:firstRow="false"/>
        </w:trPr>
        <w:tc>
          <w:tcPr>
            <w:cnfStyle w:evenVBand="false" w:oddVBand="true" w:firstColumn="false"/>
            <w:tcW w:w="33.333333%" w:type="pct"/>
          </w:tcPr>
          <w:p>
            <w:pPr>
              <w:ind w:leftChars="0" w:left="0" w:right="0"/>
            </w:pPr>
            <w:r>
              <w:t>HPCV</w:t>
            </w:r>
          </w:p>
        </w:tc>
        <w:tc>
          <w:tcPr>
            <w:cnfStyle w:evenVBand="true" w:oddVBand="false" w:firstColumn="false"/>
            <w:tcW w:w="33.333333%" w:type="pct"/>
          </w:tcPr>
          <w:p>
            <w:pPr>
              <w:ind w:leftChars="0" w:left="0" w:right="0"/>
            </w:pPr>
            <w:r>
              <w:t>HPCV</w:t>
            </w:r>
          </w:p>
        </w:tc>
        <w:tc>
          <w:tcPr>
            <w:cnfStyle w:evenVBand="false" w:oddVBand="true" w:firstColumn="false"/>
            <w:tcW w:w="33.333333%" w:type="pct"/>
          </w:tcPr>
          <w:p>
            <w:pPr>
              <w:ind w:leftChars="0" w:left="0" w:right="0"/>
            </w:pPr>
            <w:r>
              <w:t>HPC SA - VOICE OTF</w:t>
            </w:r>
          </w:p>
        </w:tc>
      </w:tr>
      <w:tr>
        <w:trPr>
          <w:cnfStyle w:evenHBand="false" w:oddHBand="true" w:firstRow="false"/>
        </w:trPr>
        <w:tc>
          <w:tcPr>
            <w:cnfStyle w:evenVBand="false" w:oddVBand="true" w:firstColumn="false"/>
            <w:tcW w:w="33.333333%" w:type="pct"/>
          </w:tcPr>
          <w:p>
            <w:pPr>
              <w:ind w:leftChars="0" w:left="0" w:right="0"/>
            </w:pPr>
            <w:r>
              <w:t>HPCX</w:t>
            </w:r>
          </w:p>
        </w:tc>
        <w:tc>
          <w:tcPr>
            <w:cnfStyle w:evenVBand="true" w:oddVBand="false" w:firstColumn="false"/>
            <w:tcW w:w="33.333333%" w:type="pct"/>
          </w:tcPr>
          <w:p>
            <w:pPr>
              <w:ind w:leftChars="0" w:left="0" w:right="0"/>
            </w:pPr>
            <w:r>
              <w:t>HPCX</w:t>
            </w:r>
          </w:p>
        </w:tc>
        <w:tc>
          <w:tcPr>
            <w:cnfStyle w:evenVBand="false" w:oddVBand="true" w:firstColumn="false"/>
            <w:tcW w:w="33.333333%" w:type="pct"/>
          </w:tcPr>
          <w:p>
            <w:pPr>
              <w:ind w:leftChars="0" w:left="0" w:right="0"/>
            </w:pPr>
            <w:r>
              <w:t>HPC SA</w:t>
            </w:r>
          </w:p>
        </w:tc>
      </w:tr>
      <w:tr>
        <w:trPr>
          <w:cnfStyle w:evenHBand="true" w:oddHBand="false" w:firstRow="false"/>
        </w:trPr>
        <w:tc>
          <w:tcPr>
            <w:cnfStyle w:evenVBand="false" w:oddVBand="true" w:firstColumn="false"/>
            <w:tcW w:w="33.333333%" w:type="pct"/>
          </w:tcPr>
          <w:p>
            <w:pPr>
              <w:ind w:leftChars="0" w:left="0" w:right="0"/>
            </w:pPr>
            <w:r>
              <w:t>HPPO</w:t>
            </w:r>
          </w:p>
        </w:tc>
        <w:tc>
          <w:tcPr>
            <w:cnfStyle w:evenVBand="true" w:oddVBand="false" w:firstColumn="false"/>
            <w:tcW w:w="33.333333%" w:type="pct"/>
          </w:tcPr>
          <w:p>
            <w:pPr>
              <w:ind w:leftChars="0" w:left="0" w:right="0"/>
            </w:pPr>
            <w:r>
              <w:t>HPPO</w:t>
            </w:r>
          </w:p>
        </w:tc>
        <w:tc>
          <w:tcPr>
            <w:cnfStyle w:evenVBand="false" w:oddVBand="true" w:firstColumn="false"/>
            <w:tcW w:w="33.333333%" w:type="pct"/>
          </w:tcPr>
          <w:p>
            <w:pPr>
              <w:ind w:leftChars="0" w:left="0" w:right="0"/>
            </w:pPr>
            <w:r>
              <w:t>POTAMUS TRADING LLC</w:t>
            </w:r>
          </w:p>
        </w:tc>
      </w:tr>
      <w:tr>
        <w:trPr>
          <w:cnfStyle w:evenHBand="false" w:oddHBand="true" w:firstRow="false"/>
        </w:trPr>
        <w:tc>
          <w:tcPr>
            <w:cnfStyle w:evenVBand="false" w:oddVBand="true" w:firstColumn="false"/>
            <w:tcW w:w="33.333333%" w:type="pct"/>
          </w:tcPr>
          <w:p>
            <w:pPr>
              <w:ind w:leftChars="0" w:left="0" w:right="0"/>
            </w:pPr>
            <w:r>
              <w:t>HPSO</w:t>
            </w:r>
          </w:p>
        </w:tc>
        <w:tc>
          <w:tcPr>
            <w:cnfStyle w:evenVBand="true" w:oddVBand="false" w:firstColumn="false"/>
            <w:tcW w:w="33.333333%" w:type="pct"/>
          </w:tcPr>
          <w:p>
            <w:pPr>
              <w:ind w:leftChars="0" w:left="0" w:right="0"/>
            </w:pPr>
            <w:r>
              <w:t>HPSO</w:t>
            </w:r>
          </w:p>
        </w:tc>
        <w:tc>
          <w:tcPr>
            <w:cnfStyle w:evenVBand="false" w:oddVBand="true" w:firstColumn="false"/>
            <w:tcW w:w="33.333333%" w:type="pct"/>
          </w:tcPr>
          <w:p>
            <w:pPr>
              <w:ind w:leftChars="0" w:left="0" w:right="0"/>
            </w:pPr>
            <w:r>
              <w:t>HPC OTF - UK ETRADING PLATFORM</w:t>
            </w:r>
          </w:p>
        </w:tc>
      </w:tr>
      <w:tr>
        <w:trPr>
          <w:cnfStyle w:evenHBand="true" w:oddHBand="false" w:firstRow="false"/>
        </w:trPr>
        <w:tc>
          <w:tcPr>
            <w:cnfStyle w:evenVBand="false" w:oddVBand="true" w:firstColumn="false"/>
            <w:tcW w:w="33.333333%" w:type="pct"/>
          </w:tcPr>
          <w:p>
            <w:pPr>
              <w:ind w:leftChars="0" w:left="0" w:right="0"/>
            </w:pPr>
            <w:r>
              <w:t>HPSX</w:t>
            </w:r>
          </w:p>
        </w:tc>
        <w:tc>
          <w:tcPr>
            <w:cnfStyle w:evenVBand="true" w:oddVBand="false" w:firstColumn="false"/>
            <w:tcW w:w="33.333333%" w:type="pct"/>
          </w:tcPr>
          <w:p>
            <w:pPr>
              <w:ind w:leftChars="0" w:left="0" w:right="0"/>
            </w:pPr>
            <w:r>
              <w:t>HPSX</w:t>
            </w:r>
          </w:p>
        </w:tc>
        <w:tc>
          <w:tcPr>
            <w:cnfStyle w:evenVBand="false" w:oddVBand="true" w:firstColumn="false"/>
            <w:tcW w:w="33.333333%" w:type="pct"/>
          </w:tcPr>
          <w:p>
            <w:pPr>
              <w:ind w:leftChars="0" w:left="0" w:right="0"/>
            </w:pPr>
            <w:r>
              <w:t>HPC OTF</w:t>
            </w:r>
          </w:p>
        </w:tc>
      </w:tr>
      <w:tr>
        <w:trPr>
          <w:cnfStyle w:evenHBand="false" w:oddHBand="true" w:firstRow="false"/>
        </w:trPr>
        <w:tc>
          <w:tcPr>
            <w:cnfStyle w:evenVBand="false" w:oddVBand="true" w:firstColumn="false"/>
            <w:tcW w:w="33.333333%" w:type="pct"/>
          </w:tcPr>
          <w:p>
            <w:pPr>
              <w:ind w:leftChars="0" w:left="0" w:right="0"/>
            </w:pPr>
            <w:r>
              <w:t>HREU</w:t>
            </w:r>
          </w:p>
        </w:tc>
        <w:tc>
          <w:tcPr>
            <w:cnfStyle w:evenVBand="true" w:oddVBand="false" w:firstColumn="false"/>
            <w:tcW w:w="33.333333%" w:type="pct"/>
          </w:tcPr>
          <w:p>
            <w:pPr>
              <w:ind w:leftChars="0" w:left="0" w:right="0"/>
            </w:pPr>
            <w:r>
              <w:t>HREU</w:t>
            </w:r>
          </w:p>
        </w:tc>
        <w:tc>
          <w:tcPr>
            <w:cnfStyle w:evenVBand="false" w:oddVBand="true" w:firstColumn="false"/>
            <w:tcW w:w="33.333333%" w:type="pct"/>
          </w:tcPr>
          <w:p>
            <w:pPr>
              <w:ind w:leftChars="0" w:left="0" w:right="0"/>
            </w:pPr>
            <w:r>
              <w:t>HRTEU LIMITED - SYSTEMATIC INTERNALISER</w:t>
            </w:r>
          </w:p>
        </w:tc>
      </w:tr>
      <w:tr>
        <w:trPr>
          <w:cnfStyle w:evenHBand="true" w:oddHBand="false" w:firstRow="false"/>
        </w:trPr>
        <w:tc>
          <w:tcPr>
            <w:cnfStyle w:evenVBand="false" w:oddVBand="true" w:firstColumn="false"/>
            <w:tcW w:w="33.333333%" w:type="pct"/>
          </w:tcPr>
          <w:p>
            <w:pPr>
              <w:ind w:leftChars="0" w:left="0" w:right="0"/>
            </w:pPr>
            <w:r>
              <w:t>HRFQ</w:t>
            </w:r>
          </w:p>
        </w:tc>
        <w:tc>
          <w:tcPr>
            <w:cnfStyle w:evenVBand="true" w:oddVBand="false" w:firstColumn="false"/>
            <w:tcW w:w="33.333333%" w:type="pct"/>
          </w:tcPr>
          <w:p>
            <w:pPr>
              <w:ind w:leftChars="0" w:left="0" w:right="0"/>
            </w:pPr>
            <w:r>
              <w:t>HRFQ</w:t>
            </w:r>
          </w:p>
        </w:tc>
        <w:tc>
          <w:tcPr>
            <w:cnfStyle w:evenVBand="false" w:oddVBand="true" w:firstColumn="false"/>
            <w:tcW w:w="33.333333%" w:type="pct"/>
          </w:tcPr>
          <w:p>
            <w:pPr>
              <w:ind w:leftChars="0" w:left="0" w:right="0"/>
            </w:pPr>
            <w:r>
              <w:t>HI-MTF RFQ</w:t>
            </w:r>
          </w:p>
        </w:tc>
      </w:tr>
      <w:tr>
        <w:trPr>
          <w:cnfStyle w:evenHBand="false" w:oddHBand="true" w:firstRow="false"/>
        </w:trPr>
        <w:tc>
          <w:tcPr>
            <w:cnfStyle w:evenVBand="false" w:oddVBand="true" w:firstColumn="false"/>
            <w:tcW w:w="33.333333%" w:type="pct"/>
          </w:tcPr>
          <w:p>
            <w:pPr>
              <w:ind w:leftChars="0" w:left="0" w:right="0"/>
            </w:pPr>
            <w:r>
              <w:t>HRSI</w:t>
            </w:r>
          </w:p>
        </w:tc>
        <w:tc>
          <w:tcPr>
            <w:cnfStyle w:evenVBand="true" w:oddVBand="false" w:firstColumn="false"/>
            <w:tcW w:w="33.333333%" w:type="pct"/>
          </w:tcPr>
          <w:p>
            <w:pPr>
              <w:ind w:leftChars="0" w:left="0" w:right="0"/>
            </w:pPr>
            <w:r>
              <w:t>HRSI</w:t>
            </w:r>
          </w:p>
        </w:tc>
        <w:tc>
          <w:tcPr>
            <w:cnfStyle w:evenVBand="false" w:oddVBand="true" w:firstColumn="false"/>
            <w:tcW w:w="33.333333%" w:type="pct"/>
          </w:tcPr>
          <w:p>
            <w:pPr>
              <w:ind w:leftChars="0" w:left="0" w:right="0"/>
            </w:pPr>
            <w:r>
              <w:t>HUDSON RIVER TRADING - SYSTEMATIC INTERNALISER</w:t>
            </w:r>
          </w:p>
        </w:tc>
      </w:tr>
      <w:tr>
        <w:trPr>
          <w:cnfStyle w:evenHBand="true" w:oddHBand="false" w:firstRow="false"/>
        </w:trPr>
        <w:tc>
          <w:tcPr>
            <w:cnfStyle w:evenVBand="false" w:oddVBand="true" w:firstColumn="false"/>
            <w:tcW w:w="33.333333%" w:type="pct"/>
          </w:tcPr>
          <w:p>
            <w:pPr>
              <w:ind w:leftChars="0" w:left="0" w:right="0"/>
            </w:pPr>
            <w:r>
              <w:t>HRTF</w:t>
            </w:r>
          </w:p>
        </w:tc>
        <w:tc>
          <w:tcPr>
            <w:cnfStyle w:evenVBand="true" w:oddVBand="false" w:firstColumn="false"/>
            <w:tcW w:w="33.333333%" w:type="pct"/>
          </w:tcPr>
          <w:p>
            <w:pPr>
              <w:ind w:leftChars="0" w:left="0" w:right="0"/>
            </w:pPr>
            <w:r>
              <w:t>HRTF</w:t>
            </w:r>
          </w:p>
        </w:tc>
        <w:tc>
          <w:tcPr>
            <w:cnfStyle w:evenVBand="false" w:oddVBand="true" w:firstColumn="false"/>
            <w:tcW w:w="33.333333%" w:type="pct"/>
          </w:tcPr>
          <w:p>
            <w:pPr>
              <w:ind w:leftChars="0" w:left="0" w:right="0"/>
            </w:pPr>
            <w:r>
              <w:t>HUDSON RIVER TRADING (HRT)</w:t>
            </w:r>
          </w:p>
        </w:tc>
      </w:tr>
      <w:tr>
        <w:trPr>
          <w:cnfStyle w:evenHBand="false" w:oddHBand="true" w:firstRow="false"/>
        </w:trPr>
        <w:tc>
          <w:tcPr>
            <w:cnfStyle w:evenVBand="false" w:oddVBand="true" w:firstColumn="false"/>
            <w:tcW w:w="33.333333%" w:type="pct"/>
          </w:tcPr>
          <w:p>
            <w:pPr>
              <w:ind w:leftChars="0" w:left="0" w:right="0"/>
            </w:pPr>
            <w:r>
              <w:t>HRTX</w:t>
            </w:r>
          </w:p>
        </w:tc>
        <w:tc>
          <w:tcPr>
            <w:cnfStyle w:evenVBand="true" w:oddVBand="false" w:firstColumn="false"/>
            <w:tcW w:w="33.333333%" w:type="pct"/>
          </w:tcPr>
          <w:p>
            <w:pPr>
              <w:ind w:leftChars="0" w:left="0" w:right="0"/>
            </w:pPr>
            <w:r>
              <w:t>HRTX</w:t>
            </w:r>
          </w:p>
        </w:tc>
        <w:tc>
          <w:tcPr>
            <w:cnfStyle w:evenVBand="false" w:oddVBand="true" w:firstColumn="false"/>
            <w:tcW w:w="33.333333%" w:type="pct"/>
          </w:tcPr>
          <w:p>
            <w:pPr>
              <w:ind w:leftChars="0" w:left="0" w:right="0"/>
            </w:pPr>
            <w:r>
              <w:t>HUDSON RIVER TRADING</w:t>
            </w:r>
          </w:p>
        </w:tc>
      </w:tr>
      <w:tr>
        <w:trPr>
          <w:cnfStyle w:evenHBand="true" w:oddHBand="false" w:firstRow="false"/>
        </w:trPr>
        <w:tc>
          <w:tcPr>
            <w:cnfStyle w:evenVBand="false" w:oddVBand="true" w:firstColumn="false"/>
            <w:tcW w:w="33.333333%" w:type="pct"/>
          </w:tcPr>
          <w:p>
            <w:pPr>
              <w:ind w:leftChars="0" w:left="0" w:right="0"/>
            </w:pPr>
            <w:r>
              <w:t>HSBC</w:t>
            </w:r>
          </w:p>
        </w:tc>
        <w:tc>
          <w:tcPr>
            <w:cnfStyle w:evenVBand="true" w:oddVBand="false" w:firstColumn="false"/>
            <w:tcW w:w="33.333333%" w:type="pct"/>
          </w:tcPr>
          <w:p>
            <w:pPr>
              <w:ind w:leftChars="0" w:left="0" w:right="0"/>
            </w:pPr>
            <w:r>
              <w:t>HSBC</w:t>
            </w:r>
          </w:p>
        </w:tc>
        <w:tc>
          <w:tcPr>
            <w:cnfStyle w:evenVBand="false" w:oddVBand="true" w:firstColumn="false"/>
            <w:tcW w:w="33.333333%" w:type="pct"/>
          </w:tcPr>
          <w:p>
            <w:pPr>
              <w:ind w:leftChars="0" w:left="0" w:right="0"/>
            </w:pPr>
            <w:r>
              <w:t>HSBC - SYSTEMATIC INTERNALISER</w:t>
            </w:r>
          </w:p>
        </w:tc>
      </w:tr>
      <w:tr>
        <w:trPr>
          <w:cnfStyle w:evenHBand="false" w:oddHBand="true" w:firstRow="false"/>
        </w:trPr>
        <w:tc>
          <w:tcPr>
            <w:cnfStyle w:evenVBand="false" w:oddVBand="true" w:firstColumn="false"/>
            <w:tcW w:w="33.333333%" w:type="pct"/>
          </w:tcPr>
          <w:p>
            <w:pPr>
              <w:ind w:leftChars="0" w:left="0" w:right="0"/>
            </w:pPr>
            <w:r>
              <w:t>HSBT</w:t>
            </w:r>
          </w:p>
        </w:tc>
        <w:tc>
          <w:tcPr>
            <w:cnfStyle w:evenVBand="true" w:oddVBand="false" w:firstColumn="false"/>
            <w:tcW w:w="33.333333%" w:type="pct"/>
          </w:tcPr>
          <w:p>
            <w:pPr>
              <w:ind w:leftChars="0" w:left="0" w:right="0"/>
            </w:pPr>
            <w:r>
              <w:t>HSBT</w:t>
            </w:r>
          </w:p>
        </w:tc>
        <w:tc>
          <w:tcPr>
            <w:cnfStyle w:evenVBand="false" w:oddVBand="true" w:firstColumn="false"/>
            <w:tcW w:w="33.333333%" w:type="pct"/>
          </w:tcPr>
          <w:p>
            <w:pPr>
              <w:ind w:leftChars="0" w:left="0" w:right="0"/>
            </w:pPr>
            <w:r>
              <w:t>HSBC TRINKAUS AND BURKHARDT AG - SYSTEMATIC INTERNALISER</w:t>
            </w:r>
          </w:p>
        </w:tc>
      </w:tr>
      <w:tr>
        <w:trPr>
          <w:cnfStyle w:evenHBand="true" w:oddHBand="false" w:firstRow="false"/>
        </w:trPr>
        <w:tc>
          <w:tcPr>
            <w:cnfStyle w:evenVBand="false" w:oddVBand="true" w:firstColumn="false"/>
            <w:tcW w:w="33.333333%" w:type="pct"/>
          </w:tcPr>
          <w:p>
            <w:pPr>
              <w:ind w:leftChars="0" w:left="0" w:right="0"/>
            </w:pPr>
            <w:r>
              <w:t>HSFX</w:t>
            </w:r>
          </w:p>
        </w:tc>
        <w:tc>
          <w:tcPr>
            <w:cnfStyle w:evenVBand="true" w:oddVBand="false" w:firstColumn="false"/>
            <w:tcW w:w="33.333333%" w:type="pct"/>
          </w:tcPr>
          <w:p>
            <w:pPr>
              <w:ind w:leftChars="0" w:left="0" w:right="0"/>
            </w:pPr>
            <w:r>
              <w:t>HSFX</w:t>
            </w:r>
          </w:p>
        </w:tc>
        <w:tc>
          <w:tcPr>
            <w:cnfStyle w:evenVBand="false" w:oddVBand="true" w:firstColumn="false"/>
            <w:tcW w:w="33.333333%" w:type="pct"/>
          </w:tcPr>
          <w:p>
            <w:pPr>
              <w:ind w:leftChars="0" w:left="0" w:right="0"/>
            </w:pPr>
            <w:r>
              <w:t>HOTSPOT FX</w:t>
            </w:r>
          </w:p>
        </w:tc>
      </w:tr>
      <w:tr>
        <w:trPr>
          <w:cnfStyle w:evenHBand="false" w:oddHBand="true" w:firstRow="false"/>
        </w:trPr>
        <w:tc>
          <w:tcPr>
            <w:cnfStyle w:evenVBand="false" w:oddVBand="true" w:firstColumn="false"/>
            <w:tcW w:w="33.333333%" w:type="pct"/>
          </w:tcPr>
          <w:p>
            <w:pPr>
              <w:ind w:leftChars="0" w:left="0" w:right="0"/>
            </w:pPr>
            <w:r>
              <w:t>HSTC</w:t>
            </w:r>
          </w:p>
        </w:tc>
        <w:tc>
          <w:tcPr>
            <w:cnfStyle w:evenVBand="true" w:oddVBand="false" w:firstColumn="false"/>
            <w:tcW w:w="33.333333%" w:type="pct"/>
          </w:tcPr>
          <w:p>
            <w:pPr>
              <w:ind w:leftChars="0" w:left="0" w:right="0"/>
            </w:pPr>
            <w:r>
              <w:t>HSTC</w:t>
            </w:r>
          </w:p>
        </w:tc>
        <w:tc>
          <w:tcPr>
            <w:cnfStyle w:evenVBand="false" w:oddVBand="true" w:firstColumn="false"/>
            <w:tcW w:w="33.333333%" w:type="pct"/>
          </w:tcPr>
          <w:p>
            <w:pPr>
              <w:ind w:leftChars="0" w:left="0" w:right="0"/>
            </w:pPr>
            <w:r>
              <w:t>HANOI STOCK EXCHANGE</w:t>
            </w:r>
          </w:p>
        </w:tc>
      </w:tr>
      <w:tr>
        <w:trPr>
          <w:cnfStyle w:evenHBand="true" w:oddHBand="false" w:firstRow="false"/>
        </w:trPr>
        <w:tc>
          <w:tcPr>
            <w:cnfStyle w:evenVBand="false" w:oddVBand="true" w:firstColumn="false"/>
            <w:tcW w:w="33.333333%" w:type="pct"/>
          </w:tcPr>
          <w:p>
            <w:pPr>
              <w:ind w:leftChars="0" w:left="0" w:right="0"/>
            </w:pPr>
            <w:r>
              <w:t>HSXA</w:t>
            </w:r>
          </w:p>
        </w:tc>
        <w:tc>
          <w:tcPr>
            <w:cnfStyle w:evenVBand="true" w:oddVBand="false" w:firstColumn="false"/>
            <w:tcW w:w="33.333333%" w:type="pct"/>
          </w:tcPr>
          <w:p>
            <w:pPr>
              <w:ind w:leftChars="0" w:left="0" w:right="0"/>
            </w:pPr>
            <w:r>
              <w:t>HSXA</w:t>
            </w:r>
          </w:p>
        </w:tc>
        <w:tc>
          <w:tcPr>
            <w:cnfStyle w:evenVBand="false" w:oddVBand="true" w:firstColumn="false"/>
            <w:tcW w:w="33.333333%" w:type="pct"/>
          </w:tcPr>
          <w:p>
            <w:pPr>
              <w:ind w:leftChars="0" w:left="0" w:right="0"/>
            </w:pPr>
            <w:r>
              <w:t>HSBC-X HONG KONG</w:t>
            </w:r>
          </w:p>
        </w:tc>
      </w:tr>
      <w:tr>
        <w:trPr>
          <w:cnfStyle w:evenHBand="false" w:oddHBand="true" w:firstRow="false"/>
        </w:trPr>
        <w:tc>
          <w:tcPr>
            <w:cnfStyle w:evenVBand="false" w:oddVBand="true" w:firstColumn="false"/>
            <w:tcW w:w="33.333333%" w:type="pct"/>
          </w:tcPr>
          <w:p>
            <w:pPr>
              <w:ind w:leftChars="0" w:left="0" w:right="0"/>
            </w:pPr>
            <w:r>
              <w:t>HSXE</w:t>
            </w:r>
          </w:p>
        </w:tc>
        <w:tc>
          <w:tcPr>
            <w:cnfStyle w:evenVBand="true" w:oddVBand="false" w:firstColumn="false"/>
            <w:tcW w:w="33.333333%" w:type="pct"/>
          </w:tcPr>
          <w:p>
            <w:pPr>
              <w:ind w:leftChars="0" w:left="0" w:right="0"/>
            </w:pPr>
            <w:r>
              <w:t>HSXE</w:t>
            </w:r>
          </w:p>
        </w:tc>
        <w:tc>
          <w:tcPr>
            <w:cnfStyle w:evenVBand="false" w:oddVBand="true" w:firstColumn="false"/>
            <w:tcW w:w="33.333333%" w:type="pct"/>
          </w:tcPr>
          <w:p>
            <w:pPr>
              <w:ind w:leftChars="0" w:left="0" w:right="0"/>
            </w:pPr>
            <w:r>
              <w:t>HSBC-X UNITED KINGDOM</w:t>
            </w:r>
          </w:p>
        </w:tc>
      </w:tr>
      <w:tr>
        <w:trPr>
          <w:cnfStyle w:evenHBand="true" w:oddHBand="false" w:firstRow="false"/>
        </w:trPr>
        <w:tc>
          <w:tcPr>
            <w:cnfStyle w:evenVBand="false" w:oddVBand="true" w:firstColumn="false"/>
            <w:tcW w:w="33.333333%" w:type="pct"/>
          </w:tcPr>
          <w:p>
            <w:pPr>
              <w:ind w:leftChars="0" w:left="0" w:right="0"/>
            </w:pPr>
            <w:r>
              <w:t>HUDX</w:t>
            </w:r>
          </w:p>
        </w:tc>
        <w:tc>
          <w:tcPr>
            <w:cnfStyle w:evenVBand="true" w:oddVBand="false" w:firstColumn="false"/>
            <w:tcW w:w="33.333333%" w:type="pct"/>
          </w:tcPr>
          <w:p>
            <w:pPr>
              <w:ind w:leftChars="0" w:left="0" w:right="0"/>
            </w:pPr>
            <w:r>
              <w:t>HUDX</w:t>
            </w:r>
          </w:p>
        </w:tc>
        <w:tc>
          <w:tcPr>
            <w:cnfStyle w:evenVBand="false" w:oddVBand="true" w:firstColumn="false"/>
            <w:tcW w:w="33.333333%" w:type="pct"/>
          </w:tcPr>
          <w:p>
            <w:pPr>
              <w:ind w:leftChars="0" w:left="0" w:right="0"/>
            </w:pPr>
            <w:r>
              <w:t>HUNGARIAN DERIVATIVE ENERGY EXCHANGE</w:t>
            </w:r>
          </w:p>
        </w:tc>
      </w:tr>
      <w:tr>
        <w:trPr>
          <w:cnfStyle w:evenHBand="false" w:oddHBand="true" w:firstRow="false"/>
        </w:trPr>
        <w:tc>
          <w:tcPr>
            <w:cnfStyle w:evenVBand="false" w:oddVBand="true" w:firstColumn="false"/>
            <w:tcW w:w="33.333333%" w:type="pct"/>
          </w:tcPr>
          <w:p>
            <w:pPr>
              <w:ind w:leftChars="0" w:left="0" w:right="0"/>
            </w:pPr>
            <w:r>
              <w:t>HUNG</w:t>
            </w:r>
          </w:p>
        </w:tc>
        <w:tc>
          <w:tcPr>
            <w:cnfStyle w:evenVBand="true" w:oddVBand="false" w:firstColumn="false"/>
            <w:tcW w:w="33.333333%" w:type="pct"/>
          </w:tcPr>
          <w:p>
            <w:pPr>
              <w:ind w:leftChars="0" w:left="0" w:right="0"/>
            </w:pPr>
            <w:r>
              <w:t>HUNG</w:t>
            </w:r>
          </w:p>
        </w:tc>
        <w:tc>
          <w:tcPr>
            <w:cnfStyle w:evenVBand="false" w:oddVBand="true" w:firstColumn="false"/>
            <w:tcW w:w="33.333333%" w:type="pct"/>
          </w:tcPr>
          <w:p>
            <w:pPr>
              <w:ind w:leftChars="0" w:left="0" w:right="0"/>
            </w:pPr>
            <w:r>
              <w:t>MTS HUNGARY</w:t>
            </w:r>
          </w:p>
        </w:tc>
      </w:tr>
      <w:tr>
        <w:trPr>
          <w:cnfStyle w:evenHBand="true" w:oddHBand="false" w:firstRow="false"/>
        </w:trPr>
        <w:tc>
          <w:tcPr>
            <w:cnfStyle w:evenVBand="false" w:oddVBand="true" w:firstColumn="false"/>
            <w:tcW w:w="33.333333%" w:type="pct"/>
          </w:tcPr>
          <w:p>
            <w:pPr>
              <w:ind w:leftChars="0" w:left="0" w:right="0"/>
            </w:pPr>
            <w:r>
              <w:t>HUPX</w:t>
            </w:r>
          </w:p>
        </w:tc>
        <w:tc>
          <w:tcPr>
            <w:cnfStyle w:evenVBand="true" w:oddVBand="false" w:firstColumn="false"/>
            <w:tcW w:w="33.333333%" w:type="pct"/>
          </w:tcPr>
          <w:p>
            <w:pPr>
              <w:ind w:leftChars="0" w:left="0" w:right="0"/>
            </w:pPr>
            <w:r>
              <w:t>HUPX</w:t>
            </w:r>
          </w:p>
        </w:tc>
        <w:tc>
          <w:tcPr>
            <w:cnfStyle w:evenVBand="false" w:oddVBand="true" w:firstColumn="false"/>
            <w:tcW w:w="33.333333%" w:type="pct"/>
          </w:tcPr>
          <w:p>
            <w:pPr>
              <w:ind w:leftChars="0" w:left="0" w:right="0"/>
            </w:pPr>
            <w:r>
              <w:t>HUNGARIAN POWER EXCHANGE</w:t>
            </w:r>
          </w:p>
        </w:tc>
      </w:tr>
      <w:tr>
        <w:trPr>
          <w:cnfStyle w:evenHBand="false" w:oddHBand="true" w:firstRow="false"/>
        </w:trPr>
        <w:tc>
          <w:tcPr>
            <w:cnfStyle w:evenVBand="false" w:oddVBand="true" w:firstColumn="false"/>
            <w:tcW w:w="33.333333%" w:type="pct"/>
          </w:tcPr>
          <w:p>
            <w:pPr>
              <w:ind w:leftChars="0" w:left="0" w:right="0"/>
            </w:pPr>
            <w:r>
              <w:t>IATS</w:t>
            </w:r>
          </w:p>
        </w:tc>
        <w:tc>
          <w:tcPr>
            <w:cnfStyle w:evenVBand="true" w:oddVBand="false" w:firstColumn="false"/>
            <w:tcW w:w="33.333333%" w:type="pct"/>
          </w:tcPr>
          <w:p>
            <w:pPr>
              <w:ind w:leftChars="0" w:left="0" w:right="0"/>
            </w:pPr>
            <w:r>
              <w:t>IATS</w:t>
            </w:r>
          </w:p>
        </w:tc>
        <w:tc>
          <w:tcPr>
            <w:cnfStyle w:evenVBand="false" w:oddVBand="true" w:firstColumn="false"/>
            <w:tcW w:w="33.333333%" w:type="pct"/>
          </w:tcPr>
          <w:p>
            <w:pPr>
              <w:ind w:leftChars="0" w:left="0" w:right="0"/>
            </w:pPr>
            <w:r>
              <w:t>INTERACTIVE BROKERS LLC - ATS</w:t>
            </w:r>
          </w:p>
        </w:tc>
      </w:tr>
      <w:tr>
        <w:trPr>
          <w:cnfStyle w:evenHBand="true" w:oddHBand="false" w:firstRow="false"/>
        </w:trPr>
        <w:tc>
          <w:tcPr>
            <w:cnfStyle w:evenVBand="false" w:oddVBand="true" w:firstColumn="false"/>
            <w:tcW w:w="33.333333%" w:type="pct"/>
          </w:tcPr>
          <w:p>
            <w:pPr>
              <w:ind w:leftChars="0" w:left="0" w:right="0"/>
            </w:pPr>
            <w:r>
              <w:t>IBAL</w:t>
            </w:r>
          </w:p>
        </w:tc>
        <w:tc>
          <w:tcPr>
            <w:cnfStyle w:evenVBand="true" w:oddVBand="false" w:firstColumn="false"/>
            <w:tcW w:w="33.333333%" w:type="pct"/>
          </w:tcPr>
          <w:p>
            <w:pPr>
              <w:ind w:leftChars="0" w:left="0" w:right="0"/>
            </w:pPr>
            <w:r>
              <w:t>IBAL</w:t>
            </w:r>
          </w:p>
        </w:tc>
        <w:tc>
          <w:tcPr>
            <w:cnfStyle w:evenVBand="false" w:oddVBand="true" w:firstColumn="false"/>
            <w:tcW w:w="33.333333%" w:type="pct"/>
          </w:tcPr>
          <w:p>
            <w:pPr>
              <w:ind w:leftChars="0" w:left="0" w:right="0"/>
            </w:pPr>
            <w:r>
              <w:t>ICE BENCHMARK ADMINISTRATION</w:t>
            </w:r>
          </w:p>
        </w:tc>
      </w:tr>
      <w:tr>
        <w:trPr>
          <w:cnfStyle w:evenHBand="false" w:oddHBand="true" w:firstRow="false"/>
        </w:trPr>
        <w:tc>
          <w:tcPr>
            <w:cnfStyle w:evenVBand="false" w:oddVBand="true" w:firstColumn="false"/>
            <w:tcW w:w="33.333333%" w:type="pct"/>
          </w:tcPr>
          <w:p>
            <w:pPr>
              <w:ind w:leftChars="0" w:left="0" w:right="0"/>
            </w:pPr>
            <w:r>
              <w:t>IBEQ</w:t>
            </w:r>
          </w:p>
        </w:tc>
        <w:tc>
          <w:tcPr>
            <w:cnfStyle w:evenVBand="true" w:oddVBand="false" w:firstColumn="false"/>
            <w:tcW w:w="33.333333%" w:type="pct"/>
          </w:tcPr>
          <w:p>
            <w:pPr>
              <w:ind w:leftChars="0" w:left="0" w:right="0"/>
            </w:pPr>
            <w:r>
              <w:t>IBEQ</w:t>
            </w:r>
          </w:p>
        </w:tc>
        <w:tc>
          <w:tcPr>
            <w:cnfStyle w:evenVBand="false" w:oddVBand="true" w:firstColumn="false"/>
            <w:tcW w:w="33.333333%" w:type="pct"/>
          </w:tcPr>
          <w:p>
            <w:pPr>
              <w:ind w:leftChars="0" w:left="0" w:right="0"/>
            </w:pPr>
            <w:r>
              <w:t>INVEST BANCA - IBIS EQUITY - SYSTEMATIC INTERNALISER</w:t>
            </w:r>
          </w:p>
        </w:tc>
      </w:tr>
      <w:tr>
        <w:trPr>
          <w:cnfStyle w:evenHBand="true" w:oddHBand="false" w:firstRow="false"/>
        </w:trPr>
        <w:tc>
          <w:tcPr>
            <w:cnfStyle w:evenVBand="false" w:oddVBand="true" w:firstColumn="false"/>
            <w:tcW w:w="33.333333%" w:type="pct"/>
          </w:tcPr>
          <w:p>
            <w:pPr>
              <w:ind w:leftChars="0" w:left="0" w:right="0"/>
            </w:pPr>
            <w:r>
              <w:t>IBER</w:t>
            </w:r>
          </w:p>
        </w:tc>
        <w:tc>
          <w:tcPr>
            <w:cnfStyle w:evenVBand="true" w:oddVBand="false" w:firstColumn="false"/>
            <w:tcW w:w="33.333333%" w:type="pct"/>
          </w:tcPr>
          <w:p>
            <w:pPr>
              <w:ind w:leftChars="0" w:left="0" w:right="0"/>
            </w:pPr>
            <w:r>
              <w:t>IBER</w:t>
            </w:r>
          </w:p>
        </w:tc>
        <w:tc>
          <w:tcPr>
            <w:cnfStyle w:evenVBand="false" w:oddVBand="true" w:firstColumn="false"/>
            <w:tcW w:w="33.333333%" w:type="pct"/>
          </w:tcPr>
          <w:p>
            <w:pPr>
              <w:ind w:leftChars="0" w:left="0" w:right="0"/>
            </w:pPr>
            <w:r>
              <w:t>IBERCAJA BANCO SA</w:t>
            </w:r>
          </w:p>
        </w:tc>
      </w:tr>
      <w:tr>
        <w:trPr>
          <w:cnfStyle w:evenHBand="false" w:oddHBand="true" w:firstRow="false"/>
        </w:trPr>
        <w:tc>
          <w:tcPr>
            <w:cnfStyle w:evenVBand="false" w:oddVBand="true" w:firstColumn="false"/>
            <w:tcW w:w="33.333333%" w:type="pct"/>
          </w:tcPr>
          <w:p>
            <w:pPr>
              <w:ind w:leftChars="0" w:left="0" w:right="0"/>
            </w:pPr>
            <w:r>
              <w:t>IBEX</w:t>
            </w:r>
          </w:p>
        </w:tc>
        <w:tc>
          <w:tcPr>
            <w:cnfStyle w:evenVBand="true" w:oddVBand="false" w:firstColumn="false"/>
            <w:tcW w:w="33.333333%" w:type="pct"/>
          </w:tcPr>
          <w:p>
            <w:pPr>
              <w:ind w:leftChars="0" w:left="0" w:right="0"/>
            </w:pPr>
            <w:r>
              <w:t>IBEX</w:t>
            </w:r>
          </w:p>
        </w:tc>
        <w:tc>
          <w:tcPr>
            <w:cnfStyle w:evenVBand="false" w:oddVBand="true" w:firstColumn="false"/>
            <w:tcW w:w="33.333333%" w:type="pct"/>
          </w:tcPr>
          <w:p>
            <w:pPr>
              <w:ind w:leftChars="0" w:left="0" w:right="0"/>
            </w:pPr>
            <w:r>
              <w:t>INDEPENDENT BULGARIAN ENERGY EXCHANGE</w:t>
            </w:r>
          </w:p>
        </w:tc>
      </w:tr>
      <w:tr>
        <w:trPr>
          <w:cnfStyle w:evenHBand="true" w:oddHBand="false" w:firstRow="false"/>
        </w:trPr>
        <w:tc>
          <w:tcPr>
            <w:cnfStyle w:evenVBand="false" w:oddVBand="true" w:firstColumn="false"/>
            <w:tcW w:w="33.333333%" w:type="pct"/>
          </w:tcPr>
          <w:p>
            <w:pPr>
              <w:ind w:leftChars="0" w:left="0" w:right="0"/>
            </w:pPr>
            <w:r>
              <w:t>IBGH</w:t>
            </w:r>
          </w:p>
        </w:tc>
        <w:tc>
          <w:tcPr>
            <w:cnfStyle w:evenVBand="true" w:oddVBand="false" w:firstColumn="false"/>
            <w:tcW w:w="33.333333%" w:type="pct"/>
          </w:tcPr>
          <w:p>
            <w:pPr>
              <w:ind w:leftChars="0" w:left="0" w:right="0"/>
            </w:pPr>
            <w:r>
              <w:t>IBGH</w:t>
            </w:r>
          </w:p>
        </w:tc>
        <w:tc>
          <w:tcPr>
            <w:cnfStyle w:evenVBand="false" w:oddVBand="true" w:firstColumn="false"/>
            <w:tcW w:w="33.333333%" w:type="pct"/>
          </w:tcPr>
          <w:p>
            <w:pPr>
              <w:ind w:leftChars="0" w:left="0" w:right="0"/>
            </w:pPr>
            <w:r>
              <w:t>IBERIAN GAS HUB</w:t>
            </w:r>
          </w:p>
        </w:tc>
      </w:tr>
      <w:tr>
        <w:trPr>
          <w:cnfStyle w:evenHBand="false" w:oddHBand="true" w:firstRow="false"/>
        </w:trPr>
        <w:tc>
          <w:tcPr>
            <w:cnfStyle w:evenVBand="false" w:oddVBand="true" w:firstColumn="false"/>
            <w:tcW w:w="33.333333%" w:type="pct"/>
          </w:tcPr>
          <w:p>
            <w:pPr>
              <w:ind w:leftChars="0" w:left="0" w:right="0"/>
            </w:pPr>
            <w:r>
              <w:t>IBIS</w:t>
            </w:r>
          </w:p>
        </w:tc>
        <w:tc>
          <w:tcPr>
            <w:cnfStyle w:evenVBand="true" w:oddVBand="false" w:firstColumn="false"/>
            <w:tcW w:w="33.333333%" w:type="pct"/>
          </w:tcPr>
          <w:p>
            <w:pPr>
              <w:ind w:leftChars="0" w:left="0" w:right="0"/>
            </w:pPr>
            <w:r>
              <w:t>IBIS</w:t>
            </w:r>
          </w:p>
        </w:tc>
        <w:tc>
          <w:tcPr>
            <w:cnfStyle w:evenVBand="false" w:oddVBand="true" w:firstColumn="false"/>
            <w:tcW w:w="33.333333%" w:type="pct"/>
          </w:tcPr>
          <w:p>
            <w:pPr>
              <w:ind w:leftChars="0" w:left="0" w:right="0"/>
            </w:pPr>
            <w:r>
              <w:t>INVEST BANCA - SYSTEMATIC INTERNALISER</w:t>
            </w:r>
          </w:p>
        </w:tc>
      </w:tr>
      <w:tr>
        <w:trPr>
          <w:cnfStyle w:evenHBand="true" w:oddHBand="false" w:firstRow="false"/>
        </w:trPr>
        <w:tc>
          <w:tcPr>
            <w:cnfStyle w:evenVBand="false" w:oddVBand="true" w:firstColumn="false"/>
            <w:tcW w:w="33.333333%" w:type="pct"/>
          </w:tcPr>
          <w:p>
            <w:pPr>
              <w:ind w:leftChars="0" w:left="0" w:right="0"/>
            </w:pPr>
            <w:r>
              <w:t>IBLX</w:t>
            </w:r>
          </w:p>
        </w:tc>
        <w:tc>
          <w:tcPr>
            <w:cnfStyle w:evenVBand="true" w:oddVBand="false" w:firstColumn="false"/>
            <w:tcW w:w="33.333333%" w:type="pct"/>
          </w:tcPr>
          <w:p>
            <w:pPr>
              <w:ind w:leftChars="0" w:left="0" w:right="0"/>
            </w:pPr>
            <w:r>
              <w:t>IBLX</w:t>
            </w:r>
          </w:p>
        </w:tc>
        <w:tc>
          <w:tcPr>
            <w:cnfStyle w:evenVBand="false" w:oddVBand="true" w:firstColumn="false"/>
            <w:tcW w:w="33.333333%" w:type="pct"/>
          </w:tcPr>
          <w:p>
            <w:pPr>
              <w:ind w:leftChars="0" w:left="0" w:right="0"/>
            </w:pPr>
            <w:r>
              <w:t>INSTINET BLX</w:t>
            </w:r>
          </w:p>
        </w:tc>
      </w:tr>
      <w:tr>
        <w:trPr>
          <w:cnfStyle w:evenHBand="false" w:oddHBand="true" w:firstRow="false"/>
        </w:trPr>
        <w:tc>
          <w:tcPr>
            <w:cnfStyle w:evenVBand="false" w:oddVBand="true" w:firstColumn="false"/>
            <w:tcW w:w="33.333333%" w:type="pct"/>
          </w:tcPr>
          <w:p>
            <w:pPr>
              <w:ind w:leftChars="0" w:left="0" w:right="0"/>
            </w:pPr>
            <w:r>
              <w:t>IBSI</w:t>
            </w:r>
          </w:p>
        </w:tc>
        <w:tc>
          <w:tcPr>
            <w:cnfStyle w:evenVBand="true" w:oddVBand="false" w:firstColumn="false"/>
            <w:tcW w:w="33.333333%" w:type="pct"/>
          </w:tcPr>
          <w:p>
            <w:pPr>
              <w:ind w:leftChars="0" w:left="0" w:right="0"/>
            </w:pPr>
            <w:r>
              <w:t>IBSI</w:t>
            </w:r>
          </w:p>
        </w:tc>
        <w:tc>
          <w:tcPr>
            <w:cnfStyle w:evenVBand="false" w:oddVBand="true" w:firstColumn="false"/>
            <w:tcW w:w="33.333333%" w:type="pct"/>
          </w:tcPr>
          <w:p>
            <w:pPr>
              <w:ind w:leftChars="0" w:left="0" w:right="0"/>
            </w:pPr>
            <w:r>
              <w:t>INTERACTIVE BROKERS - SYSTEMATIC INTERNALISER</w:t>
            </w:r>
          </w:p>
        </w:tc>
      </w:tr>
      <w:tr>
        <w:trPr>
          <w:cnfStyle w:evenHBand="true" w:oddHBand="false" w:firstRow="false"/>
        </w:trPr>
        <w:tc>
          <w:tcPr>
            <w:cnfStyle w:evenVBand="false" w:oddVBand="true" w:firstColumn="false"/>
            <w:tcW w:w="33.333333%" w:type="pct"/>
          </w:tcPr>
          <w:p>
            <w:pPr>
              <w:ind w:leftChars="0" w:left="0" w:right="0"/>
            </w:pPr>
            <w:r>
              <w:t>IBUL</w:t>
            </w:r>
          </w:p>
        </w:tc>
        <w:tc>
          <w:tcPr>
            <w:cnfStyle w:evenVBand="true" w:oddVBand="false" w:firstColumn="false"/>
            <w:tcW w:w="33.333333%" w:type="pct"/>
          </w:tcPr>
          <w:p>
            <w:pPr>
              <w:ind w:leftChars="0" w:left="0" w:right="0"/>
            </w:pPr>
            <w:r>
              <w:t>IBUL</w:t>
            </w:r>
          </w:p>
        </w:tc>
        <w:tc>
          <w:tcPr>
            <w:cnfStyle w:evenVBand="false" w:oddVBand="true" w:firstColumn="false"/>
            <w:tcW w:w="33.333333%" w:type="pct"/>
          </w:tcPr>
          <w:p>
            <w:pPr>
              <w:ind w:leftChars="0" w:left="0" w:right="0"/>
            </w:pPr>
            <w:r>
              <w:t>BULGARIAN STOCK EXCHANGE - INTERNATIONAL INSTRUMENTS</w:t>
            </w:r>
          </w:p>
        </w:tc>
      </w:tr>
      <w:tr>
        <w:trPr>
          <w:cnfStyle w:evenHBand="false" w:oddHBand="true" w:firstRow="false"/>
        </w:trPr>
        <w:tc>
          <w:tcPr>
            <w:cnfStyle w:evenVBand="false" w:oddVBand="true" w:firstColumn="false"/>
            <w:tcW w:w="33.333333%" w:type="pct"/>
          </w:tcPr>
          <w:p>
            <w:pPr>
              <w:ind w:leftChars="0" w:left="0" w:right="0"/>
            </w:pPr>
            <w:r>
              <w:t>ICAH</w:t>
            </w:r>
          </w:p>
        </w:tc>
        <w:tc>
          <w:tcPr>
            <w:cnfStyle w:evenVBand="true" w:oddVBand="false" w:firstColumn="false"/>
            <w:tcW w:w="33.333333%" w:type="pct"/>
          </w:tcPr>
          <w:p>
            <w:pPr>
              <w:ind w:leftChars="0" w:left="0" w:right="0"/>
            </w:pPr>
            <w:r>
              <w:t>ICAH</w:t>
            </w:r>
          </w:p>
        </w:tc>
        <w:tc>
          <w:tcPr>
            <w:cnfStyle w:evenVBand="false" w:oddVBand="true" w:firstColumn="false"/>
            <w:tcW w:w="33.333333%" w:type="pct"/>
          </w:tcPr>
          <w:p>
            <w:pPr>
              <w:ind w:leftChars="0" w:left="0" w:right="0"/>
            </w:pPr>
            <w:r>
              <w:t>TRAYPORT</w:t>
            </w:r>
          </w:p>
        </w:tc>
      </w:tr>
      <w:tr>
        <w:trPr>
          <w:cnfStyle w:evenHBand="true" w:oddHBand="false" w:firstRow="false"/>
        </w:trPr>
        <w:tc>
          <w:tcPr>
            <w:cnfStyle w:evenVBand="false" w:oddVBand="true" w:firstColumn="false"/>
            <w:tcW w:w="33.333333%" w:type="pct"/>
          </w:tcPr>
          <w:p>
            <w:pPr>
              <w:ind w:leftChars="0" w:left="0" w:right="0"/>
            </w:pPr>
            <w:r>
              <w:t>ICAP</w:t>
            </w:r>
          </w:p>
        </w:tc>
        <w:tc>
          <w:tcPr>
            <w:cnfStyle w:evenVBand="true" w:oddVBand="false" w:firstColumn="false"/>
            <w:tcW w:w="33.333333%" w:type="pct"/>
          </w:tcPr>
          <w:p>
            <w:pPr>
              <w:ind w:leftChars="0" w:left="0" w:right="0"/>
            </w:pPr>
            <w:r>
              <w:t>ICAP</w:t>
            </w:r>
          </w:p>
        </w:tc>
        <w:tc>
          <w:tcPr>
            <w:cnfStyle w:evenVBand="false" w:oddVBand="true" w:firstColumn="false"/>
            <w:tcW w:w="33.333333%" w:type="pct"/>
          </w:tcPr>
          <w:p>
            <w:pPr>
              <w:ind w:leftChars="0" w:left="0" w:right="0"/>
            </w:pPr>
            <w:r>
              <w:t>ICAP EUROPE</w:t>
            </w:r>
          </w:p>
        </w:tc>
      </w:tr>
      <w:tr>
        <w:trPr>
          <w:cnfStyle w:evenHBand="false" w:oddHBand="true" w:firstRow="false"/>
        </w:trPr>
        <w:tc>
          <w:tcPr>
            <w:cnfStyle w:evenVBand="false" w:oddVBand="true" w:firstColumn="false"/>
            <w:tcW w:w="33.333333%" w:type="pct"/>
          </w:tcPr>
          <w:p>
            <w:pPr>
              <w:ind w:leftChars="0" w:left="0" w:right="0"/>
            </w:pPr>
            <w:r>
              <w:t>ICAS</w:t>
            </w:r>
          </w:p>
        </w:tc>
        <w:tc>
          <w:tcPr>
            <w:cnfStyle w:evenVBand="true" w:oddVBand="false" w:firstColumn="false"/>
            <w:tcW w:w="33.333333%" w:type="pct"/>
          </w:tcPr>
          <w:p>
            <w:pPr>
              <w:ind w:leftChars="0" w:left="0" w:right="0"/>
            </w:pPr>
            <w:r>
              <w:t>ICAS</w:t>
            </w:r>
          </w:p>
        </w:tc>
        <w:tc>
          <w:tcPr>
            <w:cnfStyle w:evenVBand="false" w:oddVBand="true" w:firstColumn="false"/>
            <w:tcW w:w="33.333333%" w:type="pct"/>
          </w:tcPr>
          <w:p>
            <w:pPr>
              <w:ind w:leftChars="0" w:left="0" w:right="0"/>
            </w:pPr>
            <w:r>
              <w:t>ICAP ENERGY AS</w:t>
            </w:r>
          </w:p>
        </w:tc>
      </w:tr>
      <w:tr>
        <w:trPr>
          <w:cnfStyle w:evenHBand="true" w:oddHBand="false" w:firstRow="false"/>
        </w:trPr>
        <w:tc>
          <w:tcPr>
            <w:cnfStyle w:evenVBand="false" w:oddVBand="true" w:firstColumn="false"/>
            <w:tcW w:w="33.333333%" w:type="pct"/>
          </w:tcPr>
          <w:p>
            <w:pPr>
              <w:ind w:leftChars="0" w:left="0" w:right="0"/>
            </w:pPr>
            <w:r>
              <w:t>ICAT</w:t>
            </w:r>
          </w:p>
        </w:tc>
        <w:tc>
          <w:tcPr>
            <w:cnfStyle w:evenVBand="true" w:oddVBand="false" w:firstColumn="false"/>
            <w:tcW w:w="33.333333%" w:type="pct"/>
          </w:tcPr>
          <w:p>
            <w:pPr>
              <w:ind w:leftChars="0" w:left="0" w:right="0"/>
            </w:pPr>
            <w:r>
              <w:t>ICAT</w:t>
            </w:r>
          </w:p>
        </w:tc>
        <w:tc>
          <w:tcPr>
            <w:cnfStyle w:evenVBand="false" w:oddVBand="true" w:firstColumn="false"/>
            <w:tcW w:w="33.333333%" w:type="pct"/>
          </w:tcPr>
          <w:p>
            <w:pPr>
              <w:ind w:leftChars="0" w:left="0" w:right="0"/>
            </w:pPr>
            <w:r>
              <w:t>ICAP HYDE TANKER DERIVATIVES LIMITED</w:t>
            </w:r>
          </w:p>
        </w:tc>
      </w:tr>
      <w:tr>
        <w:trPr>
          <w:cnfStyle w:evenHBand="false" w:oddHBand="true" w:firstRow="false"/>
        </w:trPr>
        <w:tc>
          <w:tcPr>
            <w:cnfStyle w:evenVBand="false" w:oddVBand="true" w:firstColumn="false"/>
            <w:tcW w:w="33.333333%" w:type="pct"/>
          </w:tcPr>
          <w:p>
            <w:pPr>
              <w:ind w:leftChars="0" w:left="0" w:right="0"/>
            </w:pPr>
            <w:r>
              <w:t>ICBX</w:t>
            </w:r>
          </w:p>
        </w:tc>
        <w:tc>
          <w:tcPr>
            <w:cnfStyle w:evenVBand="true" w:oddVBand="false" w:firstColumn="false"/>
            <w:tcW w:w="33.333333%" w:type="pct"/>
          </w:tcPr>
          <w:p>
            <w:pPr>
              <w:ind w:leftChars="0" w:left="0" w:right="0"/>
            </w:pPr>
            <w:r>
              <w:t>ICBX</w:t>
            </w:r>
          </w:p>
        </w:tc>
        <w:tc>
          <w:tcPr>
            <w:cnfStyle w:evenVBand="false" w:oddVBand="true" w:firstColumn="false"/>
            <w:tcW w:w="33.333333%" w:type="pct"/>
          </w:tcPr>
          <w:p>
            <w:pPr>
              <w:ind w:leftChars="0" w:left="0" w:right="0"/>
            </w:pPr>
            <w:r>
              <w:t>INSTINET CBX (US)</w:t>
            </w:r>
          </w:p>
        </w:tc>
      </w:tr>
      <w:tr>
        <w:trPr>
          <w:cnfStyle w:evenHBand="true" w:oddHBand="false" w:firstRow="false"/>
        </w:trPr>
        <w:tc>
          <w:tcPr>
            <w:cnfStyle w:evenVBand="false" w:oddVBand="true" w:firstColumn="false"/>
            <w:tcW w:w="33.333333%" w:type="pct"/>
          </w:tcPr>
          <w:p>
            <w:pPr>
              <w:ind w:leftChars="0" w:left="0" w:right="0"/>
            </w:pPr>
            <w:r>
              <w:t>ICDX</w:t>
            </w:r>
          </w:p>
        </w:tc>
        <w:tc>
          <w:tcPr>
            <w:cnfStyle w:evenVBand="true" w:oddVBand="false" w:firstColumn="false"/>
            <w:tcW w:w="33.333333%" w:type="pct"/>
          </w:tcPr>
          <w:p>
            <w:pPr>
              <w:ind w:leftChars="0" w:left="0" w:right="0"/>
            </w:pPr>
            <w:r>
              <w:t>ICDX</w:t>
            </w:r>
          </w:p>
        </w:tc>
        <w:tc>
          <w:tcPr>
            <w:cnfStyle w:evenVBand="false" w:oddVBand="true" w:firstColumn="false"/>
            <w:tcW w:w="33.333333%" w:type="pct"/>
          </w:tcPr>
          <w:p>
            <w:pPr>
              <w:ind w:leftChars="0" w:left="0" w:right="0"/>
            </w:pPr>
            <w:r>
              <w:t>INDONESIA COMMODITY AND DERIVATIVES EXCHANGE</w:t>
            </w:r>
          </w:p>
        </w:tc>
      </w:tr>
      <w:tr>
        <w:trPr>
          <w:cnfStyle w:evenHBand="false" w:oddHBand="true" w:firstRow="false"/>
        </w:trPr>
        <w:tc>
          <w:tcPr>
            <w:cnfStyle w:evenVBand="false" w:oddVBand="true" w:firstColumn="false"/>
            <w:tcW w:w="33.333333%" w:type="pct"/>
          </w:tcPr>
          <w:p>
            <w:pPr>
              <w:ind w:leftChars="0" w:left="0" w:right="0"/>
            </w:pPr>
            <w:r>
              <w:t>ICEL</w:t>
            </w:r>
          </w:p>
        </w:tc>
        <w:tc>
          <w:tcPr>
            <w:cnfStyle w:evenVBand="true" w:oddVBand="false" w:firstColumn="false"/>
            <w:tcW w:w="33.333333%" w:type="pct"/>
          </w:tcPr>
          <w:p>
            <w:pPr>
              <w:ind w:leftChars="0" w:left="0" w:right="0"/>
            </w:pPr>
            <w:r>
              <w:t>ICEL</w:t>
            </w:r>
          </w:p>
        </w:tc>
        <w:tc>
          <w:tcPr>
            <w:cnfStyle w:evenVBand="false" w:oddVBand="true" w:firstColumn="false"/>
            <w:tcW w:w="33.333333%" w:type="pct"/>
          </w:tcPr>
          <w:p>
            <w:pPr>
              <w:ind w:leftChars="0" w:left="0" w:right="0"/>
            </w:pPr>
            <w:r>
              <w:t>ISLAND ECN LTD, THE</w:t>
            </w:r>
          </w:p>
        </w:tc>
      </w:tr>
      <w:tr>
        <w:trPr>
          <w:cnfStyle w:evenHBand="true" w:oddHBand="false" w:firstRow="false"/>
        </w:trPr>
        <w:tc>
          <w:tcPr>
            <w:cnfStyle w:evenVBand="false" w:oddVBand="true" w:firstColumn="false"/>
            <w:tcW w:w="33.333333%" w:type="pct"/>
          </w:tcPr>
          <w:p>
            <w:pPr>
              <w:ind w:leftChars="0" w:left="0" w:right="0"/>
            </w:pPr>
            <w:r>
              <w:t>ICEN</w:t>
            </w:r>
          </w:p>
        </w:tc>
        <w:tc>
          <w:tcPr>
            <w:cnfStyle w:evenVBand="true" w:oddVBand="false" w:firstColumn="false"/>
            <w:tcW w:w="33.333333%" w:type="pct"/>
          </w:tcPr>
          <w:p>
            <w:pPr>
              <w:ind w:leftChars="0" w:left="0" w:right="0"/>
            </w:pPr>
            <w:r>
              <w:t>ICEN</w:t>
            </w:r>
          </w:p>
        </w:tc>
        <w:tc>
          <w:tcPr>
            <w:cnfStyle w:evenVBand="false" w:oddVBand="true" w:firstColumn="false"/>
            <w:tcW w:w="33.333333%" w:type="pct"/>
          </w:tcPr>
          <w:p>
            <w:pPr>
              <w:ind w:leftChars="0" w:left="0" w:right="0"/>
            </w:pPr>
            <w:r>
              <w:t>ICAP ENERGY</w:t>
            </w:r>
          </w:p>
        </w:tc>
      </w:tr>
      <w:tr>
        <w:trPr>
          <w:cnfStyle w:evenHBand="false" w:oddHBand="true" w:firstRow="false"/>
        </w:trPr>
        <w:tc>
          <w:tcPr>
            <w:cnfStyle w:evenVBand="false" w:oddVBand="true" w:firstColumn="false"/>
            <w:tcW w:w="33.333333%" w:type="pct"/>
          </w:tcPr>
          <w:p>
            <w:pPr>
              <w:ind w:leftChars="0" w:left="0" w:right="0"/>
            </w:pPr>
            <w:r>
              <w:t>ICEO</w:t>
            </w:r>
          </w:p>
        </w:tc>
        <w:tc>
          <w:tcPr>
            <w:cnfStyle w:evenVBand="true" w:oddVBand="false" w:firstColumn="false"/>
            <w:tcW w:w="33.333333%" w:type="pct"/>
          </w:tcPr>
          <w:p>
            <w:pPr>
              <w:ind w:leftChars="0" w:left="0" w:right="0"/>
            </w:pPr>
            <w:r>
              <w:t>ICEO</w:t>
            </w:r>
          </w:p>
        </w:tc>
        <w:tc>
          <w:tcPr>
            <w:cnfStyle w:evenVBand="false" w:oddVBand="true" w:firstColumn="false"/>
            <w:tcW w:w="33.333333%" w:type="pct"/>
          </w:tcPr>
          <w:p>
            <w:pPr>
              <w:ind w:leftChars="0" w:left="0" w:right="0"/>
            </w:pPr>
            <w:r>
              <w:t>ICAP ENERGY - OTF</w:t>
            </w:r>
          </w:p>
        </w:tc>
      </w:tr>
      <w:tr>
        <w:trPr>
          <w:cnfStyle w:evenHBand="true" w:oddHBand="false" w:firstRow="false"/>
        </w:trPr>
        <w:tc>
          <w:tcPr>
            <w:cnfStyle w:evenVBand="false" w:oddVBand="true" w:firstColumn="false"/>
            <w:tcW w:w="33.333333%" w:type="pct"/>
          </w:tcPr>
          <w:p>
            <w:pPr>
              <w:ind w:leftChars="0" w:left="0" w:right="0"/>
            </w:pPr>
            <w:r>
              <w:t>ICES</w:t>
            </w:r>
          </w:p>
        </w:tc>
        <w:tc>
          <w:tcPr>
            <w:cnfStyle w:evenVBand="true" w:oddVBand="false" w:firstColumn="false"/>
            <w:tcW w:w="33.333333%" w:type="pct"/>
          </w:tcPr>
          <w:p>
            <w:pPr>
              <w:ind w:leftChars="0" w:left="0" w:right="0"/>
            </w:pPr>
            <w:r>
              <w:t>ICES</w:t>
            </w:r>
          </w:p>
        </w:tc>
        <w:tc>
          <w:tcPr>
            <w:cnfStyle w:evenVBand="false" w:oddVBand="true" w:firstColumn="false"/>
            <w:tcW w:w="33.333333%" w:type="pct"/>
          </w:tcPr>
          <w:p>
            <w:pPr>
              <w:ind w:leftChars="0" w:left="0" w:right="0"/>
            </w:pPr>
            <w:r>
              <w:t>ICE SWAP TRADE LLC</w:t>
            </w:r>
          </w:p>
        </w:tc>
      </w:tr>
      <w:tr>
        <w:trPr>
          <w:cnfStyle w:evenHBand="false" w:oddHBand="true" w:firstRow="false"/>
        </w:trPr>
        <w:tc>
          <w:tcPr>
            <w:cnfStyle w:evenVBand="false" w:oddVBand="true" w:firstColumn="false"/>
            <w:tcW w:w="33.333333%" w:type="pct"/>
          </w:tcPr>
          <w:p>
            <w:pPr>
              <w:ind w:leftChars="0" w:left="0" w:right="0"/>
            </w:pPr>
            <w:r>
              <w:t>ICEU</w:t>
            </w:r>
          </w:p>
        </w:tc>
        <w:tc>
          <w:tcPr>
            <w:cnfStyle w:evenVBand="true" w:oddVBand="false" w:firstColumn="false"/>
            <w:tcW w:w="33.333333%" w:type="pct"/>
          </w:tcPr>
          <w:p>
            <w:pPr>
              <w:ind w:leftChars="0" w:left="0" w:right="0"/>
            </w:pPr>
            <w:r>
              <w:t>ICEU</w:t>
            </w:r>
          </w:p>
        </w:tc>
        <w:tc>
          <w:tcPr>
            <w:cnfStyle w:evenVBand="false" w:oddVBand="true" w:firstColumn="false"/>
            <w:tcW w:w="33.333333%" w:type="pct"/>
          </w:tcPr>
          <w:p>
            <w:pPr>
              <w:ind w:leftChars="0" w:left="0" w:right="0"/>
            </w:pPr>
            <w:r>
              <w:t>INTERCONTINENTAL EXCHANGE - ICE FUTURES EUROPE</w:t>
            </w:r>
          </w:p>
        </w:tc>
      </w:tr>
      <w:tr>
        <w:trPr>
          <w:cnfStyle w:evenHBand="true" w:oddHBand="false" w:firstRow="false"/>
        </w:trPr>
        <w:tc>
          <w:tcPr>
            <w:cnfStyle w:evenVBand="false" w:oddVBand="true" w:firstColumn="false"/>
            <w:tcW w:w="33.333333%" w:type="pct"/>
          </w:tcPr>
          <w:p>
            <w:pPr>
              <w:ind w:leftChars="0" w:left="0" w:right="0"/>
            </w:pPr>
            <w:r>
              <w:t>ICHK</w:t>
            </w:r>
          </w:p>
        </w:tc>
        <w:tc>
          <w:tcPr>
            <w:cnfStyle w:evenVBand="true" w:oddVBand="false" w:firstColumn="false"/>
            <w:tcW w:w="33.333333%" w:type="pct"/>
          </w:tcPr>
          <w:p>
            <w:pPr>
              <w:ind w:leftChars="0" w:left="0" w:right="0"/>
            </w:pPr>
            <w:r>
              <w:t>ICHK</w:t>
            </w:r>
          </w:p>
        </w:tc>
        <w:tc>
          <w:tcPr>
            <w:cnfStyle w:evenVBand="false" w:oddVBand="true" w:firstColumn="false"/>
            <w:tcW w:w="33.333333%" w:type="pct"/>
          </w:tcPr>
          <w:p>
            <w:pPr>
              <w:ind w:leftChars="0" w:left="0" w:right="0"/>
            </w:pPr>
            <w:r>
              <w:t>NOMURA ICE  - HK</w:t>
            </w:r>
          </w:p>
        </w:tc>
      </w:tr>
      <w:tr>
        <w:trPr>
          <w:cnfStyle w:evenHBand="false" w:oddHBand="true" w:firstRow="false"/>
        </w:trPr>
        <w:tc>
          <w:tcPr>
            <w:cnfStyle w:evenVBand="false" w:oddVBand="true" w:firstColumn="false"/>
            <w:tcW w:w="33.333333%" w:type="pct"/>
          </w:tcPr>
          <w:p>
            <w:pPr>
              <w:ind w:leftChars="0" w:left="0" w:right="0"/>
            </w:pPr>
            <w:r>
              <w:t>ICKR</w:t>
            </w:r>
          </w:p>
        </w:tc>
        <w:tc>
          <w:tcPr>
            <w:cnfStyle w:evenVBand="true" w:oddVBand="false" w:firstColumn="false"/>
            <w:tcW w:w="33.333333%" w:type="pct"/>
          </w:tcPr>
          <w:p>
            <w:pPr>
              <w:ind w:leftChars="0" w:left="0" w:right="0"/>
            </w:pPr>
            <w:r>
              <w:t>ICKR</w:t>
            </w:r>
          </w:p>
        </w:tc>
        <w:tc>
          <w:tcPr>
            <w:cnfStyle w:evenVBand="false" w:oddVBand="true" w:firstColumn="false"/>
            <w:tcW w:w="33.333333%" w:type="pct"/>
          </w:tcPr>
          <w:p>
            <w:pPr>
              <w:ind w:leftChars="0" w:left="0" w:right="0"/>
            </w:pPr>
            <w:r>
              <w:t>NOMURA ICE  - KR</w:t>
            </w:r>
          </w:p>
        </w:tc>
      </w:tr>
      <w:tr>
        <w:trPr>
          <w:cnfStyle w:evenHBand="true" w:oddHBand="false" w:firstRow="false"/>
        </w:trPr>
        <w:tc>
          <w:tcPr>
            <w:cnfStyle w:evenVBand="false" w:oddVBand="true" w:firstColumn="false"/>
            <w:tcW w:w="33.333333%" w:type="pct"/>
          </w:tcPr>
          <w:p>
            <w:pPr>
              <w:ind w:leftChars="0" w:left="0" w:right="0"/>
            </w:pPr>
            <w:r>
              <w:t>ICOR</w:t>
            </w:r>
          </w:p>
        </w:tc>
        <w:tc>
          <w:tcPr>
            <w:cnfStyle w:evenVBand="true" w:oddVBand="false" w:firstColumn="false"/>
            <w:tcW w:w="33.333333%" w:type="pct"/>
          </w:tcPr>
          <w:p>
            <w:pPr>
              <w:ind w:leftChars="0" w:left="0" w:right="0"/>
            </w:pPr>
            <w:r>
              <w:t>ICOR</w:t>
            </w:r>
          </w:p>
        </w:tc>
        <w:tc>
          <w:tcPr>
            <w:cnfStyle w:evenVBand="false" w:oddVBand="true" w:firstColumn="false"/>
            <w:tcW w:w="33.333333%" w:type="pct"/>
          </w:tcPr>
          <w:p>
            <w:pPr>
              <w:ind w:leftChars="0" w:left="0" w:right="0"/>
            </w:pPr>
            <w:r>
              <w:t>ICAP EU -  OTF - REGISTRATION</w:t>
            </w:r>
          </w:p>
        </w:tc>
      </w:tr>
      <w:tr>
        <w:trPr>
          <w:cnfStyle w:evenHBand="false" w:oddHBand="true" w:firstRow="false"/>
        </w:trPr>
        <w:tc>
          <w:tcPr>
            <w:cnfStyle w:evenVBand="false" w:oddVBand="true" w:firstColumn="false"/>
            <w:tcW w:w="33.333333%" w:type="pct"/>
          </w:tcPr>
          <w:p>
            <w:pPr>
              <w:ind w:leftChars="0" w:left="0" w:right="0"/>
            </w:pPr>
            <w:r>
              <w:t>ICOT</w:t>
            </w:r>
          </w:p>
        </w:tc>
        <w:tc>
          <w:tcPr>
            <w:cnfStyle w:evenVBand="true" w:oddVBand="false" w:firstColumn="false"/>
            <w:tcW w:w="33.333333%" w:type="pct"/>
          </w:tcPr>
          <w:p>
            <w:pPr>
              <w:ind w:leftChars="0" w:left="0" w:right="0"/>
            </w:pPr>
            <w:r>
              <w:t>ICOT</w:t>
            </w:r>
          </w:p>
        </w:tc>
        <w:tc>
          <w:tcPr>
            <w:cnfStyle w:evenVBand="false" w:oddVBand="true" w:firstColumn="false"/>
            <w:tcW w:w="33.333333%" w:type="pct"/>
          </w:tcPr>
          <w:p>
            <w:pPr>
              <w:ind w:leftChars="0" w:left="0" w:right="0"/>
            </w:pPr>
            <w:r>
              <w:t>ICAP EU - OTF</w:t>
            </w:r>
          </w:p>
        </w:tc>
      </w:tr>
      <w:tr>
        <w:trPr>
          <w:cnfStyle w:evenHBand="true" w:oddHBand="false" w:firstRow="false"/>
        </w:trPr>
        <w:tc>
          <w:tcPr>
            <w:cnfStyle w:evenVBand="false" w:oddVBand="true" w:firstColumn="false"/>
            <w:tcW w:w="33.333333%" w:type="pct"/>
          </w:tcPr>
          <w:p>
            <w:pPr>
              <w:ind w:leftChars="0" w:left="0" w:right="0"/>
            </w:pPr>
            <w:r>
              <w:t>ICPM</w:t>
            </w:r>
          </w:p>
        </w:tc>
        <w:tc>
          <w:tcPr>
            <w:cnfStyle w:evenVBand="true" w:oddVBand="false" w:firstColumn="false"/>
            <w:tcW w:w="33.333333%" w:type="pct"/>
          </w:tcPr>
          <w:p>
            <w:pPr>
              <w:ind w:leftChars="0" w:left="0" w:right="0"/>
            </w:pPr>
            <w:r>
              <w:t>ICPM</w:t>
            </w:r>
          </w:p>
        </w:tc>
        <w:tc>
          <w:tcPr>
            <w:cnfStyle w:evenVBand="false" w:oddVBand="true" w:firstColumn="false"/>
            <w:tcW w:w="33.333333%" w:type="pct"/>
          </w:tcPr>
          <w:p>
            <w:pPr>
              <w:ind w:leftChars="0" w:left="0" w:right="0"/>
            </w:pPr>
            <w:r>
              <w:t>TP ICAP UK MTF</w:t>
            </w:r>
          </w:p>
        </w:tc>
      </w:tr>
      <w:tr>
        <w:trPr>
          <w:cnfStyle w:evenHBand="false" w:oddHBand="true" w:firstRow="false"/>
        </w:trPr>
        <w:tc>
          <w:tcPr>
            <w:cnfStyle w:evenVBand="false" w:oddVBand="true" w:firstColumn="false"/>
            <w:tcW w:w="33.333333%" w:type="pct"/>
          </w:tcPr>
          <w:p>
            <w:pPr>
              <w:ind w:leftChars="0" w:left="0" w:right="0"/>
            </w:pPr>
            <w:r>
              <w:t>ICRO</w:t>
            </w:r>
          </w:p>
        </w:tc>
        <w:tc>
          <w:tcPr>
            <w:cnfStyle w:evenVBand="true" w:oddVBand="false" w:firstColumn="false"/>
            <w:tcW w:w="33.333333%" w:type="pct"/>
          </w:tcPr>
          <w:p>
            <w:pPr>
              <w:ind w:leftChars="0" w:left="0" w:right="0"/>
            </w:pPr>
            <w:r>
              <w:t>ICRO</w:t>
            </w:r>
          </w:p>
        </w:tc>
        <w:tc>
          <w:tcPr>
            <w:cnfStyle w:evenVBand="false" w:oddVBand="true" w:firstColumn="false"/>
            <w:tcW w:w="33.333333%" w:type="pct"/>
          </w:tcPr>
          <w:p>
            <w:pPr>
              <w:ind w:leftChars="0" w:left="0" w:right="0"/>
            </w:pPr>
            <w:r>
              <w:t>INSTINET VWAP CROSS</w:t>
            </w:r>
          </w:p>
        </w:tc>
      </w:tr>
      <w:tr>
        <w:trPr>
          <w:cnfStyle w:evenHBand="true" w:oddHBand="false" w:firstRow="false"/>
        </w:trPr>
        <w:tc>
          <w:tcPr>
            <w:cnfStyle w:evenVBand="false" w:oddVBand="true" w:firstColumn="false"/>
            <w:tcW w:w="33.333333%" w:type="pct"/>
          </w:tcPr>
          <w:p>
            <w:pPr>
              <w:ind w:leftChars="0" w:left="0" w:right="0"/>
            </w:pPr>
            <w:r>
              <w:t>ICSE</w:t>
            </w:r>
          </w:p>
        </w:tc>
        <w:tc>
          <w:tcPr>
            <w:cnfStyle w:evenVBand="true" w:oddVBand="false" w:firstColumn="false"/>
            <w:tcW w:w="33.333333%" w:type="pct"/>
          </w:tcPr>
          <w:p>
            <w:pPr>
              <w:ind w:leftChars="0" w:left="0" w:right="0"/>
            </w:pPr>
            <w:r>
              <w:t>ICSE</w:t>
            </w:r>
          </w:p>
        </w:tc>
        <w:tc>
          <w:tcPr>
            <w:cnfStyle w:evenVBand="false" w:oddVBand="true" w:firstColumn="false"/>
            <w:tcW w:w="33.333333%" w:type="pct"/>
          </w:tcPr>
          <w:p>
            <w:pPr>
              <w:ind w:leftChars="0" w:left="0" w:right="0"/>
            </w:pPr>
            <w:r>
              <w:t>ICAP SECURITIES</w:t>
            </w:r>
          </w:p>
        </w:tc>
      </w:tr>
      <w:tr>
        <w:trPr>
          <w:cnfStyle w:evenHBand="false" w:oddHBand="true" w:firstRow="false"/>
        </w:trPr>
        <w:tc>
          <w:tcPr>
            <w:cnfStyle w:evenVBand="false" w:oddVBand="true" w:firstColumn="false"/>
            <w:tcW w:w="33.333333%" w:type="pct"/>
          </w:tcPr>
          <w:p>
            <w:pPr>
              <w:ind w:leftChars="0" w:left="0" w:right="0"/>
            </w:pPr>
            <w:r>
              <w:t>ICSH</w:t>
            </w:r>
          </w:p>
        </w:tc>
        <w:tc>
          <w:tcPr>
            <w:cnfStyle w:evenVBand="true" w:oddVBand="false" w:firstColumn="false"/>
            <w:tcW w:w="33.333333%" w:type="pct"/>
          </w:tcPr>
          <w:p>
            <w:pPr>
              <w:ind w:leftChars="0" w:left="0" w:right="0"/>
            </w:pPr>
            <w:r>
              <w:t>ICSH</w:t>
            </w:r>
          </w:p>
        </w:tc>
        <w:tc>
          <w:tcPr>
            <w:cnfStyle w:evenVBand="false" w:oddVBand="true" w:firstColumn="false"/>
            <w:tcW w:w="33.333333%" w:type="pct"/>
          </w:tcPr>
          <w:p>
            <w:pPr>
              <w:ind w:leftChars="0" w:left="0" w:right="0"/>
            </w:pPr>
            <w:r>
              <w:t>NOMURA ICE  - SH</w:t>
            </w:r>
          </w:p>
        </w:tc>
      </w:tr>
      <w:tr>
        <w:trPr>
          <w:cnfStyle w:evenHBand="true" w:oddHBand="false" w:firstRow="false"/>
        </w:trPr>
        <w:tc>
          <w:tcPr>
            <w:cnfStyle w:evenVBand="false" w:oddVBand="true" w:firstColumn="false"/>
            <w:tcW w:w="33.333333%" w:type="pct"/>
          </w:tcPr>
          <w:p>
            <w:pPr>
              <w:ind w:leftChars="0" w:left="0" w:right="0"/>
            </w:pPr>
            <w:r>
              <w:t>ICSU</w:t>
            </w:r>
          </w:p>
        </w:tc>
        <w:tc>
          <w:tcPr>
            <w:cnfStyle w:evenVBand="true" w:oddVBand="false" w:firstColumn="false"/>
            <w:tcW w:w="33.333333%" w:type="pct"/>
          </w:tcPr>
          <w:p>
            <w:pPr>
              <w:ind w:leftChars="0" w:left="0" w:right="0"/>
            </w:pPr>
            <w:r>
              <w:t>ICSU</w:t>
            </w:r>
          </w:p>
        </w:tc>
        <w:tc>
          <w:tcPr>
            <w:cnfStyle w:evenVBand="false" w:oddVBand="true" w:firstColumn="false"/>
            <w:tcW w:w="33.333333%" w:type="pct"/>
          </w:tcPr>
          <w:p>
            <w:pPr>
              <w:ind w:leftChars="0" w:left="0" w:right="0"/>
            </w:pPr>
            <w:r>
              <w:t>ICAP SEF (US)  LLC.</w:t>
            </w:r>
          </w:p>
        </w:tc>
      </w:tr>
      <w:tr>
        <w:trPr>
          <w:cnfStyle w:evenHBand="false" w:oddHBand="true" w:firstRow="false"/>
        </w:trPr>
        <w:tc>
          <w:tcPr>
            <w:cnfStyle w:evenVBand="false" w:oddVBand="true" w:firstColumn="false"/>
            <w:tcW w:w="33.333333%" w:type="pct"/>
          </w:tcPr>
          <w:p>
            <w:pPr>
              <w:ind w:leftChars="0" w:left="0" w:right="0"/>
            </w:pPr>
            <w:r>
              <w:t>ICSZ</w:t>
            </w:r>
          </w:p>
        </w:tc>
        <w:tc>
          <w:tcPr>
            <w:cnfStyle w:evenVBand="true" w:oddVBand="false" w:firstColumn="false"/>
            <w:tcW w:w="33.333333%" w:type="pct"/>
          </w:tcPr>
          <w:p>
            <w:pPr>
              <w:ind w:leftChars="0" w:left="0" w:right="0"/>
            </w:pPr>
            <w:r>
              <w:t>ICSZ</w:t>
            </w:r>
          </w:p>
        </w:tc>
        <w:tc>
          <w:tcPr>
            <w:cnfStyle w:evenVBand="false" w:oddVBand="true" w:firstColumn="false"/>
            <w:tcW w:w="33.333333%" w:type="pct"/>
          </w:tcPr>
          <w:p>
            <w:pPr>
              <w:ind w:leftChars="0" w:left="0" w:right="0"/>
            </w:pPr>
            <w:r>
              <w:t>NOMURA ICE  - SZ</w:t>
            </w:r>
          </w:p>
        </w:tc>
      </w:tr>
      <w:tr>
        <w:trPr>
          <w:cnfStyle w:evenHBand="true" w:oddHBand="false" w:firstRow="false"/>
        </w:trPr>
        <w:tc>
          <w:tcPr>
            <w:cnfStyle w:evenVBand="false" w:oddVBand="true" w:firstColumn="false"/>
            <w:tcW w:w="33.333333%" w:type="pct"/>
          </w:tcPr>
          <w:p>
            <w:pPr>
              <w:ind w:leftChars="0" w:left="0" w:right="0"/>
            </w:pPr>
            <w:r>
              <w:t>ICTQ</w:t>
            </w:r>
          </w:p>
        </w:tc>
        <w:tc>
          <w:tcPr>
            <w:cnfStyle w:evenVBand="true" w:oddVBand="false" w:firstColumn="false"/>
            <w:tcW w:w="33.333333%" w:type="pct"/>
          </w:tcPr>
          <w:p>
            <w:pPr>
              <w:ind w:leftChars="0" w:left="0" w:right="0"/>
            </w:pPr>
            <w:r>
              <w:t>ICTQ</w:t>
            </w:r>
          </w:p>
        </w:tc>
        <w:tc>
          <w:tcPr>
            <w:cnfStyle w:evenVBand="false" w:oddVBand="true" w:firstColumn="false"/>
            <w:tcW w:w="33.333333%" w:type="pct"/>
          </w:tcPr>
          <w:p>
            <w:pPr>
              <w:ind w:leftChars="0" w:left="0" w:right="0"/>
            </w:pPr>
            <w:r>
              <w:t>ICAP TRUEQUOTE</w:t>
            </w:r>
          </w:p>
        </w:tc>
      </w:tr>
      <w:tr>
        <w:trPr>
          <w:cnfStyle w:evenHBand="false" w:oddHBand="true" w:firstRow="false"/>
        </w:trPr>
        <w:tc>
          <w:tcPr>
            <w:cnfStyle w:evenVBand="false" w:oddVBand="true" w:firstColumn="false"/>
            <w:tcW w:w="33.333333%" w:type="pct"/>
          </w:tcPr>
          <w:p>
            <w:pPr>
              <w:ind w:leftChars="0" w:left="0" w:right="0"/>
            </w:pPr>
            <w:r>
              <w:t>ICTW</w:t>
            </w:r>
          </w:p>
        </w:tc>
        <w:tc>
          <w:tcPr>
            <w:cnfStyle w:evenVBand="true" w:oddVBand="false" w:firstColumn="false"/>
            <w:tcW w:w="33.333333%" w:type="pct"/>
          </w:tcPr>
          <w:p>
            <w:pPr>
              <w:ind w:leftChars="0" w:left="0" w:right="0"/>
            </w:pPr>
            <w:r>
              <w:t>ICTW</w:t>
            </w:r>
          </w:p>
        </w:tc>
        <w:tc>
          <w:tcPr>
            <w:cnfStyle w:evenVBand="false" w:oddVBand="true" w:firstColumn="false"/>
            <w:tcW w:w="33.333333%" w:type="pct"/>
          </w:tcPr>
          <w:p>
            <w:pPr>
              <w:ind w:leftChars="0" w:left="0" w:right="0"/>
            </w:pPr>
            <w:r>
              <w:t>NOMURA ICE  - TW</w:t>
            </w:r>
          </w:p>
        </w:tc>
      </w:tr>
      <w:tr>
        <w:trPr>
          <w:cnfStyle w:evenHBand="true" w:oddHBand="false" w:firstRow="false"/>
        </w:trPr>
        <w:tc>
          <w:tcPr>
            <w:cnfStyle w:evenVBand="false" w:oddVBand="true" w:firstColumn="false"/>
            <w:tcW w:w="33.333333%" w:type="pct"/>
          </w:tcPr>
          <w:p>
            <w:pPr>
              <w:ind w:leftChars="0" w:left="0" w:right="0"/>
            </w:pPr>
            <w:r>
              <w:t>ICUR</w:t>
            </w:r>
          </w:p>
        </w:tc>
        <w:tc>
          <w:tcPr>
            <w:cnfStyle w:evenVBand="true" w:oddVBand="false" w:firstColumn="false"/>
            <w:tcW w:w="33.333333%" w:type="pct"/>
          </w:tcPr>
          <w:p>
            <w:pPr>
              <w:ind w:leftChars="0" w:left="0" w:right="0"/>
            </w:pPr>
            <w:r>
              <w:t>ICUR</w:t>
            </w:r>
          </w:p>
        </w:tc>
        <w:tc>
          <w:tcPr>
            <w:cnfStyle w:evenVBand="false" w:oddVBand="true" w:firstColumn="false"/>
            <w:tcW w:w="33.333333%" w:type="pct"/>
          </w:tcPr>
          <w:p>
            <w:pPr>
              <w:ind w:leftChars="0" w:left="0" w:right="0"/>
            </w:pPr>
            <w:r>
              <w:t>CURRENEX IRELAND MTF</w:t>
            </w:r>
          </w:p>
        </w:tc>
      </w:tr>
      <w:tr>
        <w:trPr>
          <w:cnfStyle w:evenHBand="false" w:oddHBand="true" w:firstRow="false"/>
        </w:trPr>
        <w:tc>
          <w:tcPr>
            <w:cnfStyle w:evenVBand="false" w:oddVBand="true" w:firstColumn="false"/>
            <w:tcW w:w="33.333333%" w:type="pct"/>
          </w:tcPr>
          <w:p>
            <w:pPr>
              <w:ind w:leftChars="0" w:left="0" w:right="0"/>
            </w:pPr>
            <w:r>
              <w:t>ICUS</w:t>
            </w:r>
          </w:p>
        </w:tc>
        <w:tc>
          <w:tcPr>
            <w:cnfStyle w:evenVBand="true" w:oddVBand="false" w:firstColumn="false"/>
            <w:tcW w:w="33.333333%" w:type="pct"/>
          </w:tcPr>
          <w:p>
            <w:pPr>
              <w:ind w:leftChars="0" w:left="0" w:right="0"/>
            </w:pPr>
            <w:r>
              <w:t>ICUS</w:t>
            </w:r>
          </w:p>
        </w:tc>
        <w:tc>
          <w:tcPr>
            <w:cnfStyle w:evenVBand="false" w:oddVBand="true" w:firstColumn="false"/>
            <w:tcW w:w="33.333333%" w:type="pct"/>
          </w:tcPr>
          <w:p>
            <w:pPr>
              <w:ind w:leftChars="0" w:left="0" w:right="0"/>
            </w:pPr>
            <w:r>
              <w:t>ICE FUTURES U.S. INC</w:t>
            </w:r>
          </w:p>
        </w:tc>
      </w:tr>
      <w:tr>
        <w:trPr>
          <w:cnfStyle w:evenHBand="true" w:oddHBand="false" w:firstRow="false"/>
        </w:trPr>
        <w:tc>
          <w:tcPr>
            <w:cnfStyle w:evenVBand="false" w:oddVBand="true" w:firstColumn="false"/>
            <w:tcW w:w="33.333333%" w:type="pct"/>
          </w:tcPr>
          <w:p>
            <w:pPr>
              <w:ind w:leftChars="0" w:left="0" w:right="0"/>
            </w:pPr>
            <w:r>
              <w:t>ICXL</w:t>
            </w:r>
          </w:p>
        </w:tc>
        <w:tc>
          <w:tcPr>
            <w:cnfStyle w:evenVBand="true" w:oddVBand="false" w:firstColumn="false"/>
            <w:tcW w:w="33.333333%" w:type="pct"/>
          </w:tcPr>
          <w:p>
            <w:pPr>
              <w:ind w:leftChars="0" w:left="0" w:right="0"/>
            </w:pPr>
            <w:r>
              <w:t>ICXL</w:t>
            </w:r>
          </w:p>
        </w:tc>
        <w:tc>
          <w:tcPr>
            <w:cnfStyle w:evenVBand="false" w:oddVBand="true" w:firstColumn="false"/>
            <w:tcW w:w="33.333333%" w:type="pct"/>
          </w:tcPr>
          <w:p>
            <w:pPr>
              <w:ind w:leftChars="0" w:left="0" w:right="0"/>
            </w:pPr>
            <w:r>
              <w:t>INDIAN COMMODITY EXCHANGE LTD.</w:t>
            </w:r>
          </w:p>
        </w:tc>
      </w:tr>
      <w:tr>
        <w:trPr>
          <w:cnfStyle w:evenHBand="false" w:oddHBand="true" w:firstRow="false"/>
        </w:trPr>
        <w:tc>
          <w:tcPr>
            <w:cnfStyle w:evenVBand="false" w:oddVBand="true" w:firstColumn="false"/>
            <w:tcW w:w="33.333333%" w:type="pct"/>
          </w:tcPr>
          <w:p>
            <w:pPr>
              <w:ind w:leftChars="0" w:left="0" w:right="0"/>
            </w:pPr>
            <w:r>
              <w:t>ICXR</w:t>
            </w:r>
          </w:p>
        </w:tc>
        <w:tc>
          <w:tcPr>
            <w:cnfStyle w:evenVBand="true" w:oddVBand="false" w:firstColumn="false"/>
            <w:tcW w:w="33.333333%" w:type="pct"/>
          </w:tcPr>
          <w:p>
            <w:pPr>
              <w:ind w:leftChars="0" w:left="0" w:right="0"/>
            </w:pPr>
            <w:r>
              <w:t>ICXR</w:t>
            </w:r>
          </w:p>
        </w:tc>
        <w:tc>
          <w:tcPr>
            <w:cnfStyle w:evenVBand="false" w:oddVBand="true" w:firstColumn="false"/>
            <w:tcW w:w="33.333333%" w:type="pct"/>
          </w:tcPr>
          <w:p>
            <w:pPr>
              <w:ind w:leftChars="0" w:left="0" w:right="0"/>
            </w:pPr>
            <w:r>
              <w:t>CURRENEX IRELAND MTF - RFQ</w:t>
            </w:r>
          </w:p>
        </w:tc>
      </w:tr>
      <w:tr>
        <w:trPr>
          <w:cnfStyle w:evenHBand="true" w:oddHBand="false" w:firstRow="false"/>
        </w:trPr>
        <w:tc>
          <w:tcPr>
            <w:cnfStyle w:evenVBand="false" w:oddVBand="true" w:firstColumn="false"/>
            <w:tcW w:w="33.333333%" w:type="pct"/>
          </w:tcPr>
          <w:p>
            <w:pPr>
              <w:ind w:leftChars="0" w:left="0" w:right="0"/>
            </w:pPr>
            <w:r>
              <w:t>IDXM</w:t>
            </w:r>
          </w:p>
        </w:tc>
        <w:tc>
          <w:tcPr>
            <w:cnfStyle w:evenVBand="true" w:oddVBand="false" w:firstColumn="false"/>
            <w:tcW w:w="33.333333%" w:type="pct"/>
          </w:tcPr>
          <w:p>
            <w:pPr>
              <w:ind w:leftChars="0" w:left="0" w:right="0"/>
            </w:pPr>
            <w:r>
              <w:t>IDXM</w:t>
            </w:r>
          </w:p>
        </w:tc>
        <w:tc>
          <w:tcPr>
            <w:cnfStyle w:evenVBand="false" w:oddVBand="true" w:firstColumn="false"/>
            <w:tcW w:w="33.333333%" w:type="pct"/>
          </w:tcPr>
          <w:p>
            <w:pPr>
              <w:ind w:leftChars="0" w:left="0" w:right="0"/>
            </w:pPr>
            <w:r>
              <w:t>IDX MARKETS, LLC</w:t>
            </w:r>
          </w:p>
        </w:tc>
      </w:tr>
      <w:tr>
        <w:trPr>
          <w:cnfStyle w:evenHBand="false" w:oddHBand="true" w:firstRow="false"/>
        </w:trPr>
        <w:tc>
          <w:tcPr>
            <w:cnfStyle w:evenVBand="false" w:oddVBand="true" w:firstColumn="false"/>
            <w:tcW w:w="33.333333%" w:type="pct"/>
          </w:tcPr>
          <w:p>
            <w:pPr>
              <w:ind w:leftChars="0" w:left="0" w:right="0"/>
            </w:pPr>
            <w:r>
              <w:t>IEBS</w:t>
            </w:r>
          </w:p>
        </w:tc>
        <w:tc>
          <w:tcPr>
            <w:cnfStyle w:evenVBand="true" w:oddVBand="false" w:firstColumn="false"/>
            <w:tcW w:w="33.333333%" w:type="pct"/>
          </w:tcPr>
          <w:p>
            <w:pPr>
              <w:ind w:leftChars="0" w:left="0" w:right="0"/>
            </w:pPr>
            <w:r>
              <w:t>IEBS</w:t>
            </w:r>
          </w:p>
        </w:tc>
        <w:tc>
          <w:tcPr>
            <w:cnfStyle w:evenVBand="false" w:oddVBand="true" w:firstColumn="false"/>
            <w:tcW w:w="33.333333%" w:type="pct"/>
          </w:tcPr>
          <w:p>
            <w:pPr>
              <w:ind w:leftChars="0" w:left="0" w:right="0"/>
            </w:pPr>
            <w:r>
              <w:t>EBS MTF - RFQ - FX PRODUCTS FOR ASSET MANAGERS</w:t>
            </w:r>
          </w:p>
        </w:tc>
      </w:tr>
      <w:tr>
        <w:trPr>
          <w:cnfStyle w:evenHBand="true" w:oddHBand="false" w:firstRow="false"/>
        </w:trPr>
        <w:tc>
          <w:tcPr>
            <w:cnfStyle w:evenVBand="false" w:oddVBand="true" w:firstColumn="false"/>
            <w:tcW w:w="33.333333%" w:type="pct"/>
          </w:tcPr>
          <w:p>
            <w:pPr>
              <w:ind w:leftChars="0" w:left="0" w:right="0"/>
            </w:pPr>
            <w:r>
              <w:t>IECE</w:t>
            </w:r>
          </w:p>
        </w:tc>
        <w:tc>
          <w:tcPr>
            <w:cnfStyle w:evenVBand="true" w:oddVBand="false" w:firstColumn="false"/>
            <w:tcW w:w="33.333333%" w:type="pct"/>
          </w:tcPr>
          <w:p>
            <w:pPr>
              <w:ind w:leftChars="0" w:left="0" w:right="0"/>
            </w:pPr>
            <w:r>
              <w:t>IECE</w:t>
            </w:r>
          </w:p>
        </w:tc>
        <w:tc>
          <w:tcPr>
            <w:cnfStyle w:evenVBand="false" w:oddVBand="true" w:firstColumn="false"/>
            <w:tcW w:w="33.333333%" w:type="pct"/>
          </w:tcPr>
          <w:p>
            <w:pPr>
              <w:ind w:leftChars="0" w:left="0" w:right="0"/>
            </w:pPr>
            <w:r>
              <w:t>ICAP ENERGY LTD OTF - EUROPEAN COMMODITIES AND ENERGY DERIVATIVES</w:t>
            </w:r>
          </w:p>
        </w:tc>
      </w:tr>
      <w:tr>
        <w:trPr>
          <w:cnfStyle w:evenHBand="false" w:oddHBand="true" w:firstRow="false"/>
        </w:trPr>
        <w:tc>
          <w:tcPr>
            <w:cnfStyle w:evenVBand="false" w:oddVBand="true" w:firstColumn="false"/>
            <w:tcW w:w="33.333333%" w:type="pct"/>
          </w:tcPr>
          <w:p>
            <w:pPr>
              <w:ind w:leftChars="0" w:left="0" w:right="0"/>
            </w:pPr>
            <w:r>
              <w:t>IECL</w:t>
            </w:r>
          </w:p>
        </w:tc>
        <w:tc>
          <w:tcPr>
            <w:cnfStyle w:evenVBand="true" w:oddVBand="false" w:firstColumn="false"/>
            <w:tcW w:w="33.333333%" w:type="pct"/>
          </w:tcPr>
          <w:p>
            <w:pPr>
              <w:ind w:leftChars="0" w:left="0" w:right="0"/>
            </w:pPr>
            <w:r>
              <w:t>IECL</w:t>
            </w:r>
          </w:p>
        </w:tc>
        <w:tc>
          <w:tcPr>
            <w:cnfStyle w:evenVBand="false" w:oddVBand="true" w:firstColumn="false"/>
            <w:tcW w:w="33.333333%" w:type="pct"/>
          </w:tcPr>
          <w:p>
            <w:pPr>
              <w:ind w:leftChars="0" w:left="0" w:right="0"/>
            </w:pPr>
            <w:r>
              <w:t>ICAP ENERGY LTD OTF - COMMODITIES AND ENERGY DERIVATIVES</w:t>
            </w:r>
          </w:p>
        </w:tc>
      </w:tr>
      <w:tr>
        <w:trPr>
          <w:cnfStyle w:evenHBand="true" w:oddHBand="false" w:firstRow="false"/>
        </w:trPr>
        <w:tc>
          <w:tcPr>
            <w:cnfStyle w:evenVBand="false" w:oddVBand="true" w:firstColumn="false"/>
            <w:tcW w:w="33.333333%" w:type="pct"/>
          </w:tcPr>
          <w:p>
            <w:pPr>
              <w:ind w:leftChars="0" w:left="0" w:right="0"/>
            </w:pPr>
            <w:r>
              <w:t>IENG</w:t>
            </w:r>
          </w:p>
        </w:tc>
        <w:tc>
          <w:tcPr>
            <w:cnfStyle w:evenVBand="true" w:oddVBand="false" w:firstColumn="false"/>
            <w:tcW w:w="33.333333%" w:type="pct"/>
          </w:tcPr>
          <w:p>
            <w:pPr>
              <w:ind w:leftChars="0" w:left="0" w:right="0"/>
            </w:pPr>
            <w:r>
              <w:t>IENG</w:t>
            </w:r>
          </w:p>
        </w:tc>
        <w:tc>
          <w:tcPr>
            <w:cnfStyle w:evenVBand="false" w:oddVBand="true" w:firstColumn="false"/>
            <w:tcW w:w="33.333333%" w:type="pct"/>
          </w:tcPr>
          <w:p>
            <w:pPr>
              <w:ind w:leftChars="0" w:left="0" w:right="0"/>
            </w:pPr>
            <w:r>
              <w:t>INFOENGINE OTC</w:t>
            </w:r>
          </w:p>
        </w:tc>
      </w:tr>
      <w:tr>
        <w:trPr>
          <w:cnfStyle w:evenHBand="false" w:oddHBand="true" w:firstRow="false"/>
        </w:trPr>
        <w:tc>
          <w:tcPr>
            <w:cnfStyle w:evenVBand="false" w:oddVBand="true" w:firstColumn="false"/>
            <w:tcW w:w="33.333333%" w:type="pct"/>
          </w:tcPr>
          <w:p>
            <w:pPr>
              <w:ind w:leftChars="0" w:left="0" w:right="0"/>
            </w:pPr>
            <w:r>
              <w:t>IEPA</w:t>
            </w:r>
          </w:p>
        </w:tc>
        <w:tc>
          <w:tcPr>
            <w:cnfStyle w:evenVBand="true" w:oddVBand="false" w:firstColumn="false"/>
            <w:tcW w:w="33.333333%" w:type="pct"/>
          </w:tcPr>
          <w:p>
            <w:pPr>
              <w:ind w:leftChars="0" w:left="0" w:right="0"/>
            </w:pPr>
            <w:r>
              <w:t>IEPA</w:t>
            </w:r>
          </w:p>
        </w:tc>
        <w:tc>
          <w:tcPr>
            <w:cnfStyle w:evenVBand="false" w:oddVBand="true" w:firstColumn="false"/>
            <w:tcW w:w="33.333333%" w:type="pct"/>
          </w:tcPr>
          <w:p>
            <w:pPr>
              <w:ind w:leftChars="0" w:left="0" w:right="0"/>
            </w:pPr>
            <w:r>
              <w:t>INTERCONTINENTAL EXCHANGE</w:t>
            </w:r>
          </w:p>
        </w:tc>
      </w:tr>
      <w:tr>
        <w:trPr>
          <w:cnfStyle w:evenHBand="true" w:oddHBand="false" w:firstRow="false"/>
        </w:trPr>
        <w:tc>
          <w:tcPr>
            <w:cnfStyle w:evenVBand="false" w:oddVBand="true" w:firstColumn="false"/>
            <w:tcW w:w="33.333333%" w:type="pct"/>
          </w:tcPr>
          <w:p>
            <w:pPr>
              <w:ind w:leftChars="0" w:left="0" w:right="0"/>
            </w:pPr>
            <w:r>
              <w:t>IEXC</w:t>
            </w:r>
          </w:p>
        </w:tc>
        <w:tc>
          <w:tcPr>
            <w:cnfStyle w:evenVBand="true" w:oddVBand="false" w:firstColumn="false"/>
            <w:tcW w:w="33.333333%" w:type="pct"/>
          </w:tcPr>
          <w:p>
            <w:pPr>
              <w:ind w:leftChars="0" w:left="0" w:right="0"/>
            </w:pPr>
            <w:r>
              <w:t>IEXC</w:t>
            </w:r>
          </w:p>
        </w:tc>
        <w:tc>
          <w:tcPr>
            <w:cnfStyle w:evenVBand="false" w:oddVBand="true" w:firstColumn="false"/>
            <w:tcW w:w="33.333333%" w:type="pct"/>
          </w:tcPr>
          <w:p>
            <w:pPr>
              <w:ind w:leftChars="0" w:left="0" w:right="0"/>
            </w:pPr>
            <w:r>
              <w:t>INVESTORS EXCHANGE - DAX FACILITY</w:t>
            </w:r>
          </w:p>
        </w:tc>
      </w:tr>
      <w:tr>
        <w:trPr>
          <w:cnfStyle w:evenHBand="false" w:oddHBand="true" w:firstRow="false"/>
        </w:trPr>
        <w:tc>
          <w:tcPr>
            <w:cnfStyle w:evenVBand="false" w:oddVBand="true" w:firstColumn="false"/>
            <w:tcW w:w="33.333333%" w:type="pct"/>
          </w:tcPr>
          <w:p>
            <w:pPr>
              <w:ind w:leftChars="0" w:left="0" w:right="0"/>
            </w:pPr>
            <w:r>
              <w:t>IEXD</w:t>
            </w:r>
          </w:p>
        </w:tc>
        <w:tc>
          <w:tcPr>
            <w:cnfStyle w:evenVBand="true" w:oddVBand="false" w:firstColumn="false"/>
            <w:tcW w:w="33.333333%" w:type="pct"/>
          </w:tcPr>
          <w:p>
            <w:pPr>
              <w:ind w:leftChars="0" w:left="0" w:right="0"/>
            </w:pPr>
            <w:r>
              <w:t>IEXD</w:t>
            </w:r>
          </w:p>
        </w:tc>
        <w:tc>
          <w:tcPr>
            <w:cnfStyle w:evenVBand="false" w:oddVBand="true" w:firstColumn="false"/>
            <w:tcW w:w="33.333333%" w:type="pct"/>
          </w:tcPr>
          <w:p>
            <w:pPr>
              <w:ind w:leftChars="0" w:left="0" w:right="0"/>
            </w:pPr>
            <w:r>
              <w:t>INVESTORS EXCHANGE - DARK</w:t>
            </w:r>
          </w:p>
        </w:tc>
      </w:tr>
      <w:tr>
        <w:trPr>
          <w:cnfStyle w:evenHBand="true" w:oddHBand="false" w:firstRow="false"/>
        </w:trPr>
        <w:tc>
          <w:tcPr>
            <w:cnfStyle w:evenVBand="false" w:oddVBand="true" w:firstColumn="false"/>
            <w:tcW w:w="33.333333%" w:type="pct"/>
          </w:tcPr>
          <w:p>
            <w:pPr>
              <w:ind w:leftChars="0" w:left="0" w:right="0"/>
            </w:pPr>
            <w:r>
              <w:t>IEXG</w:t>
            </w:r>
          </w:p>
        </w:tc>
        <w:tc>
          <w:tcPr>
            <w:cnfStyle w:evenVBand="true" w:oddVBand="false" w:firstColumn="false"/>
            <w:tcW w:w="33.333333%" w:type="pct"/>
          </w:tcPr>
          <w:p>
            <w:pPr>
              <w:ind w:leftChars="0" w:left="0" w:right="0"/>
            </w:pPr>
            <w:r>
              <w:t>IEXG</w:t>
            </w:r>
          </w:p>
        </w:tc>
        <w:tc>
          <w:tcPr>
            <w:cnfStyle w:evenVBand="false" w:oddVBand="true" w:firstColumn="false"/>
            <w:tcW w:w="33.333333%" w:type="pct"/>
          </w:tcPr>
          <w:p>
            <w:pPr>
              <w:ind w:leftChars="0" w:left="0" w:right="0"/>
            </w:pPr>
            <w:r>
              <w:t>INVESTORS EXCHANGE</w:t>
            </w:r>
          </w:p>
        </w:tc>
      </w:tr>
      <w:tr>
        <w:trPr>
          <w:cnfStyle w:evenHBand="false" w:oddHBand="true" w:firstRow="false"/>
        </w:trPr>
        <w:tc>
          <w:tcPr>
            <w:cnfStyle w:evenVBand="false" w:oddVBand="true" w:firstColumn="false"/>
            <w:tcW w:w="33.333333%" w:type="pct"/>
          </w:tcPr>
          <w:p>
            <w:pPr>
              <w:ind w:leftChars="0" w:left="0" w:right="0"/>
            </w:pPr>
            <w:r>
              <w:t>IFAD</w:t>
            </w:r>
          </w:p>
        </w:tc>
        <w:tc>
          <w:tcPr>
            <w:cnfStyle w:evenVBand="true" w:oddVBand="false" w:firstColumn="false"/>
            <w:tcW w:w="33.333333%" w:type="pct"/>
          </w:tcPr>
          <w:p>
            <w:pPr>
              <w:ind w:leftChars="0" w:left="0" w:right="0"/>
            </w:pPr>
            <w:r>
              <w:t>IFAD</w:t>
            </w:r>
          </w:p>
        </w:tc>
        <w:tc>
          <w:tcPr>
            <w:cnfStyle w:evenVBand="false" w:oddVBand="true" w:firstColumn="false"/>
            <w:tcW w:w="33.333333%" w:type="pct"/>
          </w:tcPr>
          <w:p>
            <w:pPr>
              <w:ind w:leftChars="0" w:left="0" w:right="0"/>
            </w:pPr>
            <w:r>
              <w:t>ICE FUTURES ABU DHABI</w:t>
            </w:r>
          </w:p>
        </w:tc>
      </w:tr>
      <w:tr>
        <w:trPr>
          <w:cnfStyle w:evenHBand="true" w:oddHBand="false" w:firstRow="false"/>
        </w:trPr>
        <w:tc>
          <w:tcPr>
            <w:cnfStyle w:evenVBand="false" w:oddVBand="true" w:firstColumn="false"/>
            <w:tcW w:w="33.333333%" w:type="pct"/>
          </w:tcPr>
          <w:p>
            <w:pPr>
              <w:ind w:leftChars="0" w:left="0" w:right="0"/>
            </w:pPr>
            <w:r>
              <w:t>IFBX</w:t>
            </w:r>
          </w:p>
        </w:tc>
        <w:tc>
          <w:tcPr>
            <w:cnfStyle w:evenVBand="true" w:oddVBand="false" w:firstColumn="false"/>
            <w:tcW w:w="33.333333%" w:type="pct"/>
          </w:tcPr>
          <w:p>
            <w:pPr>
              <w:ind w:leftChars="0" w:left="0" w:right="0"/>
            </w:pPr>
            <w:r>
              <w:t>IFBX</w:t>
            </w:r>
          </w:p>
        </w:tc>
        <w:tc>
          <w:tcPr>
            <w:cnfStyle w:evenVBand="false" w:oddVBand="true" w:firstColumn="false"/>
            <w:tcW w:w="33.333333%" w:type="pct"/>
          </w:tcPr>
          <w:p>
            <w:pPr>
              <w:ind w:leftChars="0" w:left="0" w:right="0"/>
            </w:pPr>
            <w:r>
              <w:t>IRAN FARA BOURSE</w:t>
            </w:r>
          </w:p>
        </w:tc>
      </w:tr>
      <w:tr>
        <w:trPr>
          <w:cnfStyle w:evenHBand="false" w:oddHBand="true" w:firstRow="false"/>
        </w:trPr>
        <w:tc>
          <w:tcPr>
            <w:cnfStyle w:evenVBand="false" w:oddVBand="true" w:firstColumn="false"/>
            <w:tcW w:w="33.333333%" w:type="pct"/>
          </w:tcPr>
          <w:p>
            <w:pPr>
              <w:ind w:leftChars="0" w:left="0" w:right="0"/>
            </w:pPr>
            <w:r>
              <w:t>IFCA</w:t>
            </w:r>
          </w:p>
        </w:tc>
        <w:tc>
          <w:tcPr>
            <w:cnfStyle w:evenVBand="true" w:oddVBand="false" w:firstColumn="false"/>
            <w:tcW w:w="33.333333%" w:type="pct"/>
          </w:tcPr>
          <w:p>
            <w:pPr>
              <w:ind w:leftChars="0" w:left="0" w:right="0"/>
            </w:pPr>
            <w:r>
              <w:t>IFCA</w:t>
            </w:r>
          </w:p>
        </w:tc>
        <w:tc>
          <w:tcPr>
            <w:cnfStyle w:evenVBand="false" w:oddVBand="true" w:firstColumn="false"/>
            <w:tcW w:w="33.333333%" w:type="pct"/>
          </w:tcPr>
          <w:p>
            <w:pPr>
              <w:ind w:leftChars="0" w:left="0" w:right="0"/>
            </w:pPr>
            <w:r>
              <w:t>ICE FUTURES CANADA</w:t>
            </w:r>
          </w:p>
        </w:tc>
      </w:tr>
      <w:tr>
        <w:trPr>
          <w:cnfStyle w:evenHBand="true" w:oddHBand="false" w:firstRow="false"/>
        </w:trPr>
        <w:tc>
          <w:tcPr>
            <w:cnfStyle w:evenVBand="false" w:oddVBand="true" w:firstColumn="false"/>
            <w:tcW w:w="33.333333%" w:type="pct"/>
          </w:tcPr>
          <w:p>
            <w:pPr>
              <w:ind w:leftChars="0" w:left="0" w:right="0"/>
            </w:pPr>
            <w:r>
              <w:t>IFED</w:t>
            </w:r>
          </w:p>
        </w:tc>
        <w:tc>
          <w:tcPr>
            <w:cnfStyle w:evenVBand="true" w:oddVBand="false" w:firstColumn="false"/>
            <w:tcW w:w="33.333333%" w:type="pct"/>
          </w:tcPr>
          <w:p>
            <w:pPr>
              <w:ind w:leftChars="0" w:left="0" w:right="0"/>
            </w:pPr>
            <w:r>
              <w:t>IFED</w:t>
            </w:r>
          </w:p>
        </w:tc>
        <w:tc>
          <w:tcPr>
            <w:cnfStyle w:evenVBand="false" w:oddVBand="true" w:firstColumn="false"/>
            <w:tcW w:w="33.333333%" w:type="pct"/>
          </w:tcPr>
          <w:p>
            <w:pPr>
              <w:ind w:leftChars="0" w:left="0" w:right="0"/>
            </w:pPr>
            <w:r>
              <w:t>ICE FUTURES U.S. ENERGY DIVISION</w:t>
            </w:r>
          </w:p>
        </w:tc>
      </w:tr>
      <w:tr>
        <w:trPr>
          <w:cnfStyle w:evenHBand="false" w:oddHBand="true" w:firstRow="false"/>
        </w:trPr>
        <w:tc>
          <w:tcPr>
            <w:cnfStyle w:evenVBand="false" w:oddVBand="true" w:firstColumn="false"/>
            <w:tcW w:w="33.333333%" w:type="pct"/>
          </w:tcPr>
          <w:p>
            <w:pPr>
              <w:ind w:leftChars="0" w:left="0" w:right="0"/>
            </w:pPr>
            <w:r>
              <w:t>IFEN</w:t>
            </w:r>
          </w:p>
        </w:tc>
        <w:tc>
          <w:tcPr>
            <w:cnfStyle w:evenVBand="true" w:oddVBand="false" w:firstColumn="false"/>
            <w:tcW w:w="33.333333%" w:type="pct"/>
          </w:tcPr>
          <w:p>
            <w:pPr>
              <w:ind w:leftChars="0" w:left="0" w:right="0"/>
            </w:pPr>
            <w:r>
              <w:t>IFEN</w:t>
            </w:r>
          </w:p>
        </w:tc>
        <w:tc>
          <w:tcPr>
            <w:cnfStyle w:evenVBand="false" w:oddVBand="true" w:firstColumn="false"/>
            <w:tcW w:w="33.333333%" w:type="pct"/>
          </w:tcPr>
          <w:p>
            <w:pPr>
              <w:ind w:leftChars="0" w:left="0" w:right="0"/>
            </w:pPr>
            <w:r>
              <w:t>ICE FUTURES EUROPE - OIL AND REFINED PRODUCTS DIVISION</w:t>
            </w:r>
          </w:p>
        </w:tc>
      </w:tr>
      <w:tr>
        <w:trPr>
          <w:cnfStyle w:evenHBand="true" w:oddHBand="false" w:firstRow="false"/>
        </w:trPr>
        <w:tc>
          <w:tcPr>
            <w:cnfStyle w:evenVBand="false" w:oddVBand="true" w:firstColumn="false"/>
            <w:tcW w:w="33.333333%" w:type="pct"/>
          </w:tcPr>
          <w:p>
            <w:pPr>
              <w:ind w:leftChars="0" w:left="0" w:right="0"/>
            </w:pPr>
            <w:r>
              <w:t>IFEU</w:t>
            </w:r>
          </w:p>
        </w:tc>
        <w:tc>
          <w:tcPr>
            <w:cnfStyle w:evenVBand="true" w:oddVBand="false" w:firstColumn="false"/>
            <w:tcW w:w="33.333333%" w:type="pct"/>
          </w:tcPr>
          <w:p>
            <w:pPr>
              <w:ind w:leftChars="0" w:left="0" w:right="0"/>
            </w:pPr>
            <w:r>
              <w:t>IFEU</w:t>
            </w:r>
          </w:p>
        </w:tc>
        <w:tc>
          <w:tcPr>
            <w:cnfStyle w:evenVBand="false" w:oddVBand="true" w:firstColumn="false"/>
            <w:tcW w:w="33.333333%" w:type="pct"/>
          </w:tcPr>
          <w:p>
            <w:pPr>
              <w:ind w:leftChars="0" w:left="0" w:right="0"/>
            </w:pPr>
            <w:r>
              <w:t>ICE FUTURES EUROPE</w:t>
            </w:r>
          </w:p>
        </w:tc>
      </w:tr>
      <w:tr>
        <w:trPr>
          <w:cnfStyle w:evenHBand="false" w:oddHBand="true" w:firstRow="false"/>
        </w:trPr>
        <w:tc>
          <w:tcPr>
            <w:cnfStyle w:evenVBand="false" w:oddVBand="true" w:firstColumn="false"/>
            <w:tcW w:w="33.333333%" w:type="pct"/>
          </w:tcPr>
          <w:p>
            <w:pPr>
              <w:ind w:leftChars="0" w:left="0" w:right="0"/>
            </w:pPr>
            <w:r>
              <w:t>IFLL</w:t>
            </w:r>
          </w:p>
        </w:tc>
        <w:tc>
          <w:tcPr>
            <w:cnfStyle w:evenVBand="true" w:oddVBand="false" w:firstColumn="false"/>
            <w:tcW w:w="33.333333%" w:type="pct"/>
          </w:tcPr>
          <w:p>
            <w:pPr>
              <w:ind w:leftChars="0" w:left="0" w:right="0"/>
            </w:pPr>
            <w:r>
              <w:t>IFLL</w:t>
            </w:r>
          </w:p>
        </w:tc>
        <w:tc>
          <w:tcPr>
            <w:cnfStyle w:evenVBand="false" w:oddVBand="true" w:firstColumn="false"/>
            <w:tcW w:w="33.333333%" w:type="pct"/>
          </w:tcPr>
          <w:p>
            <w:pPr>
              <w:ind w:leftChars="0" w:left="0" w:right="0"/>
            </w:pPr>
            <w:r>
              <w:t>ICE FUTURES EUROPE - FINANCIAL PRODUCTS DIVISION</w:t>
            </w:r>
          </w:p>
        </w:tc>
      </w:tr>
      <w:tr>
        <w:trPr>
          <w:cnfStyle w:evenHBand="true" w:oddHBand="false" w:firstRow="false"/>
        </w:trPr>
        <w:tc>
          <w:tcPr>
            <w:cnfStyle w:evenVBand="false" w:oddVBand="true" w:firstColumn="false"/>
            <w:tcW w:w="33.333333%" w:type="pct"/>
          </w:tcPr>
          <w:p>
            <w:pPr>
              <w:ind w:leftChars="0" w:left="0" w:right="0"/>
            </w:pPr>
            <w:r>
              <w:t>IFLO</w:t>
            </w:r>
          </w:p>
        </w:tc>
        <w:tc>
          <w:tcPr>
            <w:cnfStyle w:evenVBand="true" w:oddVBand="false" w:firstColumn="false"/>
            <w:tcW w:w="33.333333%" w:type="pct"/>
          </w:tcPr>
          <w:p>
            <w:pPr>
              <w:ind w:leftChars="0" w:left="0" w:right="0"/>
            </w:pPr>
            <w:r>
              <w:t>IFLO</w:t>
            </w:r>
          </w:p>
        </w:tc>
        <w:tc>
          <w:tcPr>
            <w:cnfStyle w:evenVBand="false" w:oddVBand="true" w:firstColumn="false"/>
            <w:tcW w:w="33.333333%" w:type="pct"/>
          </w:tcPr>
          <w:p>
            <w:pPr>
              <w:ind w:leftChars="0" w:left="0" w:right="0"/>
            </w:pPr>
            <w:r>
              <w:t>ICE FUTURES EUROPE - EQUITY PRODUCTS DIVISION</w:t>
            </w:r>
          </w:p>
        </w:tc>
      </w:tr>
      <w:tr>
        <w:trPr>
          <w:cnfStyle w:evenHBand="false" w:oddHBand="true" w:firstRow="false"/>
        </w:trPr>
        <w:tc>
          <w:tcPr>
            <w:cnfStyle w:evenVBand="false" w:oddVBand="true" w:firstColumn="false"/>
            <w:tcW w:w="33.333333%" w:type="pct"/>
          </w:tcPr>
          <w:p>
            <w:pPr>
              <w:ind w:leftChars="0" w:left="0" w:right="0"/>
            </w:pPr>
            <w:r>
              <w:t>IFLS</w:t>
            </w:r>
          </w:p>
        </w:tc>
        <w:tc>
          <w:tcPr>
            <w:cnfStyle w:evenVBand="true" w:oddVBand="false" w:firstColumn="false"/>
            <w:tcW w:w="33.333333%" w:type="pct"/>
          </w:tcPr>
          <w:p>
            <w:pPr>
              <w:ind w:leftChars="0" w:left="0" w:right="0"/>
            </w:pPr>
            <w:r>
              <w:t>IFLS</w:t>
            </w:r>
          </w:p>
        </w:tc>
        <w:tc>
          <w:tcPr>
            <w:cnfStyle w:evenVBand="false" w:oddVBand="true" w:firstColumn="false"/>
            <w:tcW w:w="33.333333%" w:type="pct"/>
          </w:tcPr>
          <w:p>
            <w:pPr>
              <w:ind w:leftChars="0" w:left="0" w:right="0"/>
            </w:pPr>
            <w:r>
              <w:t>SWAPXECUTE</w:t>
            </w:r>
          </w:p>
        </w:tc>
      </w:tr>
      <w:tr>
        <w:trPr>
          <w:cnfStyle w:evenHBand="true" w:oddHBand="false" w:firstRow="false"/>
        </w:trPr>
        <w:tc>
          <w:tcPr>
            <w:cnfStyle w:evenVBand="false" w:oddVBand="true" w:firstColumn="false"/>
            <w:tcW w:w="33.333333%" w:type="pct"/>
          </w:tcPr>
          <w:p>
            <w:pPr>
              <w:ind w:leftChars="0" w:left="0" w:right="0"/>
            </w:pPr>
            <w:r>
              <w:t>IFLX</w:t>
            </w:r>
          </w:p>
        </w:tc>
        <w:tc>
          <w:tcPr>
            <w:cnfStyle w:evenVBand="true" w:oddVBand="false" w:firstColumn="false"/>
            <w:tcW w:w="33.333333%" w:type="pct"/>
          </w:tcPr>
          <w:p>
            <w:pPr>
              <w:ind w:leftChars="0" w:left="0" w:right="0"/>
            </w:pPr>
            <w:r>
              <w:t>IFLX</w:t>
            </w:r>
          </w:p>
        </w:tc>
        <w:tc>
          <w:tcPr>
            <w:cnfStyle w:evenVBand="false" w:oddVBand="true" w:firstColumn="false"/>
            <w:tcW w:w="33.333333%" w:type="pct"/>
          </w:tcPr>
          <w:p>
            <w:pPr>
              <w:ind w:leftChars="0" w:left="0" w:right="0"/>
            </w:pPr>
            <w:r>
              <w:t>ICE FUTURES EUROPE - AGRICULTURAL PRODUCTS DIVISION</w:t>
            </w:r>
          </w:p>
        </w:tc>
      </w:tr>
      <w:tr>
        <w:trPr>
          <w:cnfStyle w:evenHBand="false" w:oddHBand="true" w:firstRow="false"/>
        </w:trPr>
        <w:tc>
          <w:tcPr>
            <w:cnfStyle w:evenVBand="false" w:oddVBand="true" w:firstColumn="false"/>
            <w:tcW w:w="33.333333%" w:type="pct"/>
          </w:tcPr>
          <w:p>
            <w:pPr>
              <w:ind w:leftChars="0" w:left="0" w:right="0"/>
            </w:pPr>
            <w:r>
              <w:t>IFSG</w:t>
            </w:r>
          </w:p>
        </w:tc>
        <w:tc>
          <w:tcPr>
            <w:cnfStyle w:evenVBand="true" w:oddVBand="false" w:firstColumn="false"/>
            <w:tcW w:w="33.333333%" w:type="pct"/>
          </w:tcPr>
          <w:p>
            <w:pPr>
              <w:ind w:leftChars="0" w:left="0" w:right="0"/>
            </w:pPr>
            <w:r>
              <w:t>IFSG</w:t>
            </w:r>
          </w:p>
        </w:tc>
        <w:tc>
          <w:tcPr>
            <w:cnfStyle w:evenVBand="false" w:oddVBand="true" w:firstColumn="false"/>
            <w:tcW w:w="33.333333%" w:type="pct"/>
          </w:tcPr>
          <w:p>
            <w:pPr>
              <w:ind w:leftChars="0" w:left="0" w:right="0"/>
            </w:pPr>
            <w:r>
              <w:t>ICE FUTURES SINGAPORE</w:t>
            </w:r>
          </w:p>
        </w:tc>
      </w:tr>
      <w:tr>
        <w:trPr>
          <w:cnfStyle w:evenHBand="true" w:oddHBand="false" w:firstRow="false"/>
        </w:trPr>
        <w:tc>
          <w:tcPr>
            <w:cnfStyle w:evenVBand="false" w:oddVBand="true" w:firstColumn="false"/>
            <w:tcW w:w="33.333333%" w:type="pct"/>
          </w:tcPr>
          <w:p>
            <w:pPr>
              <w:ind w:leftChars="0" w:left="0" w:right="0"/>
            </w:pPr>
            <w:r>
              <w:t>IFSM</w:t>
            </w:r>
          </w:p>
        </w:tc>
        <w:tc>
          <w:tcPr>
            <w:cnfStyle w:evenVBand="true" w:oddVBand="false" w:firstColumn="false"/>
            <w:tcW w:w="33.333333%" w:type="pct"/>
          </w:tcPr>
          <w:p>
            <w:pPr>
              <w:ind w:leftChars="0" w:left="0" w:right="0"/>
            </w:pPr>
            <w:r>
              <w:t>IFSM</w:t>
            </w:r>
          </w:p>
        </w:tc>
        <w:tc>
          <w:tcPr>
            <w:cnfStyle w:evenVBand="false" w:oddVBand="true" w:firstColumn="false"/>
            <w:tcW w:w="33.333333%" w:type="pct"/>
          </w:tcPr>
          <w:p>
            <w:pPr>
              <w:ind w:leftChars="0" w:left="0" w:right="0"/>
            </w:pPr>
            <w:r>
              <w:t>INSTITUTIONAL FINANCIAL SECURITIES MARKET</w:t>
            </w:r>
          </w:p>
        </w:tc>
      </w:tr>
      <w:tr>
        <w:trPr>
          <w:cnfStyle w:evenHBand="false" w:oddHBand="true" w:firstRow="false"/>
        </w:trPr>
        <w:tc>
          <w:tcPr>
            <w:cnfStyle w:evenVBand="false" w:oddVBand="true" w:firstColumn="false"/>
            <w:tcW w:w="33.333333%" w:type="pct"/>
          </w:tcPr>
          <w:p>
            <w:pPr>
              <w:ind w:leftChars="0" w:left="0" w:right="0"/>
            </w:pPr>
            <w:r>
              <w:t>IFUS</w:t>
            </w:r>
          </w:p>
        </w:tc>
        <w:tc>
          <w:tcPr>
            <w:cnfStyle w:evenVBand="true" w:oddVBand="false" w:firstColumn="false"/>
            <w:tcW w:w="33.333333%" w:type="pct"/>
          </w:tcPr>
          <w:p>
            <w:pPr>
              <w:ind w:leftChars="0" w:left="0" w:right="0"/>
            </w:pPr>
            <w:r>
              <w:t>IFUS</w:t>
            </w:r>
          </w:p>
        </w:tc>
        <w:tc>
          <w:tcPr>
            <w:cnfStyle w:evenVBand="false" w:oddVBand="true" w:firstColumn="false"/>
            <w:tcW w:w="33.333333%" w:type="pct"/>
          </w:tcPr>
          <w:p>
            <w:pPr>
              <w:ind w:leftChars="0" w:left="0" w:right="0"/>
            </w:pPr>
            <w:r>
              <w:t>ICE FUTURES U.S.</w:t>
            </w:r>
          </w:p>
        </w:tc>
      </w:tr>
      <w:tr>
        <w:trPr>
          <w:cnfStyle w:evenHBand="true" w:oddHBand="false" w:firstRow="false"/>
        </w:trPr>
        <w:tc>
          <w:tcPr>
            <w:cnfStyle w:evenVBand="false" w:oddVBand="true" w:firstColumn="false"/>
            <w:tcW w:w="33.333333%" w:type="pct"/>
          </w:tcPr>
          <w:p>
            <w:pPr>
              <w:ind w:leftChars="0" w:left="0" w:right="0"/>
            </w:pPr>
            <w:r>
              <w:t>IFUT</w:t>
            </w:r>
          </w:p>
        </w:tc>
        <w:tc>
          <w:tcPr>
            <w:cnfStyle w:evenVBand="true" w:oddVBand="false" w:firstColumn="false"/>
            <w:tcW w:w="33.333333%" w:type="pct"/>
          </w:tcPr>
          <w:p>
            <w:pPr>
              <w:ind w:leftChars="0" w:left="0" w:right="0"/>
            </w:pPr>
            <w:r>
              <w:t>IFUT</w:t>
            </w:r>
          </w:p>
        </w:tc>
        <w:tc>
          <w:tcPr>
            <w:cnfStyle w:evenVBand="false" w:oddVBand="true" w:firstColumn="false"/>
            <w:tcW w:w="33.333333%" w:type="pct"/>
          </w:tcPr>
          <w:p>
            <w:pPr>
              <w:ind w:leftChars="0" w:left="0" w:right="0"/>
            </w:pPr>
            <w:r>
              <w:t>ICE FUTURES EUROPE - EUROPEAN UTILITIES DIVISION</w:t>
            </w:r>
          </w:p>
        </w:tc>
      </w:tr>
      <w:tr>
        <w:trPr>
          <w:cnfStyle w:evenHBand="false" w:oddHBand="true" w:firstRow="false"/>
        </w:trPr>
        <w:tc>
          <w:tcPr>
            <w:cnfStyle w:evenVBand="false" w:oddVBand="true" w:firstColumn="false"/>
            <w:tcW w:w="33.333333%" w:type="pct"/>
          </w:tcPr>
          <w:p>
            <w:pPr>
              <w:ind w:leftChars="0" w:left="0" w:right="0"/>
            </w:pPr>
            <w:r>
              <w:t>IFXA</w:t>
            </w:r>
          </w:p>
        </w:tc>
        <w:tc>
          <w:tcPr>
            <w:cnfStyle w:evenVBand="true" w:oddVBand="false" w:firstColumn="false"/>
            <w:tcW w:w="33.333333%" w:type="pct"/>
          </w:tcPr>
          <w:p>
            <w:pPr>
              <w:ind w:leftChars="0" w:left="0" w:right="0"/>
            </w:pPr>
            <w:r>
              <w:t>IFXA</w:t>
            </w:r>
          </w:p>
        </w:tc>
        <w:tc>
          <w:tcPr>
            <w:cnfStyle w:evenVBand="false" w:oddVBand="true" w:firstColumn="false"/>
            <w:tcW w:w="33.333333%" w:type="pct"/>
          </w:tcPr>
          <w:p>
            <w:pPr>
              <w:ind w:leftChars="0" w:left="0" w:right="0"/>
            </w:pPr>
            <w:r>
              <w:t>FX CONNECT IRELAND MTF - ALLOCATIONS</w:t>
            </w:r>
          </w:p>
        </w:tc>
      </w:tr>
      <w:tr>
        <w:trPr>
          <w:cnfStyle w:evenHBand="true" w:oddHBand="false" w:firstRow="false"/>
        </w:trPr>
        <w:tc>
          <w:tcPr>
            <w:cnfStyle w:evenVBand="false" w:oddVBand="true" w:firstColumn="false"/>
            <w:tcW w:w="33.333333%" w:type="pct"/>
          </w:tcPr>
          <w:p>
            <w:pPr>
              <w:ind w:leftChars="0" w:left="0" w:right="0"/>
            </w:pPr>
            <w:r>
              <w:t>IFXC</w:t>
            </w:r>
          </w:p>
        </w:tc>
        <w:tc>
          <w:tcPr>
            <w:cnfStyle w:evenVBand="true" w:oddVBand="false" w:firstColumn="false"/>
            <w:tcW w:w="33.333333%" w:type="pct"/>
          </w:tcPr>
          <w:p>
            <w:pPr>
              <w:ind w:leftChars="0" w:left="0" w:right="0"/>
            </w:pPr>
            <w:r>
              <w:t>IFXC</w:t>
            </w:r>
          </w:p>
        </w:tc>
        <w:tc>
          <w:tcPr>
            <w:cnfStyle w:evenVBand="false" w:oddVBand="true" w:firstColumn="false"/>
            <w:tcW w:w="33.333333%" w:type="pct"/>
          </w:tcPr>
          <w:p>
            <w:pPr>
              <w:ind w:leftChars="0" w:left="0" w:right="0"/>
            </w:pPr>
            <w:r>
              <w:t>FX CONNECT IRELAND MTF</w:t>
            </w:r>
          </w:p>
        </w:tc>
      </w:tr>
      <w:tr>
        <w:trPr>
          <w:cnfStyle w:evenHBand="false" w:oddHBand="true" w:firstRow="false"/>
        </w:trPr>
        <w:tc>
          <w:tcPr>
            <w:cnfStyle w:evenVBand="false" w:oddVBand="true" w:firstColumn="false"/>
            <w:tcW w:w="33.333333%" w:type="pct"/>
          </w:tcPr>
          <w:p>
            <w:pPr>
              <w:ind w:leftChars="0" w:left="0" w:right="0"/>
            </w:pPr>
            <w:r>
              <w:t>IFXR</w:t>
            </w:r>
          </w:p>
        </w:tc>
        <w:tc>
          <w:tcPr>
            <w:cnfStyle w:evenVBand="true" w:oddVBand="false" w:firstColumn="false"/>
            <w:tcW w:w="33.333333%" w:type="pct"/>
          </w:tcPr>
          <w:p>
            <w:pPr>
              <w:ind w:leftChars="0" w:left="0" w:right="0"/>
            </w:pPr>
            <w:r>
              <w:t>IFXR</w:t>
            </w:r>
          </w:p>
        </w:tc>
        <w:tc>
          <w:tcPr>
            <w:cnfStyle w:evenVBand="false" w:oddVBand="true" w:firstColumn="false"/>
            <w:tcW w:w="33.333333%" w:type="pct"/>
          </w:tcPr>
          <w:p>
            <w:pPr>
              <w:ind w:leftChars="0" w:left="0" w:right="0"/>
            </w:pPr>
            <w:r>
              <w:t>FX CONNECT IRELAND MTF - RFQ</w:t>
            </w:r>
          </w:p>
        </w:tc>
      </w:tr>
      <w:tr>
        <w:trPr>
          <w:cnfStyle w:evenHBand="true" w:oddHBand="false" w:firstRow="false"/>
        </w:trPr>
        <w:tc>
          <w:tcPr>
            <w:cnfStyle w:evenVBand="false" w:oddVBand="true" w:firstColumn="false"/>
            <w:tcW w:w="33.333333%" w:type="pct"/>
          </w:tcPr>
          <w:p>
            <w:pPr>
              <w:ind w:leftChars="0" w:left="0" w:right="0"/>
            </w:pPr>
            <w:r>
              <w:t>IGDL</w:t>
            </w:r>
          </w:p>
        </w:tc>
        <w:tc>
          <w:tcPr>
            <w:cnfStyle w:evenVBand="true" w:oddVBand="false" w:firstColumn="false"/>
            <w:tcW w:w="33.333333%" w:type="pct"/>
          </w:tcPr>
          <w:p>
            <w:pPr>
              <w:ind w:leftChars="0" w:left="0" w:right="0"/>
            </w:pPr>
            <w:r>
              <w:t>IGDL</w:t>
            </w:r>
          </w:p>
        </w:tc>
        <w:tc>
          <w:tcPr>
            <w:cnfStyle w:evenVBand="false" w:oddVBand="true" w:firstColumn="false"/>
            <w:tcW w:w="33.333333%" w:type="pct"/>
          </w:tcPr>
          <w:p>
            <w:pPr>
              <w:ind w:leftChars="0" w:left="0" w:right="0"/>
            </w:pPr>
            <w:r>
              <w:t>ICAP GLOBAL DERIVATIVES LIMITED</w:t>
            </w:r>
          </w:p>
        </w:tc>
      </w:tr>
      <w:tr>
        <w:trPr>
          <w:cnfStyle w:evenHBand="false" w:oddHBand="true" w:firstRow="false"/>
        </w:trPr>
        <w:tc>
          <w:tcPr>
            <w:cnfStyle w:evenVBand="false" w:oddVBand="true" w:firstColumn="false"/>
            <w:tcW w:w="33.333333%" w:type="pct"/>
          </w:tcPr>
          <w:p>
            <w:pPr>
              <w:ind w:leftChars="0" w:left="0" w:right="0"/>
            </w:pPr>
            <w:r>
              <w:t>IIDX</w:t>
            </w:r>
          </w:p>
        </w:tc>
        <w:tc>
          <w:tcPr>
            <w:cnfStyle w:evenVBand="true" w:oddVBand="false" w:firstColumn="false"/>
            <w:tcW w:w="33.333333%" w:type="pct"/>
          </w:tcPr>
          <w:p>
            <w:pPr>
              <w:ind w:leftChars="0" w:left="0" w:right="0"/>
            </w:pPr>
            <w:r>
              <w:t>IIDX</w:t>
            </w:r>
          </w:p>
        </w:tc>
        <w:tc>
          <w:tcPr>
            <w:cnfStyle w:evenVBand="false" w:oddVBand="true" w:firstColumn="false"/>
            <w:tcW w:w="33.333333%" w:type="pct"/>
          </w:tcPr>
          <w:p>
            <w:pPr>
              <w:ind w:leftChars="0" w:left="0" w:right="0"/>
            </w:pPr>
            <w:r>
              <w:t>INSTINET IDX</w:t>
            </w:r>
          </w:p>
        </w:tc>
      </w:tr>
      <w:tr>
        <w:trPr>
          <w:cnfStyle w:evenHBand="true" w:oddHBand="false" w:firstRow="false"/>
        </w:trPr>
        <w:tc>
          <w:tcPr>
            <w:cnfStyle w:evenVBand="false" w:oddVBand="true" w:firstColumn="false"/>
            <w:tcW w:w="33.333333%" w:type="pct"/>
          </w:tcPr>
          <w:p>
            <w:pPr>
              <w:ind w:leftChars="0" w:left="0" w:right="0"/>
            </w:pPr>
            <w:r>
              <w:t>IINX</w:t>
            </w:r>
          </w:p>
        </w:tc>
        <w:tc>
          <w:tcPr>
            <w:cnfStyle w:evenVBand="true" w:oddVBand="false" w:firstColumn="false"/>
            <w:tcW w:w="33.333333%" w:type="pct"/>
          </w:tcPr>
          <w:p>
            <w:pPr>
              <w:ind w:leftChars="0" w:left="0" w:right="0"/>
            </w:pPr>
            <w:r>
              <w:t>IINX</w:t>
            </w:r>
          </w:p>
        </w:tc>
        <w:tc>
          <w:tcPr>
            <w:cnfStyle w:evenVBand="false" w:oddVBand="true" w:firstColumn="false"/>
            <w:tcW w:w="33.333333%" w:type="pct"/>
          </w:tcPr>
          <w:p>
            <w:pPr>
              <w:ind w:leftChars="0" w:left="0" w:right="0"/>
            </w:pPr>
            <w:r>
              <w:t>INDIA INTERNATIONAL EXCHANGE (IFSC) LIMITED</w:t>
            </w:r>
          </w:p>
        </w:tc>
      </w:tr>
      <w:tr>
        <w:trPr>
          <w:cnfStyle w:evenHBand="false" w:oddHBand="true" w:firstRow="false"/>
        </w:trPr>
        <w:tc>
          <w:tcPr>
            <w:cnfStyle w:evenVBand="false" w:oddVBand="true" w:firstColumn="false"/>
            <w:tcW w:w="33.333333%" w:type="pct"/>
          </w:tcPr>
          <w:p>
            <w:pPr>
              <w:ind w:leftChars="0" w:left="0" w:right="0"/>
            </w:pPr>
            <w:r>
              <w:t>IKBS</w:t>
            </w:r>
          </w:p>
        </w:tc>
        <w:tc>
          <w:tcPr>
            <w:cnfStyle w:evenVBand="true" w:oddVBand="false" w:firstColumn="false"/>
            <w:tcW w:w="33.333333%" w:type="pct"/>
          </w:tcPr>
          <w:p>
            <w:pPr>
              <w:ind w:leftChars="0" w:left="0" w:right="0"/>
            </w:pPr>
            <w:r>
              <w:t>IKBS</w:t>
            </w:r>
          </w:p>
        </w:tc>
        <w:tc>
          <w:tcPr>
            <w:cnfStyle w:evenVBand="false" w:oddVBand="true" w:firstColumn="false"/>
            <w:tcW w:w="33.333333%" w:type="pct"/>
          </w:tcPr>
          <w:p>
            <w:pPr>
              <w:ind w:leftChars="0" w:left="0" w:right="0"/>
            </w:pPr>
            <w:r>
              <w:t>IKB DEUTSCHE INDUSTRIEBANK AG - SYSTEMATIC INTERNALISER</w:t>
            </w:r>
          </w:p>
        </w:tc>
      </w:tr>
      <w:tr>
        <w:trPr>
          <w:cnfStyle w:evenHBand="true" w:oddHBand="false" w:firstRow="false"/>
        </w:trPr>
        <w:tc>
          <w:tcPr>
            <w:cnfStyle w:evenVBand="false" w:oddVBand="true" w:firstColumn="false"/>
            <w:tcW w:w="33.333333%" w:type="pct"/>
          </w:tcPr>
          <w:p>
            <w:pPr>
              <w:ind w:leftChars="0" w:left="0" w:right="0"/>
            </w:pPr>
            <w:r>
              <w:t>ILCM</w:t>
            </w:r>
          </w:p>
        </w:tc>
        <w:tc>
          <w:tcPr>
            <w:cnfStyle w:evenVBand="true" w:oddVBand="false" w:firstColumn="false"/>
            <w:tcW w:w="33.333333%" w:type="pct"/>
          </w:tcPr>
          <w:p>
            <w:pPr>
              <w:ind w:leftChars="0" w:left="0" w:right="0"/>
            </w:pPr>
            <w:r>
              <w:t>ILCM</w:t>
            </w:r>
          </w:p>
        </w:tc>
        <w:tc>
          <w:tcPr>
            <w:cnfStyle w:evenVBand="false" w:oddVBand="true" w:firstColumn="false"/>
            <w:tcW w:w="33.333333%" w:type="pct"/>
          </w:tcPr>
          <w:p>
            <w:pPr>
              <w:ind w:leftChars="0" w:left="0" w:right="0"/>
            </w:pPr>
            <w:r>
              <w:t>LOUIS CAPITAL MARKETS UK</w:t>
            </w:r>
          </w:p>
        </w:tc>
      </w:tr>
      <w:tr>
        <w:trPr>
          <w:cnfStyle w:evenHBand="false" w:oddHBand="true" w:firstRow="false"/>
        </w:trPr>
        <w:tc>
          <w:tcPr>
            <w:cnfStyle w:evenVBand="false" w:oddVBand="true" w:firstColumn="false"/>
            <w:tcW w:w="33.333333%" w:type="pct"/>
          </w:tcPr>
          <w:p>
            <w:pPr>
              <w:ind w:leftChars="0" w:left="0" w:right="0"/>
            </w:pPr>
            <w:r>
              <w:t>IMAG</w:t>
            </w:r>
          </w:p>
        </w:tc>
        <w:tc>
          <w:tcPr>
            <w:cnfStyle w:evenVBand="true" w:oddVBand="false" w:firstColumn="false"/>
            <w:tcW w:w="33.333333%" w:type="pct"/>
          </w:tcPr>
          <w:p>
            <w:pPr>
              <w:ind w:leftChars="0" w:left="0" w:right="0"/>
            </w:pPr>
            <w:r>
              <w:t>IMAG</w:t>
            </w:r>
          </w:p>
        </w:tc>
        <w:tc>
          <w:tcPr>
            <w:cnfStyle w:evenVBand="false" w:oddVBand="true" w:firstColumn="false"/>
            <w:tcW w:w="33.333333%" w:type="pct"/>
          </w:tcPr>
          <w:p>
            <w:pPr>
              <w:ind w:leftChars="0" w:left="0" w:right="0"/>
            </w:pPr>
            <w:r>
              <w:t>ICE MARKETS AGRICULTURE</w:t>
            </w:r>
          </w:p>
        </w:tc>
      </w:tr>
      <w:tr>
        <w:trPr>
          <w:cnfStyle w:evenHBand="true" w:oddHBand="false" w:firstRow="false"/>
        </w:trPr>
        <w:tc>
          <w:tcPr>
            <w:cnfStyle w:evenVBand="false" w:oddVBand="true" w:firstColumn="false"/>
            <w:tcW w:w="33.333333%" w:type="pct"/>
          </w:tcPr>
          <w:p>
            <w:pPr>
              <w:ind w:leftChars="0" w:left="0" w:right="0"/>
            </w:pPr>
            <w:r>
              <w:t>IMBD</w:t>
            </w:r>
          </w:p>
        </w:tc>
        <w:tc>
          <w:tcPr>
            <w:cnfStyle w:evenVBand="true" w:oddVBand="false" w:firstColumn="false"/>
            <w:tcW w:w="33.333333%" w:type="pct"/>
          </w:tcPr>
          <w:p>
            <w:pPr>
              <w:ind w:leftChars="0" w:left="0" w:right="0"/>
            </w:pPr>
            <w:r>
              <w:t>IMBD</w:t>
            </w:r>
          </w:p>
        </w:tc>
        <w:tc>
          <w:tcPr>
            <w:cnfStyle w:evenVBand="false" w:oddVBand="true" w:firstColumn="false"/>
            <w:tcW w:w="33.333333%" w:type="pct"/>
          </w:tcPr>
          <w:p>
            <w:pPr>
              <w:ind w:leftChars="0" w:left="0" w:right="0"/>
            </w:pPr>
            <w:r>
              <w:t>ICE MARKETS BONDS</w:t>
            </w:r>
          </w:p>
        </w:tc>
      </w:tr>
      <w:tr>
        <w:trPr>
          <w:cnfStyle w:evenHBand="false" w:oddHBand="true" w:firstRow="false"/>
        </w:trPr>
        <w:tc>
          <w:tcPr>
            <w:cnfStyle w:evenVBand="false" w:oddVBand="true" w:firstColumn="false"/>
            <w:tcW w:w="33.333333%" w:type="pct"/>
          </w:tcPr>
          <w:p>
            <w:pPr>
              <w:ind w:leftChars="0" w:left="0" w:right="0"/>
            </w:pPr>
            <w:r>
              <w:t>IMCC</w:t>
            </w:r>
          </w:p>
        </w:tc>
        <w:tc>
          <w:tcPr>
            <w:cnfStyle w:evenVBand="true" w:oddVBand="false" w:firstColumn="false"/>
            <w:tcW w:w="33.333333%" w:type="pct"/>
          </w:tcPr>
          <w:p>
            <w:pPr>
              <w:ind w:leftChars="0" w:left="0" w:right="0"/>
            </w:pPr>
            <w:r>
              <w:t>IMCC</w:t>
            </w:r>
          </w:p>
        </w:tc>
        <w:tc>
          <w:tcPr>
            <w:cnfStyle w:evenVBand="false" w:oddVBand="true" w:firstColumn="false"/>
            <w:tcW w:w="33.333333%" w:type="pct"/>
          </w:tcPr>
          <w:p>
            <w:pPr>
              <w:ind w:leftChars="0" w:left="0" w:right="0"/>
            </w:pPr>
            <w:r>
              <w:t>ICE CREDIT TRADE</w:t>
            </w:r>
          </w:p>
        </w:tc>
      </w:tr>
      <w:tr>
        <w:trPr>
          <w:cnfStyle w:evenHBand="true" w:oddHBand="false" w:firstRow="false"/>
        </w:trPr>
        <w:tc>
          <w:tcPr>
            <w:cnfStyle w:evenVBand="false" w:oddVBand="true" w:firstColumn="false"/>
            <w:tcW w:w="33.333333%" w:type="pct"/>
          </w:tcPr>
          <w:p>
            <w:pPr>
              <w:ind w:leftChars="0" w:left="0" w:right="0"/>
            </w:pPr>
            <w:r>
              <w:t>IMCD</w:t>
            </w:r>
          </w:p>
        </w:tc>
        <w:tc>
          <w:tcPr>
            <w:cnfStyle w:evenVBand="true" w:oddVBand="false" w:firstColumn="false"/>
            <w:tcW w:w="33.333333%" w:type="pct"/>
          </w:tcPr>
          <w:p>
            <w:pPr>
              <w:ind w:leftChars="0" w:left="0" w:right="0"/>
            </w:pPr>
            <w:r>
              <w:t>IMCD</w:t>
            </w:r>
          </w:p>
        </w:tc>
        <w:tc>
          <w:tcPr>
            <w:cnfStyle w:evenVBand="false" w:oddVBand="true" w:firstColumn="false"/>
            <w:tcW w:w="33.333333%" w:type="pct"/>
          </w:tcPr>
          <w:p>
            <w:pPr>
              <w:ind w:leftChars="0" w:left="0" w:right="0"/>
            </w:pPr>
            <w:r>
              <w:t>ICAP MTF - CREDIT DERIVATIVES</w:t>
            </w:r>
          </w:p>
        </w:tc>
      </w:tr>
      <w:tr>
        <w:trPr>
          <w:cnfStyle w:evenHBand="false" w:oddHBand="true" w:firstRow="false"/>
        </w:trPr>
        <w:tc>
          <w:tcPr>
            <w:cnfStyle w:evenVBand="false" w:oddVBand="true" w:firstColumn="false"/>
            <w:tcW w:w="33.333333%" w:type="pct"/>
          </w:tcPr>
          <w:p>
            <w:pPr>
              <w:ind w:leftChars="0" w:left="0" w:right="0"/>
            </w:pPr>
            <w:r>
              <w:t>IMCE</w:t>
            </w:r>
          </w:p>
        </w:tc>
        <w:tc>
          <w:tcPr>
            <w:cnfStyle w:evenVBand="true" w:oddVBand="false" w:firstColumn="false"/>
            <w:tcW w:w="33.333333%" w:type="pct"/>
          </w:tcPr>
          <w:p>
            <w:pPr>
              <w:ind w:leftChars="0" w:left="0" w:right="0"/>
            </w:pPr>
            <w:r>
              <w:t>IMCE</w:t>
            </w:r>
          </w:p>
        </w:tc>
        <w:tc>
          <w:tcPr>
            <w:cnfStyle w:evenVBand="false" w:oddVBand="true" w:firstColumn="false"/>
            <w:tcW w:w="33.333333%" w:type="pct"/>
          </w:tcPr>
          <w:p>
            <w:pPr>
              <w:ind w:leftChars="0" w:left="0" w:right="0"/>
            </w:pPr>
            <w:r>
              <w:t>TP ICAP UK MTF - CASH EQUITY</w:t>
            </w:r>
          </w:p>
        </w:tc>
      </w:tr>
      <w:tr>
        <w:trPr>
          <w:cnfStyle w:evenHBand="true" w:oddHBand="false" w:firstRow="false"/>
        </w:trPr>
        <w:tc>
          <w:tcPr>
            <w:cnfStyle w:evenVBand="false" w:oddVBand="true" w:firstColumn="false"/>
            <w:tcW w:w="33.333333%" w:type="pct"/>
          </w:tcPr>
          <w:p>
            <w:pPr>
              <w:ind w:leftChars="0" w:left="0" w:right="0"/>
            </w:pPr>
            <w:r>
              <w:t>IMCG</w:t>
            </w:r>
          </w:p>
        </w:tc>
        <w:tc>
          <w:tcPr>
            <w:cnfStyle w:evenVBand="true" w:oddVBand="false" w:firstColumn="false"/>
            <w:tcW w:w="33.333333%" w:type="pct"/>
          </w:tcPr>
          <w:p>
            <w:pPr>
              <w:ind w:leftChars="0" w:left="0" w:right="0"/>
            </w:pPr>
            <w:r>
              <w:t>IMCG</w:t>
            </w:r>
          </w:p>
        </w:tc>
        <w:tc>
          <w:tcPr>
            <w:cnfStyle w:evenVBand="false" w:oddVBand="true" w:firstColumn="false"/>
            <w:tcW w:w="33.333333%" w:type="pct"/>
          </w:tcPr>
          <w:p>
            <w:pPr>
              <w:ind w:leftChars="0" w:left="0" w:right="0"/>
            </w:pPr>
            <w:r>
              <w:t>CREDITEX LLC</w:t>
            </w:r>
          </w:p>
        </w:tc>
      </w:tr>
      <w:tr>
        <w:trPr>
          <w:cnfStyle w:evenHBand="false" w:oddHBand="true" w:firstRow="false"/>
        </w:trPr>
        <w:tc>
          <w:tcPr>
            <w:cnfStyle w:evenVBand="false" w:oddVBand="true" w:firstColumn="false"/>
            <w:tcW w:w="33.333333%" w:type="pct"/>
          </w:tcPr>
          <w:p>
            <w:pPr>
              <w:ind w:leftChars="0" w:left="0" w:right="0"/>
            </w:pPr>
            <w:r>
              <w:t>IMCM</w:t>
            </w:r>
          </w:p>
        </w:tc>
        <w:tc>
          <w:tcPr>
            <w:cnfStyle w:evenVBand="true" w:oddVBand="false" w:firstColumn="false"/>
            <w:tcW w:w="33.333333%" w:type="pct"/>
          </w:tcPr>
          <w:p>
            <w:pPr>
              <w:ind w:leftChars="0" w:left="0" w:right="0"/>
            </w:pPr>
            <w:r>
              <w:t>IMCM</w:t>
            </w:r>
          </w:p>
        </w:tc>
        <w:tc>
          <w:tcPr>
            <w:cnfStyle w:evenVBand="false" w:oddVBand="true" w:firstColumn="false"/>
            <w:tcW w:w="33.333333%" w:type="pct"/>
          </w:tcPr>
          <w:p>
            <w:pPr>
              <w:ind w:leftChars="0" w:left="0" w:right="0"/>
            </w:pPr>
            <w:r>
              <w:t>ICAP MTF - COMMODITIES</w:t>
            </w:r>
          </w:p>
        </w:tc>
      </w:tr>
      <w:tr>
        <w:trPr>
          <w:cnfStyle w:evenHBand="true" w:oddHBand="false" w:firstRow="false"/>
        </w:trPr>
        <w:tc>
          <w:tcPr>
            <w:cnfStyle w:evenVBand="false" w:oddVBand="true" w:firstColumn="false"/>
            <w:tcW w:w="33.333333%" w:type="pct"/>
          </w:tcPr>
          <w:p>
            <w:pPr>
              <w:ind w:leftChars="0" w:left="0" w:right="0"/>
            </w:pPr>
            <w:r>
              <w:t>IMCO</w:t>
            </w:r>
          </w:p>
        </w:tc>
        <w:tc>
          <w:tcPr>
            <w:cnfStyle w:evenVBand="true" w:oddVBand="false" w:firstColumn="false"/>
            <w:tcW w:w="33.333333%" w:type="pct"/>
          </w:tcPr>
          <w:p>
            <w:pPr>
              <w:ind w:leftChars="0" w:left="0" w:right="0"/>
            </w:pPr>
            <w:r>
              <w:t>IMCO</w:t>
            </w:r>
          </w:p>
        </w:tc>
        <w:tc>
          <w:tcPr>
            <w:cnfStyle w:evenVBand="false" w:oddVBand="true" w:firstColumn="false"/>
            <w:tcW w:w="33.333333%" w:type="pct"/>
          </w:tcPr>
          <w:p>
            <w:pPr>
              <w:ind w:leftChars="0" w:left="0" w:right="0"/>
            </w:pPr>
            <w:r>
              <w:t>ICE ENDEX OTF FUTURES</w:t>
            </w:r>
          </w:p>
        </w:tc>
      </w:tr>
      <w:tr>
        <w:trPr>
          <w:cnfStyle w:evenHBand="false" w:oddHBand="true" w:firstRow="false"/>
        </w:trPr>
        <w:tc>
          <w:tcPr>
            <w:cnfStyle w:evenVBand="false" w:oddVBand="true" w:firstColumn="false"/>
            <w:tcW w:w="33.333333%" w:type="pct"/>
          </w:tcPr>
          <w:p>
            <w:pPr>
              <w:ind w:leftChars="0" w:left="0" w:right="0"/>
            </w:pPr>
            <w:r>
              <w:t>IMCR</w:t>
            </w:r>
          </w:p>
        </w:tc>
        <w:tc>
          <w:tcPr>
            <w:cnfStyle w:evenVBand="true" w:oddVBand="false" w:firstColumn="false"/>
            <w:tcW w:w="33.333333%" w:type="pct"/>
          </w:tcPr>
          <w:p>
            <w:pPr>
              <w:ind w:leftChars="0" w:left="0" w:right="0"/>
            </w:pPr>
            <w:r>
              <w:t>IMCR</w:t>
            </w:r>
          </w:p>
        </w:tc>
        <w:tc>
          <w:tcPr>
            <w:cnfStyle w:evenVBand="false" w:oddVBand="true" w:firstColumn="false"/>
            <w:tcW w:w="33.333333%" w:type="pct"/>
          </w:tcPr>
          <w:p>
            <w:pPr>
              <w:ind w:leftChars="0" w:left="0" w:right="0"/>
            </w:pPr>
            <w:r>
              <w:t>ICE MARKETS CREDIT</w:t>
            </w:r>
          </w:p>
        </w:tc>
      </w:tr>
      <w:tr>
        <w:trPr>
          <w:cnfStyle w:evenHBand="true" w:oddHBand="false" w:firstRow="false"/>
        </w:trPr>
        <w:tc>
          <w:tcPr>
            <w:cnfStyle w:evenVBand="false" w:oddVBand="true" w:firstColumn="false"/>
            <w:tcW w:w="33.333333%" w:type="pct"/>
          </w:tcPr>
          <w:p>
            <w:pPr>
              <w:ind w:leftChars="0" w:left="0" w:right="0"/>
            </w:pPr>
            <w:r>
              <w:t>IMCS</w:t>
            </w:r>
          </w:p>
        </w:tc>
        <w:tc>
          <w:tcPr>
            <w:cnfStyle w:evenVBand="true" w:oddVBand="false" w:firstColumn="false"/>
            <w:tcW w:w="33.333333%" w:type="pct"/>
          </w:tcPr>
          <w:p>
            <w:pPr>
              <w:ind w:leftChars="0" w:left="0" w:right="0"/>
            </w:pPr>
            <w:r>
              <w:t>IMCS</w:t>
            </w:r>
          </w:p>
        </w:tc>
        <w:tc>
          <w:tcPr>
            <w:cnfStyle w:evenVBand="false" w:oddVBand="true" w:firstColumn="false"/>
            <w:tcW w:w="33.333333%" w:type="pct"/>
          </w:tcPr>
          <w:p>
            <w:pPr>
              <w:ind w:leftChars="0" w:left="0" w:right="0"/>
            </w:pPr>
            <w:r>
              <w:t>IMC FINANCIAL MARKETS</w:t>
            </w:r>
          </w:p>
        </w:tc>
      </w:tr>
      <w:tr>
        <w:trPr>
          <w:cnfStyle w:evenHBand="false" w:oddHBand="true" w:firstRow="false"/>
        </w:trPr>
        <w:tc>
          <w:tcPr>
            <w:cnfStyle w:evenVBand="false" w:oddVBand="true" w:firstColumn="false"/>
            <w:tcW w:w="33.333333%" w:type="pct"/>
          </w:tcPr>
          <w:p>
            <w:pPr>
              <w:ind w:leftChars="0" w:left="0" w:right="0"/>
            </w:pPr>
            <w:r>
              <w:t>IMCT</w:t>
            </w:r>
          </w:p>
        </w:tc>
        <w:tc>
          <w:tcPr>
            <w:cnfStyle w:evenVBand="true" w:oddVBand="false" w:firstColumn="false"/>
            <w:tcW w:w="33.333333%" w:type="pct"/>
          </w:tcPr>
          <w:p>
            <w:pPr>
              <w:ind w:leftChars="0" w:left="0" w:right="0"/>
            </w:pPr>
            <w:r>
              <w:t>IMCT</w:t>
            </w:r>
          </w:p>
        </w:tc>
        <w:tc>
          <w:tcPr>
            <w:cnfStyle w:evenVBand="false" w:oddVBand="true" w:firstColumn="false"/>
            <w:tcW w:w="33.333333%" w:type="pct"/>
          </w:tcPr>
          <w:p>
            <w:pPr>
              <w:ind w:leftChars="0" w:left="0" w:right="0"/>
            </w:pPr>
            <w:r>
              <w:t>IMC - SYSTEMATIC INTERNALISER</w:t>
            </w:r>
          </w:p>
        </w:tc>
      </w:tr>
      <w:tr>
        <w:trPr>
          <w:cnfStyle w:evenHBand="true" w:oddHBand="false" w:firstRow="false"/>
        </w:trPr>
        <w:tc>
          <w:tcPr>
            <w:cnfStyle w:evenVBand="false" w:oddVBand="true" w:firstColumn="false"/>
            <w:tcW w:w="33.333333%" w:type="pct"/>
          </w:tcPr>
          <w:p>
            <w:pPr>
              <w:ind w:leftChars="0" w:left="0" w:right="0"/>
            </w:pPr>
            <w:r>
              <w:t>IMED</w:t>
            </w:r>
          </w:p>
        </w:tc>
        <w:tc>
          <w:tcPr>
            <w:cnfStyle w:evenVBand="true" w:oddVBand="false" w:firstColumn="false"/>
            <w:tcW w:w="33.333333%" w:type="pct"/>
          </w:tcPr>
          <w:p>
            <w:pPr>
              <w:ind w:leftChars="0" w:left="0" w:right="0"/>
            </w:pPr>
            <w:r>
              <w:t>IMED</w:t>
            </w:r>
          </w:p>
        </w:tc>
        <w:tc>
          <w:tcPr>
            <w:cnfStyle w:evenVBand="false" w:oddVBand="true" w:firstColumn="false"/>
            <w:tcW w:w="33.333333%" w:type="pct"/>
          </w:tcPr>
          <w:p>
            <w:pPr>
              <w:ind w:leftChars="0" w:left="0" w:right="0"/>
            </w:pPr>
            <w:r>
              <w:t>TP ICAP UK MTF - EQUITY DERIVATIVES</w:t>
            </w:r>
          </w:p>
        </w:tc>
      </w:tr>
      <w:tr>
        <w:trPr>
          <w:cnfStyle w:evenHBand="false" w:oddHBand="true" w:firstRow="false"/>
        </w:trPr>
        <w:tc>
          <w:tcPr>
            <w:cnfStyle w:evenVBand="false" w:oddVBand="true" w:firstColumn="false"/>
            <w:tcW w:w="33.333333%" w:type="pct"/>
          </w:tcPr>
          <w:p>
            <w:pPr>
              <w:ind w:leftChars="0" w:left="0" w:right="0"/>
            </w:pPr>
            <w:r>
              <w:t>IMEN</w:t>
            </w:r>
          </w:p>
        </w:tc>
        <w:tc>
          <w:tcPr>
            <w:cnfStyle w:evenVBand="true" w:oddVBand="false" w:firstColumn="false"/>
            <w:tcW w:w="33.333333%" w:type="pct"/>
          </w:tcPr>
          <w:p>
            <w:pPr>
              <w:ind w:leftChars="0" w:left="0" w:right="0"/>
            </w:pPr>
            <w:r>
              <w:t>IMEN</w:t>
            </w:r>
          </w:p>
        </w:tc>
        <w:tc>
          <w:tcPr>
            <w:cnfStyle w:evenVBand="false" w:oddVBand="true" w:firstColumn="false"/>
            <w:tcW w:w="33.333333%" w:type="pct"/>
          </w:tcPr>
          <w:p>
            <w:pPr>
              <w:ind w:leftChars="0" w:left="0" w:right="0"/>
            </w:pPr>
            <w:r>
              <w:t>ICE MARKETS ENERGY</w:t>
            </w:r>
          </w:p>
        </w:tc>
      </w:tr>
      <w:tr>
        <w:trPr>
          <w:cnfStyle w:evenHBand="true" w:oddHBand="false" w:firstRow="false"/>
        </w:trPr>
        <w:tc>
          <w:tcPr>
            <w:cnfStyle w:evenVBand="false" w:oddVBand="true" w:firstColumn="false"/>
            <w:tcW w:w="33.333333%" w:type="pct"/>
          </w:tcPr>
          <w:p>
            <w:pPr>
              <w:ind w:leftChars="0" w:left="0" w:right="0"/>
            </w:pPr>
            <w:r>
              <w:t>IMEQ</w:t>
            </w:r>
          </w:p>
        </w:tc>
        <w:tc>
          <w:tcPr>
            <w:cnfStyle w:evenVBand="true" w:oddVBand="false" w:firstColumn="false"/>
            <w:tcW w:w="33.333333%" w:type="pct"/>
          </w:tcPr>
          <w:p>
            <w:pPr>
              <w:ind w:leftChars="0" w:left="0" w:right="0"/>
            </w:pPr>
            <w:r>
              <w:t>IMEQ</w:t>
            </w:r>
          </w:p>
        </w:tc>
        <w:tc>
          <w:tcPr>
            <w:cnfStyle w:evenVBand="false" w:oddVBand="true" w:firstColumn="false"/>
            <w:tcW w:w="33.333333%" w:type="pct"/>
          </w:tcPr>
          <w:p>
            <w:pPr>
              <w:ind w:leftChars="0" w:left="0" w:right="0"/>
            </w:pPr>
            <w:r>
              <w:t>ICE MARKETS EQUITY</w:t>
            </w:r>
          </w:p>
        </w:tc>
      </w:tr>
      <w:tr>
        <w:trPr>
          <w:cnfStyle w:evenHBand="false" w:oddHBand="true" w:firstRow="false"/>
        </w:trPr>
        <w:tc>
          <w:tcPr>
            <w:cnfStyle w:evenVBand="false" w:oddVBand="true" w:firstColumn="false"/>
            <w:tcW w:w="33.333333%" w:type="pct"/>
          </w:tcPr>
          <w:p>
            <w:pPr>
              <w:ind w:leftChars="0" w:left="0" w:right="0"/>
            </w:pPr>
            <w:r>
              <w:t>IMET</w:t>
            </w:r>
          </w:p>
        </w:tc>
        <w:tc>
          <w:tcPr>
            <w:cnfStyle w:evenVBand="true" w:oddVBand="false" w:firstColumn="false"/>
            <w:tcW w:w="33.333333%" w:type="pct"/>
          </w:tcPr>
          <w:p>
            <w:pPr>
              <w:ind w:leftChars="0" w:left="0" w:right="0"/>
            </w:pPr>
            <w:r>
              <w:t>IMET</w:t>
            </w:r>
          </w:p>
        </w:tc>
        <w:tc>
          <w:tcPr>
            <w:cnfStyle w:evenVBand="false" w:oddVBand="true" w:firstColumn="false"/>
            <w:tcW w:w="33.333333%" w:type="pct"/>
          </w:tcPr>
          <w:p>
            <w:pPr>
              <w:ind w:leftChars="0" w:left="0" w:right="0"/>
            </w:pPr>
            <w:r>
              <w:t>TP ICAP UK MTF - EXCHANGE TRADED PRODUCTS</w:t>
            </w:r>
          </w:p>
        </w:tc>
      </w:tr>
      <w:tr>
        <w:trPr>
          <w:cnfStyle w:evenHBand="true" w:oddHBand="false" w:firstRow="false"/>
        </w:trPr>
        <w:tc>
          <w:tcPr>
            <w:cnfStyle w:evenVBand="false" w:oddVBand="true" w:firstColumn="false"/>
            <w:tcW w:w="33.333333%" w:type="pct"/>
          </w:tcPr>
          <w:p>
            <w:pPr>
              <w:ind w:leftChars="0" w:left="0" w:right="0"/>
            </w:pPr>
            <w:r>
              <w:t>IMEX</w:t>
            </w:r>
          </w:p>
        </w:tc>
        <w:tc>
          <w:tcPr>
            <w:cnfStyle w:evenVBand="true" w:oddVBand="false" w:firstColumn="false"/>
            <w:tcW w:w="33.333333%" w:type="pct"/>
          </w:tcPr>
          <w:p>
            <w:pPr>
              <w:ind w:leftChars="0" w:left="0" w:right="0"/>
            </w:pPr>
            <w:r>
              <w:t>IMEX</w:t>
            </w:r>
          </w:p>
        </w:tc>
        <w:tc>
          <w:tcPr>
            <w:cnfStyle w:evenVBand="false" w:oddVBand="true" w:firstColumn="false"/>
            <w:tcW w:w="33.333333%" w:type="pct"/>
          </w:tcPr>
          <w:p>
            <w:pPr>
              <w:ind w:leftChars="0" w:left="0" w:right="0"/>
            </w:pPr>
            <w:r>
              <w:t>IRAN MERCANTILE EXCHANGE</w:t>
            </w:r>
          </w:p>
        </w:tc>
      </w:tr>
      <w:tr>
        <w:trPr>
          <w:cnfStyle w:evenHBand="false" w:oddHBand="true" w:firstRow="false"/>
        </w:trPr>
        <w:tc>
          <w:tcPr>
            <w:cnfStyle w:evenVBand="false" w:oddVBand="true" w:firstColumn="false"/>
            <w:tcW w:w="33.333333%" w:type="pct"/>
          </w:tcPr>
          <w:p>
            <w:pPr>
              <w:ind w:leftChars="0" w:left="0" w:right="0"/>
            </w:pPr>
            <w:r>
              <w:t>IMFD</w:t>
            </w:r>
          </w:p>
        </w:tc>
        <w:tc>
          <w:tcPr>
            <w:cnfStyle w:evenVBand="true" w:oddVBand="false" w:firstColumn="false"/>
            <w:tcW w:w="33.333333%" w:type="pct"/>
          </w:tcPr>
          <w:p>
            <w:pPr>
              <w:ind w:leftChars="0" w:left="0" w:right="0"/>
            </w:pPr>
            <w:r>
              <w:t>IMFD</w:t>
            </w:r>
          </w:p>
        </w:tc>
        <w:tc>
          <w:tcPr>
            <w:cnfStyle w:evenVBand="false" w:oddVBand="true" w:firstColumn="false"/>
            <w:tcW w:w="33.333333%" w:type="pct"/>
          </w:tcPr>
          <w:p>
            <w:pPr>
              <w:ind w:leftChars="0" w:left="0" w:right="0"/>
            </w:pPr>
            <w:r>
              <w:t>TP ICAP UK MTF - FX DERIVATIVES</w:t>
            </w:r>
          </w:p>
        </w:tc>
      </w:tr>
      <w:tr>
        <w:trPr>
          <w:cnfStyle w:evenHBand="true" w:oddHBand="false" w:firstRow="false"/>
        </w:trPr>
        <w:tc>
          <w:tcPr>
            <w:cnfStyle w:evenVBand="false" w:oddVBand="true" w:firstColumn="false"/>
            <w:tcW w:w="33.333333%" w:type="pct"/>
          </w:tcPr>
          <w:p>
            <w:pPr>
              <w:ind w:leftChars="0" w:left="0" w:right="0"/>
            </w:pPr>
            <w:r>
              <w:t>IMFX</w:t>
            </w:r>
          </w:p>
        </w:tc>
        <w:tc>
          <w:tcPr>
            <w:cnfStyle w:evenVBand="true" w:oddVBand="false" w:firstColumn="false"/>
            <w:tcW w:w="33.333333%" w:type="pct"/>
          </w:tcPr>
          <w:p>
            <w:pPr>
              <w:ind w:leftChars="0" w:left="0" w:right="0"/>
            </w:pPr>
            <w:r>
              <w:t>IMFX</w:t>
            </w:r>
          </w:p>
        </w:tc>
        <w:tc>
          <w:tcPr>
            <w:cnfStyle w:evenVBand="false" w:oddVBand="true" w:firstColumn="false"/>
            <w:tcW w:w="33.333333%" w:type="pct"/>
          </w:tcPr>
          <w:p>
            <w:pPr>
              <w:ind w:leftChars="0" w:left="0" w:right="0"/>
            </w:pPr>
            <w:r>
              <w:t>ICE MARKETS FOREIGN EXCHANGE</w:t>
            </w:r>
          </w:p>
        </w:tc>
      </w:tr>
      <w:tr>
        <w:trPr>
          <w:cnfStyle w:evenHBand="false" w:oddHBand="true" w:firstRow="false"/>
        </w:trPr>
        <w:tc>
          <w:tcPr>
            <w:cnfStyle w:evenVBand="false" w:oddVBand="true" w:firstColumn="false"/>
            <w:tcW w:w="33.333333%" w:type="pct"/>
          </w:tcPr>
          <w:p>
            <w:pPr>
              <w:ind w:leftChars="0" w:left="0" w:right="0"/>
            </w:pPr>
            <w:r>
              <w:t>IMGB</w:t>
            </w:r>
          </w:p>
        </w:tc>
        <w:tc>
          <w:tcPr>
            <w:cnfStyle w:evenVBand="true" w:oddVBand="false" w:firstColumn="false"/>
            <w:tcW w:w="33.333333%" w:type="pct"/>
          </w:tcPr>
          <w:p>
            <w:pPr>
              <w:ind w:leftChars="0" w:left="0" w:right="0"/>
            </w:pPr>
            <w:r>
              <w:t>IMGB</w:t>
            </w:r>
          </w:p>
        </w:tc>
        <w:tc>
          <w:tcPr>
            <w:cnfStyle w:evenVBand="false" w:oddVBand="true" w:firstColumn="false"/>
            <w:tcW w:w="33.333333%" w:type="pct"/>
          </w:tcPr>
          <w:p>
            <w:pPr>
              <w:ind w:leftChars="0" w:left="0" w:right="0"/>
            </w:pPr>
            <w:r>
              <w:t>TP ICAP UK MTF - GOVERNMENT BONDS EXCLUDING GILTS</w:t>
            </w:r>
          </w:p>
        </w:tc>
      </w:tr>
      <w:tr>
        <w:trPr>
          <w:cnfStyle w:evenHBand="true" w:oddHBand="false" w:firstRow="false"/>
        </w:trPr>
        <w:tc>
          <w:tcPr>
            <w:cnfStyle w:evenVBand="false" w:oddVBand="true" w:firstColumn="false"/>
            <w:tcW w:w="33.333333%" w:type="pct"/>
          </w:tcPr>
          <w:p>
            <w:pPr>
              <w:ind w:leftChars="0" w:left="0" w:right="0"/>
            </w:pPr>
            <w:r>
              <w:t>IMGI</w:t>
            </w:r>
          </w:p>
        </w:tc>
        <w:tc>
          <w:tcPr>
            <w:cnfStyle w:evenVBand="true" w:oddVBand="false" w:firstColumn="false"/>
            <w:tcW w:w="33.333333%" w:type="pct"/>
          </w:tcPr>
          <w:p>
            <w:pPr>
              <w:ind w:leftChars="0" w:left="0" w:right="0"/>
            </w:pPr>
            <w:r>
              <w:t>IMGI</w:t>
            </w:r>
          </w:p>
        </w:tc>
        <w:tc>
          <w:tcPr>
            <w:cnfStyle w:evenVBand="false" w:oddVBand="true" w:firstColumn="false"/>
            <w:tcW w:w="33.333333%" w:type="pct"/>
          </w:tcPr>
          <w:p>
            <w:pPr>
              <w:ind w:leftChars="0" w:left="0" w:right="0"/>
            </w:pPr>
            <w:r>
              <w:t>TP ICAP UK MTF - GILTS</w:t>
            </w:r>
          </w:p>
        </w:tc>
      </w:tr>
      <w:tr>
        <w:trPr>
          <w:cnfStyle w:evenHBand="false" w:oddHBand="true" w:firstRow="false"/>
        </w:trPr>
        <w:tc>
          <w:tcPr>
            <w:cnfStyle w:evenVBand="false" w:oddVBand="true" w:firstColumn="false"/>
            <w:tcW w:w="33.333333%" w:type="pct"/>
          </w:tcPr>
          <w:p>
            <w:pPr>
              <w:ind w:leftChars="0" w:left="0" w:right="0"/>
            </w:pPr>
            <w:r>
              <w:t>IMIR</w:t>
            </w:r>
          </w:p>
        </w:tc>
        <w:tc>
          <w:tcPr>
            <w:cnfStyle w:evenVBand="true" w:oddVBand="false" w:firstColumn="false"/>
            <w:tcW w:w="33.333333%" w:type="pct"/>
          </w:tcPr>
          <w:p>
            <w:pPr>
              <w:ind w:leftChars="0" w:left="0" w:right="0"/>
            </w:pPr>
            <w:r>
              <w:t>IMIR</w:t>
            </w:r>
          </w:p>
        </w:tc>
        <w:tc>
          <w:tcPr>
            <w:cnfStyle w:evenVBand="false" w:oddVBand="true" w:firstColumn="false"/>
            <w:tcW w:w="33.333333%" w:type="pct"/>
          </w:tcPr>
          <w:p>
            <w:pPr>
              <w:ind w:leftChars="0" w:left="0" w:right="0"/>
            </w:pPr>
            <w:r>
              <w:t>ICE MARKETS RATES</w:t>
            </w:r>
          </w:p>
        </w:tc>
      </w:tr>
      <w:tr>
        <w:trPr>
          <w:cnfStyle w:evenHBand="true" w:oddHBand="false" w:firstRow="false"/>
        </w:trPr>
        <w:tc>
          <w:tcPr>
            <w:cnfStyle w:evenVBand="false" w:oddVBand="true" w:firstColumn="false"/>
            <w:tcW w:w="33.333333%" w:type="pct"/>
          </w:tcPr>
          <w:p>
            <w:pPr>
              <w:ind w:leftChars="0" w:left="0" w:right="0"/>
            </w:pPr>
            <w:r>
              <w:t>IMMH</w:t>
            </w:r>
          </w:p>
        </w:tc>
        <w:tc>
          <w:tcPr>
            <w:cnfStyle w:evenVBand="true" w:oddVBand="false" w:firstColumn="false"/>
            <w:tcW w:w="33.333333%" w:type="pct"/>
          </w:tcPr>
          <w:p>
            <w:pPr>
              <w:ind w:leftChars="0" w:left="0" w:right="0"/>
            </w:pPr>
            <w:r>
              <w:t>IMMH</w:t>
            </w:r>
          </w:p>
        </w:tc>
        <w:tc>
          <w:tcPr>
            <w:cnfStyle w:evenVBand="false" w:oddVBand="true" w:firstColumn="false"/>
            <w:tcW w:w="33.333333%" w:type="pct"/>
          </w:tcPr>
          <w:p>
            <w:pPr>
              <w:ind w:leftChars="0" w:left="0" w:right="0"/>
            </w:pPr>
            <w:r>
              <w:t>IMMH - INTESA SANPAOLO - SYSTEMATIC INTERNALISER</w:t>
            </w:r>
          </w:p>
        </w:tc>
      </w:tr>
      <w:tr>
        <w:trPr>
          <w:cnfStyle w:evenHBand="false" w:oddHBand="true" w:firstRow="false"/>
        </w:trPr>
        <w:tc>
          <w:tcPr>
            <w:cnfStyle w:evenVBand="false" w:oddVBand="true" w:firstColumn="false"/>
            <w:tcW w:w="33.333333%" w:type="pct"/>
          </w:tcPr>
          <w:p>
            <w:pPr>
              <w:ind w:leftChars="0" w:left="0" w:right="0"/>
            </w:pPr>
            <w:r>
              <w:t>IMMM</w:t>
            </w:r>
          </w:p>
        </w:tc>
        <w:tc>
          <w:tcPr>
            <w:cnfStyle w:evenVBand="true" w:oddVBand="false" w:firstColumn="false"/>
            <w:tcW w:w="33.333333%" w:type="pct"/>
          </w:tcPr>
          <w:p>
            <w:pPr>
              <w:ind w:leftChars="0" w:left="0" w:right="0"/>
            </w:pPr>
            <w:r>
              <w:t>IMMM</w:t>
            </w:r>
          </w:p>
        </w:tc>
        <w:tc>
          <w:tcPr>
            <w:cnfStyle w:evenVBand="false" w:oddVBand="true" w:firstColumn="false"/>
            <w:tcW w:w="33.333333%" w:type="pct"/>
          </w:tcPr>
          <w:p>
            <w:pPr>
              <w:ind w:leftChars="0" w:left="0" w:right="0"/>
            </w:pPr>
            <w:r>
              <w:t>TP ICAP UK MTF - MONEY MARKET INSTRUMENTS</w:t>
            </w:r>
          </w:p>
        </w:tc>
      </w:tr>
      <w:tr>
        <w:trPr>
          <w:cnfStyle w:evenHBand="true" w:oddHBand="false" w:firstRow="false"/>
        </w:trPr>
        <w:tc>
          <w:tcPr>
            <w:cnfStyle w:evenVBand="false" w:oddVBand="true" w:firstColumn="false"/>
            <w:tcW w:w="33.333333%" w:type="pct"/>
          </w:tcPr>
          <w:p>
            <w:pPr>
              <w:ind w:leftChars="0" w:left="0" w:right="0"/>
            </w:pPr>
            <w:r>
              <w:t>IMRD</w:t>
            </w:r>
          </w:p>
        </w:tc>
        <w:tc>
          <w:tcPr>
            <w:cnfStyle w:evenVBand="true" w:oddVBand="false" w:firstColumn="false"/>
            <w:tcW w:w="33.333333%" w:type="pct"/>
          </w:tcPr>
          <w:p>
            <w:pPr>
              <w:ind w:leftChars="0" w:left="0" w:right="0"/>
            </w:pPr>
            <w:r>
              <w:t>IMRD</w:t>
            </w:r>
          </w:p>
        </w:tc>
        <w:tc>
          <w:tcPr>
            <w:cnfStyle w:evenVBand="false" w:oddVBand="true" w:firstColumn="false"/>
            <w:tcW w:w="33.333333%" w:type="pct"/>
          </w:tcPr>
          <w:p>
            <w:pPr>
              <w:ind w:leftChars="0" w:left="0" w:right="0"/>
            </w:pPr>
            <w:r>
              <w:t>TP ICAP UK MTF - INTEREST RATE DERIVATIVES</w:t>
            </w:r>
          </w:p>
        </w:tc>
      </w:tr>
      <w:tr>
        <w:trPr>
          <w:cnfStyle w:evenHBand="false" w:oddHBand="true" w:firstRow="false"/>
        </w:trPr>
        <w:tc>
          <w:tcPr>
            <w:cnfStyle w:evenVBand="false" w:oddVBand="true" w:firstColumn="false"/>
            <w:tcW w:w="33.333333%" w:type="pct"/>
          </w:tcPr>
          <w:p>
            <w:pPr>
              <w:ind w:leftChars="0" w:left="0" w:right="0"/>
            </w:pPr>
            <w:r>
              <w:t>IMSB</w:t>
            </w:r>
          </w:p>
        </w:tc>
        <w:tc>
          <w:tcPr>
            <w:cnfStyle w:evenVBand="true" w:oddVBand="false" w:firstColumn="false"/>
            <w:tcW w:w="33.333333%" w:type="pct"/>
          </w:tcPr>
          <w:p>
            <w:pPr>
              <w:ind w:leftChars="0" w:left="0" w:right="0"/>
            </w:pPr>
            <w:r>
              <w:t>IMSB</w:t>
            </w:r>
          </w:p>
        </w:tc>
        <w:tc>
          <w:tcPr>
            <w:cnfStyle w:evenVBand="false" w:oddVBand="true" w:firstColumn="false"/>
            <w:tcW w:w="33.333333%" w:type="pct"/>
          </w:tcPr>
          <w:p>
            <w:pPr>
              <w:ind w:leftChars="0" w:left="0" w:right="0"/>
            </w:pPr>
            <w:r>
              <w:t>TP ICAP UK MTF - CORPORATE BONDS AND SECURITIES DEBT</w:t>
            </w:r>
          </w:p>
        </w:tc>
      </w:tr>
      <w:tr>
        <w:trPr>
          <w:cnfStyle w:evenHBand="true" w:oddHBand="false" w:firstRow="false"/>
        </w:trPr>
        <w:tc>
          <w:tcPr>
            <w:cnfStyle w:evenVBand="false" w:oddVBand="true" w:firstColumn="false"/>
            <w:tcW w:w="33.333333%" w:type="pct"/>
          </w:tcPr>
          <w:p>
            <w:pPr>
              <w:ind w:leftChars="0" w:left="0" w:right="0"/>
            </w:pPr>
            <w:r>
              <w:t>IMTF</w:t>
            </w:r>
          </w:p>
        </w:tc>
        <w:tc>
          <w:tcPr>
            <w:cnfStyle w:evenVBand="true" w:oddVBand="false" w:firstColumn="false"/>
            <w:tcW w:w="33.333333%" w:type="pct"/>
          </w:tcPr>
          <w:p>
            <w:pPr>
              <w:ind w:leftChars="0" w:left="0" w:right="0"/>
            </w:pPr>
            <w:r>
              <w:t>IMTF</w:t>
            </w:r>
          </w:p>
        </w:tc>
        <w:tc>
          <w:tcPr>
            <w:cnfStyle w:evenVBand="false" w:oddVBand="true" w:firstColumn="false"/>
            <w:tcW w:w="33.333333%" w:type="pct"/>
          </w:tcPr>
          <w:p>
            <w:pPr>
              <w:ind w:leftChars="0" w:left="0" w:right="0"/>
            </w:pPr>
            <w:r>
              <w:t>INTEGRAL MTF</w:t>
            </w:r>
          </w:p>
        </w:tc>
      </w:tr>
      <w:tr>
        <w:trPr>
          <w:cnfStyle w:evenHBand="false" w:oddHBand="true" w:firstRow="false"/>
        </w:trPr>
        <w:tc>
          <w:tcPr>
            <w:cnfStyle w:evenVBand="false" w:oddVBand="true" w:firstColumn="false"/>
            <w:tcW w:w="33.333333%" w:type="pct"/>
          </w:tcPr>
          <w:p>
            <w:pPr>
              <w:ind w:leftChars="0" w:left="0" w:right="0"/>
            </w:pPr>
            <w:r>
              <w:t>IMTS</w:t>
            </w:r>
          </w:p>
        </w:tc>
        <w:tc>
          <w:tcPr>
            <w:cnfStyle w:evenVBand="true" w:oddVBand="false" w:firstColumn="false"/>
            <w:tcW w:w="33.333333%" w:type="pct"/>
          </w:tcPr>
          <w:p>
            <w:pPr>
              <w:ind w:leftChars="0" w:left="0" w:right="0"/>
            </w:pPr>
            <w:r>
              <w:t>IMTS</w:t>
            </w:r>
          </w:p>
        </w:tc>
        <w:tc>
          <w:tcPr>
            <w:cnfStyle w:evenVBand="false" w:oddVBand="true" w:firstColumn="false"/>
            <w:tcW w:w="33.333333%" w:type="pct"/>
          </w:tcPr>
          <w:p>
            <w:pPr>
              <w:ind w:leftChars="0" w:left="0" w:right="0"/>
            </w:pPr>
            <w:r>
              <w:t>MTS IRELAND</w:t>
            </w:r>
          </w:p>
        </w:tc>
      </w:tr>
      <w:tr>
        <w:trPr>
          <w:cnfStyle w:evenHBand="true" w:oddHBand="false" w:firstRow="false"/>
        </w:trPr>
        <w:tc>
          <w:tcPr>
            <w:cnfStyle w:evenVBand="false" w:oddVBand="true" w:firstColumn="false"/>
            <w:tcW w:w="33.333333%" w:type="pct"/>
          </w:tcPr>
          <w:p>
            <w:pPr>
              <w:ind w:leftChars="0" w:left="0" w:right="0"/>
            </w:pPr>
            <w:r>
              <w:t>INCA</w:t>
            </w:r>
          </w:p>
        </w:tc>
        <w:tc>
          <w:tcPr>
            <w:cnfStyle w:evenVBand="true" w:oddVBand="false" w:firstColumn="false"/>
            <w:tcW w:w="33.333333%" w:type="pct"/>
          </w:tcPr>
          <w:p>
            <w:pPr>
              <w:ind w:leftChars="0" w:left="0" w:right="0"/>
            </w:pPr>
            <w:r>
              <w:t>INCA</w:t>
            </w:r>
          </w:p>
        </w:tc>
        <w:tc>
          <w:tcPr>
            <w:cnfStyle w:evenVBand="false" w:oddVBand="true" w:firstColumn="false"/>
            <w:tcW w:w="33.333333%" w:type="pct"/>
          </w:tcPr>
          <w:p>
            <w:pPr>
              <w:ind w:leftChars="0" w:left="0" w:right="0"/>
            </w:pPr>
            <w:r>
              <w:t>INSTINET DESK CROSS</w:t>
            </w:r>
          </w:p>
        </w:tc>
      </w:tr>
      <w:tr>
        <w:trPr>
          <w:cnfStyle w:evenHBand="false" w:oddHBand="true" w:firstRow="false"/>
        </w:trPr>
        <w:tc>
          <w:tcPr>
            <w:cnfStyle w:evenVBand="false" w:oddVBand="true" w:firstColumn="false"/>
            <w:tcW w:w="33.333333%" w:type="pct"/>
          </w:tcPr>
          <w:p>
            <w:pPr>
              <w:ind w:leftChars="0" w:left="0" w:right="0"/>
            </w:pPr>
            <w:r>
              <w:t>INCR</w:t>
            </w:r>
          </w:p>
        </w:tc>
        <w:tc>
          <w:tcPr>
            <w:cnfStyle w:evenVBand="true" w:oddVBand="false" w:firstColumn="false"/>
            <w:tcW w:w="33.333333%" w:type="pct"/>
          </w:tcPr>
          <w:p>
            <w:pPr>
              <w:ind w:leftChars="0" w:left="0" w:right="0"/>
            </w:pPr>
            <w:r>
              <w:t>INCR</w:t>
            </w:r>
          </w:p>
        </w:tc>
        <w:tc>
          <w:tcPr>
            <w:cnfStyle w:evenVBand="false" w:oddVBand="true" w:firstColumn="false"/>
            <w:tcW w:w="33.333333%" w:type="pct"/>
          </w:tcPr>
          <w:p>
            <w:pPr>
              <w:ind w:leftChars="0" w:left="0" w:right="0"/>
            </w:pPr>
            <w:r>
              <w:t>INTELLIGENTCROSS</w:t>
            </w:r>
          </w:p>
        </w:tc>
      </w:tr>
      <w:tr>
        <w:trPr>
          <w:cnfStyle w:evenHBand="true" w:oddHBand="false" w:firstRow="false"/>
        </w:trPr>
        <w:tc>
          <w:tcPr>
            <w:cnfStyle w:evenVBand="false" w:oddVBand="true" w:firstColumn="false"/>
            <w:tcW w:w="33.333333%" w:type="pct"/>
          </w:tcPr>
          <w:p>
            <w:pPr>
              <w:ind w:leftChars="0" w:left="0" w:right="0"/>
            </w:pPr>
            <w:r>
              <w:t>INGB</w:t>
            </w:r>
          </w:p>
        </w:tc>
        <w:tc>
          <w:tcPr>
            <w:cnfStyle w:evenVBand="true" w:oddVBand="false" w:firstColumn="false"/>
            <w:tcW w:w="33.333333%" w:type="pct"/>
          </w:tcPr>
          <w:p>
            <w:pPr>
              <w:ind w:leftChars="0" w:left="0" w:right="0"/>
            </w:pPr>
            <w:r>
              <w:t>INGB</w:t>
            </w:r>
          </w:p>
        </w:tc>
        <w:tc>
          <w:tcPr>
            <w:cnfStyle w:evenVBand="false" w:oddVBand="true" w:firstColumn="false"/>
            <w:tcW w:w="33.333333%" w:type="pct"/>
          </w:tcPr>
          <w:p>
            <w:pPr>
              <w:ind w:leftChars="0" w:left="0" w:right="0"/>
            </w:pPr>
            <w:r>
              <w:t>ING BANK NV - SYSTEMATIC INTERNALISER</w:t>
            </w:r>
          </w:p>
        </w:tc>
      </w:tr>
      <w:tr>
        <w:trPr>
          <w:cnfStyle w:evenHBand="false" w:oddHBand="true" w:firstRow="false"/>
        </w:trPr>
        <w:tc>
          <w:tcPr>
            <w:cnfStyle w:evenVBand="false" w:oddVBand="true" w:firstColumn="false"/>
            <w:tcW w:w="33.333333%" w:type="pct"/>
          </w:tcPr>
          <w:p>
            <w:pPr>
              <w:ind w:leftChars="0" w:left="0" w:right="0"/>
            </w:pPr>
            <w:r>
              <w:t>INGE</w:t>
            </w:r>
          </w:p>
        </w:tc>
        <w:tc>
          <w:tcPr>
            <w:cnfStyle w:evenVBand="true" w:oddVBand="false" w:firstColumn="false"/>
            <w:tcW w:w="33.333333%" w:type="pct"/>
          </w:tcPr>
          <w:p>
            <w:pPr>
              <w:ind w:leftChars="0" w:left="0" w:right="0"/>
            </w:pPr>
            <w:r>
              <w:t>INGE</w:t>
            </w:r>
          </w:p>
        </w:tc>
        <w:tc>
          <w:tcPr>
            <w:cnfStyle w:evenVBand="false" w:oddVBand="true" w:firstColumn="false"/>
            <w:tcW w:w="33.333333%" w:type="pct"/>
          </w:tcPr>
          <w:p>
            <w:pPr>
              <w:ind w:leftChars="0" w:left="0" w:right="0"/>
            </w:pPr>
            <w:r>
              <w:t>ING BANK NV - SPRINTERS AND EQUITY - SYSTEMATIC INTERNALISER</w:t>
            </w:r>
          </w:p>
        </w:tc>
      </w:tr>
      <w:tr>
        <w:trPr>
          <w:cnfStyle w:evenHBand="true" w:oddHBand="false" w:firstRow="false"/>
        </w:trPr>
        <w:tc>
          <w:tcPr>
            <w:cnfStyle w:evenVBand="false" w:oddVBand="true" w:firstColumn="false"/>
            <w:tcW w:w="33.333333%" w:type="pct"/>
          </w:tcPr>
          <w:p>
            <w:pPr>
              <w:ind w:leftChars="0" w:left="0" w:right="0"/>
            </w:pPr>
            <w:r>
              <w:t>INGF</w:t>
            </w:r>
          </w:p>
        </w:tc>
        <w:tc>
          <w:tcPr>
            <w:cnfStyle w:evenVBand="true" w:oddVBand="false" w:firstColumn="false"/>
            <w:tcW w:w="33.333333%" w:type="pct"/>
          </w:tcPr>
          <w:p>
            <w:pPr>
              <w:ind w:leftChars="0" w:left="0" w:right="0"/>
            </w:pPr>
            <w:r>
              <w:t>INGF</w:t>
            </w:r>
          </w:p>
        </w:tc>
        <w:tc>
          <w:tcPr>
            <w:cnfStyle w:evenVBand="false" w:oddVBand="true" w:firstColumn="false"/>
            <w:tcW w:w="33.333333%" w:type="pct"/>
          </w:tcPr>
          <w:p>
            <w:pPr>
              <w:ind w:leftChars="0" w:left="0" w:right="0"/>
            </w:pPr>
            <w:r>
              <w:t>ING BANK NV - FOREIGN EXCHANGE - SYSTEMATIC INTERNALISER</w:t>
            </w:r>
          </w:p>
        </w:tc>
      </w:tr>
      <w:tr>
        <w:trPr>
          <w:cnfStyle w:evenHBand="false" w:oddHBand="true" w:firstRow="false"/>
        </w:trPr>
        <w:tc>
          <w:tcPr>
            <w:cnfStyle w:evenVBand="false" w:oddVBand="true" w:firstColumn="false"/>
            <w:tcW w:w="33.333333%" w:type="pct"/>
          </w:tcPr>
          <w:p>
            <w:pPr>
              <w:ind w:leftChars="0" w:left="0" w:right="0"/>
            </w:pPr>
            <w:r>
              <w:t>INGU</w:t>
            </w:r>
          </w:p>
        </w:tc>
        <w:tc>
          <w:tcPr>
            <w:cnfStyle w:evenVBand="true" w:oddVBand="false" w:firstColumn="false"/>
            <w:tcW w:w="33.333333%" w:type="pct"/>
          </w:tcPr>
          <w:p>
            <w:pPr>
              <w:ind w:leftChars="0" w:left="0" w:right="0"/>
            </w:pPr>
            <w:r>
              <w:t>INGU</w:t>
            </w:r>
          </w:p>
        </w:tc>
        <w:tc>
          <w:tcPr>
            <w:cnfStyle w:evenVBand="false" w:oddVBand="true" w:firstColumn="false"/>
            <w:tcW w:w="33.333333%" w:type="pct"/>
          </w:tcPr>
          <w:p>
            <w:pPr>
              <w:ind w:leftChars="0" w:left="0" w:right="0"/>
            </w:pPr>
            <w:r>
              <w:t>ING BANK NV - SYSTEMATIC INTERNALISER - LONDON BRANCH</w:t>
            </w:r>
          </w:p>
        </w:tc>
      </w:tr>
      <w:tr>
        <w:trPr>
          <w:cnfStyle w:evenHBand="true" w:oddHBand="false" w:firstRow="false"/>
        </w:trPr>
        <w:tc>
          <w:tcPr>
            <w:cnfStyle w:evenVBand="false" w:oddVBand="true" w:firstColumn="false"/>
            <w:tcW w:w="33.333333%" w:type="pct"/>
          </w:tcPr>
          <w:p>
            <w:pPr>
              <w:ind w:leftChars="0" w:left="0" w:right="0"/>
            </w:pPr>
            <w:r>
              <w:t>INGW</w:t>
            </w:r>
          </w:p>
        </w:tc>
        <w:tc>
          <w:tcPr>
            <w:cnfStyle w:evenVBand="true" w:oddVBand="false" w:firstColumn="false"/>
            <w:tcW w:w="33.333333%" w:type="pct"/>
          </w:tcPr>
          <w:p>
            <w:pPr>
              <w:ind w:leftChars="0" w:left="0" w:right="0"/>
            </w:pPr>
            <w:r>
              <w:t>INGW</w:t>
            </w:r>
          </w:p>
        </w:tc>
        <w:tc>
          <w:tcPr>
            <w:cnfStyle w:evenVBand="false" w:oddVBand="true" w:firstColumn="false"/>
            <w:tcW w:w="33.333333%" w:type="pct"/>
          </w:tcPr>
          <w:p>
            <w:pPr>
              <w:ind w:leftChars="0" w:left="0" w:right="0"/>
            </w:pPr>
            <w:r>
              <w:t>ING BANK SLASKI SA - SYSTEMATIC INTERNALISER</w:t>
            </w:r>
          </w:p>
        </w:tc>
      </w:tr>
      <w:tr>
        <w:trPr>
          <w:cnfStyle w:evenHBand="false" w:oddHBand="true" w:firstRow="false"/>
        </w:trPr>
        <w:tc>
          <w:tcPr>
            <w:cnfStyle w:evenVBand="false" w:oddVBand="true" w:firstColumn="false"/>
            <w:tcW w:w="33.333333%" w:type="pct"/>
          </w:tcPr>
          <w:p>
            <w:pPr>
              <w:ind w:leftChars="0" w:left="0" w:right="0"/>
            </w:pPr>
            <w:r>
              <w:t>INSE</w:t>
            </w:r>
          </w:p>
        </w:tc>
        <w:tc>
          <w:tcPr>
            <w:cnfStyle w:evenVBand="true" w:oddVBand="false" w:firstColumn="false"/>
            <w:tcW w:w="33.333333%" w:type="pct"/>
          </w:tcPr>
          <w:p>
            <w:pPr>
              <w:ind w:leftChars="0" w:left="0" w:right="0"/>
            </w:pPr>
            <w:r>
              <w:t>INSE</w:t>
            </w:r>
          </w:p>
        </w:tc>
        <w:tc>
          <w:tcPr>
            <w:cnfStyle w:evenVBand="false" w:oddVBand="true" w:firstColumn="false"/>
            <w:tcW w:w="33.333333%" w:type="pct"/>
          </w:tcPr>
          <w:p>
            <w:pPr>
              <w:ind w:leftChars="0" w:left="0" w:right="0"/>
            </w:pPr>
            <w:r>
              <w:t>NSE IFSC LIMITED</w:t>
            </w:r>
          </w:p>
        </w:tc>
      </w:tr>
      <w:tr>
        <w:trPr>
          <w:cnfStyle w:evenHBand="true" w:oddHBand="false" w:firstRow="false"/>
        </w:trPr>
        <w:tc>
          <w:tcPr>
            <w:cnfStyle w:evenVBand="false" w:oddVBand="true" w:firstColumn="false"/>
            <w:tcW w:w="33.333333%" w:type="pct"/>
          </w:tcPr>
          <w:p>
            <w:pPr>
              <w:ind w:leftChars="0" w:left="0" w:right="0"/>
            </w:pPr>
            <w:r>
              <w:t>INTL</w:t>
            </w:r>
          </w:p>
        </w:tc>
        <w:tc>
          <w:tcPr>
            <w:cnfStyle w:evenVBand="true" w:oddVBand="false" w:firstColumn="false"/>
            <w:tcW w:w="33.333333%" w:type="pct"/>
          </w:tcPr>
          <w:p>
            <w:pPr>
              <w:ind w:leftChars="0" w:left="0" w:right="0"/>
            </w:pPr>
            <w:r>
              <w:t>INTL</w:t>
            </w:r>
          </w:p>
        </w:tc>
        <w:tc>
          <w:tcPr>
            <w:cnfStyle w:evenVBand="false" w:oddVBand="true" w:firstColumn="false"/>
            <w:tcW w:w="33.333333%" w:type="pct"/>
          </w:tcPr>
          <w:p>
            <w:pPr>
              <w:ind w:leftChars="0" w:left="0" w:right="0"/>
            </w:pPr>
            <w:r>
              <w:t>STONEX FINANCIAL INC.</w:t>
            </w:r>
          </w:p>
        </w:tc>
      </w:tr>
      <w:tr>
        <w:trPr>
          <w:cnfStyle w:evenHBand="false" w:oddHBand="true" w:firstRow="false"/>
        </w:trPr>
        <w:tc>
          <w:tcPr>
            <w:cnfStyle w:evenVBand="false" w:oddVBand="true" w:firstColumn="false"/>
            <w:tcW w:w="33.333333%" w:type="pct"/>
          </w:tcPr>
          <w:p>
            <w:pPr>
              <w:ind w:leftChars="0" w:left="0" w:right="0"/>
            </w:pPr>
            <w:r>
              <w:t>INVE</w:t>
            </w:r>
          </w:p>
        </w:tc>
        <w:tc>
          <w:tcPr>
            <w:cnfStyle w:evenVBand="true" w:oddVBand="false" w:firstColumn="false"/>
            <w:tcW w:w="33.333333%" w:type="pct"/>
          </w:tcPr>
          <w:p>
            <w:pPr>
              <w:ind w:leftChars="0" w:left="0" w:right="0"/>
            </w:pPr>
            <w:r>
              <w:t>INVE</w:t>
            </w:r>
          </w:p>
        </w:tc>
        <w:tc>
          <w:tcPr>
            <w:cnfStyle w:evenVBand="false" w:oddVBand="true" w:firstColumn="false"/>
            <w:tcW w:w="33.333333%" w:type="pct"/>
          </w:tcPr>
          <w:p>
            <w:pPr>
              <w:ind w:leftChars="0" w:left="0" w:right="0"/>
            </w:pPr>
            <w:r>
              <w:t>INVESTEC BANK PLC - SYSTEMATIC INTERNALISER</w:t>
            </w:r>
          </w:p>
        </w:tc>
      </w:tr>
      <w:tr>
        <w:trPr>
          <w:cnfStyle w:evenHBand="true" w:oddHBand="false" w:firstRow="false"/>
        </w:trPr>
        <w:tc>
          <w:tcPr>
            <w:cnfStyle w:evenVBand="false" w:oddVBand="true" w:firstColumn="false"/>
            <w:tcW w:w="33.333333%" w:type="pct"/>
          </w:tcPr>
          <w:p>
            <w:pPr>
              <w:ind w:leftChars="0" w:left="0" w:right="0"/>
            </w:pPr>
            <w:r>
              <w:t>IOCD</w:t>
            </w:r>
          </w:p>
        </w:tc>
        <w:tc>
          <w:tcPr>
            <w:cnfStyle w:evenVBand="true" w:oddVBand="false" w:firstColumn="false"/>
            <w:tcW w:w="33.333333%" w:type="pct"/>
          </w:tcPr>
          <w:p>
            <w:pPr>
              <w:ind w:leftChars="0" w:left="0" w:right="0"/>
            </w:pPr>
            <w:r>
              <w:t>IOCD</w:t>
            </w:r>
          </w:p>
        </w:tc>
        <w:tc>
          <w:tcPr>
            <w:cnfStyle w:evenVBand="false" w:oddVBand="true" w:firstColumn="false"/>
            <w:tcW w:w="33.333333%" w:type="pct"/>
          </w:tcPr>
          <w:p>
            <w:pPr>
              <w:ind w:leftChars="0" w:left="0" w:right="0"/>
            </w:pPr>
            <w:r>
              <w:t>ICAP UK OTF - CREDIT DERIVATIVES</w:t>
            </w:r>
          </w:p>
        </w:tc>
      </w:tr>
      <w:tr>
        <w:trPr>
          <w:cnfStyle w:evenHBand="false" w:oddHBand="true" w:firstRow="false"/>
        </w:trPr>
        <w:tc>
          <w:tcPr>
            <w:cnfStyle w:evenVBand="false" w:oddVBand="true" w:firstColumn="false"/>
            <w:tcW w:w="33.333333%" w:type="pct"/>
          </w:tcPr>
          <w:p>
            <w:pPr>
              <w:ind w:leftChars="0" w:left="0" w:right="0"/>
            </w:pPr>
            <w:r>
              <w:t>IOED</w:t>
            </w:r>
          </w:p>
        </w:tc>
        <w:tc>
          <w:tcPr>
            <w:cnfStyle w:evenVBand="true" w:oddVBand="false" w:firstColumn="false"/>
            <w:tcW w:w="33.333333%" w:type="pct"/>
          </w:tcPr>
          <w:p>
            <w:pPr>
              <w:ind w:leftChars="0" w:left="0" w:right="0"/>
            </w:pPr>
            <w:r>
              <w:t>IOED</w:t>
            </w:r>
          </w:p>
        </w:tc>
        <w:tc>
          <w:tcPr>
            <w:cnfStyle w:evenVBand="false" w:oddVBand="true" w:firstColumn="false"/>
            <w:tcW w:w="33.333333%" w:type="pct"/>
          </w:tcPr>
          <w:p>
            <w:pPr>
              <w:ind w:leftChars="0" w:left="0" w:right="0"/>
            </w:pPr>
            <w:r>
              <w:t>ICAP UK OTF - EQUITY DERIVATIVES</w:t>
            </w:r>
          </w:p>
        </w:tc>
      </w:tr>
      <w:tr>
        <w:trPr>
          <w:cnfStyle w:evenHBand="true" w:oddHBand="false" w:firstRow="false"/>
        </w:trPr>
        <w:tc>
          <w:tcPr>
            <w:cnfStyle w:evenVBand="false" w:oddVBand="true" w:firstColumn="false"/>
            <w:tcW w:w="33.333333%" w:type="pct"/>
          </w:tcPr>
          <w:p>
            <w:pPr>
              <w:ind w:leftChars="0" w:left="0" w:right="0"/>
            </w:pPr>
            <w:r>
              <w:t>IOFB</w:t>
            </w:r>
          </w:p>
        </w:tc>
        <w:tc>
          <w:tcPr>
            <w:cnfStyle w:evenVBand="true" w:oddVBand="false" w:firstColumn="false"/>
            <w:tcW w:w="33.333333%" w:type="pct"/>
          </w:tcPr>
          <w:p>
            <w:pPr>
              <w:ind w:leftChars="0" w:left="0" w:right="0"/>
            </w:pPr>
            <w:r>
              <w:t>IOFB</w:t>
            </w:r>
          </w:p>
        </w:tc>
        <w:tc>
          <w:tcPr>
            <w:cnfStyle w:evenVBand="false" w:oddVBand="true" w:firstColumn="false"/>
            <w:tcW w:w="33.333333%" w:type="pct"/>
          </w:tcPr>
          <w:p>
            <w:pPr>
              <w:ind w:leftChars="0" w:left="0" w:right="0"/>
            </w:pPr>
            <w:r>
              <w:t>ICAP SECURITIES OTF - BUTLER FX DERIVATIVES</w:t>
            </w:r>
          </w:p>
        </w:tc>
      </w:tr>
      <w:tr>
        <w:trPr>
          <w:cnfStyle w:evenHBand="false" w:oddHBand="true" w:firstRow="false"/>
        </w:trPr>
        <w:tc>
          <w:tcPr>
            <w:cnfStyle w:evenVBand="false" w:oddVBand="true" w:firstColumn="false"/>
            <w:tcW w:w="33.333333%" w:type="pct"/>
          </w:tcPr>
          <w:p>
            <w:pPr>
              <w:ind w:leftChars="0" w:left="0" w:right="0"/>
            </w:pPr>
            <w:r>
              <w:t>IOFI</w:t>
            </w:r>
          </w:p>
        </w:tc>
        <w:tc>
          <w:tcPr>
            <w:cnfStyle w:evenVBand="true" w:oddVBand="false" w:firstColumn="false"/>
            <w:tcW w:w="33.333333%" w:type="pct"/>
          </w:tcPr>
          <w:p>
            <w:pPr>
              <w:ind w:leftChars="0" w:left="0" w:right="0"/>
            </w:pPr>
            <w:r>
              <w:t>IOFI</w:t>
            </w:r>
          </w:p>
        </w:tc>
        <w:tc>
          <w:tcPr>
            <w:cnfStyle w:evenVBand="false" w:oddVBand="true" w:firstColumn="false"/>
            <w:tcW w:w="33.333333%" w:type="pct"/>
          </w:tcPr>
          <w:p>
            <w:pPr>
              <w:ind w:leftChars="0" w:left="0" w:right="0"/>
            </w:pPr>
            <w:r>
              <w:t>ICAP UK OTF - CORPORATE BONDS AND SECURITISED DEBT</w:t>
            </w:r>
          </w:p>
        </w:tc>
      </w:tr>
      <w:tr>
        <w:trPr>
          <w:cnfStyle w:evenHBand="true" w:oddHBand="false" w:firstRow="false"/>
        </w:trPr>
        <w:tc>
          <w:tcPr>
            <w:cnfStyle w:evenVBand="false" w:oddVBand="true" w:firstColumn="false"/>
            <w:tcW w:w="33.333333%" w:type="pct"/>
          </w:tcPr>
          <w:p>
            <w:pPr>
              <w:ind w:leftChars="0" w:left="0" w:right="0"/>
            </w:pPr>
            <w:r>
              <w:t>IOFX</w:t>
            </w:r>
          </w:p>
        </w:tc>
        <w:tc>
          <w:tcPr>
            <w:cnfStyle w:evenVBand="true" w:oddVBand="false" w:firstColumn="false"/>
            <w:tcW w:w="33.333333%" w:type="pct"/>
          </w:tcPr>
          <w:p>
            <w:pPr>
              <w:ind w:leftChars="0" w:left="0" w:right="0"/>
            </w:pPr>
            <w:r>
              <w:t>IOFX</w:t>
            </w:r>
          </w:p>
        </w:tc>
        <w:tc>
          <w:tcPr>
            <w:cnfStyle w:evenVBand="false" w:oddVBand="true" w:firstColumn="false"/>
            <w:tcW w:w="33.333333%" w:type="pct"/>
          </w:tcPr>
          <w:p>
            <w:pPr>
              <w:ind w:leftChars="0" w:left="0" w:right="0"/>
            </w:pPr>
            <w:r>
              <w:t>ICAP UK OTF - FX DERIVATIVES</w:t>
            </w:r>
          </w:p>
        </w:tc>
      </w:tr>
      <w:tr>
        <w:trPr>
          <w:cnfStyle w:evenHBand="false" w:oddHBand="true" w:firstRow="false"/>
        </w:trPr>
        <w:tc>
          <w:tcPr>
            <w:cnfStyle w:evenVBand="false" w:oddVBand="true" w:firstColumn="false"/>
            <w:tcW w:w="33.333333%" w:type="pct"/>
          </w:tcPr>
          <w:p>
            <w:pPr>
              <w:ind w:leftChars="0" w:left="0" w:right="0"/>
            </w:pPr>
            <w:r>
              <w:t>IOGB</w:t>
            </w:r>
          </w:p>
        </w:tc>
        <w:tc>
          <w:tcPr>
            <w:cnfStyle w:evenVBand="true" w:oddVBand="false" w:firstColumn="false"/>
            <w:tcW w:w="33.333333%" w:type="pct"/>
          </w:tcPr>
          <w:p>
            <w:pPr>
              <w:ind w:leftChars="0" w:left="0" w:right="0"/>
            </w:pPr>
            <w:r>
              <w:t>IOGB</w:t>
            </w:r>
          </w:p>
        </w:tc>
        <w:tc>
          <w:tcPr>
            <w:cnfStyle w:evenVBand="false" w:oddVBand="true" w:firstColumn="false"/>
            <w:tcW w:w="33.333333%" w:type="pct"/>
          </w:tcPr>
          <w:p>
            <w:pPr>
              <w:ind w:leftChars="0" w:left="0" w:right="0"/>
            </w:pPr>
            <w:r>
              <w:t>ICAP UK OTF - GOVERNMENT BONDS EXCLUDING  UK GILTS</w:t>
            </w:r>
          </w:p>
        </w:tc>
      </w:tr>
      <w:tr>
        <w:trPr>
          <w:cnfStyle w:evenHBand="true" w:oddHBand="false" w:firstRow="false"/>
        </w:trPr>
        <w:tc>
          <w:tcPr>
            <w:cnfStyle w:evenVBand="false" w:oddVBand="true" w:firstColumn="false"/>
            <w:tcW w:w="33.333333%" w:type="pct"/>
          </w:tcPr>
          <w:p>
            <w:pPr>
              <w:ind w:leftChars="0" w:left="0" w:right="0"/>
            </w:pPr>
            <w:r>
              <w:t>IOGI</w:t>
            </w:r>
          </w:p>
        </w:tc>
        <w:tc>
          <w:tcPr>
            <w:cnfStyle w:evenVBand="true" w:oddVBand="false" w:firstColumn="false"/>
            <w:tcW w:w="33.333333%" w:type="pct"/>
          </w:tcPr>
          <w:p>
            <w:pPr>
              <w:ind w:leftChars="0" w:left="0" w:right="0"/>
            </w:pPr>
            <w:r>
              <w:t>IOGI</w:t>
            </w:r>
          </w:p>
        </w:tc>
        <w:tc>
          <w:tcPr>
            <w:cnfStyle w:evenVBand="false" w:oddVBand="true" w:firstColumn="false"/>
            <w:tcW w:w="33.333333%" w:type="pct"/>
          </w:tcPr>
          <w:p>
            <w:pPr>
              <w:ind w:leftChars="0" w:left="0" w:right="0"/>
            </w:pPr>
            <w:r>
              <w:t>ICAP UK OTF - GOVERNMENT BONDS - UK GILTS</w:t>
            </w:r>
          </w:p>
        </w:tc>
      </w:tr>
      <w:tr>
        <w:trPr>
          <w:cnfStyle w:evenHBand="false" w:oddHBand="true" w:firstRow="false"/>
        </w:trPr>
        <w:tc>
          <w:tcPr>
            <w:cnfStyle w:evenVBand="false" w:oddVBand="true" w:firstColumn="false"/>
            <w:tcW w:w="33.333333%" w:type="pct"/>
          </w:tcPr>
          <w:p>
            <w:pPr>
              <w:ind w:leftChars="0" w:left="0" w:right="0"/>
            </w:pPr>
            <w:r>
              <w:t>IOIR</w:t>
            </w:r>
          </w:p>
        </w:tc>
        <w:tc>
          <w:tcPr>
            <w:cnfStyle w:evenVBand="true" w:oddVBand="false" w:firstColumn="false"/>
            <w:tcW w:w="33.333333%" w:type="pct"/>
          </w:tcPr>
          <w:p>
            <w:pPr>
              <w:ind w:leftChars="0" w:left="0" w:right="0"/>
            </w:pPr>
            <w:r>
              <w:t>IOIR</w:t>
            </w:r>
          </w:p>
        </w:tc>
        <w:tc>
          <w:tcPr>
            <w:cnfStyle w:evenVBand="false" w:oddVBand="true" w:firstColumn="false"/>
            <w:tcW w:w="33.333333%" w:type="pct"/>
          </w:tcPr>
          <w:p>
            <w:pPr>
              <w:ind w:leftChars="0" w:left="0" w:right="0"/>
            </w:pPr>
            <w:r>
              <w:t>ICAP UK OTF - INTEREST RATE DERIVATIVES</w:t>
            </w:r>
          </w:p>
        </w:tc>
      </w:tr>
      <w:tr>
        <w:trPr>
          <w:cnfStyle w:evenHBand="true" w:oddHBand="false" w:firstRow="false"/>
        </w:trPr>
        <w:tc>
          <w:tcPr>
            <w:cnfStyle w:evenVBand="false" w:oddVBand="true" w:firstColumn="false"/>
            <w:tcW w:w="33.333333%" w:type="pct"/>
          </w:tcPr>
          <w:p>
            <w:pPr>
              <w:ind w:leftChars="0" w:left="0" w:right="0"/>
            </w:pPr>
            <w:r>
              <w:t>IOMM</w:t>
            </w:r>
          </w:p>
        </w:tc>
        <w:tc>
          <w:tcPr>
            <w:cnfStyle w:evenVBand="true" w:oddVBand="false" w:firstColumn="false"/>
            <w:tcW w:w="33.333333%" w:type="pct"/>
          </w:tcPr>
          <w:p>
            <w:pPr>
              <w:ind w:leftChars="0" w:left="0" w:right="0"/>
            </w:pPr>
            <w:r>
              <w:t>IOMM</w:t>
            </w:r>
          </w:p>
        </w:tc>
        <w:tc>
          <w:tcPr>
            <w:cnfStyle w:evenVBand="false" w:oddVBand="true" w:firstColumn="false"/>
            <w:tcW w:w="33.333333%" w:type="pct"/>
          </w:tcPr>
          <w:p>
            <w:pPr>
              <w:ind w:leftChars="0" w:left="0" w:right="0"/>
            </w:pPr>
            <w:r>
              <w:t>ICAP UK OTF - MONEY MARKET INSTRUMENTS</w:t>
            </w:r>
          </w:p>
        </w:tc>
      </w:tr>
      <w:tr>
        <w:trPr>
          <w:cnfStyle w:evenHBand="false" w:oddHBand="true" w:firstRow="false"/>
        </w:trPr>
        <w:tc>
          <w:tcPr>
            <w:cnfStyle w:evenVBand="false" w:oddVBand="true" w:firstColumn="false"/>
            <w:tcW w:w="33.333333%" w:type="pct"/>
          </w:tcPr>
          <w:p>
            <w:pPr>
              <w:ind w:leftChars="0" w:left="0" w:right="0"/>
            </w:pPr>
            <w:r>
              <w:t>IOTC</w:t>
            </w:r>
          </w:p>
        </w:tc>
        <w:tc>
          <w:tcPr>
            <w:cnfStyle w:evenVBand="true" w:oddVBand="false" w:firstColumn="false"/>
            <w:tcW w:w="33.333333%" w:type="pct"/>
          </w:tcPr>
          <w:p>
            <w:pPr>
              <w:ind w:leftChars="0" w:left="0" w:right="0"/>
            </w:pPr>
            <w:r>
              <w:t>IOTC</w:t>
            </w:r>
          </w:p>
        </w:tc>
        <w:tc>
          <w:tcPr>
            <w:cnfStyle w:evenVBand="false" w:oddVBand="true" w:firstColumn="false"/>
            <w:tcW w:w="33.333333%" w:type="pct"/>
          </w:tcPr>
          <w:p>
            <w:pPr>
              <w:ind w:leftChars="0" w:left="0" w:right="0"/>
            </w:pPr>
            <w:r>
              <w:t>INSTINET EUROPE LIMITED OTC</w:t>
            </w:r>
          </w:p>
        </w:tc>
      </w:tr>
      <w:tr>
        <w:trPr>
          <w:cnfStyle w:evenHBand="true" w:oddHBand="false" w:firstRow="false"/>
        </w:trPr>
        <w:tc>
          <w:tcPr>
            <w:cnfStyle w:evenVBand="false" w:oddVBand="true" w:firstColumn="false"/>
            <w:tcW w:w="33.333333%" w:type="pct"/>
          </w:tcPr>
          <w:p>
            <w:pPr>
              <w:ind w:leftChars="0" w:left="0" w:right="0"/>
            </w:pPr>
            <w:r>
              <w:t>IOTF</w:t>
            </w:r>
          </w:p>
        </w:tc>
        <w:tc>
          <w:tcPr>
            <w:cnfStyle w:evenVBand="true" w:oddVBand="false" w:firstColumn="false"/>
            <w:tcW w:w="33.333333%" w:type="pct"/>
          </w:tcPr>
          <w:p>
            <w:pPr>
              <w:ind w:leftChars="0" w:left="0" w:right="0"/>
            </w:pPr>
            <w:r>
              <w:t>IOTF</w:t>
            </w:r>
          </w:p>
        </w:tc>
        <w:tc>
          <w:tcPr>
            <w:cnfStyle w:evenVBand="false" w:oddVBand="true" w:firstColumn="false"/>
            <w:tcW w:w="33.333333%" w:type="pct"/>
          </w:tcPr>
          <w:p>
            <w:pPr>
              <w:ind w:leftChars="0" w:left="0" w:right="0"/>
            </w:pPr>
            <w:r>
              <w:t>ICAP UK OTF</w:t>
            </w:r>
          </w:p>
        </w:tc>
      </w:tr>
      <w:tr>
        <w:trPr>
          <w:cnfStyle w:evenHBand="false" w:oddHBand="true" w:firstRow="false"/>
        </w:trPr>
        <w:tc>
          <w:tcPr>
            <w:cnfStyle w:evenVBand="false" w:oddVBand="true" w:firstColumn="false"/>
            <w:tcW w:w="33.333333%" w:type="pct"/>
          </w:tcPr>
          <w:p>
            <w:pPr>
              <w:ind w:leftChars="0" w:left="0" w:right="0"/>
            </w:pPr>
            <w:r>
              <w:t>IPNL</w:t>
            </w:r>
          </w:p>
        </w:tc>
        <w:tc>
          <w:tcPr>
            <w:cnfStyle w:evenVBand="true" w:oddVBand="false" w:firstColumn="false"/>
            <w:tcW w:w="33.333333%" w:type="pct"/>
          </w:tcPr>
          <w:p>
            <w:pPr>
              <w:ind w:leftChars="0" w:left="0" w:right="0"/>
            </w:pPr>
            <w:r>
              <w:t>IPNL</w:t>
            </w:r>
          </w:p>
        </w:tc>
        <w:tc>
          <w:tcPr>
            <w:cnfStyle w:evenVBand="false" w:oddVBand="true" w:firstColumn="false"/>
            <w:tcW w:w="33.333333%" w:type="pct"/>
          </w:tcPr>
          <w:p>
            <w:pPr>
              <w:ind w:leftChars="0" w:left="0" w:right="0"/>
            </w:pPr>
            <w:r>
              <w:t>ISWAP EURO MTF</w:t>
            </w:r>
          </w:p>
        </w:tc>
      </w:tr>
      <w:tr>
        <w:trPr>
          <w:cnfStyle w:evenHBand="true" w:oddHBand="false" w:firstRow="false"/>
        </w:trPr>
        <w:tc>
          <w:tcPr>
            <w:cnfStyle w:evenVBand="false" w:oddVBand="true" w:firstColumn="false"/>
            <w:tcW w:w="33.333333%" w:type="pct"/>
          </w:tcPr>
          <w:p>
            <w:pPr>
              <w:ind w:leftChars="0" w:left="0" w:right="0"/>
            </w:pPr>
            <w:r>
              <w:t>IPSX</w:t>
            </w:r>
          </w:p>
        </w:tc>
        <w:tc>
          <w:tcPr>
            <w:cnfStyle w:evenVBand="true" w:oddVBand="false" w:firstColumn="false"/>
            <w:tcW w:w="33.333333%" w:type="pct"/>
          </w:tcPr>
          <w:p>
            <w:pPr>
              <w:ind w:leftChars="0" w:left="0" w:right="0"/>
            </w:pPr>
            <w:r>
              <w:t>IPSX</w:t>
            </w:r>
          </w:p>
        </w:tc>
        <w:tc>
          <w:tcPr>
            <w:cnfStyle w:evenVBand="false" w:oddVBand="true" w:firstColumn="false"/>
            <w:tcW w:w="33.333333%" w:type="pct"/>
          </w:tcPr>
          <w:p>
            <w:pPr>
              <w:ind w:leftChars="0" w:left="0" w:right="0"/>
            </w:pPr>
            <w:r>
              <w:t>IPSX</w:t>
            </w:r>
          </w:p>
        </w:tc>
      </w:tr>
      <w:tr>
        <w:trPr>
          <w:cnfStyle w:evenHBand="false" w:oddHBand="true" w:firstRow="false"/>
        </w:trPr>
        <w:tc>
          <w:tcPr>
            <w:cnfStyle w:evenVBand="false" w:oddVBand="true" w:firstColumn="false"/>
            <w:tcW w:w="33.333333%" w:type="pct"/>
          </w:tcPr>
          <w:p>
            <w:pPr>
              <w:ind w:leftChars="0" w:left="0" w:right="0"/>
            </w:pPr>
            <w:r>
              <w:t>IPXP</w:t>
            </w:r>
          </w:p>
        </w:tc>
        <w:tc>
          <w:tcPr>
            <w:cnfStyle w:evenVBand="true" w:oddVBand="false" w:firstColumn="false"/>
            <w:tcW w:w="33.333333%" w:type="pct"/>
          </w:tcPr>
          <w:p>
            <w:pPr>
              <w:ind w:leftChars="0" w:left="0" w:right="0"/>
            </w:pPr>
            <w:r>
              <w:t>IPXP</w:t>
            </w:r>
          </w:p>
        </w:tc>
        <w:tc>
          <w:tcPr>
            <w:cnfStyle w:evenVBand="false" w:oddVBand="true" w:firstColumn="false"/>
            <w:tcW w:w="33.333333%" w:type="pct"/>
          </w:tcPr>
          <w:p>
            <w:pPr>
              <w:ind w:leftChars="0" w:left="0" w:right="0"/>
            </w:pPr>
            <w:r>
              <w:t>IPSX PRIME</w:t>
            </w:r>
          </w:p>
        </w:tc>
      </w:tr>
      <w:tr>
        <w:trPr>
          <w:cnfStyle w:evenHBand="true" w:oddHBand="false" w:firstRow="false"/>
        </w:trPr>
        <w:tc>
          <w:tcPr>
            <w:cnfStyle w:evenVBand="false" w:oddVBand="true" w:firstColumn="false"/>
            <w:tcW w:w="33.333333%" w:type="pct"/>
          </w:tcPr>
          <w:p>
            <w:pPr>
              <w:ind w:leftChars="0" w:left="0" w:right="0"/>
            </w:pPr>
            <w:r>
              <w:t>IPXW</w:t>
            </w:r>
          </w:p>
        </w:tc>
        <w:tc>
          <w:tcPr>
            <w:cnfStyle w:evenVBand="true" w:oddVBand="false" w:firstColumn="false"/>
            <w:tcW w:w="33.333333%" w:type="pct"/>
          </w:tcPr>
          <w:p>
            <w:pPr>
              <w:ind w:leftChars="0" w:left="0" w:right="0"/>
            </w:pPr>
            <w:r>
              <w:t>IPXW</w:t>
            </w:r>
          </w:p>
        </w:tc>
        <w:tc>
          <w:tcPr>
            <w:cnfStyle w:evenVBand="false" w:oddVBand="true" w:firstColumn="false"/>
            <w:tcW w:w="33.333333%" w:type="pct"/>
          </w:tcPr>
          <w:p>
            <w:pPr>
              <w:ind w:leftChars="0" w:left="0" w:right="0"/>
            </w:pPr>
            <w:r>
              <w:t>IPSX WHOLESALE</w:t>
            </w:r>
          </w:p>
        </w:tc>
      </w:tr>
      <w:tr>
        <w:trPr>
          <w:cnfStyle w:evenHBand="false" w:oddHBand="true" w:firstRow="false"/>
        </w:trPr>
        <w:tc>
          <w:tcPr>
            <w:cnfStyle w:evenVBand="false" w:oddVBand="true" w:firstColumn="false"/>
            <w:tcW w:w="33.333333%" w:type="pct"/>
          </w:tcPr>
          <w:p>
            <w:pPr>
              <w:ind w:leftChars="0" w:left="0" w:right="0"/>
            </w:pPr>
            <w:r>
              <w:t>ISBA</w:t>
            </w:r>
          </w:p>
        </w:tc>
        <w:tc>
          <w:tcPr>
            <w:cnfStyle w:evenVBand="true" w:oddVBand="false" w:firstColumn="false"/>
            <w:tcW w:w="33.333333%" w:type="pct"/>
          </w:tcPr>
          <w:p>
            <w:pPr>
              <w:ind w:leftChars="0" w:left="0" w:right="0"/>
            </w:pPr>
            <w:r>
              <w:t>ISBA</w:t>
            </w:r>
          </w:p>
        </w:tc>
        <w:tc>
          <w:tcPr>
            <w:cnfStyle w:evenVBand="false" w:oddVBand="true" w:firstColumn="false"/>
            <w:tcW w:w="33.333333%" w:type="pct"/>
          </w:tcPr>
          <w:p>
            <w:pPr>
              <w:ind w:leftChars="0" w:left="0" w:right="0"/>
            </w:pPr>
            <w:r>
              <w:t>BANCA DI ASTI - SYSTEMATIC INTERNALISER</w:t>
            </w:r>
          </w:p>
        </w:tc>
      </w:tr>
      <w:tr>
        <w:trPr>
          <w:cnfStyle w:evenHBand="true" w:oddHBand="false" w:firstRow="false"/>
        </w:trPr>
        <w:tc>
          <w:tcPr>
            <w:cnfStyle w:evenVBand="false" w:oddVBand="true" w:firstColumn="false"/>
            <w:tcW w:w="33.333333%" w:type="pct"/>
          </w:tcPr>
          <w:p>
            <w:pPr>
              <w:ind w:leftChars="0" w:left="0" w:right="0"/>
            </w:pPr>
            <w:r>
              <w:t>ISBV</w:t>
            </w:r>
          </w:p>
        </w:tc>
        <w:tc>
          <w:tcPr>
            <w:cnfStyle w:evenVBand="true" w:oddVBand="false" w:firstColumn="false"/>
            <w:tcW w:w="33.333333%" w:type="pct"/>
          </w:tcPr>
          <w:p>
            <w:pPr>
              <w:ind w:leftChars="0" w:left="0" w:right="0"/>
            </w:pPr>
            <w:r>
              <w:t>ISBV</w:t>
            </w:r>
          </w:p>
        </w:tc>
        <w:tc>
          <w:tcPr>
            <w:cnfStyle w:evenVBand="false" w:oddVBand="true" w:firstColumn="false"/>
            <w:tcW w:w="33.333333%" w:type="pct"/>
          </w:tcPr>
          <w:p>
            <w:pPr>
              <w:ind w:leftChars="0" w:left="0" w:right="0"/>
            </w:pPr>
            <w:r>
              <w:t>BIVER BANCA - SYSTEMATIC INTERNALISER</w:t>
            </w:r>
          </w:p>
        </w:tc>
      </w:tr>
      <w:tr>
        <w:trPr>
          <w:cnfStyle w:evenHBand="false" w:oddHBand="true" w:firstRow="false"/>
        </w:trPr>
        <w:tc>
          <w:tcPr>
            <w:cnfStyle w:evenVBand="false" w:oddVBand="true" w:firstColumn="false"/>
            <w:tcW w:w="33.333333%" w:type="pct"/>
          </w:tcPr>
          <w:p>
            <w:pPr>
              <w:ind w:leftChars="0" w:left="0" w:right="0"/>
            </w:pPr>
            <w:r>
              <w:t>ISDA</w:t>
            </w:r>
          </w:p>
        </w:tc>
        <w:tc>
          <w:tcPr>
            <w:cnfStyle w:evenVBand="true" w:oddVBand="false" w:firstColumn="false"/>
            <w:tcW w:w="33.333333%" w:type="pct"/>
          </w:tcPr>
          <w:p>
            <w:pPr>
              <w:ind w:leftChars="0" w:left="0" w:right="0"/>
            </w:pPr>
            <w:r>
              <w:t>ISDA</w:t>
            </w:r>
          </w:p>
        </w:tc>
        <w:tc>
          <w:tcPr>
            <w:cnfStyle w:evenVBand="false" w:oddVBand="true" w:firstColumn="false"/>
            <w:tcW w:w="33.333333%" w:type="pct"/>
          </w:tcPr>
          <w:p>
            <w:pPr>
              <w:ind w:leftChars="0" w:left="0" w:right="0"/>
            </w:pPr>
            <w:r>
              <w:t>ISDAFIX</w:t>
            </w:r>
          </w:p>
        </w:tc>
      </w:tr>
      <w:tr>
        <w:trPr>
          <w:cnfStyle w:evenHBand="true" w:oddHBand="false" w:firstRow="false"/>
        </w:trPr>
        <w:tc>
          <w:tcPr>
            <w:cnfStyle w:evenVBand="false" w:oddVBand="true" w:firstColumn="false"/>
            <w:tcW w:w="33.333333%" w:type="pct"/>
          </w:tcPr>
          <w:p>
            <w:pPr>
              <w:ind w:leftChars="0" w:left="0" w:right="0"/>
            </w:pPr>
            <w:r>
              <w:t>ISDX</w:t>
            </w:r>
          </w:p>
        </w:tc>
        <w:tc>
          <w:tcPr>
            <w:cnfStyle w:evenVBand="true" w:oddVBand="false" w:firstColumn="false"/>
            <w:tcW w:w="33.333333%" w:type="pct"/>
          </w:tcPr>
          <w:p>
            <w:pPr>
              <w:ind w:leftChars="0" w:left="0" w:right="0"/>
            </w:pPr>
            <w:r>
              <w:t>ISDX</w:t>
            </w:r>
          </w:p>
        </w:tc>
        <w:tc>
          <w:tcPr>
            <w:cnfStyle w:evenVBand="false" w:oddVBand="true" w:firstColumn="false"/>
            <w:tcW w:w="33.333333%" w:type="pct"/>
          </w:tcPr>
          <w:p>
            <w:pPr>
              <w:ind w:leftChars="0" w:left="0" w:right="0"/>
            </w:pPr>
            <w:r>
              <w:t>ICAP SECURITIES &amp; DERIVATIVES EXCHANGE LIMITED</w:t>
            </w:r>
          </w:p>
        </w:tc>
      </w:tr>
      <w:tr>
        <w:trPr>
          <w:cnfStyle w:evenHBand="false" w:oddHBand="true" w:firstRow="false"/>
        </w:trPr>
        <w:tc>
          <w:tcPr>
            <w:cnfStyle w:evenVBand="false" w:oddVBand="true" w:firstColumn="false"/>
            <w:tcW w:w="33.333333%" w:type="pct"/>
          </w:tcPr>
          <w:p>
            <w:pPr>
              <w:ind w:leftChars="0" w:left="0" w:right="0"/>
            </w:pPr>
            <w:r>
              <w:t>ISEC</w:t>
            </w:r>
          </w:p>
        </w:tc>
        <w:tc>
          <w:tcPr>
            <w:cnfStyle w:evenVBand="true" w:oddVBand="false" w:firstColumn="false"/>
            <w:tcW w:w="33.333333%" w:type="pct"/>
          </w:tcPr>
          <w:p>
            <w:pPr>
              <w:ind w:leftChars="0" w:left="0" w:right="0"/>
            </w:pPr>
            <w:r>
              <w:t>ISEC</w:t>
            </w:r>
          </w:p>
        </w:tc>
        <w:tc>
          <w:tcPr>
            <w:cnfStyle w:evenVBand="false" w:oddVBand="true" w:firstColumn="false"/>
            <w:tcW w:w="33.333333%" w:type="pct"/>
          </w:tcPr>
          <w:p>
            <w:pPr>
              <w:ind w:leftChars="0" w:left="0" w:right="0"/>
            </w:pPr>
            <w:r>
              <w:t>FIRST NORTH ICELAND</w:t>
            </w:r>
          </w:p>
        </w:tc>
      </w:tr>
      <w:tr>
        <w:trPr>
          <w:cnfStyle w:evenHBand="true" w:oddHBand="false" w:firstRow="false"/>
        </w:trPr>
        <w:tc>
          <w:tcPr>
            <w:cnfStyle w:evenVBand="false" w:oddVBand="true" w:firstColumn="false"/>
            <w:tcW w:w="33.333333%" w:type="pct"/>
          </w:tcPr>
          <w:p>
            <w:pPr>
              <w:ind w:leftChars="0" w:left="0" w:right="0"/>
            </w:pPr>
            <w:r>
              <w:t>ISEX</w:t>
            </w:r>
          </w:p>
        </w:tc>
        <w:tc>
          <w:tcPr>
            <w:cnfStyle w:evenVBand="true" w:oddVBand="false" w:firstColumn="false"/>
            <w:tcW w:w="33.333333%" w:type="pct"/>
          </w:tcPr>
          <w:p>
            <w:pPr>
              <w:ind w:leftChars="0" w:left="0" w:right="0"/>
            </w:pPr>
            <w:r>
              <w:t>ISEX</w:t>
            </w:r>
          </w:p>
        </w:tc>
        <w:tc>
          <w:tcPr>
            <w:cnfStyle w:evenVBand="false" w:oddVBand="true" w:firstColumn="false"/>
            <w:tcW w:w="33.333333%" w:type="pct"/>
          </w:tcPr>
          <w:p>
            <w:pPr>
              <w:ind w:leftChars="0" w:left="0" w:right="0"/>
            </w:pPr>
            <w:r>
              <w:t>INTER-CONNECTED STOCK EXCHANGE OF INDIA LTD</w:t>
            </w:r>
          </w:p>
        </w:tc>
      </w:tr>
      <w:tr>
        <w:trPr>
          <w:cnfStyle w:evenHBand="false" w:oddHBand="true" w:firstRow="false"/>
        </w:trPr>
        <w:tc>
          <w:tcPr>
            <w:cnfStyle w:evenVBand="false" w:oddVBand="true" w:firstColumn="false"/>
            <w:tcW w:w="33.333333%" w:type="pct"/>
          </w:tcPr>
          <w:p>
            <w:pPr>
              <w:ind w:leftChars="0" w:left="0" w:right="0"/>
            </w:pPr>
            <w:r>
              <w:t>ISSI</w:t>
            </w:r>
          </w:p>
        </w:tc>
        <w:tc>
          <w:tcPr>
            <w:cnfStyle w:evenVBand="true" w:oddVBand="false" w:firstColumn="false"/>
            <w:tcW w:w="33.333333%" w:type="pct"/>
          </w:tcPr>
          <w:p>
            <w:pPr>
              <w:ind w:leftChars="0" w:left="0" w:right="0"/>
            </w:pPr>
            <w:r>
              <w:t>ISSI</w:t>
            </w:r>
          </w:p>
        </w:tc>
        <w:tc>
          <w:tcPr>
            <w:cnfStyle w:evenVBand="false" w:oddVBand="true" w:firstColumn="false"/>
            <w:tcW w:w="33.333333%" w:type="pct"/>
          </w:tcPr>
          <w:p>
            <w:pPr>
              <w:ind w:leftChars="0" w:left="0" w:right="0"/>
            </w:pPr>
            <w:r>
              <w:t>ICBC STANDARD BANK - SYSTEMATIC INTERNALISER</w:t>
            </w:r>
          </w:p>
        </w:tc>
      </w:tr>
      <w:tr>
        <w:trPr>
          <w:cnfStyle w:evenHBand="true" w:oddHBand="false" w:firstRow="false"/>
        </w:trPr>
        <w:tc>
          <w:tcPr>
            <w:cnfStyle w:evenVBand="false" w:oddVBand="true" w:firstColumn="false"/>
            <w:tcW w:w="33.333333%" w:type="pct"/>
          </w:tcPr>
          <w:p>
            <w:pPr>
              <w:ind w:leftChars="0" w:left="0" w:right="0"/>
            </w:pPr>
            <w:r>
              <w:t>ISWA</w:t>
            </w:r>
          </w:p>
        </w:tc>
        <w:tc>
          <w:tcPr>
            <w:cnfStyle w:evenVBand="true" w:oddVBand="false" w:firstColumn="false"/>
            <w:tcW w:w="33.333333%" w:type="pct"/>
          </w:tcPr>
          <w:p>
            <w:pPr>
              <w:ind w:leftChars="0" w:left="0" w:right="0"/>
            </w:pPr>
            <w:r>
              <w:t>ISWA</w:t>
            </w:r>
          </w:p>
        </w:tc>
        <w:tc>
          <w:tcPr>
            <w:cnfStyle w:evenVBand="false" w:oddVBand="true" w:firstColumn="false"/>
            <w:tcW w:w="33.333333%" w:type="pct"/>
          </w:tcPr>
          <w:p>
            <w:pPr>
              <w:ind w:leftChars="0" w:left="0" w:right="0"/>
            </w:pPr>
            <w:r>
              <w:t>ISWAP UK MTF</w:t>
            </w:r>
          </w:p>
        </w:tc>
      </w:tr>
      <w:tr>
        <w:trPr>
          <w:cnfStyle w:evenHBand="false" w:oddHBand="true" w:firstRow="false"/>
        </w:trPr>
        <w:tc>
          <w:tcPr>
            <w:cnfStyle w:evenVBand="false" w:oddVBand="true" w:firstColumn="false"/>
            <w:tcW w:w="33.333333%" w:type="pct"/>
          </w:tcPr>
          <w:p>
            <w:pPr>
              <w:ind w:leftChars="0" w:left="0" w:right="0"/>
            </w:pPr>
            <w:r>
              <w:t>ISWB</w:t>
            </w:r>
          </w:p>
        </w:tc>
        <w:tc>
          <w:tcPr>
            <w:cnfStyle w:evenVBand="true" w:oddVBand="false" w:firstColumn="false"/>
            <w:tcW w:w="33.333333%" w:type="pct"/>
          </w:tcPr>
          <w:p>
            <w:pPr>
              <w:ind w:leftChars="0" w:left="0" w:right="0"/>
            </w:pPr>
            <w:r>
              <w:t>ISWB</w:t>
            </w:r>
          </w:p>
        </w:tc>
        <w:tc>
          <w:tcPr>
            <w:cnfStyle w:evenVBand="false" w:oddVBand="true" w:firstColumn="false"/>
            <w:tcW w:w="33.333333%" w:type="pct"/>
          </w:tcPr>
          <w:p>
            <w:pPr>
              <w:ind w:leftChars="0" w:left="0" w:right="0"/>
            </w:pPr>
            <w:r>
              <w:t>ISWAP UK MTF - TRADE REGISTRATION</w:t>
            </w:r>
          </w:p>
        </w:tc>
      </w:tr>
      <w:tr>
        <w:trPr>
          <w:cnfStyle w:evenHBand="true" w:oddHBand="false" w:firstRow="false"/>
        </w:trPr>
        <w:tc>
          <w:tcPr>
            <w:cnfStyle w:evenVBand="false" w:oddVBand="true" w:firstColumn="false"/>
            <w:tcW w:w="33.333333%" w:type="pct"/>
          </w:tcPr>
          <w:p>
            <w:pPr>
              <w:ind w:leftChars="0" w:left="0" w:right="0"/>
            </w:pPr>
            <w:r>
              <w:t>ISWC</w:t>
            </w:r>
          </w:p>
        </w:tc>
        <w:tc>
          <w:tcPr>
            <w:cnfStyle w:evenVBand="true" w:oddVBand="false" w:firstColumn="false"/>
            <w:tcW w:w="33.333333%" w:type="pct"/>
          </w:tcPr>
          <w:p>
            <w:pPr>
              <w:ind w:leftChars="0" w:left="0" w:right="0"/>
            </w:pPr>
            <w:r>
              <w:t>ISWC</w:t>
            </w:r>
          </w:p>
        </w:tc>
        <w:tc>
          <w:tcPr>
            <w:cnfStyle w:evenVBand="false" w:oddVBand="true" w:firstColumn="false"/>
            <w:tcW w:w="33.333333%" w:type="pct"/>
          </w:tcPr>
          <w:p>
            <w:pPr>
              <w:ind w:leftChars="0" w:left="0" w:right="0"/>
            </w:pPr>
            <w:r>
              <w:t>ISWAP UK MTF ORDER BOOK</w:t>
            </w:r>
          </w:p>
        </w:tc>
      </w:tr>
      <w:tr>
        <w:trPr>
          <w:cnfStyle w:evenHBand="false" w:oddHBand="true" w:firstRow="false"/>
        </w:trPr>
        <w:tc>
          <w:tcPr>
            <w:cnfStyle w:evenVBand="false" w:oddVBand="true" w:firstColumn="false"/>
            <w:tcW w:w="33.333333%" w:type="pct"/>
          </w:tcPr>
          <w:p>
            <w:pPr>
              <w:ind w:leftChars="0" w:left="0" w:right="0"/>
            </w:pPr>
            <w:r>
              <w:t>ISWE</w:t>
            </w:r>
          </w:p>
        </w:tc>
        <w:tc>
          <w:tcPr>
            <w:cnfStyle w:evenVBand="true" w:oddVBand="false" w:firstColumn="false"/>
            <w:tcW w:w="33.333333%" w:type="pct"/>
          </w:tcPr>
          <w:p>
            <w:pPr>
              <w:ind w:leftChars="0" w:left="0" w:right="0"/>
            </w:pPr>
            <w:r>
              <w:t>ISWE</w:t>
            </w:r>
          </w:p>
        </w:tc>
        <w:tc>
          <w:tcPr>
            <w:cnfStyle w:evenVBand="false" w:oddVBand="true" w:firstColumn="false"/>
            <w:tcW w:w="33.333333%" w:type="pct"/>
          </w:tcPr>
          <w:p>
            <w:pPr>
              <w:ind w:leftChars="0" w:left="0" w:right="0"/>
            </w:pPr>
            <w:r>
              <w:t>ICAP GLOBAL DERIVATIVES LIMITED - ELECTRONIC</w:t>
            </w:r>
          </w:p>
        </w:tc>
      </w:tr>
      <w:tr>
        <w:trPr>
          <w:cnfStyle w:evenHBand="true" w:oddHBand="false" w:firstRow="false"/>
        </w:trPr>
        <w:tc>
          <w:tcPr>
            <w:cnfStyle w:evenVBand="false" w:oddVBand="true" w:firstColumn="false"/>
            <w:tcW w:w="33.333333%" w:type="pct"/>
          </w:tcPr>
          <w:p>
            <w:pPr>
              <w:ind w:leftChars="0" w:left="0" w:right="0"/>
            </w:pPr>
            <w:r>
              <w:t>ISWN</w:t>
            </w:r>
          </w:p>
        </w:tc>
        <w:tc>
          <w:tcPr>
            <w:cnfStyle w:evenVBand="true" w:oddVBand="false" w:firstColumn="false"/>
            <w:tcW w:w="33.333333%" w:type="pct"/>
          </w:tcPr>
          <w:p>
            <w:pPr>
              <w:ind w:leftChars="0" w:left="0" w:right="0"/>
            </w:pPr>
            <w:r>
              <w:t>ISWN</w:t>
            </w:r>
          </w:p>
        </w:tc>
        <w:tc>
          <w:tcPr>
            <w:cnfStyle w:evenVBand="false" w:oddVBand="true" w:firstColumn="false"/>
            <w:tcW w:w="33.333333%" w:type="pct"/>
          </w:tcPr>
          <w:p>
            <w:pPr>
              <w:ind w:leftChars="0" w:left="0" w:right="0"/>
            </w:pPr>
            <w:r>
              <w:t>ISWAP EURO MTF - TRADE REGISTRATION</w:t>
            </w:r>
          </w:p>
        </w:tc>
      </w:tr>
      <w:tr>
        <w:trPr>
          <w:cnfStyle w:evenHBand="false" w:oddHBand="true" w:firstRow="false"/>
        </w:trPr>
        <w:tc>
          <w:tcPr>
            <w:cnfStyle w:evenVBand="false" w:oddVBand="true" w:firstColumn="false"/>
            <w:tcW w:w="33.333333%" w:type="pct"/>
          </w:tcPr>
          <w:p>
            <w:pPr>
              <w:ind w:leftChars="0" w:left="0" w:right="0"/>
            </w:pPr>
            <w:r>
              <w:t>ISWO</w:t>
            </w:r>
          </w:p>
        </w:tc>
        <w:tc>
          <w:tcPr>
            <w:cnfStyle w:evenVBand="true" w:oddVBand="false" w:firstColumn="false"/>
            <w:tcW w:w="33.333333%" w:type="pct"/>
          </w:tcPr>
          <w:p>
            <w:pPr>
              <w:ind w:leftChars="0" w:left="0" w:right="0"/>
            </w:pPr>
            <w:r>
              <w:t>ISWO</w:t>
            </w:r>
          </w:p>
        </w:tc>
        <w:tc>
          <w:tcPr>
            <w:cnfStyle w:evenVBand="false" w:oddVBand="true" w:firstColumn="false"/>
            <w:tcW w:w="33.333333%" w:type="pct"/>
          </w:tcPr>
          <w:p>
            <w:pPr>
              <w:ind w:leftChars="0" w:left="0" w:right="0"/>
            </w:pPr>
            <w:r>
              <w:t>ISWAP EURO MTF - ORDERBOOK</w:t>
            </w:r>
          </w:p>
        </w:tc>
      </w:tr>
      <w:tr>
        <w:trPr>
          <w:cnfStyle w:evenHBand="true" w:oddHBand="false" w:firstRow="false"/>
        </w:trPr>
        <w:tc>
          <w:tcPr>
            <w:cnfStyle w:evenVBand="false" w:oddVBand="true" w:firstColumn="false"/>
            <w:tcW w:w="33.333333%" w:type="pct"/>
          </w:tcPr>
          <w:p>
            <w:pPr>
              <w:ind w:leftChars="0" w:left="0" w:right="0"/>
            </w:pPr>
            <w:r>
              <w:t>ISWP</w:t>
            </w:r>
          </w:p>
        </w:tc>
        <w:tc>
          <w:tcPr>
            <w:cnfStyle w:evenVBand="true" w:oddVBand="false" w:firstColumn="false"/>
            <w:tcW w:w="33.333333%" w:type="pct"/>
          </w:tcPr>
          <w:p>
            <w:pPr>
              <w:ind w:leftChars="0" w:left="0" w:right="0"/>
            </w:pPr>
            <w:r>
              <w:t>ISWP</w:t>
            </w:r>
          </w:p>
        </w:tc>
        <w:tc>
          <w:tcPr>
            <w:cnfStyle w:evenVBand="false" w:oddVBand="true" w:firstColumn="false"/>
            <w:tcW w:w="33.333333%" w:type="pct"/>
          </w:tcPr>
          <w:p>
            <w:pPr>
              <w:ind w:leftChars="0" w:left="0" w:right="0"/>
            </w:pPr>
            <w:r>
              <w:t>ISWAP EURO MTF</w:t>
            </w:r>
          </w:p>
        </w:tc>
      </w:tr>
      <w:tr>
        <w:trPr>
          <w:cnfStyle w:evenHBand="false" w:oddHBand="true" w:firstRow="false"/>
        </w:trPr>
        <w:tc>
          <w:tcPr>
            <w:cnfStyle w:evenVBand="false" w:oddVBand="true" w:firstColumn="false"/>
            <w:tcW w:w="33.333333%" w:type="pct"/>
          </w:tcPr>
          <w:p>
            <w:pPr>
              <w:ind w:leftChars="0" w:left="0" w:right="0"/>
            </w:pPr>
            <w:r>
              <w:t>ISWR</w:t>
            </w:r>
          </w:p>
        </w:tc>
        <w:tc>
          <w:tcPr>
            <w:cnfStyle w:evenVBand="true" w:oddVBand="false" w:firstColumn="false"/>
            <w:tcW w:w="33.333333%" w:type="pct"/>
          </w:tcPr>
          <w:p>
            <w:pPr>
              <w:ind w:leftChars="0" w:left="0" w:right="0"/>
            </w:pPr>
            <w:r>
              <w:t>ISWR</w:t>
            </w:r>
          </w:p>
        </w:tc>
        <w:tc>
          <w:tcPr>
            <w:cnfStyle w:evenVBand="false" w:oddVBand="true" w:firstColumn="false"/>
            <w:tcW w:w="33.333333%" w:type="pct"/>
          </w:tcPr>
          <w:p>
            <w:pPr>
              <w:ind w:leftChars="0" w:left="0" w:right="0"/>
            </w:pPr>
            <w:r>
              <w:t>ISWAP UK MTF TARGETED STREAMING/RFQ</w:t>
            </w:r>
          </w:p>
        </w:tc>
      </w:tr>
      <w:tr>
        <w:trPr>
          <w:cnfStyle w:evenHBand="true" w:oddHBand="false" w:firstRow="false"/>
        </w:trPr>
        <w:tc>
          <w:tcPr>
            <w:cnfStyle w:evenVBand="false" w:oddVBand="true" w:firstColumn="false"/>
            <w:tcW w:w="33.333333%" w:type="pct"/>
          </w:tcPr>
          <w:p>
            <w:pPr>
              <w:ind w:leftChars="0" w:left="0" w:right="0"/>
            </w:pPr>
            <w:r>
              <w:t>ISWT</w:t>
            </w:r>
          </w:p>
        </w:tc>
        <w:tc>
          <w:tcPr>
            <w:cnfStyle w:evenVBand="true" w:oddVBand="false" w:firstColumn="false"/>
            <w:tcW w:w="33.333333%" w:type="pct"/>
          </w:tcPr>
          <w:p>
            <w:pPr>
              <w:ind w:leftChars="0" w:left="0" w:right="0"/>
            </w:pPr>
            <w:r>
              <w:t>ISWT</w:t>
            </w:r>
          </w:p>
        </w:tc>
        <w:tc>
          <w:tcPr>
            <w:cnfStyle w:evenVBand="false" w:oddVBand="true" w:firstColumn="false"/>
            <w:tcW w:w="33.333333%" w:type="pct"/>
          </w:tcPr>
          <w:p>
            <w:pPr>
              <w:ind w:leftChars="0" w:left="0" w:right="0"/>
            </w:pPr>
            <w:r>
              <w:t>ISWAP EURO MTF - TARGETED STREAMING / RFQ</w:t>
            </w:r>
          </w:p>
        </w:tc>
      </w:tr>
      <w:tr>
        <w:trPr>
          <w:cnfStyle w:evenHBand="false" w:oddHBand="true" w:firstRow="false"/>
        </w:trPr>
        <w:tc>
          <w:tcPr>
            <w:cnfStyle w:evenVBand="false" w:oddVBand="true" w:firstColumn="false"/>
            <w:tcW w:w="33.333333%" w:type="pct"/>
          </w:tcPr>
          <w:p>
            <w:pPr>
              <w:ind w:leftChars="0" w:left="0" w:right="0"/>
            </w:pPr>
            <w:r>
              <w:t>ISWV</w:t>
            </w:r>
          </w:p>
        </w:tc>
        <w:tc>
          <w:tcPr>
            <w:cnfStyle w:evenVBand="true" w:oddVBand="false" w:firstColumn="false"/>
            <w:tcW w:w="33.333333%" w:type="pct"/>
          </w:tcPr>
          <w:p>
            <w:pPr>
              <w:ind w:leftChars="0" w:left="0" w:right="0"/>
            </w:pPr>
            <w:r>
              <w:t>ISWV</w:t>
            </w:r>
          </w:p>
        </w:tc>
        <w:tc>
          <w:tcPr>
            <w:cnfStyle w:evenVBand="false" w:oddVBand="true" w:firstColumn="false"/>
            <w:tcW w:w="33.333333%" w:type="pct"/>
          </w:tcPr>
          <w:p>
            <w:pPr>
              <w:ind w:leftChars="0" w:left="0" w:right="0"/>
            </w:pPr>
            <w:r>
              <w:t>ICAP GLOBAL DERIVATIVES LIMITED - VOICE</w:t>
            </w:r>
          </w:p>
        </w:tc>
      </w:tr>
      <w:tr>
        <w:trPr>
          <w:cnfStyle w:evenHBand="true" w:oddHBand="false" w:firstRow="false"/>
        </w:trPr>
        <w:tc>
          <w:tcPr>
            <w:cnfStyle w:evenVBand="false" w:oddVBand="true" w:firstColumn="false"/>
            <w:tcW w:w="33.333333%" w:type="pct"/>
          </w:tcPr>
          <w:p>
            <w:pPr>
              <w:ind w:leftChars="0" w:left="0" w:right="0"/>
            </w:pPr>
            <w:r>
              <w:t>ITGI</w:t>
            </w:r>
          </w:p>
        </w:tc>
        <w:tc>
          <w:tcPr>
            <w:cnfStyle w:evenVBand="true" w:oddVBand="false" w:firstColumn="false"/>
            <w:tcW w:w="33.333333%" w:type="pct"/>
          </w:tcPr>
          <w:p>
            <w:pPr>
              <w:ind w:leftChars="0" w:left="0" w:right="0"/>
            </w:pPr>
            <w:r>
              <w:t>ITGI</w:t>
            </w:r>
          </w:p>
        </w:tc>
        <w:tc>
          <w:tcPr>
            <w:cnfStyle w:evenVBand="false" w:oddVBand="true" w:firstColumn="false"/>
            <w:tcW w:w="33.333333%" w:type="pct"/>
          </w:tcPr>
          <w:p>
            <w:pPr>
              <w:ind w:leftChars="0" w:left="0" w:right="0"/>
            </w:pPr>
            <w:r>
              <w:t>ITG - POSIT</w:t>
            </w:r>
          </w:p>
        </w:tc>
      </w:tr>
      <w:tr>
        <w:trPr>
          <w:cnfStyle w:evenHBand="false" w:oddHBand="true" w:firstRow="false"/>
        </w:trPr>
        <w:tc>
          <w:tcPr>
            <w:cnfStyle w:evenVBand="false" w:oddVBand="true" w:firstColumn="false"/>
            <w:tcW w:w="33.333333%" w:type="pct"/>
          </w:tcPr>
          <w:p>
            <w:pPr>
              <w:ind w:leftChars="0" w:left="0" w:right="0"/>
            </w:pPr>
            <w:r>
              <w:t>ITGL</w:t>
            </w:r>
          </w:p>
        </w:tc>
        <w:tc>
          <w:tcPr>
            <w:cnfStyle w:evenVBand="true" w:oddVBand="false" w:firstColumn="false"/>
            <w:tcW w:w="33.333333%" w:type="pct"/>
          </w:tcPr>
          <w:p>
            <w:pPr>
              <w:ind w:leftChars="0" w:left="0" w:right="0"/>
            </w:pPr>
            <w:r>
              <w:t>ITGL</w:t>
            </w:r>
          </w:p>
        </w:tc>
        <w:tc>
          <w:tcPr>
            <w:cnfStyle w:evenVBand="false" w:oddVBand="true" w:firstColumn="false"/>
            <w:tcW w:w="33.333333%" w:type="pct"/>
          </w:tcPr>
          <w:p>
            <w:pPr>
              <w:ind w:leftChars="0" w:left="0" w:right="0"/>
            </w:pPr>
            <w:r>
              <w:t>POSIT MTF</w:t>
            </w:r>
          </w:p>
        </w:tc>
      </w:tr>
      <w:tr>
        <w:trPr>
          <w:cnfStyle w:evenHBand="true" w:oddHBand="false" w:firstRow="false"/>
        </w:trPr>
        <w:tc>
          <w:tcPr>
            <w:cnfStyle w:evenVBand="false" w:oddVBand="true" w:firstColumn="false"/>
            <w:tcW w:w="33.333333%" w:type="pct"/>
          </w:tcPr>
          <w:p>
            <w:pPr>
              <w:ind w:leftChars="0" w:left="0" w:right="0"/>
            </w:pPr>
            <w:r>
              <w:t>ITSM</w:t>
            </w:r>
          </w:p>
        </w:tc>
        <w:tc>
          <w:tcPr>
            <w:cnfStyle w:evenVBand="true" w:oddVBand="false" w:firstColumn="false"/>
            <w:tcW w:w="33.333333%" w:type="pct"/>
          </w:tcPr>
          <w:p>
            <w:pPr>
              <w:ind w:leftChars="0" w:left="0" w:right="0"/>
            </w:pPr>
            <w:r>
              <w:t>ITSM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IUOB</w:t>
            </w:r>
          </w:p>
        </w:tc>
        <w:tc>
          <w:tcPr>
            <w:cnfStyle w:evenVBand="true" w:oddVBand="false" w:firstColumn="false"/>
            <w:tcW w:w="33.333333%" w:type="pct"/>
          </w:tcPr>
          <w:p>
            <w:pPr>
              <w:ind w:leftChars="0" w:left="0" w:right="0"/>
            </w:pPr>
            <w:r>
              <w:t>IUOB</w:t>
            </w:r>
          </w:p>
        </w:tc>
        <w:tc>
          <w:tcPr>
            <w:cnfStyle w:evenVBand="false" w:oddVBand="true" w:firstColumn="false"/>
            <w:tcW w:w="33.333333%" w:type="pct"/>
          </w:tcPr>
          <w:p>
            <w:pPr>
              <w:ind w:leftChars="0" w:left="0" w:right="0"/>
            </w:pPr>
            <w:r>
              <w:t>ICAP UK OTF - ORDERBOOK</w:t>
            </w:r>
          </w:p>
        </w:tc>
      </w:tr>
      <w:tr>
        <w:trPr>
          <w:cnfStyle w:evenHBand="true" w:oddHBand="false" w:firstRow="false"/>
        </w:trPr>
        <w:tc>
          <w:tcPr>
            <w:cnfStyle w:evenVBand="false" w:oddVBand="true" w:firstColumn="false"/>
            <w:tcW w:w="33.333333%" w:type="pct"/>
          </w:tcPr>
          <w:p>
            <w:pPr>
              <w:ind w:leftChars="0" w:left="0" w:right="0"/>
            </w:pPr>
            <w:r>
              <w:t>IVZX</w:t>
            </w:r>
          </w:p>
        </w:tc>
        <w:tc>
          <w:tcPr>
            <w:cnfStyle w:evenVBand="true" w:oddVBand="false" w:firstColumn="false"/>
            <w:tcW w:w="33.333333%" w:type="pct"/>
          </w:tcPr>
          <w:p>
            <w:pPr>
              <w:ind w:leftChars="0" w:left="0" w:right="0"/>
            </w:pPr>
            <w:r>
              <w:t>IVZX</w:t>
            </w:r>
          </w:p>
        </w:tc>
        <w:tc>
          <w:tcPr>
            <w:cnfStyle w:evenVBand="false" w:oddVBand="true" w:firstColumn="false"/>
            <w:tcW w:w="33.333333%" w:type="pct"/>
          </w:tcPr>
          <w:p>
            <w:pPr>
              <w:ind w:leftChars="0" w:left="0" w:right="0"/>
            </w:pPr>
            <w:r>
              <w:t>INVESCO CANADA PTF TRADES</w:t>
            </w:r>
          </w:p>
        </w:tc>
      </w:tr>
      <w:tr>
        <w:trPr>
          <w:cnfStyle w:evenHBand="false" w:oddHBand="true" w:firstRow="false"/>
        </w:trPr>
        <w:tc>
          <w:tcPr>
            <w:cnfStyle w:evenVBand="false" w:oddVBand="true" w:firstColumn="false"/>
            <w:tcW w:w="33.333333%" w:type="pct"/>
          </w:tcPr>
          <w:p>
            <w:pPr>
              <w:ind w:leftChars="0" w:left="0" w:right="0"/>
            </w:pPr>
            <w:r>
              <w:t>IXSP</w:t>
            </w:r>
          </w:p>
        </w:tc>
        <w:tc>
          <w:tcPr>
            <w:cnfStyle w:evenVBand="true" w:oddVBand="false" w:firstColumn="false"/>
            <w:tcW w:w="33.333333%" w:type="pct"/>
          </w:tcPr>
          <w:p>
            <w:pPr>
              <w:ind w:leftChars="0" w:left="0" w:right="0"/>
            </w:pPr>
            <w:r>
              <w:t>IXSP</w:t>
            </w:r>
          </w:p>
        </w:tc>
        <w:tc>
          <w:tcPr>
            <w:cnfStyle w:evenVBand="false" w:oddVBand="true" w:firstColumn="false"/>
            <w:tcW w:w="33.333333%" w:type="pct"/>
          </w:tcPr>
          <w:p>
            <w:pPr>
              <w:ind w:leftChars="0" w:left="0" w:right="0"/>
            </w:pPr>
            <w:r>
              <w:t>INTERNATIONAL STOCK EXCHANGE SAINT-PETERSBOURG</w:t>
            </w:r>
          </w:p>
        </w:tc>
      </w:tr>
      <w:tr>
        <w:trPr>
          <w:cnfStyle w:evenHBand="true" w:oddHBand="false" w:firstRow="false"/>
        </w:trPr>
        <w:tc>
          <w:tcPr>
            <w:cnfStyle w:evenVBand="false" w:oddVBand="true" w:firstColumn="false"/>
            <w:tcW w:w="33.333333%" w:type="pct"/>
          </w:tcPr>
          <w:p>
            <w:pPr>
              <w:ind w:leftChars="0" w:left="0" w:right="0"/>
            </w:pPr>
            <w:r>
              <w:t>JADX</w:t>
            </w:r>
          </w:p>
        </w:tc>
        <w:tc>
          <w:tcPr>
            <w:cnfStyle w:evenVBand="true" w:oddVBand="false" w:firstColumn="false"/>
            <w:tcW w:w="33.333333%" w:type="pct"/>
          </w:tcPr>
          <w:p>
            <w:pPr>
              <w:ind w:leftChars="0" w:left="0" w:right="0"/>
            </w:pPr>
            <w:r>
              <w:t>JADX</w:t>
            </w:r>
          </w:p>
        </w:tc>
        <w:tc>
          <w:tcPr>
            <w:cnfStyle w:evenVBand="false" w:oddVBand="true" w:firstColumn="false"/>
            <w:tcW w:w="33.333333%" w:type="pct"/>
          </w:tcPr>
          <w:p>
            <w:pPr>
              <w:ind w:leftChars="0" w:left="0" w:right="0"/>
            </w:pPr>
            <w:r>
              <w:t>JOINT ASIAN DERIVATIVES EXCHANGE</w:t>
            </w:r>
          </w:p>
        </w:tc>
      </w:tr>
      <w:tr>
        <w:trPr>
          <w:cnfStyle w:evenHBand="false" w:oddHBand="true" w:firstRow="false"/>
        </w:trPr>
        <w:tc>
          <w:tcPr>
            <w:cnfStyle w:evenVBand="false" w:oddVBand="true" w:firstColumn="false"/>
            <w:tcW w:w="33.333333%" w:type="pct"/>
          </w:tcPr>
          <w:p>
            <w:pPr>
              <w:ind w:leftChars="0" w:left="0" w:right="0"/>
            </w:pPr>
            <w:r>
              <w:t>JASR</w:t>
            </w:r>
          </w:p>
        </w:tc>
        <w:tc>
          <w:tcPr>
            <w:cnfStyle w:evenVBand="true" w:oddVBand="false" w:firstColumn="false"/>
            <w:tcW w:w="33.333333%" w:type="pct"/>
          </w:tcPr>
          <w:p>
            <w:pPr>
              <w:ind w:leftChars="0" w:left="0" w:right="0"/>
            </w:pPr>
            <w:r>
              <w:t>JASR</w:t>
            </w:r>
          </w:p>
        </w:tc>
        <w:tc>
          <w:tcPr>
            <w:cnfStyle w:evenVBand="false" w:oddVBand="true" w:firstColumn="false"/>
            <w:tcW w:w="33.333333%" w:type="pct"/>
          </w:tcPr>
          <w:p>
            <w:pPr>
              <w:ind w:leftChars="0" w:left="0" w:right="0"/>
            </w:pPr>
            <w:r>
              <w:t>JAPANCROSSING</w:t>
            </w:r>
          </w:p>
        </w:tc>
      </w:tr>
      <w:tr>
        <w:trPr>
          <w:cnfStyle w:evenHBand="true" w:oddHBand="false" w:firstRow="false"/>
        </w:trPr>
        <w:tc>
          <w:tcPr>
            <w:cnfStyle w:evenVBand="false" w:oddVBand="true" w:firstColumn="false"/>
            <w:tcW w:w="33.333333%" w:type="pct"/>
          </w:tcPr>
          <w:p>
            <w:pPr>
              <w:ind w:leftChars="0" w:left="0" w:right="0"/>
            </w:pPr>
            <w:r>
              <w:t>JATA</w:t>
            </w:r>
          </w:p>
        </w:tc>
        <w:tc>
          <w:tcPr>
            <w:cnfStyle w:evenVBand="true" w:oddVBand="false" w:firstColumn="false"/>
            <w:tcW w:w="33.333333%" w:type="pct"/>
          </w:tcPr>
          <w:p>
            <w:pPr>
              <w:ind w:leftChars="0" w:left="0" w:right="0"/>
            </w:pPr>
            <w:r>
              <w:t>JATA</w:t>
            </w:r>
          </w:p>
        </w:tc>
        <w:tc>
          <w:tcPr>
            <w:cnfStyle w:evenVBand="false" w:oddVBand="true" w:firstColumn="false"/>
            <w:tcW w:w="33.333333%" w:type="pct"/>
          </w:tcPr>
          <w:p>
            <w:pPr>
              <w:ind w:leftChars="0" w:left="0" w:right="0"/>
            </w:pPr>
            <w:r>
              <w:t>JASDAQ TACHIAIGAI (OFF-FLOOR MARKET)</w:t>
            </w:r>
          </w:p>
        </w:tc>
      </w:tr>
      <w:tr>
        <w:trPr>
          <w:cnfStyle w:evenHBand="false" w:oddHBand="true" w:firstRow="false"/>
        </w:trPr>
        <w:tc>
          <w:tcPr>
            <w:cnfStyle w:evenVBand="false" w:oddVBand="true" w:firstColumn="false"/>
            <w:tcW w:w="33.333333%" w:type="pct"/>
          </w:tcPr>
          <w:p>
            <w:pPr>
              <w:ind w:leftChars="0" w:left="0" w:right="0"/>
            </w:pPr>
            <w:r>
              <w:t>JBSI</w:t>
            </w:r>
          </w:p>
        </w:tc>
        <w:tc>
          <w:tcPr>
            <w:cnfStyle w:evenVBand="true" w:oddVBand="false" w:firstColumn="false"/>
            <w:tcW w:w="33.333333%" w:type="pct"/>
          </w:tcPr>
          <w:p>
            <w:pPr>
              <w:ind w:leftChars="0" w:left="0" w:right="0"/>
            </w:pPr>
            <w:r>
              <w:t>JBSI</w:t>
            </w:r>
          </w:p>
        </w:tc>
        <w:tc>
          <w:tcPr>
            <w:cnfStyle w:evenVBand="false" w:oddVBand="true" w:firstColumn="false"/>
            <w:tcW w:w="33.333333%" w:type="pct"/>
          </w:tcPr>
          <w:p>
            <w:pPr>
              <w:ind w:leftChars="0" w:left="0" w:right="0"/>
            </w:pPr>
            <w:r>
              <w:t>JYSKE BANK - SYSTEMATIC INTERNALISER</w:t>
            </w:r>
          </w:p>
        </w:tc>
      </w:tr>
      <w:tr>
        <w:trPr>
          <w:cnfStyle w:evenHBand="true" w:oddHBand="false" w:firstRow="false"/>
        </w:trPr>
        <w:tc>
          <w:tcPr>
            <w:cnfStyle w:evenVBand="false" w:oddVBand="true" w:firstColumn="false"/>
            <w:tcW w:w="33.333333%" w:type="pct"/>
          </w:tcPr>
          <w:p>
            <w:pPr>
              <w:ind w:leftChars="0" w:left="0" w:right="0"/>
            </w:pPr>
            <w:r>
              <w:t>JBUL</w:t>
            </w:r>
          </w:p>
        </w:tc>
        <w:tc>
          <w:tcPr>
            <w:cnfStyle w:evenVBand="true" w:oddVBand="false" w:firstColumn="false"/>
            <w:tcW w:w="33.333333%" w:type="pct"/>
          </w:tcPr>
          <w:p>
            <w:pPr>
              <w:ind w:leftChars="0" w:left="0" w:right="0"/>
            </w:pPr>
            <w:r>
              <w:t>JBUL</w:t>
            </w:r>
          </w:p>
        </w:tc>
        <w:tc>
          <w:tcPr>
            <w:cnfStyle w:evenVBand="false" w:oddVBand="true" w:firstColumn="false"/>
            <w:tcW w:w="33.333333%" w:type="pct"/>
          </w:tcPr>
          <w:p>
            <w:pPr>
              <w:ind w:leftChars="0" w:left="0" w:right="0"/>
            </w:pPr>
            <w:r>
              <w:t>BULGARIAN STOCK EXCHANGE - INTERNATIONAL MTF</w:t>
            </w:r>
          </w:p>
        </w:tc>
      </w:tr>
      <w:tr>
        <w:trPr>
          <w:cnfStyle w:evenHBand="false" w:oddHBand="true" w:firstRow="false"/>
        </w:trPr>
        <w:tc>
          <w:tcPr>
            <w:cnfStyle w:evenVBand="false" w:oddVBand="true" w:firstColumn="false"/>
            <w:tcW w:w="33.333333%" w:type="pct"/>
          </w:tcPr>
          <w:p>
            <w:pPr>
              <w:ind w:leftChars="0" w:left="0" w:right="0"/>
            </w:pPr>
            <w:r>
              <w:t>JEFE</w:t>
            </w:r>
          </w:p>
        </w:tc>
        <w:tc>
          <w:tcPr>
            <w:cnfStyle w:evenVBand="true" w:oddVBand="false" w:firstColumn="false"/>
            <w:tcW w:w="33.333333%" w:type="pct"/>
          </w:tcPr>
          <w:p>
            <w:pPr>
              <w:ind w:leftChars="0" w:left="0" w:right="0"/>
            </w:pPr>
            <w:r>
              <w:t>JEFE</w:t>
            </w:r>
          </w:p>
        </w:tc>
        <w:tc>
          <w:tcPr>
            <w:cnfStyle w:evenVBand="false" w:oddVBand="true" w:firstColumn="false"/>
            <w:tcW w:w="33.333333%" w:type="pct"/>
          </w:tcPr>
          <w:p>
            <w:pPr>
              <w:ind w:leftChars="0" w:left="0" w:right="0"/>
            </w:pPr>
            <w:r>
              <w:t>JEFFERIES EUROPE</w:t>
            </w:r>
          </w:p>
        </w:tc>
      </w:tr>
      <w:tr>
        <w:trPr>
          <w:cnfStyle w:evenHBand="true" w:oddHBand="false" w:firstRow="false"/>
        </w:trPr>
        <w:tc>
          <w:tcPr>
            <w:cnfStyle w:evenVBand="false" w:oddVBand="true" w:firstColumn="false"/>
            <w:tcW w:w="33.333333%" w:type="pct"/>
          </w:tcPr>
          <w:p>
            <w:pPr>
              <w:ind w:leftChars="0" w:left="0" w:right="0"/>
            </w:pPr>
            <w:r>
              <w:t>JEFS</w:t>
            </w:r>
          </w:p>
        </w:tc>
        <w:tc>
          <w:tcPr>
            <w:cnfStyle w:evenVBand="true" w:oddVBand="false" w:firstColumn="false"/>
            <w:tcW w:w="33.333333%" w:type="pct"/>
          </w:tcPr>
          <w:p>
            <w:pPr>
              <w:ind w:leftChars="0" w:left="0" w:right="0"/>
            </w:pPr>
            <w:r>
              <w:t>JEFS</w:t>
            </w:r>
          </w:p>
        </w:tc>
        <w:tc>
          <w:tcPr>
            <w:cnfStyle w:evenVBand="false" w:oddVBand="true" w:firstColumn="false"/>
            <w:tcW w:w="33.333333%" w:type="pct"/>
          </w:tcPr>
          <w:p>
            <w:pPr>
              <w:ind w:leftChars="0" w:left="0" w:right="0"/>
            </w:pPr>
            <w:r>
              <w:t>JEFFERIES INTERNATIONAL - SYSTEMATIC INTERNALISER</w:t>
            </w:r>
          </w:p>
        </w:tc>
      </w:tr>
      <w:tr>
        <w:trPr>
          <w:cnfStyle w:evenHBand="false" w:oddHBand="true" w:firstRow="false"/>
        </w:trPr>
        <w:tc>
          <w:tcPr>
            <w:cnfStyle w:evenVBand="false" w:oddVBand="true" w:firstColumn="false"/>
            <w:tcW w:w="33.333333%" w:type="pct"/>
          </w:tcPr>
          <w:p>
            <w:pPr>
              <w:ind w:leftChars="0" w:left="0" w:right="0"/>
            </w:pPr>
            <w:r>
              <w:t>JEFX</w:t>
            </w:r>
          </w:p>
        </w:tc>
        <w:tc>
          <w:tcPr>
            <w:cnfStyle w:evenVBand="true" w:oddVBand="false" w:firstColumn="false"/>
            <w:tcW w:w="33.333333%" w:type="pct"/>
          </w:tcPr>
          <w:p>
            <w:pPr>
              <w:ind w:leftChars="0" w:left="0" w:right="0"/>
            </w:pPr>
            <w:r>
              <w:t>JEFX</w:t>
            </w:r>
          </w:p>
        </w:tc>
        <w:tc>
          <w:tcPr>
            <w:cnfStyle w:evenVBand="false" w:oddVBand="true" w:firstColumn="false"/>
            <w:tcW w:w="33.333333%" w:type="pct"/>
          </w:tcPr>
          <w:p>
            <w:pPr>
              <w:ind w:leftChars="0" w:left="0" w:right="0"/>
            </w:pPr>
            <w:r>
              <w:t>JETX</w:t>
            </w:r>
          </w:p>
        </w:tc>
      </w:tr>
      <w:tr>
        <w:trPr>
          <w:cnfStyle w:evenHBand="true" w:oddHBand="false" w:firstRow="false"/>
        </w:trPr>
        <w:tc>
          <w:tcPr>
            <w:cnfStyle w:evenVBand="false" w:oddVBand="true" w:firstColumn="false"/>
            <w:tcW w:w="33.333333%" w:type="pct"/>
          </w:tcPr>
          <w:p>
            <w:pPr>
              <w:ind w:leftChars="0" w:left="0" w:right="0"/>
            </w:pPr>
            <w:r>
              <w:t>JESI</w:t>
            </w:r>
          </w:p>
        </w:tc>
        <w:tc>
          <w:tcPr>
            <w:cnfStyle w:evenVBand="true" w:oddVBand="false" w:firstColumn="false"/>
            <w:tcW w:w="33.333333%" w:type="pct"/>
          </w:tcPr>
          <w:p>
            <w:pPr>
              <w:ind w:leftChars="0" w:left="0" w:right="0"/>
            </w:pPr>
            <w:r>
              <w:t>JESI</w:t>
            </w:r>
          </w:p>
        </w:tc>
        <w:tc>
          <w:tcPr>
            <w:cnfStyle w:evenVBand="false" w:oddVBand="true" w:firstColumn="false"/>
            <w:tcW w:w="33.333333%" w:type="pct"/>
          </w:tcPr>
          <w:p>
            <w:pPr>
              <w:ind w:leftChars="0" w:left="0" w:right="0"/>
            </w:pPr>
            <w:r>
              <w:t>JEFFERIES EUROPE - SYSTEMATIC INTERNALISER</w:t>
            </w:r>
          </w:p>
        </w:tc>
      </w:tr>
      <w:tr>
        <w:trPr>
          <w:cnfStyle w:evenHBand="false" w:oddHBand="true" w:firstRow="false"/>
        </w:trPr>
        <w:tc>
          <w:tcPr>
            <w:cnfStyle w:evenVBand="false" w:oddVBand="true" w:firstColumn="false"/>
            <w:tcW w:w="33.333333%" w:type="pct"/>
          </w:tcPr>
          <w:p>
            <w:pPr>
              <w:ind w:leftChars="0" w:left="0" w:right="0"/>
            </w:pPr>
            <w:r>
              <w:t>JISI</w:t>
            </w:r>
          </w:p>
        </w:tc>
        <w:tc>
          <w:tcPr>
            <w:cnfStyle w:evenVBand="true" w:oddVBand="false" w:firstColumn="false"/>
            <w:tcW w:w="33.333333%" w:type="pct"/>
          </w:tcPr>
          <w:p>
            <w:pPr>
              <w:ind w:leftChars="0" w:left="0" w:right="0"/>
            </w:pPr>
            <w:r>
              <w:t>JISI</w:t>
            </w:r>
          </w:p>
        </w:tc>
        <w:tc>
          <w:tcPr>
            <w:cnfStyle w:evenVBand="false" w:oddVBand="true" w:firstColumn="false"/>
            <w:tcW w:w="33.333333%" w:type="pct"/>
          </w:tcPr>
          <w:p>
            <w:pPr>
              <w:ind w:leftChars="0" w:left="0" w:right="0"/>
            </w:pPr>
            <w:r>
              <w:t>JEFFERIES INTERNATIONAL</w:t>
            </w:r>
          </w:p>
        </w:tc>
      </w:tr>
      <w:tr>
        <w:trPr>
          <w:cnfStyle w:evenHBand="true" w:oddHBand="false" w:firstRow="false"/>
        </w:trPr>
        <w:tc>
          <w:tcPr>
            <w:cnfStyle w:evenVBand="false" w:oddVBand="true" w:firstColumn="false"/>
            <w:tcW w:w="33.333333%" w:type="pct"/>
          </w:tcPr>
          <w:p>
            <w:pPr>
              <w:ind w:leftChars="0" w:left="0" w:right="0"/>
            </w:pPr>
            <w:r>
              <w:t>JLEQ</w:t>
            </w:r>
          </w:p>
        </w:tc>
        <w:tc>
          <w:tcPr>
            <w:cnfStyle w:evenVBand="true" w:oddVBand="false" w:firstColumn="false"/>
            <w:tcW w:w="33.333333%" w:type="pct"/>
          </w:tcPr>
          <w:p>
            <w:pPr>
              <w:ind w:leftChars="0" w:left="0" w:right="0"/>
            </w:pPr>
            <w:r>
              <w:t>JLEQ</w:t>
            </w:r>
          </w:p>
        </w:tc>
        <w:tc>
          <w:tcPr>
            <w:cnfStyle w:evenVBand="false" w:oddVBand="true" w:firstColumn="false"/>
            <w:tcW w:w="33.333333%" w:type="pct"/>
          </w:tcPr>
          <w:p>
            <w:pPr>
              <w:ind w:leftChars="0" w:left="0" w:right="0"/>
            </w:pPr>
            <w:r>
              <w:t>JUMP LIQUIDITY - US EQUITY PLATFORM</w:t>
            </w:r>
          </w:p>
        </w:tc>
      </w:tr>
      <w:tr>
        <w:trPr>
          <w:cnfStyle w:evenHBand="false" w:oddHBand="true" w:firstRow="false"/>
        </w:trPr>
        <w:tc>
          <w:tcPr>
            <w:cnfStyle w:evenVBand="false" w:oddVBand="true" w:firstColumn="false"/>
            <w:tcW w:w="33.333333%" w:type="pct"/>
          </w:tcPr>
          <w:p>
            <w:pPr>
              <w:ind w:leftChars="0" w:left="0" w:right="0"/>
            </w:pPr>
            <w:r>
              <w:t>JLEU</w:t>
            </w:r>
          </w:p>
        </w:tc>
        <w:tc>
          <w:tcPr>
            <w:cnfStyle w:evenVBand="true" w:oddVBand="false" w:firstColumn="false"/>
            <w:tcW w:w="33.333333%" w:type="pct"/>
          </w:tcPr>
          <w:p>
            <w:pPr>
              <w:ind w:leftChars="0" w:left="0" w:right="0"/>
            </w:pPr>
            <w:r>
              <w:t>JLEU</w:t>
            </w:r>
          </w:p>
        </w:tc>
        <w:tc>
          <w:tcPr>
            <w:cnfStyle w:evenVBand="false" w:oddVBand="true" w:firstColumn="false"/>
            <w:tcW w:w="33.333333%" w:type="pct"/>
          </w:tcPr>
          <w:p>
            <w:pPr>
              <w:ind w:leftChars="0" w:left="0" w:right="0"/>
            </w:pPr>
            <w:r>
              <w:t>JUMP LIQUIDITY EU EQUITY PLATFORM</w:t>
            </w:r>
          </w:p>
        </w:tc>
      </w:tr>
      <w:tr>
        <w:trPr>
          <w:cnfStyle w:evenHBand="true" w:oddHBand="false" w:firstRow="false"/>
        </w:trPr>
        <w:tc>
          <w:tcPr>
            <w:cnfStyle w:evenVBand="false" w:oddVBand="true" w:firstColumn="false"/>
            <w:tcW w:w="33.333333%" w:type="pct"/>
          </w:tcPr>
          <w:p>
            <w:pPr>
              <w:ind w:leftChars="0" w:left="0" w:right="0"/>
            </w:pPr>
            <w:r>
              <w:t>JLQD</w:t>
            </w:r>
          </w:p>
        </w:tc>
        <w:tc>
          <w:tcPr>
            <w:cnfStyle w:evenVBand="true" w:oddVBand="false" w:firstColumn="false"/>
            <w:tcW w:w="33.333333%" w:type="pct"/>
          </w:tcPr>
          <w:p>
            <w:pPr>
              <w:ind w:leftChars="0" w:left="0" w:right="0"/>
            </w:pPr>
            <w:r>
              <w:t>JLQD</w:t>
            </w:r>
          </w:p>
        </w:tc>
        <w:tc>
          <w:tcPr>
            <w:cnfStyle w:evenVBand="false" w:oddVBand="true" w:firstColumn="false"/>
            <w:tcW w:w="33.333333%" w:type="pct"/>
          </w:tcPr>
          <w:p>
            <w:pPr>
              <w:ind w:leftChars="0" w:left="0" w:right="0"/>
            </w:pPr>
            <w:r>
              <w:t>JUMP LIQUIDITY - MULTI-ASSET PLATFORM</w:t>
            </w:r>
          </w:p>
        </w:tc>
      </w:tr>
      <w:tr>
        <w:trPr>
          <w:cnfStyle w:evenHBand="false" w:oddHBand="true" w:firstRow="false"/>
        </w:trPr>
        <w:tc>
          <w:tcPr>
            <w:cnfStyle w:evenVBand="false" w:oddVBand="true" w:firstColumn="false"/>
            <w:tcW w:w="33.333333%" w:type="pct"/>
          </w:tcPr>
          <w:p>
            <w:pPr>
              <w:ind w:leftChars="0" w:left="0" w:right="0"/>
            </w:pPr>
            <w:r>
              <w:t>JLSI</w:t>
            </w:r>
          </w:p>
        </w:tc>
        <w:tc>
          <w:tcPr>
            <w:cnfStyle w:evenVBand="true" w:oddVBand="false" w:firstColumn="false"/>
            <w:tcW w:w="33.333333%" w:type="pct"/>
          </w:tcPr>
          <w:p>
            <w:pPr>
              <w:ind w:leftChars="0" w:left="0" w:right="0"/>
            </w:pPr>
            <w:r>
              <w:t>JLSI</w:t>
            </w:r>
          </w:p>
        </w:tc>
        <w:tc>
          <w:tcPr>
            <w:cnfStyle w:evenVBand="false" w:oddVBand="true" w:firstColumn="false"/>
            <w:tcW w:w="33.333333%" w:type="pct"/>
          </w:tcPr>
          <w:p>
            <w:pPr>
              <w:ind w:leftChars="0" w:left="0" w:right="0"/>
            </w:pPr>
            <w:r>
              <w:t>JUMP LIQUIDITY - SYSTEMATIC INTERNALISER</w:t>
            </w:r>
          </w:p>
        </w:tc>
      </w:tr>
      <w:tr>
        <w:trPr>
          <w:cnfStyle w:evenHBand="true" w:oddHBand="false" w:firstRow="false"/>
        </w:trPr>
        <w:tc>
          <w:tcPr>
            <w:cnfStyle w:evenVBand="false" w:oddVBand="true" w:firstColumn="false"/>
            <w:tcW w:w="33.333333%" w:type="pct"/>
          </w:tcPr>
          <w:p>
            <w:pPr>
              <w:ind w:leftChars="0" w:left="0" w:right="0"/>
            </w:pPr>
            <w:r>
              <w:t>JNSI</w:t>
            </w:r>
          </w:p>
        </w:tc>
        <w:tc>
          <w:tcPr>
            <w:cnfStyle w:evenVBand="true" w:oddVBand="false" w:firstColumn="false"/>
            <w:tcW w:w="33.333333%" w:type="pct"/>
          </w:tcPr>
          <w:p>
            <w:pPr>
              <w:ind w:leftChars="0" w:left="0" w:right="0"/>
            </w:pPr>
            <w:r>
              <w:t>JNSI</w:t>
            </w:r>
          </w:p>
        </w:tc>
        <w:tc>
          <w:tcPr>
            <w:cnfStyle w:evenVBand="false" w:oddVBand="true" w:firstColumn="false"/>
            <w:tcW w:w="33.333333%" w:type="pct"/>
          </w:tcPr>
          <w:p>
            <w:pPr>
              <w:ind w:leftChars="0" w:left="0" w:right="0"/>
            </w:pPr>
            <w:r>
              <w:t>JANE STREET NETHERLANDS B.V. - SYSTEMATIC INTERNALISER</w:t>
            </w:r>
          </w:p>
        </w:tc>
      </w:tr>
      <w:tr>
        <w:trPr>
          <w:cnfStyle w:evenHBand="false" w:oddHBand="true" w:firstRow="false"/>
        </w:trPr>
        <w:tc>
          <w:tcPr>
            <w:cnfStyle w:evenVBand="false" w:oddVBand="true" w:firstColumn="false"/>
            <w:tcW w:w="33.333333%" w:type="pct"/>
          </w:tcPr>
          <w:p>
            <w:pPr>
              <w:ind w:leftChars="0" w:left="0" w:right="0"/>
            </w:pPr>
            <w:r>
              <w:t>JNST</w:t>
            </w:r>
          </w:p>
        </w:tc>
        <w:tc>
          <w:tcPr>
            <w:cnfStyle w:evenVBand="true" w:oddVBand="false" w:firstColumn="false"/>
            <w:tcW w:w="33.333333%" w:type="pct"/>
          </w:tcPr>
          <w:p>
            <w:pPr>
              <w:ind w:leftChars="0" w:left="0" w:right="0"/>
            </w:pPr>
            <w:r>
              <w:t>JNST</w:t>
            </w:r>
          </w:p>
        </w:tc>
        <w:tc>
          <w:tcPr>
            <w:cnfStyle w:evenVBand="false" w:oddVBand="true" w:firstColumn="false"/>
            <w:tcW w:w="33.333333%" w:type="pct"/>
          </w:tcPr>
          <w:p>
            <w:pPr>
              <w:ind w:leftChars="0" w:left="0" w:right="0"/>
            </w:pPr>
            <w:r>
              <w:t>JANE STREET CAPITAL, LLC</w:t>
            </w:r>
          </w:p>
        </w:tc>
      </w:tr>
      <w:tr>
        <w:trPr>
          <w:cnfStyle w:evenHBand="true" w:oddHBand="false" w:firstRow="false"/>
        </w:trPr>
        <w:tc>
          <w:tcPr>
            <w:cnfStyle w:evenVBand="false" w:oddVBand="true" w:firstColumn="false"/>
            <w:tcW w:w="33.333333%" w:type="pct"/>
          </w:tcPr>
          <w:p>
            <w:pPr>
              <w:ind w:leftChars="0" w:left="0" w:right="0"/>
            </w:pPr>
            <w:r>
              <w:t>JPBX</w:t>
            </w:r>
          </w:p>
        </w:tc>
        <w:tc>
          <w:tcPr>
            <w:cnfStyle w:evenVBand="true" w:oddVBand="false" w:firstColumn="false"/>
            <w:tcW w:w="33.333333%" w:type="pct"/>
          </w:tcPr>
          <w:p>
            <w:pPr>
              <w:ind w:leftChars="0" w:left="0" w:right="0"/>
            </w:pPr>
            <w:r>
              <w:t>JPBX</w:t>
            </w:r>
          </w:p>
        </w:tc>
        <w:tc>
          <w:tcPr>
            <w:cnfStyle w:evenVBand="false" w:oddVBand="true" w:firstColumn="false"/>
            <w:tcW w:w="33.333333%" w:type="pct"/>
          </w:tcPr>
          <w:p>
            <w:pPr>
              <w:ind w:leftChars="0" w:left="0" w:right="0"/>
            </w:pPr>
            <w:r>
              <w:t>JPBX</w:t>
            </w:r>
          </w:p>
        </w:tc>
      </w:tr>
      <w:tr>
        <w:trPr>
          <w:cnfStyle w:evenHBand="false" w:oddHBand="true" w:firstRow="false"/>
        </w:trPr>
        <w:tc>
          <w:tcPr>
            <w:cnfStyle w:evenVBand="false" w:oddVBand="true" w:firstColumn="false"/>
            <w:tcW w:w="33.333333%" w:type="pct"/>
          </w:tcPr>
          <w:p>
            <w:pPr>
              <w:ind w:leftChars="0" w:left="0" w:right="0"/>
            </w:pPr>
            <w:r>
              <w:t>JPCB</w:t>
            </w:r>
          </w:p>
        </w:tc>
        <w:tc>
          <w:tcPr>
            <w:cnfStyle w:evenVBand="true" w:oddVBand="false" w:firstColumn="false"/>
            <w:tcW w:w="33.333333%" w:type="pct"/>
          </w:tcPr>
          <w:p>
            <w:pPr>
              <w:ind w:leftChars="0" w:left="0" w:right="0"/>
            </w:pPr>
            <w:r>
              <w:t>JPCB</w:t>
            </w:r>
          </w:p>
        </w:tc>
        <w:tc>
          <w:tcPr>
            <w:cnfStyle w:evenVBand="false" w:oddVBand="true" w:firstColumn="false"/>
            <w:tcW w:w="33.333333%" w:type="pct"/>
          </w:tcPr>
          <w:p>
            <w:pPr>
              <w:ind w:leftChars="0" w:left="0" w:right="0"/>
            </w:pPr>
            <w:r>
              <w:t>JPMORGAN CHASE BANK N.A. LONDON BRANCH</w:t>
            </w:r>
          </w:p>
        </w:tc>
      </w:tr>
      <w:tr>
        <w:trPr>
          <w:cnfStyle w:evenHBand="true" w:oddHBand="false" w:firstRow="false"/>
        </w:trPr>
        <w:tc>
          <w:tcPr>
            <w:cnfStyle w:evenVBand="false" w:oddVBand="true" w:firstColumn="false"/>
            <w:tcW w:w="33.333333%" w:type="pct"/>
          </w:tcPr>
          <w:p>
            <w:pPr>
              <w:ind w:leftChars="0" w:left="0" w:right="0"/>
            </w:pPr>
            <w:r>
              <w:t>JPEU</w:t>
            </w:r>
          </w:p>
        </w:tc>
        <w:tc>
          <w:tcPr>
            <w:cnfStyle w:evenVBand="true" w:oddVBand="false" w:firstColumn="false"/>
            <w:tcW w:w="33.333333%" w:type="pct"/>
          </w:tcPr>
          <w:p>
            <w:pPr>
              <w:ind w:leftChars="0" w:left="0" w:right="0"/>
            </w:pPr>
            <w:r>
              <w:t>JPEU</w:t>
            </w:r>
          </w:p>
        </w:tc>
        <w:tc>
          <w:tcPr>
            <w:cnfStyle w:evenVBand="false" w:oddVBand="true" w:firstColumn="false"/>
            <w:tcW w:w="33.333333%" w:type="pct"/>
          </w:tcPr>
          <w:p>
            <w:pPr>
              <w:ind w:leftChars="0" w:left="0" w:right="0"/>
            </w:pPr>
            <w:r>
              <w:t>J.P. MORGAN SE - SYSTEMATIC INTERNALISER</w:t>
            </w:r>
          </w:p>
        </w:tc>
      </w:tr>
      <w:tr>
        <w:trPr>
          <w:cnfStyle w:evenHBand="false" w:oddHBand="true" w:firstRow="false"/>
        </w:trPr>
        <w:tc>
          <w:tcPr>
            <w:cnfStyle w:evenVBand="false" w:oddVBand="true" w:firstColumn="false"/>
            <w:tcW w:w="33.333333%" w:type="pct"/>
          </w:tcPr>
          <w:p>
            <w:pPr>
              <w:ind w:leftChars="0" w:left="0" w:right="0"/>
            </w:pPr>
            <w:r>
              <w:t>JPMI</w:t>
            </w:r>
          </w:p>
        </w:tc>
        <w:tc>
          <w:tcPr>
            <w:cnfStyle w:evenVBand="true" w:oddVBand="false" w:firstColumn="false"/>
            <w:tcW w:w="33.333333%" w:type="pct"/>
          </w:tcPr>
          <w:p>
            <w:pPr>
              <w:ind w:leftChars="0" w:left="0" w:right="0"/>
            </w:pPr>
            <w:r>
              <w:t>JPMI</w:t>
            </w:r>
          </w:p>
        </w:tc>
        <w:tc>
          <w:tcPr>
            <w:cnfStyle w:evenVBand="false" w:oddVBand="true" w:firstColumn="false"/>
            <w:tcW w:w="33.333333%" w:type="pct"/>
          </w:tcPr>
          <w:p>
            <w:pPr>
              <w:ind w:leftChars="0" w:left="0" w:right="0"/>
            </w:pPr>
            <w:r>
              <w:t>JP MORGAN - JPMI MARKET</w:t>
            </w:r>
          </w:p>
        </w:tc>
      </w:tr>
      <w:tr>
        <w:trPr>
          <w:cnfStyle w:evenHBand="true" w:oddHBand="false" w:firstRow="false"/>
        </w:trPr>
        <w:tc>
          <w:tcPr>
            <w:cnfStyle w:evenVBand="false" w:oddVBand="true" w:firstColumn="false"/>
            <w:tcW w:w="33.333333%" w:type="pct"/>
          </w:tcPr>
          <w:p>
            <w:pPr>
              <w:ind w:leftChars="0" w:left="0" w:right="0"/>
            </w:pPr>
            <w:r>
              <w:t>JPMS</w:t>
            </w:r>
          </w:p>
        </w:tc>
        <w:tc>
          <w:tcPr>
            <w:cnfStyle w:evenVBand="true" w:oddVBand="false" w:firstColumn="false"/>
            <w:tcW w:w="33.333333%" w:type="pct"/>
          </w:tcPr>
          <w:p>
            <w:pPr>
              <w:ind w:leftChars="0" w:left="0" w:right="0"/>
            </w:pPr>
            <w:r>
              <w:t>JPMS</w:t>
            </w:r>
          </w:p>
        </w:tc>
        <w:tc>
          <w:tcPr>
            <w:cnfStyle w:evenVBand="false" w:oddVBand="true" w:firstColumn="false"/>
            <w:tcW w:w="33.333333%" w:type="pct"/>
          </w:tcPr>
          <w:p>
            <w:pPr>
              <w:ind w:leftChars="0" w:left="0" w:right="0"/>
            </w:pPr>
            <w:r>
              <w:t>JPMS, LLC</w:t>
            </w:r>
          </w:p>
        </w:tc>
      </w:tr>
      <w:tr>
        <w:trPr>
          <w:cnfStyle w:evenHBand="false" w:oddHBand="true" w:firstRow="false"/>
        </w:trPr>
        <w:tc>
          <w:tcPr>
            <w:cnfStyle w:evenVBand="false" w:oddVBand="true" w:firstColumn="false"/>
            <w:tcW w:w="33.333333%" w:type="pct"/>
          </w:tcPr>
          <w:p>
            <w:pPr>
              <w:ind w:leftChars="0" w:left="0" w:right="0"/>
            </w:pPr>
            <w:r>
              <w:t>JPMX</w:t>
            </w:r>
          </w:p>
        </w:tc>
        <w:tc>
          <w:tcPr>
            <w:cnfStyle w:evenVBand="true" w:oddVBand="false" w:firstColumn="false"/>
            <w:tcW w:w="33.333333%" w:type="pct"/>
          </w:tcPr>
          <w:p>
            <w:pPr>
              <w:ind w:leftChars="0" w:left="0" w:right="0"/>
            </w:pPr>
            <w:r>
              <w:t>JPMX</w:t>
            </w:r>
          </w:p>
        </w:tc>
        <w:tc>
          <w:tcPr>
            <w:cnfStyle w:evenVBand="false" w:oddVBand="true" w:firstColumn="false"/>
            <w:tcW w:w="33.333333%" w:type="pct"/>
          </w:tcPr>
          <w:p>
            <w:pPr>
              <w:ind w:leftChars="0" w:left="0" w:right="0"/>
            </w:pPr>
            <w:r>
              <w:t>JPMX</w:t>
            </w:r>
          </w:p>
        </w:tc>
      </w:tr>
      <w:tr>
        <w:trPr>
          <w:cnfStyle w:evenHBand="true" w:oddHBand="false" w:firstRow="false"/>
        </w:trPr>
        <w:tc>
          <w:tcPr>
            <w:cnfStyle w:evenVBand="false" w:oddVBand="true" w:firstColumn="false"/>
            <w:tcW w:w="33.333333%" w:type="pct"/>
          </w:tcPr>
          <w:p>
            <w:pPr>
              <w:ind w:leftChars="0" w:left="0" w:right="0"/>
            </w:pPr>
            <w:r>
              <w:t>JPSI</w:t>
            </w:r>
          </w:p>
        </w:tc>
        <w:tc>
          <w:tcPr>
            <w:cnfStyle w:evenVBand="true" w:oddVBand="false" w:firstColumn="false"/>
            <w:tcW w:w="33.333333%" w:type="pct"/>
          </w:tcPr>
          <w:p>
            <w:pPr>
              <w:ind w:leftChars="0" w:left="0" w:right="0"/>
            </w:pPr>
            <w:r>
              <w:t>JPSI</w:t>
            </w:r>
          </w:p>
        </w:tc>
        <w:tc>
          <w:tcPr>
            <w:cnfStyle w:evenVBand="false" w:oddVBand="true" w:firstColumn="false"/>
            <w:tcW w:w="33.333333%" w:type="pct"/>
          </w:tcPr>
          <w:p>
            <w:pPr>
              <w:ind w:leftChars="0" w:left="0" w:right="0"/>
            </w:pPr>
            <w:r>
              <w:t>J.P. MORGAN SECURITIES PLC</w:t>
            </w:r>
          </w:p>
        </w:tc>
      </w:tr>
      <w:tr>
        <w:trPr>
          <w:cnfStyle w:evenHBand="false" w:oddHBand="true" w:firstRow="false"/>
        </w:trPr>
        <w:tc>
          <w:tcPr>
            <w:cnfStyle w:evenVBand="false" w:oddVBand="true" w:firstColumn="false"/>
            <w:tcW w:w="33.333333%" w:type="pct"/>
          </w:tcPr>
          <w:p>
            <w:pPr>
              <w:ind w:leftChars="0" w:left="0" w:right="0"/>
            </w:pPr>
            <w:r>
              <w:t>JSEB</w:t>
            </w:r>
          </w:p>
        </w:tc>
        <w:tc>
          <w:tcPr>
            <w:cnfStyle w:evenVBand="true" w:oddVBand="false" w:firstColumn="false"/>
            <w:tcW w:w="33.333333%" w:type="pct"/>
          </w:tcPr>
          <w:p>
            <w:pPr>
              <w:ind w:leftChars="0" w:left="0" w:right="0"/>
            </w:pPr>
            <w:r>
              <w:t>JSEB</w:t>
            </w:r>
          </w:p>
        </w:tc>
        <w:tc>
          <w:tcPr>
            <w:cnfStyle w:evenVBand="false" w:oddVBand="true" w:firstColumn="false"/>
            <w:tcW w:w="33.333333%" w:type="pct"/>
          </w:tcPr>
          <w:p>
            <w:pPr>
              <w:ind w:leftChars="0" w:left="0" w:right="0"/>
            </w:pPr>
            <w:r>
              <w:t>JSE BOND ELECTRONIC TRADING PLATFORM</w:t>
            </w:r>
          </w:p>
        </w:tc>
      </w:tr>
      <w:tr>
        <w:trPr>
          <w:cnfStyle w:evenHBand="true" w:oddHBand="false" w:firstRow="false"/>
        </w:trPr>
        <w:tc>
          <w:tcPr>
            <w:cnfStyle w:evenVBand="false" w:oddVBand="true" w:firstColumn="false"/>
            <w:tcW w:w="33.333333%" w:type="pct"/>
          </w:tcPr>
          <w:p>
            <w:pPr>
              <w:ind w:leftChars="0" w:left="0" w:right="0"/>
            </w:pPr>
            <w:r>
              <w:t>JSEF</w:t>
            </w:r>
          </w:p>
        </w:tc>
        <w:tc>
          <w:tcPr>
            <w:cnfStyle w:evenVBand="true" w:oddVBand="false" w:firstColumn="false"/>
            <w:tcW w:w="33.333333%" w:type="pct"/>
          </w:tcPr>
          <w:p>
            <w:pPr>
              <w:ind w:leftChars="0" w:left="0" w:right="0"/>
            </w:pPr>
            <w:r>
              <w:t>JSEF</w:t>
            </w:r>
          </w:p>
        </w:tc>
        <w:tc>
          <w:tcPr>
            <w:cnfStyle w:evenVBand="false" w:oddVBand="true" w:firstColumn="false"/>
            <w:tcW w:w="33.333333%" w:type="pct"/>
          </w:tcPr>
          <w:p>
            <w:pPr>
              <w:ind w:leftChars="0" w:left="0" w:right="0"/>
            </w:pPr>
            <w:r>
              <w:t>JAVELIN SEF, LLC</w:t>
            </w:r>
          </w:p>
        </w:tc>
      </w:tr>
      <w:tr>
        <w:trPr>
          <w:cnfStyle w:evenHBand="false" w:oddHBand="true" w:firstRow="false"/>
        </w:trPr>
        <w:tc>
          <w:tcPr>
            <w:cnfStyle w:evenVBand="false" w:oddVBand="true" w:firstColumn="false"/>
            <w:tcW w:w="33.333333%" w:type="pct"/>
          </w:tcPr>
          <w:p>
            <w:pPr>
              <w:ind w:leftChars="0" w:left="0" w:right="0"/>
            </w:pPr>
            <w:r>
              <w:t>JSER</w:t>
            </w:r>
          </w:p>
        </w:tc>
        <w:tc>
          <w:tcPr>
            <w:cnfStyle w:evenVBand="true" w:oddVBand="false" w:firstColumn="false"/>
            <w:tcW w:w="33.333333%" w:type="pct"/>
          </w:tcPr>
          <w:p>
            <w:pPr>
              <w:ind w:leftChars="0" w:left="0" w:right="0"/>
            </w:pPr>
            <w:r>
              <w:t>JSER</w:t>
            </w:r>
          </w:p>
        </w:tc>
        <w:tc>
          <w:tcPr>
            <w:cnfStyle w:evenVBand="false" w:oddVBand="true" w:firstColumn="false"/>
            <w:tcW w:w="33.333333%" w:type="pct"/>
          </w:tcPr>
          <w:p>
            <w:pPr>
              <w:ind w:leftChars="0" w:left="0" w:right="0"/>
            </w:pPr>
            <w:r>
              <w:t>JSE REPO MARKET</w:t>
            </w:r>
          </w:p>
        </w:tc>
      </w:tr>
      <w:tr>
        <w:trPr>
          <w:cnfStyle w:evenHBand="true" w:oddHBand="false" w:firstRow="false"/>
        </w:trPr>
        <w:tc>
          <w:tcPr>
            <w:cnfStyle w:evenVBand="false" w:oddVBand="true" w:firstColumn="false"/>
            <w:tcW w:w="33.333333%" w:type="pct"/>
          </w:tcPr>
          <w:p>
            <w:pPr>
              <w:ind w:leftChars="0" w:left="0" w:right="0"/>
            </w:pPr>
            <w:r>
              <w:t>JSES</w:t>
            </w:r>
          </w:p>
        </w:tc>
        <w:tc>
          <w:tcPr>
            <w:cnfStyle w:evenVBand="true" w:oddVBand="false" w:firstColumn="false"/>
            <w:tcW w:w="33.333333%" w:type="pct"/>
          </w:tcPr>
          <w:p>
            <w:pPr>
              <w:ind w:leftChars="0" w:left="0" w:right="0"/>
            </w:pPr>
            <w:r>
              <w:t>JSES</w:t>
            </w:r>
          </w:p>
        </w:tc>
        <w:tc>
          <w:tcPr>
            <w:cnfStyle w:evenVBand="false" w:oddVBand="true" w:firstColumn="false"/>
            <w:tcW w:w="33.333333%" w:type="pct"/>
          </w:tcPr>
          <w:p>
            <w:pPr>
              <w:ind w:leftChars="0" w:left="0" w:right="0"/>
            </w:pPr>
            <w:r>
              <w:t>JANE STREET EXECUTION SERVICES LLC</w:t>
            </w:r>
          </w:p>
        </w:tc>
      </w:tr>
      <w:tr>
        <w:trPr>
          <w:cnfStyle w:evenHBand="false" w:oddHBand="true" w:firstRow="false"/>
        </w:trPr>
        <w:tc>
          <w:tcPr>
            <w:cnfStyle w:evenVBand="false" w:oddVBand="true" w:firstColumn="false"/>
            <w:tcW w:w="33.333333%" w:type="pct"/>
          </w:tcPr>
          <w:p>
            <w:pPr>
              <w:ind w:leftChars="0" w:left="0" w:right="0"/>
            </w:pPr>
            <w:r>
              <w:t>JSJX</w:t>
            </w:r>
          </w:p>
        </w:tc>
        <w:tc>
          <w:tcPr>
            <w:cnfStyle w:evenVBand="true" w:oddVBand="false" w:firstColumn="false"/>
            <w:tcW w:w="33.333333%" w:type="pct"/>
          </w:tcPr>
          <w:p>
            <w:pPr>
              <w:ind w:leftChars="0" w:left="0" w:right="0"/>
            </w:pPr>
            <w:r>
              <w:t>JSJX</w:t>
            </w:r>
          </w:p>
        </w:tc>
        <w:tc>
          <w:tcPr>
            <w:cnfStyle w:evenVBand="false" w:oddVBand="true" w:firstColumn="false"/>
            <w:tcW w:w="33.333333%" w:type="pct"/>
          </w:tcPr>
          <w:p>
            <w:pPr>
              <w:ind w:leftChars="0" w:left="0" w:right="0"/>
            </w:pPr>
            <w:r>
              <w:t>JANE STREET JX</w:t>
            </w:r>
          </w:p>
        </w:tc>
      </w:tr>
      <w:tr>
        <w:trPr>
          <w:cnfStyle w:evenHBand="true" w:oddHBand="false" w:firstRow="false"/>
        </w:trPr>
        <w:tc>
          <w:tcPr>
            <w:cnfStyle w:evenVBand="false" w:oddVBand="true" w:firstColumn="false"/>
            <w:tcW w:w="33.333333%" w:type="pct"/>
          </w:tcPr>
          <w:p>
            <w:pPr>
              <w:ind w:leftChars="0" w:left="0" w:right="0"/>
            </w:pPr>
            <w:r>
              <w:t>JSSI</w:t>
            </w:r>
          </w:p>
        </w:tc>
        <w:tc>
          <w:tcPr>
            <w:cnfStyle w:evenVBand="true" w:oddVBand="false" w:firstColumn="false"/>
            <w:tcW w:w="33.333333%" w:type="pct"/>
          </w:tcPr>
          <w:p>
            <w:pPr>
              <w:ind w:leftChars="0" w:left="0" w:right="0"/>
            </w:pPr>
            <w:r>
              <w:t>JSSI</w:t>
            </w:r>
          </w:p>
        </w:tc>
        <w:tc>
          <w:tcPr>
            <w:cnfStyle w:evenVBand="false" w:oddVBand="true" w:firstColumn="false"/>
            <w:tcW w:w="33.333333%" w:type="pct"/>
          </w:tcPr>
          <w:p>
            <w:pPr>
              <w:ind w:leftChars="0" w:left="0" w:right="0"/>
            </w:pPr>
            <w:r>
              <w:t>JANE STREET FINANCIAL LTD - SYSTEMATIC INTERNALISER</w:t>
            </w:r>
          </w:p>
        </w:tc>
      </w:tr>
      <w:tr>
        <w:trPr>
          <w:cnfStyle w:evenHBand="false" w:oddHBand="true" w:firstRow="false"/>
        </w:trPr>
        <w:tc>
          <w:tcPr>
            <w:cnfStyle w:evenVBand="false" w:oddVBand="true" w:firstColumn="false"/>
            <w:tcW w:w="33.333333%" w:type="pct"/>
          </w:tcPr>
          <w:p>
            <w:pPr>
              <w:ind w:leftChars="0" w:left="0" w:right="0"/>
            </w:pPr>
            <w:r>
              <w:t>JYSI</w:t>
            </w:r>
          </w:p>
        </w:tc>
        <w:tc>
          <w:tcPr>
            <w:cnfStyle w:evenVBand="true" w:oddVBand="false" w:firstColumn="false"/>
            <w:tcW w:w="33.333333%" w:type="pct"/>
          </w:tcPr>
          <w:p>
            <w:pPr>
              <w:ind w:leftChars="0" w:left="0" w:right="0"/>
            </w:pPr>
            <w:r>
              <w:t>JYSI</w:t>
            </w:r>
          </w:p>
        </w:tc>
        <w:tc>
          <w:tcPr>
            <w:cnfStyle w:evenVBand="false" w:oddVBand="true" w:firstColumn="false"/>
            <w:tcW w:w="33.333333%" w:type="pct"/>
          </w:tcPr>
          <w:p>
            <w:pPr>
              <w:ind w:leftChars="0" w:left="0" w:right="0"/>
            </w:pPr>
            <w:r>
              <w:t>DEN JYSKE SPAREKASSE - SYSTEMATIC INTERNALISER</w:t>
            </w:r>
          </w:p>
        </w:tc>
      </w:tr>
      <w:tr>
        <w:trPr>
          <w:cnfStyle w:evenHBand="true" w:oddHBand="false" w:firstRow="false"/>
        </w:trPr>
        <w:tc>
          <w:tcPr>
            <w:cnfStyle w:evenVBand="false" w:oddVBand="true" w:firstColumn="false"/>
            <w:tcW w:w="33.333333%" w:type="pct"/>
          </w:tcPr>
          <w:p>
            <w:pPr>
              <w:ind w:leftChars="0" w:left="0" w:right="0"/>
            </w:pPr>
            <w:r>
              <w:t>KABU</w:t>
            </w:r>
          </w:p>
        </w:tc>
        <w:tc>
          <w:tcPr>
            <w:cnfStyle w:evenVBand="true" w:oddVBand="false" w:firstColumn="false"/>
            <w:tcW w:w="33.333333%" w:type="pct"/>
          </w:tcPr>
          <w:p>
            <w:pPr>
              <w:ind w:leftChars="0" w:left="0" w:right="0"/>
            </w:pPr>
            <w:r>
              <w:t>KABU</w:t>
            </w:r>
          </w:p>
        </w:tc>
        <w:tc>
          <w:tcPr>
            <w:cnfStyle w:evenVBand="false" w:oddVBand="true" w:firstColumn="false"/>
            <w:tcW w:w="33.333333%" w:type="pct"/>
          </w:tcPr>
          <w:p>
            <w:pPr>
              <w:ind w:leftChars="0" w:left="0" w:right="0"/>
            </w:pPr>
            <w:r>
              <w:t>KABU.COM PTS</w:t>
            </w:r>
          </w:p>
        </w:tc>
      </w:tr>
      <w:tr>
        <w:trPr>
          <w:cnfStyle w:evenHBand="false" w:oddHBand="true" w:firstRow="false"/>
        </w:trPr>
        <w:tc>
          <w:tcPr>
            <w:cnfStyle w:evenVBand="false" w:oddVBand="true" w:firstColumn="false"/>
            <w:tcW w:w="33.333333%" w:type="pct"/>
          </w:tcPr>
          <w:p>
            <w:pPr>
              <w:ind w:leftChars="0" w:left="0" w:right="0"/>
            </w:pPr>
            <w:r>
              <w:t>KAIX</w:t>
            </w:r>
          </w:p>
        </w:tc>
        <w:tc>
          <w:tcPr>
            <w:cnfStyle w:evenVBand="true" w:oddVBand="false" w:firstColumn="false"/>
            <w:tcW w:w="33.333333%" w:type="pct"/>
          </w:tcPr>
          <w:p>
            <w:pPr>
              <w:ind w:leftChars="0" w:left="0" w:right="0"/>
            </w:pPr>
            <w:r>
              <w:t>KAIX</w:t>
            </w:r>
          </w:p>
        </w:tc>
        <w:tc>
          <w:tcPr>
            <w:cnfStyle w:evenVBand="false" w:oddVBand="true" w:firstColumn="false"/>
            <w:tcW w:w="33.333333%" w:type="pct"/>
          </w:tcPr>
          <w:p>
            <w:pPr>
              <w:ind w:leftChars="0" w:left="0" w:right="0"/>
            </w:pPr>
            <w:r>
              <w:t>KAI-X</w:t>
            </w:r>
          </w:p>
        </w:tc>
      </w:tr>
      <w:tr>
        <w:trPr>
          <w:cnfStyle w:evenHBand="true" w:oddHBand="false" w:firstRow="false"/>
        </w:trPr>
        <w:tc>
          <w:tcPr>
            <w:cnfStyle w:evenVBand="false" w:oddVBand="true" w:firstColumn="false"/>
            <w:tcW w:w="33.333333%" w:type="pct"/>
          </w:tcPr>
          <w:p>
            <w:pPr>
              <w:ind w:leftChars="0" w:left="0" w:right="0"/>
            </w:pPr>
            <w:r>
              <w:t>KBCB</w:t>
            </w:r>
          </w:p>
        </w:tc>
        <w:tc>
          <w:tcPr>
            <w:cnfStyle w:evenVBand="true" w:oddVBand="false" w:firstColumn="false"/>
            <w:tcW w:w="33.333333%" w:type="pct"/>
          </w:tcPr>
          <w:p>
            <w:pPr>
              <w:ind w:leftChars="0" w:left="0" w:right="0"/>
            </w:pPr>
            <w:r>
              <w:t>KBCB</w:t>
            </w:r>
          </w:p>
        </w:tc>
        <w:tc>
          <w:tcPr>
            <w:cnfStyle w:evenVBand="false" w:oddVBand="true" w:firstColumn="false"/>
            <w:tcW w:w="33.333333%" w:type="pct"/>
          </w:tcPr>
          <w:p>
            <w:pPr>
              <w:ind w:leftChars="0" w:left="0" w:right="0"/>
            </w:pPr>
            <w:r>
              <w:t>KBC BANK NV  GROUP MARKETS - SYSTEMATIC INTERNALISER</w:t>
            </w:r>
          </w:p>
        </w:tc>
      </w:tr>
      <w:tr>
        <w:trPr>
          <w:cnfStyle w:evenHBand="false" w:oddHBand="true" w:firstRow="false"/>
        </w:trPr>
        <w:tc>
          <w:tcPr>
            <w:cnfStyle w:evenVBand="false" w:oddVBand="true" w:firstColumn="false"/>
            <w:tcW w:w="33.333333%" w:type="pct"/>
          </w:tcPr>
          <w:p>
            <w:pPr>
              <w:ind w:leftChars="0" w:left="0" w:right="0"/>
            </w:pPr>
            <w:r>
              <w:t>KBLC</w:t>
            </w:r>
          </w:p>
        </w:tc>
        <w:tc>
          <w:tcPr>
            <w:cnfStyle w:evenVBand="true" w:oddVBand="false" w:firstColumn="false"/>
            <w:tcW w:w="33.333333%" w:type="pct"/>
          </w:tcPr>
          <w:p>
            <w:pPr>
              <w:ind w:leftChars="0" w:left="0" w:right="0"/>
            </w:pPr>
            <w:r>
              <w:t>KBLC</w:t>
            </w:r>
          </w:p>
        </w:tc>
        <w:tc>
          <w:tcPr>
            <w:cnfStyle w:evenVBand="false" w:oddVBand="true" w:firstColumn="false"/>
            <w:tcW w:w="33.333333%" w:type="pct"/>
          </w:tcPr>
          <w:p>
            <w:pPr>
              <w:ind w:leftChars="0" w:left="0" w:right="0"/>
            </w:pPr>
            <w:r>
              <w:t>QUINTET PRIVATE BANK (EUROPE) S.A. - EURO COMMERCIAL PAPERS</w:t>
            </w:r>
          </w:p>
        </w:tc>
      </w:tr>
      <w:tr>
        <w:trPr>
          <w:cnfStyle w:evenHBand="true" w:oddHBand="false" w:firstRow="false"/>
        </w:trPr>
        <w:tc>
          <w:tcPr>
            <w:cnfStyle w:evenVBand="false" w:oddVBand="true" w:firstColumn="false"/>
            <w:tcW w:w="33.333333%" w:type="pct"/>
          </w:tcPr>
          <w:p>
            <w:pPr>
              <w:ind w:leftChars="0" w:left="0" w:right="0"/>
            </w:pPr>
            <w:r>
              <w:t>KBLL</w:t>
            </w:r>
          </w:p>
        </w:tc>
        <w:tc>
          <w:tcPr>
            <w:cnfStyle w:evenVBand="true" w:oddVBand="false" w:firstColumn="false"/>
            <w:tcW w:w="33.333333%" w:type="pct"/>
          </w:tcPr>
          <w:p>
            <w:pPr>
              <w:ind w:leftChars="0" w:left="0" w:right="0"/>
            </w:pPr>
            <w:r>
              <w:t>KBLL</w:t>
            </w:r>
          </w:p>
        </w:tc>
        <w:tc>
          <w:tcPr>
            <w:cnfStyle w:evenVBand="false" w:oddVBand="true" w:firstColumn="false"/>
            <w:tcW w:w="33.333333%" w:type="pct"/>
          </w:tcPr>
          <w:p>
            <w:pPr>
              <w:ind w:leftChars="0" w:left="0" w:right="0"/>
            </w:pPr>
            <w:r>
              <w:t>QUINTET PRIVATE BANK (EUROPE) S.A.</w:t>
            </w:r>
          </w:p>
        </w:tc>
      </w:tr>
      <w:tr>
        <w:trPr>
          <w:cnfStyle w:evenHBand="false" w:oddHBand="true" w:firstRow="false"/>
        </w:trPr>
        <w:tc>
          <w:tcPr>
            <w:cnfStyle w:evenVBand="false" w:oddVBand="true" w:firstColumn="false"/>
            <w:tcW w:w="33.333333%" w:type="pct"/>
          </w:tcPr>
          <w:p>
            <w:pPr>
              <w:ind w:leftChars="0" w:left="0" w:right="0"/>
            </w:pPr>
            <w:r>
              <w:t>KBLM</w:t>
            </w:r>
          </w:p>
        </w:tc>
        <w:tc>
          <w:tcPr>
            <w:cnfStyle w:evenVBand="true" w:oddVBand="false" w:firstColumn="false"/>
            <w:tcW w:w="33.333333%" w:type="pct"/>
          </w:tcPr>
          <w:p>
            <w:pPr>
              <w:ind w:leftChars="0" w:left="0" w:right="0"/>
            </w:pPr>
            <w:r>
              <w:t>KBLM</w:t>
            </w:r>
          </w:p>
        </w:tc>
        <w:tc>
          <w:tcPr>
            <w:cnfStyle w:evenVBand="false" w:oddVBand="true" w:firstColumn="false"/>
            <w:tcW w:w="33.333333%" w:type="pct"/>
          </w:tcPr>
          <w:p>
            <w:pPr>
              <w:ind w:leftChars="0" w:left="0" w:right="0"/>
            </w:pPr>
            <w:r>
              <w:t>KYTE BROKING LIMITED</w:t>
            </w:r>
          </w:p>
        </w:tc>
      </w:tr>
      <w:tr>
        <w:trPr>
          <w:cnfStyle w:evenHBand="true" w:oddHBand="false" w:firstRow="false"/>
        </w:trPr>
        <w:tc>
          <w:tcPr>
            <w:cnfStyle w:evenVBand="false" w:oddVBand="true" w:firstColumn="false"/>
            <w:tcW w:w="33.333333%" w:type="pct"/>
          </w:tcPr>
          <w:p>
            <w:pPr>
              <w:ind w:leftChars="0" w:left="0" w:right="0"/>
            </w:pPr>
            <w:r>
              <w:t>KBLS</w:t>
            </w:r>
          </w:p>
        </w:tc>
        <w:tc>
          <w:tcPr>
            <w:cnfStyle w:evenVBand="true" w:oddVBand="false" w:firstColumn="false"/>
            <w:tcW w:w="33.333333%" w:type="pct"/>
          </w:tcPr>
          <w:p>
            <w:pPr>
              <w:ind w:leftChars="0" w:left="0" w:right="0"/>
            </w:pPr>
            <w:r>
              <w:t>KBLS</w:t>
            </w:r>
          </w:p>
        </w:tc>
        <w:tc>
          <w:tcPr>
            <w:cnfStyle w:evenVBand="false" w:oddVBand="true" w:firstColumn="false"/>
            <w:tcW w:w="33.333333%" w:type="pct"/>
          </w:tcPr>
          <w:p>
            <w:pPr>
              <w:ind w:leftChars="0" w:left="0" w:right="0"/>
            </w:pPr>
            <w:r>
              <w:t>QUINTET PRIVATE BANK (EUROPE) S.A. - STRUCTURED PRODUCTS</w:t>
            </w:r>
          </w:p>
        </w:tc>
      </w:tr>
      <w:tr>
        <w:trPr>
          <w:cnfStyle w:evenHBand="false" w:oddHBand="true" w:firstRow="false"/>
        </w:trPr>
        <w:tc>
          <w:tcPr>
            <w:cnfStyle w:evenVBand="false" w:oddVBand="true" w:firstColumn="false"/>
            <w:tcW w:w="33.333333%" w:type="pct"/>
          </w:tcPr>
          <w:p>
            <w:pPr>
              <w:ind w:leftChars="0" w:left="0" w:right="0"/>
            </w:pPr>
            <w:r>
              <w:t>KBLT</w:t>
            </w:r>
          </w:p>
        </w:tc>
        <w:tc>
          <w:tcPr>
            <w:cnfStyle w:evenVBand="true" w:oddVBand="false" w:firstColumn="false"/>
            <w:tcW w:w="33.333333%" w:type="pct"/>
          </w:tcPr>
          <w:p>
            <w:pPr>
              <w:ind w:leftChars="0" w:left="0" w:right="0"/>
            </w:pPr>
            <w:r>
              <w:t>KBLT</w:t>
            </w:r>
          </w:p>
        </w:tc>
        <w:tc>
          <w:tcPr>
            <w:cnfStyle w:evenVBand="false" w:oddVBand="true" w:firstColumn="false"/>
            <w:tcW w:w="33.333333%" w:type="pct"/>
          </w:tcPr>
          <w:p>
            <w:pPr>
              <w:ind w:leftChars="0" w:left="0" w:right="0"/>
            </w:pPr>
            <w:r>
              <w:t>QUINTET PRIVATE BANK (EUROPE) S.A. - FX TREASURY DERIVATIVES</w:t>
            </w:r>
          </w:p>
        </w:tc>
      </w:tr>
      <w:tr>
        <w:trPr>
          <w:cnfStyle w:evenHBand="true" w:oddHBand="false" w:firstRow="false"/>
        </w:trPr>
        <w:tc>
          <w:tcPr>
            <w:cnfStyle w:evenVBand="false" w:oddVBand="true" w:firstColumn="false"/>
            <w:tcW w:w="33.333333%" w:type="pct"/>
          </w:tcPr>
          <w:p>
            <w:pPr>
              <w:ind w:leftChars="0" w:left="0" w:right="0"/>
            </w:pPr>
            <w:r>
              <w:t>KCCP</w:t>
            </w:r>
          </w:p>
        </w:tc>
        <w:tc>
          <w:tcPr>
            <w:cnfStyle w:evenVBand="true" w:oddVBand="false" w:firstColumn="false"/>
            <w:tcW w:w="33.333333%" w:type="pct"/>
          </w:tcPr>
          <w:p>
            <w:pPr>
              <w:ind w:leftChars="0" w:left="0" w:right="0"/>
            </w:pPr>
            <w:r>
              <w:t>KCCP</w:t>
            </w:r>
          </w:p>
        </w:tc>
        <w:tc>
          <w:tcPr>
            <w:cnfStyle w:evenVBand="false" w:oddVBand="true" w:firstColumn="false"/>
            <w:tcW w:w="33.333333%" w:type="pct"/>
          </w:tcPr>
          <w:p>
            <w:pPr>
              <w:ind w:leftChars="0" w:left="0" w:right="0"/>
            </w:pPr>
            <w:r>
              <w:t>KELER CCP</w:t>
            </w:r>
          </w:p>
        </w:tc>
      </w:tr>
      <w:tr>
        <w:trPr>
          <w:cnfStyle w:evenHBand="false" w:oddHBand="true" w:firstRow="false"/>
        </w:trPr>
        <w:tc>
          <w:tcPr>
            <w:cnfStyle w:evenVBand="false" w:oddVBand="true" w:firstColumn="false"/>
            <w:tcW w:w="33.333333%" w:type="pct"/>
          </w:tcPr>
          <w:p>
            <w:pPr>
              <w:ind w:leftChars="0" w:left="0" w:right="0"/>
            </w:pPr>
            <w:r>
              <w:t>KDPW</w:t>
            </w:r>
          </w:p>
        </w:tc>
        <w:tc>
          <w:tcPr>
            <w:cnfStyle w:evenVBand="true" w:oddVBand="false" w:firstColumn="false"/>
            <w:tcW w:w="33.333333%" w:type="pct"/>
          </w:tcPr>
          <w:p>
            <w:pPr>
              <w:ind w:leftChars="0" w:left="0" w:right="0"/>
            </w:pPr>
            <w:r>
              <w:t>KDPW</w:t>
            </w:r>
          </w:p>
        </w:tc>
        <w:tc>
          <w:tcPr>
            <w:cnfStyle w:evenVBand="false" w:oddVBand="true" w:firstColumn="false"/>
            <w:tcW w:w="33.333333%" w:type="pct"/>
          </w:tcPr>
          <w:p>
            <w:pPr>
              <w:ind w:leftChars="0" w:left="0" w:right="0"/>
            </w:pPr>
            <w:r>
              <w:t>KDPW_CCP</w:t>
            </w:r>
          </w:p>
        </w:tc>
      </w:tr>
      <w:tr>
        <w:trPr>
          <w:cnfStyle w:evenHBand="true" w:oddHBand="false" w:firstRow="false"/>
        </w:trPr>
        <w:tc>
          <w:tcPr>
            <w:cnfStyle w:evenVBand="false" w:oddVBand="true" w:firstColumn="false"/>
            <w:tcW w:w="33.333333%" w:type="pct"/>
          </w:tcPr>
          <w:p>
            <w:pPr>
              <w:ind w:leftChars="0" w:left="0" w:right="0"/>
            </w:pPr>
            <w:r>
              <w:t>KELR</w:t>
            </w:r>
          </w:p>
        </w:tc>
        <w:tc>
          <w:tcPr>
            <w:cnfStyle w:evenVBand="true" w:oddVBand="false" w:firstColumn="false"/>
            <w:tcW w:w="33.333333%" w:type="pct"/>
          </w:tcPr>
          <w:p>
            <w:pPr>
              <w:ind w:leftChars="0" w:left="0" w:right="0"/>
            </w:pPr>
            <w:r>
              <w:t>KELR</w:t>
            </w:r>
          </w:p>
        </w:tc>
        <w:tc>
          <w:tcPr>
            <w:cnfStyle w:evenVBand="false" w:oddVBand="true" w:firstColumn="false"/>
            <w:tcW w:w="33.333333%" w:type="pct"/>
          </w:tcPr>
          <w:p>
            <w:pPr>
              <w:ind w:leftChars="0" w:left="0" w:right="0"/>
            </w:pPr>
            <w:r>
              <w:t>KELER</w:t>
            </w:r>
          </w:p>
        </w:tc>
      </w:tr>
      <w:tr>
        <w:trPr>
          <w:cnfStyle w:evenHBand="false" w:oddHBand="true" w:firstRow="false"/>
        </w:trPr>
        <w:tc>
          <w:tcPr>
            <w:cnfStyle w:evenVBand="false" w:oddVBand="true" w:firstColumn="false"/>
            <w:tcW w:w="33.333333%" w:type="pct"/>
          </w:tcPr>
          <w:p>
            <w:pPr>
              <w:ind w:leftChars="0" w:left="0" w:right="0"/>
            </w:pPr>
            <w:r>
              <w:t>KHHU</w:t>
            </w:r>
          </w:p>
        </w:tc>
        <w:tc>
          <w:tcPr>
            <w:cnfStyle w:evenVBand="true" w:oddVBand="false" w:firstColumn="false"/>
            <w:tcW w:w="33.333333%" w:type="pct"/>
          </w:tcPr>
          <w:p>
            <w:pPr>
              <w:ind w:leftChars="0" w:left="0" w:right="0"/>
            </w:pPr>
            <w:r>
              <w:t>KHHU</w:t>
            </w:r>
          </w:p>
        </w:tc>
        <w:tc>
          <w:tcPr>
            <w:cnfStyle w:evenVBand="false" w:oddVBand="true" w:firstColumn="false"/>
            <w:tcW w:w="33.333333%" w:type="pct"/>
          </w:tcPr>
          <w:p>
            <w:pPr>
              <w:ind w:leftChars="0" w:left="0" w:right="0"/>
            </w:pPr>
            <w:r>
              <w:t>K AND H BANK ZRT - SYSTEMATIC INTERNALISER</w:t>
            </w:r>
          </w:p>
        </w:tc>
      </w:tr>
      <w:tr>
        <w:trPr>
          <w:cnfStyle w:evenHBand="true" w:oddHBand="false" w:firstRow="false"/>
        </w:trPr>
        <w:tc>
          <w:tcPr>
            <w:cnfStyle w:evenVBand="false" w:oddVBand="true" w:firstColumn="false"/>
            <w:tcW w:w="33.333333%" w:type="pct"/>
          </w:tcPr>
          <w:p>
            <w:pPr>
              <w:ind w:leftChars="0" w:left="0" w:right="0"/>
            </w:pPr>
            <w:r>
              <w:t>KLEU</w:t>
            </w:r>
          </w:p>
        </w:tc>
        <w:tc>
          <w:tcPr>
            <w:cnfStyle w:evenVBand="true" w:oddVBand="false" w:firstColumn="false"/>
            <w:tcW w:w="33.333333%" w:type="pct"/>
          </w:tcPr>
          <w:p>
            <w:pPr>
              <w:ind w:leftChars="0" w:left="0" w:right="0"/>
            </w:pPr>
            <w:r>
              <w:t>KLEU</w:t>
            </w:r>
          </w:p>
        </w:tc>
        <w:tc>
          <w:tcPr>
            <w:cnfStyle w:evenVBand="false" w:oddVBand="true" w:firstColumn="false"/>
            <w:tcW w:w="33.333333%" w:type="pct"/>
          </w:tcPr>
          <w:p>
            <w:pPr>
              <w:ind w:leftChars="0" w:left="0" w:right="0"/>
            </w:pPr>
            <w:r>
              <w:t>KNIGHT LINK EUROPE</w:t>
            </w:r>
          </w:p>
        </w:tc>
      </w:tr>
      <w:tr>
        <w:trPr>
          <w:cnfStyle w:evenHBand="false" w:oddHBand="true" w:firstRow="false"/>
        </w:trPr>
        <w:tc>
          <w:tcPr>
            <w:cnfStyle w:evenVBand="false" w:oddVBand="true" w:firstColumn="false"/>
            <w:tcW w:w="33.333333%" w:type="pct"/>
          </w:tcPr>
          <w:p>
            <w:pPr>
              <w:ind w:leftChars="0" w:left="0" w:right="0"/>
            </w:pPr>
            <w:r>
              <w:t>KLSH</w:t>
            </w:r>
          </w:p>
        </w:tc>
        <w:tc>
          <w:tcPr>
            <w:cnfStyle w:evenVBand="true" w:oddVBand="false" w:firstColumn="false"/>
            <w:tcW w:w="33.333333%" w:type="pct"/>
          </w:tcPr>
          <w:p>
            <w:pPr>
              <w:ind w:leftChars="0" w:left="0" w:right="0"/>
            </w:pPr>
            <w:r>
              <w:t>KLSH</w:t>
            </w:r>
          </w:p>
        </w:tc>
        <w:tc>
          <w:tcPr>
            <w:cnfStyle w:evenVBand="false" w:oddVBand="true" w:firstColumn="false"/>
            <w:tcW w:w="33.333333%" w:type="pct"/>
          </w:tcPr>
          <w:p>
            <w:pPr>
              <w:ind w:leftChars="0" w:left="0" w:right="0"/>
            </w:pPr>
            <w:r>
              <w:t>KALSHIEX LLC</w:t>
            </w:r>
          </w:p>
        </w:tc>
      </w:tr>
      <w:tr>
        <w:trPr>
          <w:cnfStyle w:evenHBand="true" w:oddHBand="false" w:firstRow="false"/>
        </w:trPr>
        <w:tc>
          <w:tcPr>
            <w:cnfStyle w:evenVBand="false" w:oddVBand="true" w:firstColumn="false"/>
            <w:tcW w:w="33.333333%" w:type="pct"/>
          </w:tcPr>
          <w:p>
            <w:pPr>
              <w:ind w:leftChars="0" w:left="0" w:right="0"/>
            </w:pPr>
            <w:r>
              <w:t>KMTS</w:t>
            </w:r>
          </w:p>
        </w:tc>
        <w:tc>
          <w:tcPr>
            <w:cnfStyle w:evenVBand="true" w:oddVBand="false" w:firstColumn="false"/>
            <w:tcW w:w="33.333333%" w:type="pct"/>
          </w:tcPr>
          <w:p>
            <w:pPr>
              <w:ind w:leftChars="0" w:left="0" w:right="0"/>
            </w:pPr>
            <w:r>
              <w:t>KMTS</w:t>
            </w:r>
          </w:p>
        </w:tc>
        <w:tc>
          <w:tcPr>
            <w:cnfStyle w:evenVBand="false" w:oddVBand="true" w:firstColumn="false"/>
            <w:tcW w:w="33.333333%" w:type="pct"/>
          </w:tcPr>
          <w:p>
            <w:pPr>
              <w:ind w:leftChars="0" w:left="0" w:right="0"/>
            </w:pPr>
            <w:r>
              <w:t>EUROMTS LINKERS MARKET</w:t>
            </w:r>
          </w:p>
        </w:tc>
      </w:tr>
      <w:tr>
        <w:trPr>
          <w:cnfStyle w:evenHBand="false" w:oddHBand="true" w:firstRow="false"/>
        </w:trPr>
        <w:tc>
          <w:tcPr>
            <w:cnfStyle w:evenVBand="false" w:oddVBand="true" w:firstColumn="false"/>
            <w:tcW w:w="33.333333%" w:type="pct"/>
          </w:tcPr>
          <w:p>
            <w:pPr>
              <w:ind w:leftChars="0" w:left="0" w:right="0"/>
            </w:pPr>
            <w:r>
              <w:t>KMUX</w:t>
            </w:r>
          </w:p>
        </w:tc>
        <w:tc>
          <w:tcPr>
            <w:cnfStyle w:evenVBand="true" w:oddVBand="false" w:firstColumn="false"/>
            <w:tcW w:w="33.333333%" w:type="pct"/>
          </w:tcPr>
          <w:p>
            <w:pPr>
              <w:ind w:leftChars="0" w:left="0" w:right="0"/>
            </w:pPr>
            <w:r>
              <w:t>KMUX</w:t>
            </w:r>
          </w:p>
        </w:tc>
        <w:tc>
          <w:tcPr>
            <w:cnfStyle w:evenVBand="false" w:oddVBand="true" w:firstColumn="false"/>
            <w:tcW w:w="33.333333%" w:type="pct"/>
          </w:tcPr>
          <w:p>
            <w:pPr>
              <w:ind w:leftChars="0" w:left="0" w:right="0"/>
            </w:pPr>
            <w:r>
              <w:t>ZURCHER KANTONALBANK - EKMU-X</w:t>
            </w:r>
          </w:p>
        </w:tc>
      </w:tr>
      <w:tr>
        <w:trPr>
          <w:cnfStyle w:evenHBand="true" w:oddHBand="false" w:firstRow="false"/>
        </w:trPr>
        <w:tc>
          <w:tcPr>
            <w:cnfStyle w:evenVBand="false" w:oddVBand="true" w:firstColumn="false"/>
            <w:tcW w:w="33.333333%" w:type="pct"/>
          </w:tcPr>
          <w:p>
            <w:pPr>
              <w:ind w:leftChars="0" w:left="0" w:right="0"/>
            </w:pPr>
            <w:r>
              <w:t>KNCM</w:t>
            </w:r>
          </w:p>
        </w:tc>
        <w:tc>
          <w:tcPr>
            <w:cnfStyle w:evenVBand="true" w:oddVBand="false" w:firstColumn="false"/>
            <w:tcW w:w="33.333333%" w:type="pct"/>
          </w:tcPr>
          <w:p>
            <w:pPr>
              <w:ind w:leftChars="0" w:left="0" w:right="0"/>
            </w:pPr>
            <w:r>
              <w:t>KNCM</w:t>
            </w:r>
          </w:p>
        </w:tc>
        <w:tc>
          <w:tcPr>
            <w:cnfStyle w:evenVBand="false" w:oddVBand="true" w:firstColumn="false"/>
            <w:tcW w:w="33.333333%" w:type="pct"/>
          </w:tcPr>
          <w:p>
            <w:pPr>
              <w:ind w:leftChars="0" w:left="0" w:right="0"/>
            </w:pPr>
            <w:r>
              <w:t>KNIGHT CAPITAL MARKETS LLC</w:t>
            </w:r>
          </w:p>
        </w:tc>
      </w:tr>
      <w:tr>
        <w:trPr>
          <w:cnfStyle w:evenHBand="false" w:oddHBand="true" w:firstRow="false"/>
        </w:trPr>
        <w:tc>
          <w:tcPr>
            <w:cnfStyle w:evenVBand="false" w:oddVBand="true" w:firstColumn="false"/>
            <w:tcW w:w="33.333333%" w:type="pct"/>
          </w:tcPr>
          <w:p>
            <w:pPr>
              <w:ind w:leftChars="0" w:left="0" w:right="0"/>
            </w:pPr>
            <w:r>
              <w:t>KNEM</w:t>
            </w:r>
          </w:p>
        </w:tc>
        <w:tc>
          <w:tcPr>
            <w:cnfStyle w:evenVBand="true" w:oddVBand="false" w:firstColumn="false"/>
            <w:tcW w:w="33.333333%" w:type="pct"/>
          </w:tcPr>
          <w:p>
            <w:pPr>
              <w:ind w:leftChars="0" w:left="0" w:right="0"/>
            </w:pPr>
            <w:r>
              <w:t>KNEM</w:t>
            </w:r>
          </w:p>
        </w:tc>
        <w:tc>
          <w:tcPr>
            <w:cnfStyle w:evenVBand="false" w:oddVBand="true" w:firstColumn="false"/>
            <w:tcW w:w="33.333333%" w:type="pct"/>
          </w:tcPr>
          <w:p>
            <w:pPr>
              <w:ind w:leftChars="0" w:left="0" w:right="0"/>
            </w:pPr>
            <w:r>
              <w:t>KNIGHT EQUITY MARKETS LP</w:t>
            </w:r>
          </w:p>
        </w:tc>
      </w:tr>
      <w:tr>
        <w:trPr>
          <w:cnfStyle w:evenHBand="true" w:oddHBand="false" w:firstRow="false"/>
        </w:trPr>
        <w:tc>
          <w:tcPr>
            <w:cnfStyle w:evenVBand="false" w:oddVBand="true" w:firstColumn="false"/>
            <w:tcW w:w="33.333333%" w:type="pct"/>
          </w:tcPr>
          <w:p>
            <w:pPr>
              <w:ind w:leftChars="0" w:left="0" w:right="0"/>
            </w:pPr>
            <w:r>
              <w:t>KNIG</w:t>
            </w:r>
          </w:p>
        </w:tc>
        <w:tc>
          <w:tcPr>
            <w:cnfStyle w:evenVBand="true" w:oddVBand="false" w:firstColumn="false"/>
            <w:tcW w:w="33.333333%" w:type="pct"/>
          </w:tcPr>
          <w:p>
            <w:pPr>
              <w:ind w:leftChars="0" w:left="0" w:right="0"/>
            </w:pPr>
            <w:r>
              <w:t>KNIG</w:t>
            </w:r>
          </w:p>
        </w:tc>
        <w:tc>
          <w:tcPr>
            <w:cnfStyle w:evenVBand="false" w:oddVBand="true" w:firstColumn="false"/>
            <w:tcW w:w="33.333333%" w:type="pct"/>
          </w:tcPr>
          <w:p>
            <w:pPr>
              <w:ind w:leftChars="0" w:left="0" w:right="0"/>
            </w:pPr>
            <w:r>
              <w:t>KNIGHT</w:t>
            </w:r>
          </w:p>
        </w:tc>
      </w:tr>
      <w:tr>
        <w:trPr>
          <w:cnfStyle w:evenHBand="false" w:oddHBand="true" w:firstRow="false"/>
        </w:trPr>
        <w:tc>
          <w:tcPr>
            <w:cnfStyle w:evenVBand="false" w:oddVBand="true" w:firstColumn="false"/>
            <w:tcW w:w="33.333333%" w:type="pct"/>
          </w:tcPr>
          <w:p>
            <w:pPr>
              <w:ind w:leftChars="0" w:left="0" w:right="0"/>
            </w:pPr>
            <w:r>
              <w:t>KNLI</w:t>
            </w:r>
          </w:p>
        </w:tc>
        <w:tc>
          <w:tcPr>
            <w:cnfStyle w:evenVBand="true" w:oddVBand="false" w:firstColumn="false"/>
            <w:tcW w:w="33.333333%" w:type="pct"/>
          </w:tcPr>
          <w:p>
            <w:pPr>
              <w:ind w:leftChars="0" w:left="0" w:right="0"/>
            </w:pPr>
            <w:r>
              <w:t>KNLI</w:t>
            </w:r>
          </w:p>
        </w:tc>
        <w:tc>
          <w:tcPr>
            <w:cnfStyle w:evenVBand="false" w:oddVBand="true" w:firstColumn="false"/>
            <w:tcW w:w="33.333333%" w:type="pct"/>
          </w:tcPr>
          <w:p>
            <w:pPr>
              <w:ind w:leftChars="0" w:left="0" w:right="0"/>
            </w:pPr>
            <w:r>
              <w:t>KNIGHT LINK</w:t>
            </w:r>
          </w:p>
        </w:tc>
      </w:tr>
      <w:tr>
        <w:trPr>
          <w:cnfStyle w:evenHBand="true" w:oddHBand="false" w:firstRow="false"/>
        </w:trPr>
        <w:tc>
          <w:tcPr>
            <w:cnfStyle w:evenVBand="false" w:oddVBand="true" w:firstColumn="false"/>
            <w:tcW w:w="33.333333%" w:type="pct"/>
          </w:tcPr>
          <w:p>
            <w:pPr>
              <w:ind w:leftChars="0" w:left="0" w:right="0"/>
            </w:pPr>
            <w:r>
              <w:t>KNMX</w:t>
            </w:r>
          </w:p>
        </w:tc>
        <w:tc>
          <w:tcPr>
            <w:cnfStyle w:evenVBand="true" w:oddVBand="false" w:firstColumn="false"/>
            <w:tcW w:w="33.333333%" w:type="pct"/>
          </w:tcPr>
          <w:p>
            <w:pPr>
              <w:ind w:leftChars="0" w:left="0" w:right="0"/>
            </w:pPr>
            <w:r>
              <w:t>KNMX</w:t>
            </w:r>
          </w:p>
        </w:tc>
        <w:tc>
          <w:tcPr>
            <w:cnfStyle w:evenVBand="false" w:oddVBand="true" w:firstColumn="false"/>
            <w:tcW w:w="33.333333%" w:type="pct"/>
          </w:tcPr>
          <w:p>
            <w:pPr>
              <w:ind w:leftChars="0" w:left="0" w:right="0"/>
            </w:pPr>
            <w:r>
              <w:t>KNIGHT MATCH ATS</w:t>
            </w:r>
          </w:p>
        </w:tc>
      </w:tr>
      <w:tr>
        <w:trPr>
          <w:cnfStyle w:evenHBand="false" w:oddHBand="true" w:firstRow="false"/>
        </w:trPr>
        <w:tc>
          <w:tcPr>
            <w:cnfStyle w:evenVBand="false" w:oddVBand="true" w:firstColumn="false"/>
            <w:tcW w:w="33.333333%" w:type="pct"/>
          </w:tcPr>
          <w:p>
            <w:pPr>
              <w:ind w:leftChars="0" w:left="0" w:right="0"/>
            </w:pPr>
            <w:r>
              <w:t>KOCN</w:t>
            </w:r>
          </w:p>
        </w:tc>
        <w:tc>
          <w:tcPr>
            <w:cnfStyle w:evenVBand="true" w:oddVBand="false" w:firstColumn="false"/>
            <w:tcW w:w="33.333333%" w:type="pct"/>
          </w:tcPr>
          <w:p>
            <w:pPr>
              <w:ind w:leftChars="0" w:left="0" w:right="0"/>
            </w:pPr>
            <w:r>
              <w:t>KOCN</w:t>
            </w:r>
          </w:p>
        </w:tc>
        <w:tc>
          <w:tcPr>
            <w:cnfStyle w:evenVBand="false" w:oddVBand="true" w:firstColumn="false"/>
            <w:tcW w:w="33.333333%" w:type="pct"/>
          </w:tcPr>
          <w:p>
            <w:pPr>
              <w:ind w:leftChars="0" w:left="0" w:right="0"/>
            </w:pPr>
            <w:r>
              <w:t>KOREA ECN SECURITIES CO. LTD (ATS)</w:t>
            </w:r>
          </w:p>
        </w:tc>
      </w:tr>
      <w:tr>
        <w:trPr>
          <w:cnfStyle w:evenHBand="true" w:oddHBand="false" w:firstRow="false"/>
        </w:trPr>
        <w:tc>
          <w:tcPr>
            <w:cnfStyle w:evenVBand="false" w:oddVBand="true" w:firstColumn="false"/>
            <w:tcW w:w="33.333333%" w:type="pct"/>
          </w:tcPr>
          <w:p>
            <w:pPr>
              <w:ind w:leftChars="0" w:left="0" w:right="0"/>
            </w:pPr>
            <w:r>
              <w:t>KOME</w:t>
            </w:r>
          </w:p>
        </w:tc>
        <w:tc>
          <w:tcPr>
            <w:cnfStyle w:evenVBand="true" w:oddVBand="false" w:firstColumn="false"/>
            <w:tcW w:w="33.333333%" w:type="pct"/>
          </w:tcPr>
          <w:p>
            <w:pPr>
              <w:ind w:leftChars="0" w:left="0" w:right="0"/>
            </w:pPr>
            <w:r>
              <w:t>KOME</w:t>
            </w:r>
          </w:p>
        </w:tc>
        <w:tc>
          <w:tcPr>
            <w:cnfStyle w:evenVBand="false" w:oddVBand="true" w:firstColumn="false"/>
            <w:tcW w:w="33.333333%" w:type="pct"/>
          </w:tcPr>
          <w:p>
            <w:pPr>
              <w:ind w:leftChars="0" w:left="0" w:right="0"/>
            </w:pPr>
            <w:r>
              <w:t>KOMERCNI BANKA, A.S.</w:t>
            </w:r>
          </w:p>
        </w:tc>
      </w:tr>
      <w:tr>
        <w:trPr>
          <w:cnfStyle w:evenHBand="false" w:oddHBand="true" w:firstRow="false"/>
        </w:trPr>
        <w:tc>
          <w:tcPr>
            <w:cnfStyle w:evenVBand="false" w:oddVBand="true" w:firstColumn="false"/>
            <w:tcW w:w="33.333333%" w:type="pct"/>
          </w:tcPr>
          <w:p>
            <w:pPr>
              <w:ind w:leftChars="0" w:left="0" w:right="0"/>
            </w:pPr>
            <w:r>
              <w:t>KOTF</w:t>
            </w:r>
          </w:p>
        </w:tc>
        <w:tc>
          <w:tcPr>
            <w:cnfStyle w:evenVBand="true" w:oddVBand="false" w:firstColumn="false"/>
            <w:tcW w:w="33.333333%" w:type="pct"/>
          </w:tcPr>
          <w:p>
            <w:pPr>
              <w:ind w:leftChars="0" w:left="0" w:right="0"/>
            </w:pPr>
            <w:r>
              <w:t>KOTF</w:t>
            </w:r>
          </w:p>
        </w:tc>
        <w:tc>
          <w:tcPr>
            <w:cnfStyle w:evenVBand="false" w:oddVBand="true" w:firstColumn="false"/>
            <w:tcW w:w="33.333333%" w:type="pct"/>
          </w:tcPr>
          <w:p>
            <w:pPr>
              <w:ind w:leftChars="0" w:left="0" w:right="0"/>
            </w:pPr>
            <w:r>
              <w:t>OTFLINK</w:t>
            </w:r>
          </w:p>
        </w:tc>
      </w:tr>
      <w:tr>
        <w:trPr>
          <w:cnfStyle w:evenHBand="true" w:oddHBand="false" w:firstRow="false"/>
        </w:trPr>
        <w:tc>
          <w:tcPr>
            <w:cnfStyle w:evenVBand="false" w:oddVBand="true" w:firstColumn="false"/>
            <w:tcW w:w="33.333333%" w:type="pct"/>
          </w:tcPr>
          <w:p>
            <w:pPr>
              <w:ind w:leftChars="0" w:left="0" w:right="0"/>
            </w:pPr>
            <w:r>
              <w:t>KRME</w:t>
            </w:r>
          </w:p>
        </w:tc>
        <w:tc>
          <w:tcPr>
            <w:cnfStyle w:evenVBand="true" w:oddVBand="false" w:firstColumn="false"/>
            <w:tcW w:w="33.333333%" w:type="pct"/>
          </w:tcPr>
          <w:p>
            <w:pPr>
              <w:ind w:leftChars="0" w:left="0" w:right="0"/>
            </w:pPr>
            <w:r>
              <w:t>KRME</w:t>
            </w:r>
          </w:p>
        </w:tc>
        <w:tc>
          <w:tcPr>
            <w:cnfStyle w:evenVBand="false" w:oddVBand="true" w:firstColumn="false"/>
            <w:tcW w:w="33.333333%" w:type="pct"/>
          </w:tcPr>
          <w:p>
            <w:pPr>
              <w:ind w:leftChars="0" w:left="0" w:right="0"/>
            </w:pPr>
            <w:r>
              <w:t>PAYWARD MENA HOLDINGS LTD.</w:t>
            </w:r>
          </w:p>
        </w:tc>
      </w:tr>
      <w:tr>
        <w:trPr>
          <w:cnfStyle w:evenHBand="false" w:oddHBand="true" w:firstRow="false"/>
        </w:trPr>
        <w:tc>
          <w:tcPr>
            <w:cnfStyle w:evenVBand="false" w:oddVBand="true" w:firstColumn="false"/>
            <w:tcW w:w="33.333333%" w:type="pct"/>
          </w:tcPr>
          <w:p>
            <w:pPr>
              <w:ind w:leftChars="0" w:left="0" w:right="0"/>
            </w:pPr>
            <w:r>
              <w:t>LAFD</w:t>
            </w:r>
          </w:p>
        </w:tc>
        <w:tc>
          <w:tcPr>
            <w:cnfStyle w:evenVBand="true" w:oddVBand="false" w:firstColumn="false"/>
            <w:tcW w:w="33.333333%" w:type="pct"/>
          </w:tcPr>
          <w:p>
            <w:pPr>
              <w:ind w:leftChars="0" w:left="0" w:right="0"/>
            </w:pPr>
            <w:r>
              <w:t>LAFD</w:t>
            </w:r>
          </w:p>
        </w:tc>
        <w:tc>
          <w:tcPr>
            <w:cnfStyle w:evenVBand="false" w:oddVBand="true" w:firstColumn="false"/>
            <w:tcW w:w="33.333333%" w:type="pct"/>
          </w:tcPr>
          <w:p>
            <w:pPr>
              <w:ind w:leftChars="0" w:left="0" w:right="0"/>
            </w:pPr>
            <w:r>
              <w:t>FLOW DARK</w:t>
            </w:r>
          </w:p>
        </w:tc>
      </w:tr>
      <w:tr>
        <w:trPr>
          <w:cnfStyle w:evenHBand="true" w:oddHBand="false" w:firstRow="false"/>
        </w:trPr>
        <w:tc>
          <w:tcPr>
            <w:cnfStyle w:evenVBand="false" w:oddVBand="true" w:firstColumn="false"/>
            <w:tcW w:w="33.333333%" w:type="pct"/>
          </w:tcPr>
          <w:p>
            <w:pPr>
              <w:ind w:leftChars="0" w:left="0" w:right="0"/>
            </w:pPr>
            <w:r>
              <w:t>LAFL</w:t>
            </w:r>
          </w:p>
        </w:tc>
        <w:tc>
          <w:tcPr>
            <w:cnfStyle w:evenVBand="true" w:oddVBand="false" w:firstColumn="false"/>
            <w:tcW w:w="33.333333%" w:type="pct"/>
          </w:tcPr>
          <w:p>
            <w:pPr>
              <w:ind w:leftChars="0" w:left="0" w:right="0"/>
            </w:pPr>
            <w:r>
              <w:t>LAFL</w:t>
            </w:r>
          </w:p>
        </w:tc>
        <w:tc>
          <w:tcPr>
            <w:cnfStyle w:evenVBand="false" w:oddVBand="true" w:firstColumn="false"/>
            <w:tcW w:w="33.333333%" w:type="pct"/>
          </w:tcPr>
          <w:p>
            <w:pPr>
              <w:ind w:leftChars="0" w:left="0" w:right="0"/>
            </w:pPr>
            <w:r>
              <w:t>LAVAFLOW ECN</w:t>
            </w:r>
          </w:p>
        </w:tc>
      </w:tr>
      <w:tr>
        <w:trPr>
          <w:cnfStyle w:evenHBand="false" w:oddHBand="true" w:firstRow="false"/>
        </w:trPr>
        <w:tc>
          <w:tcPr>
            <w:cnfStyle w:evenVBand="false" w:oddVBand="true" w:firstColumn="false"/>
            <w:tcW w:w="33.333333%" w:type="pct"/>
          </w:tcPr>
          <w:p>
            <w:pPr>
              <w:ind w:leftChars="0" w:left="0" w:right="0"/>
            </w:pPr>
            <w:r>
              <w:t>LAFX</w:t>
            </w:r>
          </w:p>
        </w:tc>
        <w:tc>
          <w:tcPr>
            <w:cnfStyle w:evenVBand="true" w:oddVBand="false" w:firstColumn="false"/>
            <w:tcW w:w="33.333333%" w:type="pct"/>
          </w:tcPr>
          <w:p>
            <w:pPr>
              <w:ind w:leftChars="0" w:left="0" w:right="0"/>
            </w:pPr>
            <w:r>
              <w:t>LAFX</w:t>
            </w:r>
          </w:p>
        </w:tc>
        <w:tc>
          <w:tcPr>
            <w:cnfStyle w:evenVBand="false" w:oddVBand="true" w:firstColumn="false"/>
            <w:tcW w:w="33.333333%" w:type="pct"/>
          </w:tcPr>
          <w:p>
            <w:pPr>
              <w:ind w:leftChars="0" w:left="0" w:right="0"/>
            </w:pPr>
            <w:r>
              <w:t>LAVAFX</w:t>
            </w:r>
          </w:p>
        </w:tc>
      </w:tr>
      <w:tr>
        <w:trPr>
          <w:cnfStyle w:evenHBand="true" w:oddHBand="false" w:firstRow="false"/>
        </w:trPr>
        <w:tc>
          <w:tcPr>
            <w:cnfStyle w:evenVBand="false" w:oddVBand="true" w:firstColumn="false"/>
            <w:tcW w:w="33.333333%" w:type="pct"/>
          </w:tcPr>
          <w:p>
            <w:pPr>
              <w:ind w:leftChars="0" w:left="0" w:right="0"/>
            </w:pPr>
            <w:r>
              <w:t>LAMP</w:t>
            </w:r>
          </w:p>
        </w:tc>
        <w:tc>
          <w:tcPr>
            <w:cnfStyle w:evenVBand="true" w:oddVBand="false" w:firstColumn="false"/>
            <w:tcW w:w="33.333333%" w:type="pct"/>
          </w:tcPr>
          <w:p>
            <w:pPr>
              <w:ind w:leftChars="0" w:left="0" w:right="0"/>
            </w:pPr>
            <w:r>
              <w:t>LAMP</w:t>
            </w:r>
          </w:p>
        </w:tc>
        <w:tc>
          <w:tcPr>
            <w:cnfStyle w:evenVBand="false" w:oddVBand="true" w:firstColumn="false"/>
            <w:tcW w:w="33.333333%" w:type="pct"/>
          </w:tcPr>
          <w:p>
            <w:pPr>
              <w:ind w:leftChars="0" w:left="0" w:right="0"/>
            </w:pPr>
            <w:r>
              <w:t>LAMPOST CAPITAL</w:t>
            </w:r>
          </w:p>
        </w:tc>
      </w:tr>
      <w:tr>
        <w:trPr>
          <w:cnfStyle w:evenHBand="false" w:oddHBand="true" w:firstRow="false"/>
        </w:trPr>
        <w:tc>
          <w:tcPr>
            <w:cnfStyle w:evenVBand="false" w:oddVBand="true" w:firstColumn="false"/>
            <w:tcW w:w="33.333333%" w:type="pct"/>
          </w:tcPr>
          <w:p>
            <w:pPr>
              <w:ind w:leftChars="0" w:left="0" w:right="0"/>
            </w:pPr>
            <w:r>
              <w:t>LASF</w:t>
            </w:r>
          </w:p>
        </w:tc>
        <w:tc>
          <w:tcPr>
            <w:cnfStyle w:evenVBand="true" w:oddVBand="false" w:firstColumn="false"/>
            <w:tcW w:w="33.333333%" w:type="pct"/>
          </w:tcPr>
          <w:p>
            <w:pPr>
              <w:ind w:leftChars="0" w:left="0" w:right="0"/>
            </w:pPr>
            <w:r>
              <w:t>LASF</w:t>
            </w:r>
          </w:p>
        </w:tc>
        <w:tc>
          <w:tcPr>
            <w:cnfStyle w:evenVBand="false" w:oddVBand="true" w:firstColumn="false"/>
            <w:tcW w:w="33.333333%" w:type="pct"/>
          </w:tcPr>
          <w:p>
            <w:pPr>
              <w:ind w:leftChars="0" w:left="0" w:right="0"/>
            </w:pPr>
            <w:r>
              <w:t>LATAM SEF</w:t>
            </w:r>
          </w:p>
        </w:tc>
      </w:tr>
      <w:tr>
        <w:trPr>
          <w:cnfStyle w:evenHBand="true" w:oddHBand="false" w:firstRow="false"/>
        </w:trPr>
        <w:tc>
          <w:tcPr>
            <w:cnfStyle w:evenVBand="false" w:oddVBand="true" w:firstColumn="false"/>
            <w:tcW w:w="33.333333%" w:type="pct"/>
          </w:tcPr>
          <w:p>
            <w:pPr>
              <w:ind w:leftChars="0" w:left="0" w:right="0"/>
            </w:pPr>
            <w:r>
              <w:t>LASP</w:t>
            </w:r>
          </w:p>
        </w:tc>
        <w:tc>
          <w:tcPr>
            <w:cnfStyle w:evenVBand="true" w:oddVBand="false" w:firstColumn="false"/>
            <w:tcW w:w="33.333333%" w:type="pct"/>
          </w:tcPr>
          <w:p>
            <w:pPr>
              <w:ind w:leftChars="0" w:left="0" w:right="0"/>
            </w:pPr>
            <w:r>
              <w:t>LASP</w:t>
            </w:r>
          </w:p>
        </w:tc>
        <w:tc>
          <w:tcPr>
            <w:cnfStyle w:evenVBand="false" w:oddVBand="true" w:firstColumn="false"/>
            <w:tcW w:w="33.333333%" w:type="pct"/>
          </w:tcPr>
          <w:p>
            <w:pPr>
              <w:ind w:leftChars="0" w:left="0" w:right="0"/>
            </w:pPr>
            <w:r>
              <w:t>LAN AND SPAR BANK A/S</w:t>
            </w:r>
          </w:p>
        </w:tc>
      </w:tr>
      <w:tr>
        <w:trPr>
          <w:cnfStyle w:evenHBand="false" w:oddHBand="true" w:firstRow="false"/>
        </w:trPr>
        <w:tc>
          <w:tcPr>
            <w:cnfStyle w:evenVBand="false" w:oddVBand="true" w:firstColumn="false"/>
            <w:tcW w:w="33.333333%" w:type="pct"/>
          </w:tcPr>
          <w:p>
            <w:pPr>
              <w:ind w:leftChars="0" w:left="0" w:right="0"/>
            </w:pPr>
            <w:r>
              <w:t>LATG</w:t>
            </w:r>
          </w:p>
        </w:tc>
        <w:tc>
          <w:tcPr>
            <w:cnfStyle w:evenVBand="true" w:oddVBand="false" w:firstColumn="false"/>
            <w:tcW w:w="33.333333%" w:type="pct"/>
          </w:tcPr>
          <w:p>
            <w:pPr>
              <w:ind w:leftChars="0" w:left="0" w:right="0"/>
            </w:pPr>
            <w:r>
              <w:t>LATG</w:t>
            </w:r>
          </w:p>
        </w:tc>
        <w:tc>
          <w:tcPr>
            <w:cnfStyle w:evenVBand="false" w:oddVBand="true" w:firstColumn="false"/>
            <w:tcW w:w="33.333333%" w:type="pct"/>
          </w:tcPr>
          <w:p>
            <w:pPr>
              <w:ind w:leftChars="0" w:left="0" w:right="0"/>
            </w:pPr>
            <w:r>
              <w:t>GFI SECURITIES LLC - CREDITMATCH (LATG)</w:t>
            </w:r>
          </w:p>
        </w:tc>
      </w:tr>
      <w:tr>
        <w:trPr>
          <w:cnfStyle w:evenHBand="true" w:oddHBand="false" w:firstRow="false"/>
        </w:trPr>
        <w:tc>
          <w:tcPr>
            <w:cnfStyle w:evenVBand="false" w:oddVBand="true" w:firstColumn="false"/>
            <w:tcW w:w="33.333333%" w:type="pct"/>
          </w:tcPr>
          <w:p>
            <w:pPr>
              <w:ind w:leftChars="0" w:left="0" w:right="0"/>
            </w:pPr>
            <w:r>
              <w:t>LAVA</w:t>
            </w:r>
          </w:p>
        </w:tc>
        <w:tc>
          <w:tcPr>
            <w:cnfStyle w:evenVBand="true" w:oddVBand="false" w:firstColumn="false"/>
            <w:tcW w:w="33.333333%" w:type="pct"/>
          </w:tcPr>
          <w:p>
            <w:pPr>
              <w:ind w:leftChars="0" w:left="0" w:right="0"/>
            </w:pPr>
            <w:r>
              <w:t>LAVA</w:t>
            </w:r>
          </w:p>
        </w:tc>
        <w:tc>
          <w:tcPr>
            <w:cnfStyle w:evenVBand="false" w:oddVBand="true" w:firstColumn="false"/>
            <w:tcW w:w="33.333333%" w:type="pct"/>
          </w:tcPr>
          <w:p>
            <w:pPr>
              <w:ind w:leftChars="0" w:left="0" w:right="0"/>
            </w:pPr>
            <w:r>
              <w:t>LAVA TRADING (CITI)</w:t>
            </w:r>
          </w:p>
        </w:tc>
      </w:tr>
      <w:tr>
        <w:trPr>
          <w:cnfStyle w:evenHBand="false" w:oddHBand="true" w:firstRow="false"/>
        </w:trPr>
        <w:tc>
          <w:tcPr>
            <w:cnfStyle w:evenVBand="false" w:oddVBand="true" w:firstColumn="false"/>
            <w:tcW w:w="33.333333%" w:type="pct"/>
          </w:tcPr>
          <w:p>
            <w:pPr>
              <w:ind w:leftChars="0" w:left="0" w:right="0"/>
            </w:pPr>
            <w:r>
              <w:t>LBBW</w:t>
            </w:r>
          </w:p>
        </w:tc>
        <w:tc>
          <w:tcPr>
            <w:cnfStyle w:evenVBand="true" w:oddVBand="false" w:firstColumn="false"/>
            <w:tcW w:w="33.333333%" w:type="pct"/>
          </w:tcPr>
          <w:p>
            <w:pPr>
              <w:ind w:leftChars="0" w:left="0" w:right="0"/>
            </w:pPr>
            <w:r>
              <w:t>LBBW</w:t>
            </w:r>
          </w:p>
        </w:tc>
        <w:tc>
          <w:tcPr>
            <w:cnfStyle w:evenVBand="false" w:oddVBand="true" w:firstColumn="false"/>
            <w:tcW w:w="33.333333%" w:type="pct"/>
          </w:tcPr>
          <w:p>
            <w:pPr>
              <w:ind w:leftChars="0" w:left="0" w:right="0"/>
            </w:pPr>
            <w:r>
              <w:t>LBBW - LANDESBANK BADEN-WUERTTEMBERG</w:t>
            </w:r>
          </w:p>
        </w:tc>
      </w:tr>
      <w:tr>
        <w:trPr>
          <w:cnfStyle w:evenHBand="true" w:oddHBand="false" w:firstRow="false"/>
        </w:trPr>
        <w:tc>
          <w:tcPr>
            <w:cnfStyle w:evenVBand="false" w:oddVBand="true" w:firstColumn="false"/>
            <w:tcW w:w="33.333333%" w:type="pct"/>
          </w:tcPr>
          <w:p>
            <w:pPr>
              <w:ind w:leftChars="0" w:left="0" w:right="0"/>
            </w:pPr>
            <w:r>
              <w:t>LBCM</w:t>
            </w:r>
          </w:p>
        </w:tc>
        <w:tc>
          <w:tcPr>
            <w:cnfStyle w:evenVBand="true" w:oddVBand="false" w:firstColumn="false"/>
            <w:tcW w:w="33.333333%" w:type="pct"/>
          </w:tcPr>
          <w:p>
            <w:pPr>
              <w:ind w:leftChars="0" w:left="0" w:right="0"/>
            </w:pPr>
            <w:r>
              <w:t>LBCM</w:t>
            </w:r>
          </w:p>
        </w:tc>
        <w:tc>
          <w:tcPr>
            <w:cnfStyle w:evenVBand="false" w:oddVBand="true" w:firstColumn="false"/>
            <w:tcW w:w="33.333333%" w:type="pct"/>
          </w:tcPr>
          <w:p>
            <w:pPr>
              <w:ind w:leftChars="0" w:left="0" w:right="0"/>
            </w:pPr>
            <w:r>
              <w:t>LLOYDS BANK CORPORATE MARKETS - SYSTEMATIC INTERNALISER</w:t>
            </w:r>
          </w:p>
        </w:tc>
      </w:tr>
      <w:tr>
        <w:trPr>
          <w:cnfStyle w:evenHBand="false" w:oddHBand="true" w:firstRow="false"/>
        </w:trPr>
        <w:tc>
          <w:tcPr>
            <w:cnfStyle w:evenVBand="false" w:oddVBand="true" w:firstColumn="false"/>
            <w:tcW w:w="33.333333%" w:type="pct"/>
          </w:tcPr>
          <w:p>
            <w:pPr>
              <w:ind w:leftChars="0" w:left="0" w:right="0"/>
            </w:pPr>
            <w:r>
              <w:t>LBCW</w:t>
            </w:r>
          </w:p>
        </w:tc>
        <w:tc>
          <w:tcPr>
            <w:cnfStyle w:evenVBand="true" w:oddVBand="false" w:firstColumn="false"/>
            <w:tcW w:w="33.333333%" w:type="pct"/>
          </w:tcPr>
          <w:p>
            <w:pPr>
              <w:ind w:leftChars="0" w:left="0" w:right="0"/>
            </w:pPr>
            <w:r>
              <w:t>LBCW</w:t>
            </w:r>
          </w:p>
        </w:tc>
        <w:tc>
          <w:tcPr>
            <w:cnfStyle w:evenVBand="false" w:oddVBand="true" w:firstColumn="false"/>
            <w:tcW w:w="33.333333%" w:type="pct"/>
          </w:tcPr>
          <w:p>
            <w:pPr>
              <w:ind w:leftChars="0" w:left="0" w:right="0"/>
            </w:pPr>
            <w:r>
              <w:t>LLOYDS BANK CORPORATE MARKETS WERTPAPIERHANDELSBANK GMBH - SYSTEMATIC INTERNALISER</w:t>
            </w:r>
          </w:p>
        </w:tc>
      </w:tr>
      <w:tr>
        <w:trPr>
          <w:cnfStyle w:evenHBand="true" w:oddHBand="false" w:firstRow="false"/>
        </w:trPr>
        <w:tc>
          <w:tcPr>
            <w:cnfStyle w:evenVBand="false" w:oddVBand="true" w:firstColumn="false"/>
            <w:tcW w:w="33.333333%" w:type="pct"/>
          </w:tcPr>
          <w:p>
            <w:pPr>
              <w:ind w:leftChars="0" w:left="0" w:right="0"/>
            </w:pPr>
            <w:r>
              <w:t>LBWL</w:t>
            </w:r>
          </w:p>
        </w:tc>
        <w:tc>
          <w:tcPr>
            <w:cnfStyle w:evenVBand="true" w:oddVBand="false" w:firstColumn="false"/>
            <w:tcW w:w="33.333333%" w:type="pct"/>
          </w:tcPr>
          <w:p>
            <w:pPr>
              <w:ind w:leftChars="0" w:left="0" w:right="0"/>
            </w:pPr>
            <w:r>
              <w:t>LBWL</w:t>
            </w:r>
          </w:p>
        </w:tc>
        <w:tc>
          <w:tcPr>
            <w:cnfStyle w:evenVBand="false" w:oddVBand="true" w:firstColumn="false"/>
            <w:tcW w:w="33.333333%" w:type="pct"/>
          </w:tcPr>
          <w:p>
            <w:pPr>
              <w:ind w:leftChars="0" w:left="0" w:right="0"/>
            </w:pPr>
            <w:r>
              <w:t>LBBW - LANDESBANK BADEN-WUERTTEMBERG - LIQUIDITY PROVIDER</w:t>
            </w:r>
          </w:p>
        </w:tc>
      </w:tr>
      <w:tr>
        <w:trPr>
          <w:cnfStyle w:evenHBand="false" w:oddHBand="true" w:firstRow="false"/>
        </w:trPr>
        <w:tc>
          <w:tcPr>
            <w:cnfStyle w:evenVBand="false" w:oddVBand="true" w:firstColumn="false"/>
            <w:tcW w:w="33.333333%" w:type="pct"/>
          </w:tcPr>
          <w:p>
            <w:pPr>
              <w:ind w:leftChars="0" w:left="0" w:right="0"/>
            </w:pPr>
            <w:r>
              <w:t>LBWS</w:t>
            </w:r>
          </w:p>
        </w:tc>
        <w:tc>
          <w:tcPr>
            <w:cnfStyle w:evenVBand="true" w:oddVBand="false" w:firstColumn="false"/>
            <w:tcW w:w="33.333333%" w:type="pct"/>
          </w:tcPr>
          <w:p>
            <w:pPr>
              <w:ind w:leftChars="0" w:left="0" w:right="0"/>
            </w:pPr>
            <w:r>
              <w:t>LBWS</w:t>
            </w:r>
          </w:p>
        </w:tc>
        <w:tc>
          <w:tcPr>
            <w:cnfStyle w:evenVBand="false" w:oddVBand="true" w:firstColumn="false"/>
            <w:tcW w:w="33.333333%" w:type="pct"/>
          </w:tcPr>
          <w:p>
            <w:pPr>
              <w:ind w:leftChars="0" w:left="0" w:right="0"/>
            </w:pPr>
            <w:r>
              <w:t>LBBW - LANDESBANK BADEN-WUERTTEMBERG - SYSTEMATIC INTERNALISER</w:t>
            </w:r>
          </w:p>
        </w:tc>
      </w:tr>
      <w:tr>
        <w:trPr>
          <w:cnfStyle w:evenHBand="true" w:oddHBand="false" w:firstRow="false"/>
        </w:trPr>
        <w:tc>
          <w:tcPr>
            <w:cnfStyle w:evenVBand="false" w:oddVBand="true" w:firstColumn="false"/>
            <w:tcW w:w="33.333333%" w:type="pct"/>
          </w:tcPr>
          <w:p>
            <w:pPr>
              <w:ind w:leftChars="0" w:left="0" w:right="0"/>
            </w:pPr>
            <w:r>
              <w:t>LCHC</w:t>
            </w:r>
          </w:p>
        </w:tc>
        <w:tc>
          <w:tcPr>
            <w:cnfStyle w:evenVBand="true" w:oddVBand="false" w:firstColumn="false"/>
            <w:tcW w:w="33.333333%" w:type="pct"/>
          </w:tcPr>
          <w:p>
            <w:pPr>
              <w:ind w:leftChars="0" w:left="0" w:right="0"/>
            </w:pPr>
            <w:r>
              <w:t>LCHC</w:t>
            </w:r>
          </w:p>
        </w:tc>
        <w:tc>
          <w:tcPr>
            <w:cnfStyle w:evenVBand="false" w:oddVBand="true" w:firstColumn="false"/>
            <w:tcW w:w="33.333333%" w:type="pct"/>
          </w:tcPr>
          <w:p>
            <w:pPr>
              <w:ind w:leftChars="0" w:left="0" w:right="0"/>
            </w:pPr>
            <w:r>
              <w:t>LCH.CLEARNET</w:t>
            </w:r>
          </w:p>
        </w:tc>
      </w:tr>
      <w:tr>
        <w:trPr>
          <w:cnfStyle w:evenHBand="false" w:oddHBand="true" w:firstRow="false"/>
        </w:trPr>
        <w:tc>
          <w:tcPr>
            <w:cnfStyle w:evenVBand="false" w:oddVBand="true" w:firstColumn="false"/>
            <w:tcW w:w="33.333333%" w:type="pct"/>
          </w:tcPr>
          <w:p>
            <w:pPr>
              <w:ind w:leftChars="0" w:left="0" w:right="0"/>
            </w:pPr>
            <w:r>
              <w:t>LCUR</w:t>
            </w:r>
          </w:p>
        </w:tc>
        <w:tc>
          <w:tcPr>
            <w:cnfStyle w:evenVBand="true" w:oddVBand="false" w:firstColumn="false"/>
            <w:tcW w:w="33.333333%" w:type="pct"/>
          </w:tcPr>
          <w:p>
            <w:pPr>
              <w:ind w:leftChars="0" w:left="0" w:right="0"/>
            </w:pPr>
            <w:r>
              <w:t>LCUR</w:t>
            </w:r>
          </w:p>
        </w:tc>
        <w:tc>
          <w:tcPr>
            <w:cnfStyle w:evenVBand="false" w:oddVBand="true" w:firstColumn="false"/>
            <w:tcW w:w="33.333333%" w:type="pct"/>
          </w:tcPr>
          <w:p>
            <w:pPr>
              <w:ind w:leftChars="0" w:left="0" w:right="0"/>
            </w:pPr>
            <w:r>
              <w:t>CURRENEX LDFX</w:t>
            </w:r>
          </w:p>
        </w:tc>
      </w:tr>
      <w:tr>
        <w:trPr>
          <w:cnfStyle w:evenHBand="true" w:oddHBand="false" w:firstRow="false"/>
        </w:trPr>
        <w:tc>
          <w:tcPr>
            <w:cnfStyle w:evenVBand="false" w:oddVBand="true" w:firstColumn="false"/>
            <w:tcW w:w="33.333333%" w:type="pct"/>
          </w:tcPr>
          <w:p>
            <w:pPr>
              <w:ind w:leftChars="0" w:left="0" w:right="0"/>
            </w:pPr>
            <w:r>
              <w:t>LEBV</w:t>
            </w:r>
          </w:p>
        </w:tc>
        <w:tc>
          <w:tcPr>
            <w:cnfStyle w:evenVBand="true" w:oddVBand="false" w:firstColumn="false"/>
            <w:tcW w:w="33.333333%" w:type="pct"/>
          </w:tcPr>
          <w:p>
            <w:pPr>
              <w:ind w:leftChars="0" w:left="0" w:right="0"/>
            </w:pPr>
            <w:r>
              <w:t>LEBV</w:t>
            </w:r>
          </w:p>
        </w:tc>
        <w:tc>
          <w:tcPr>
            <w:cnfStyle w:evenVBand="false" w:oddVBand="true" w:firstColumn="false"/>
            <w:tcW w:w="33.333333%" w:type="pct"/>
          </w:tcPr>
          <w:p>
            <w:pPr>
              <w:ind w:leftChars="0" w:left="0" w:right="0"/>
            </w:pPr>
            <w:r>
              <w:t>LEDGEREDGE B.V.</w:t>
            </w:r>
          </w:p>
        </w:tc>
      </w:tr>
      <w:tr>
        <w:trPr>
          <w:cnfStyle w:evenHBand="false" w:oddHBand="true" w:firstRow="false"/>
        </w:trPr>
        <w:tc>
          <w:tcPr>
            <w:cnfStyle w:evenVBand="false" w:oddVBand="true" w:firstColumn="false"/>
            <w:tcW w:w="33.333333%" w:type="pct"/>
          </w:tcPr>
          <w:p>
            <w:pPr>
              <w:ind w:leftChars="0" w:left="0" w:right="0"/>
            </w:pPr>
            <w:r>
              <w:t>LEDG</w:t>
            </w:r>
          </w:p>
        </w:tc>
        <w:tc>
          <w:tcPr>
            <w:cnfStyle w:evenVBand="true" w:oddVBand="false" w:firstColumn="false"/>
            <w:tcW w:w="33.333333%" w:type="pct"/>
          </w:tcPr>
          <w:p>
            <w:pPr>
              <w:ind w:leftChars="0" w:left="0" w:right="0"/>
            </w:pPr>
            <w:r>
              <w:t>LEDG</w:t>
            </w:r>
          </w:p>
        </w:tc>
        <w:tc>
          <w:tcPr>
            <w:cnfStyle w:evenVBand="false" w:oddVBand="true" w:firstColumn="false"/>
            <w:tcW w:w="33.333333%" w:type="pct"/>
          </w:tcPr>
          <w:p>
            <w:pPr>
              <w:ind w:leftChars="0" w:left="0" w:right="0"/>
            </w:pPr>
            <w:r>
              <w:t>LEDGERX</w:t>
            </w:r>
          </w:p>
        </w:tc>
      </w:tr>
      <w:tr>
        <w:trPr>
          <w:cnfStyle w:evenHBand="true" w:oddHBand="false" w:firstRow="false"/>
        </w:trPr>
        <w:tc>
          <w:tcPr>
            <w:cnfStyle w:evenVBand="false" w:oddVBand="true" w:firstColumn="false"/>
            <w:tcW w:w="33.333333%" w:type="pct"/>
          </w:tcPr>
          <w:p>
            <w:pPr>
              <w:ind w:leftChars="0" w:left="0" w:right="0"/>
            </w:pPr>
            <w:r>
              <w:t>LELE</w:t>
            </w:r>
          </w:p>
        </w:tc>
        <w:tc>
          <w:tcPr>
            <w:cnfStyle w:evenVBand="true" w:oddVBand="false" w:firstColumn="false"/>
            <w:tcW w:w="33.333333%" w:type="pct"/>
          </w:tcPr>
          <w:p>
            <w:pPr>
              <w:ind w:leftChars="0" w:left="0" w:right="0"/>
            </w:pPr>
            <w:r>
              <w:t>LELE</w:t>
            </w:r>
          </w:p>
        </w:tc>
        <w:tc>
          <w:tcPr>
            <w:cnfStyle w:evenVBand="false" w:oddVBand="true" w:firstColumn="false"/>
            <w:tcW w:w="33.333333%" w:type="pct"/>
          </w:tcPr>
          <w:p>
            <w:pPr>
              <w:ind w:leftChars="0" w:left="0" w:right="0"/>
            </w:pPr>
            <w:r>
              <w:t>LEDGEREDGE</w:t>
            </w:r>
          </w:p>
        </w:tc>
      </w:tr>
      <w:tr>
        <w:trPr>
          <w:cnfStyle w:evenHBand="false" w:oddHBand="true" w:firstRow="false"/>
        </w:trPr>
        <w:tc>
          <w:tcPr>
            <w:cnfStyle w:evenVBand="false" w:oddVBand="true" w:firstColumn="false"/>
            <w:tcW w:w="33.333333%" w:type="pct"/>
          </w:tcPr>
          <w:p>
            <w:pPr>
              <w:ind w:leftChars="0" w:left="0" w:right="0"/>
            </w:pPr>
            <w:r>
              <w:t>LESI</w:t>
            </w:r>
          </w:p>
        </w:tc>
        <w:tc>
          <w:tcPr>
            <w:cnfStyle w:evenVBand="true" w:oddVBand="false" w:firstColumn="false"/>
            <w:tcW w:w="33.333333%" w:type="pct"/>
          </w:tcPr>
          <w:p>
            <w:pPr>
              <w:ind w:leftChars="0" w:left="0" w:right="0"/>
            </w:pPr>
            <w:r>
              <w:t>LESI</w:t>
            </w:r>
          </w:p>
        </w:tc>
        <w:tc>
          <w:tcPr>
            <w:cnfStyle w:evenVBand="false" w:oddVBand="true" w:firstColumn="false"/>
            <w:tcW w:w="33.333333%" w:type="pct"/>
          </w:tcPr>
          <w:p>
            <w:pPr>
              <w:ind w:leftChars="0" w:left="0" w:right="0"/>
            </w:pPr>
            <w:r>
              <w:t>LEDGEREDGE SECURITIES INC.</w:t>
            </w:r>
          </w:p>
        </w:tc>
      </w:tr>
      <w:tr>
        <w:trPr>
          <w:cnfStyle w:evenHBand="true" w:oddHBand="false" w:firstRow="false"/>
        </w:trPr>
        <w:tc>
          <w:tcPr>
            <w:cnfStyle w:evenVBand="false" w:oddVBand="true" w:firstColumn="false"/>
            <w:tcW w:w="33.333333%" w:type="pct"/>
          </w:tcPr>
          <w:p>
            <w:pPr>
              <w:ind w:leftChars="0" w:left="0" w:right="0"/>
            </w:pPr>
            <w:r>
              <w:t>LEUE</w:t>
            </w:r>
          </w:p>
        </w:tc>
        <w:tc>
          <w:tcPr>
            <w:cnfStyle w:evenVBand="true" w:oddVBand="false" w:firstColumn="false"/>
            <w:tcW w:w="33.333333%" w:type="pct"/>
          </w:tcPr>
          <w:p>
            <w:pPr>
              <w:ind w:leftChars="0" w:left="0" w:right="0"/>
            </w:pPr>
            <w:r>
              <w:t>LEUE</w:t>
            </w:r>
          </w:p>
        </w:tc>
        <w:tc>
          <w:tcPr>
            <w:cnfStyle w:evenVBand="false" w:oddVBand="true" w:firstColumn="false"/>
            <w:tcW w:w="33.333333%" w:type="pct"/>
          </w:tcPr>
          <w:p>
            <w:pPr>
              <w:ind w:leftChars="0" w:left="0" w:right="0"/>
            </w:pPr>
            <w:r>
              <w:t>LIQUIDNET EU LIMITED EQUITY MTF</w:t>
            </w:r>
          </w:p>
        </w:tc>
      </w:tr>
      <w:tr>
        <w:trPr>
          <w:cnfStyle w:evenHBand="false" w:oddHBand="true" w:firstRow="false"/>
        </w:trPr>
        <w:tc>
          <w:tcPr>
            <w:cnfStyle w:evenVBand="false" w:oddVBand="true" w:firstColumn="false"/>
            <w:tcW w:w="33.333333%" w:type="pct"/>
          </w:tcPr>
          <w:p>
            <w:pPr>
              <w:ind w:leftChars="0" w:left="0" w:right="0"/>
            </w:pPr>
            <w:r>
              <w:t>LEUF</w:t>
            </w:r>
          </w:p>
        </w:tc>
        <w:tc>
          <w:tcPr>
            <w:cnfStyle w:evenVBand="true" w:oddVBand="false" w:firstColumn="false"/>
            <w:tcW w:w="33.333333%" w:type="pct"/>
          </w:tcPr>
          <w:p>
            <w:pPr>
              <w:ind w:leftChars="0" w:left="0" w:right="0"/>
            </w:pPr>
            <w:r>
              <w:t>LEUF</w:t>
            </w:r>
          </w:p>
        </w:tc>
        <w:tc>
          <w:tcPr>
            <w:cnfStyle w:evenVBand="false" w:oddVBand="true" w:firstColumn="false"/>
            <w:tcW w:w="33.333333%" w:type="pct"/>
          </w:tcPr>
          <w:p>
            <w:pPr>
              <w:ind w:leftChars="0" w:left="0" w:right="0"/>
            </w:pPr>
            <w:r>
              <w:t>LIQUIDNET EU LIMITED FIXED INCOME MTF</w:t>
            </w:r>
          </w:p>
        </w:tc>
      </w:tr>
      <w:tr>
        <w:trPr>
          <w:cnfStyle w:evenHBand="true" w:oddHBand="false" w:firstRow="false"/>
        </w:trPr>
        <w:tc>
          <w:tcPr>
            <w:cnfStyle w:evenVBand="false" w:oddVBand="true" w:firstColumn="false"/>
            <w:tcW w:w="33.333333%" w:type="pct"/>
          </w:tcPr>
          <w:p>
            <w:pPr>
              <w:ind w:leftChars="0" w:left="0" w:right="0"/>
            </w:pPr>
            <w:r>
              <w:t>LEVL</w:t>
            </w:r>
          </w:p>
        </w:tc>
        <w:tc>
          <w:tcPr>
            <w:cnfStyle w:evenVBand="true" w:oddVBand="false" w:firstColumn="false"/>
            <w:tcW w:w="33.333333%" w:type="pct"/>
          </w:tcPr>
          <w:p>
            <w:pPr>
              <w:ind w:leftChars="0" w:left="0" w:right="0"/>
            </w:pPr>
            <w:r>
              <w:t>LEVL</w:t>
            </w:r>
          </w:p>
        </w:tc>
        <w:tc>
          <w:tcPr>
            <w:cnfStyle w:evenVBand="false" w:oddVBand="true" w:firstColumn="false"/>
            <w:tcW w:w="33.333333%" w:type="pct"/>
          </w:tcPr>
          <w:p>
            <w:pPr>
              <w:ind w:leftChars="0" w:left="0" w:right="0"/>
            </w:pPr>
            <w:r>
              <w:t>LEVEL ATS</w:t>
            </w:r>
          </w:p>
        </w:tc>
      </w:tr>
      <w:tr>
        <w:trPr>
          <w:cnfStyle w:evenHBand="false" w:oddHBand="true" w:firstRow="false"/>
        </w:trPr>
        <w:tc>
          <w:tcPr>
            <w:cnfStyle w:evenVBand="false" w:oddVBand="true" w:firstColumn="false"/>
            <w:tcW w:w="33.333333%" w:type="pct"/>
          </w:tcPr>
          <w:p>
            <w:pPr>
              <w:ind w:leftChars="0" w:left="0" w:right="0"/>
            </w:pPr>
            <w:r>
              <w:t>LICA</w:t>
            </w:r>
          </w:p>
        </w:tc>
        <w:tc>
          <w:tcPr>
            <w:cnfStyle w:evenVBand="true" w:oddVBand="false" w:firstColumn="false"/>
            <w:tcW w:w="33.333333%" w:type="pct"/>
          </w:tcPr>
          <w:p>
            <w:pPr>
              <w:ind w:leftChars="0" w:left="0" w:right="0"/>
            </w:pPr>
            <w:r>
              <w:t>LICA</w:t>
            </w:r>
          </w:p>
        </w:tc>
        <w:tc>
          <w:tcPr>
            <w:cnfStyle w:evenVBand="false" w:oddVBand="true" w:firstColumn="false"/>
            <w:tcW w:w="33.333333%" w:type="pct"/>
          </w:tcPr>
          <w:p>
            <w:pPr>
              <w:ind w:leftChars="0" w:left="0" w:right="0"/>
            </w:pPr>
            <w:r>
              <w:t>LIQUIDNET CANADA ATS</w:t>
            </w:r>
          </w:p>
        </w:tc>
      </w:tr>
      <w:tr>
        <w:trPr>
          <w:cnfStyle w:evenHBand="true" w:oddHBand="false" w:firstRow="false"/>
        </w:trPr>
        <w:tc>
          <w:tcPr>
            <w:cnfStyle w:evenVBand="false" w:oddVBand="true" w:firstColumn="false"/>
            <w:tcW w:w="33.333333%" w:type="pct"/>
          </w:tcPr>
          <w:p>
            <w:pPr>
              <w:ind w:leftChars="0" w:left="0" w:right="0"/>
            </w:pPr>
            <w:r>
              <w:t>LIFI</w:t>
            </w:r>
          </w:p>
        </w:tc>
        <w:tc>
          <w:tcPr>
            <w:cnfStyle w:evenVBand="true" w:oddVBand="false" w:firstColumn="false"/>
            <w:tcW w:w="33.333333%" w:type="pct"/>
          </w:tcPr>
          <w:p>
            <w:pPr>
              <w:ind w:leftChars="0" w:left="0" w:right="0"/>
            </w:pPr>
            <w:r>
              <w:t>LIFI</w:t>
            </w:r>
          </w:p>
        </w:tc>
        <w:tc>
          <w:tcPr>
            <w:cnfStyle w:evenVBand="false" w:oddVBand="true" w:firstColumn="false"/>
            <w:tcW w:w="33.333333%" w:type="pct"/>
          </w:tcPr>
          <w:p>
            <w:pPr>
              <w:ind w:leftChars="0" w:left="0" w:right="0"/>
            </w:pPr>
            <w:r>
              <w:t>LIQUIDNET, INC. FIXED INCOME ATS</w:t>
            </w:r>
          </w:p>
        </w:tc>
      </w:tr>
      <w:tr>
        <w:trPr>
          <w:cnfStyle w:evenHBand="false" w:oddHBand="true" w:firstRow="false"/>
        </w:trPr>
        <w:tc>
          <w:tcPr>
            <w:cnfStyle w:evenVBand="false" w:oddVBand="true" w:firstColumn="false"/>
            <w:tcW w:w="33.333333%" w:type="pct"/>
          </w:tcPr>
          <w:p>
            <w:pPr>
              <w:ind w:leftChars="0" w:left="0" w:right="0"/>
            </w:pPr>
            <w:r>
              <w:t>LIGA</w:t>
            </w:r>
          </w:p>
        </w:tc>
        <w:tc>
          <w:tcPr>
            <w:cnfStyle w:evenVBand="true" w:oddVBand="false" w:firstColumn="false"/>
            <w:tcW w:w="33.333333%" w:type="pct"/>
          </w:tcPr>
          <w:p>
            <w:pPr>
              <w:ind w:leftChars="0" w:left="0" w:right="0"/>
            </w:pPr>
            <w:r>
              <w:t>LIGA</w:t>
            </w:r>
          </w:p>
        </w:tc>
        <w:tc>
          <w:tcPr>
            <w:cnfStyle w:evenVBand="false" w:oddVBand="true" w:firstColumn="false"/>
            <w:tcW w:w="33.333333%" w:type="pct"/>
          </w:tcPr>
          <w:p>
            <w:pPr>
              <w:ind w:leftChars="0" w:left="0" w:right="0"/>
            </w:pPr>
            <w:r>
              <w:t>LIGA BANK EG - SYSTEMATIC INTERNALISER</w:t>
            </w:r>
          </w:p>
        </w:tc>
      </w:tr>
      <w:tr>
        <w:trPr>
          <w:cnfStyle w:evenHBand="true" w:oddHBand="false" w:firstRow="false"/>
        </w:trPr>
        <w:tc>
          <w:tcPr>
            <w:cnfStyle w:evenVBand="false" w:oddVBand="true" w:firstColumn="false"/>
            <w:tcW w:w="33.333333%" w:type="pct"/>
          </w:tcPr>
          <w:p>
            <w:pPr>
              <w:ind w:leftChars="0" w:left="0" w:right="0"/>
            </w:pPr>
            <w:r>
              <w:t>LIQF</w:t>
            </w:r>
          </w:p>
        </w:tc>
        <w:tc>
          <w:tcPr>
            <w:cnfStyle w:evenVBand="true" w:oddVBand="false" w:firstColumn="false"/>
            <w:tcW w:w="33.333333%" w:type="pct"/>
          </w:tcPr>
          <w:p>
            <w:pPr>
              <w:ind w:leftChars="0" w:left="0" w:right="0"/>
            </w:pPr>
            <w:r>
              <w:t>LIQF</w:t>
            </w:r>
          </w:p>
        </w:tc>
        <w:tc>
          <w:tcPr>
            <w:cnfStyle w:evenVBand="false" w:oddVBand="true" w:firstColumn="false"/>
            <w:tcW w:w="33.333333%" w:type="pct"/>
          </w:tcPr>
          <w:p>
            <w:pPr>
              <w:ind w:leftChars="0" w:left="0" w:right="0"/>
            </w:pPr>
            <w:r>
              <w:t>LIQUIDNET EUROPE LIMITED</w:t>
            </w:r>
          </w:p>
        </w:tc>
      </w:tr>
      <w:tr>
        <w:trPr>
          <w:cnfStyle w:evenHBand="false" w:oddHBand="true" w:firstRow="false"/>
        </w:trPr>
        <w:tc>
          <w:tcPr>
            <w:cnfStyle w:evenVBand="false" w:oddVBand="true" w:firstColumn="false"/>
            <w:tcW w:w="33.333333%" w:type="pct"/>
          </w:tcPr>
          <w:p>
            <w:pPr>
              <w:ind w:leftChars="0" w:left="0" w:right="0"/>
            </w:pPr>
            <w:r>
              <w:t>LIQH</w:t>
            </w:r>
          </w:p>
        </w:tc>
        <w:tc>
          <w:tcPr>
            <w:cnfStyle w:evenVBand="true" w:oddVBand="false" w:firstColumn="false"/>
            <w:tcW w:w="33.333333%" w:type="pct"/>
          </w:tcPr>
          <w:p>
            <w:pPr>
              <w:ind w:leftChars="0" w:left="0" w:right="0"/>
            </w:pPr>
            <w:r>
              <w:t>LIQH</w:t>
            </w:r>
          </w:p>
        </w:tc>
        <w:tc>
          <w:tcPr>
            <w:cnfStyle w:evenVBand="false" w:oddVBand="true" w:firstColumn="false"/>
            <w:tcW w:w="33.333333%" w:type="pct"/>
          </w:tcPr>
          <w:p>
            <w:pPr>
              <w:ind w:leftChars="0" w:left="0" w:right="0"/>
            </w:pPr>
            <w:r>
              <w:t>LIQUIDNET H20</w:t>
            </w:r>
          </w:p>
        </w:tc>
      </w:tr>
      <w:tr>
        <w:trPr>
          <w:cnfStyle w:evenHBand="true" w:oddHBand="false" w:firstRow="false"/>
        </w:trPr>
        <w:tc>
          <w:tcPr>
            <w:cnfStyle w:evenVBand="false" w:oddVBand="true" w:firstColumn="false"/>
            <w:tcW w:w="33.333333%" w:type="pct"/>
          </w:tcPr>
          <w:p>
            <w:pPr>
              <w:ind w:leftChars="0" w:left="0" w:right="0"/>
            </w:pPr>
            <w:r>
              <w:t>LIQU</w:t>
            </w:r>
          </w:p>
        </w:tc>
        <w:tc>
          <w:tcPr>
            <w:cnfStyle w:evenVBand="true" w:oddVBand="false" w:firstColumn="false"/>
            <w:tcW w:w="33.333333%" w:type="pct"/>
          </w:tcPr>
          <w:p>
            <w:pPr>
              <w:ind w:leftChars="0" w:left="0" w:right="0"/>
            </w:pPr>
            <w:r>
              <w:t>LIQU</w:t>
            </w:r>
          </w:p>
        </w:tc>
        <w:tc>
          <w:tcPr>
            <w:cnfStyle w:evenVBand="false" w:oddVBand="true" w:firstColumn="false"/>
            <w:tcW w:w="33.333333%" w:type="pct"/>
          </w:tcPr>
          <w:p>
            <w:pPr>
              <w:ind w:leftChars="0" w:left="0" w:right="0"/>
            </w:pPr>
            <w:r>
              <w:t>LIQUIDNET SYSTEMS</w:t>
            </w:r>
          </w:p>
        </w:tc>
      </w:tr>
      <w:tr>
        <w:trPr>
          <w:cnfStyle w:evenHBand="false" w:oddHBand="true" w:firstRow="false"/>
        </w:trPr>
        <w:tc>
          <w:tcPr>
            <w:cnfStyle w:evenVBand="false" w:oddVBand="true" w:firstColumn="false"/>
            <w:tcW w:w="33.333333%" w:type="pct"/>
          </w:tcPr>
          <w:p>
            <w:pPr>
              <w:ind w:leftChars="0" w:left="0" w:right="0"/>
            </w:pPr>
            <w:r>
              <w:t>LISX</w:t>
            </w:r>
          </w:p>
        </w:tc>
        <w:tc>
          <w:tcPr>
            <w:cnfStyle w:evenVBand="true" w:oddVBand="false" w:firstColumn="false"/>
            <w:tcW w:w="33.333333%" w:type="pct"/>
          </w:tcPr>
          <w:p>
            <w:pPr>
              <w:ind w:leftChars="0" w:left="0" w:right="0"/>
            </w:pPr>
            <w:r>
              <w:t>LISX</w:t>
            </w:r>
          </w:p>
        </w:tc>
        <w:tc>
          <w:tcPr>
            <w:cnfStyle w:evenVBand="false" w:oddVBand="true" w:firstColumn="false"/>
            <w:tcW w:w="33.333333%" w:type="pct"/>
          </w:tcPr>
          <w:p>
            <w:pPr>
              <w:ind w:leftChars="0" w:left="0" w:right="0"/>
            </w:pPr>
            <w:r>
              <w:t>CBOE  EUROPE - LIS SERVICE</w:t>
            </w:r>
          </w:p>
        </w:tc>
      </w:tr>
      <w:tr>
        <w:trPr>
          <w:cnfStyle w:evenHBand="true" w:oddHBand="false" w:firstRow="false"/>
        </w:trPr>
        <w:tc>
          <w:tcPr>
            <w:cnfStyle w:evenVBand="false" w:oddVBand="true" w:firstColumn="false"/>
            <w:tcW w:w="33.333333%" w:type="pct"/>
          </w:tcPr>
          <w:p>
            <w:pPr>
              <w:ind w:leftChars="0" w:left="0" w:right="0"/>
            </w:pPr>
            <w:r>
              <w:t>LISZ</w:t>
            </w:r>
          </w:p>
        </w:tc>
        <w:tc>
          <w:tcPr>
            <w:cnfStyle w:evenVBand="true" w:oddVBand="false" w:firstColumn="false"/>
            <w:tcW w:w="33.333333%" w:type="pct"/>
          </w:tcPr>
          <w:p>
            <w:pPr>
              <w:ind w:leftChars="0" w:left="0" w:right="0"/>
            </w:pPr>
            <w:r>
              <w:t>LISZ</w:t>
            </w:r>
          </w:p>
        </w:tc>
        <w:tc>
          <w:tcPr>
            <w:cnfStyle w:evenVBand="false" w:oddVBand="true" w:firstColumn="false"/>
            <w:tcW w:w="33.333333%" w:type="pct"/>
          </w:tcPr>
          <w:p>
            <w:pPr>
              <w:ind w:leftChars="0" w:left="0" w:right="0"/>
            </w:pPr>
            <w:r>
              <w:t>CBOE EUROPE - LIS SERVICE (NL)</w:t>
            </w:r>
          </w:p>
        </w:tc>
      </w:tr>
      <w:tr>
        <w:trPr>
          <w:cnfStyle w:evenHBand="false" w:oddHBand="true" w:firstRow="false"/>
        </w:trPr>
        <w:tc>
          <w:tcPr>
            <w:cnfStyle w:evenVBand="false" w:oddVBand="true" w:firstColumn="false"/>
            <w:tcW w:w="33.333333%" w:type="pct"/>
          </w:tcPr>
          <w:p>
            <w:pPr>
              <w:ind w:leftChars="0" w:left="0" w:right="0"/>
            </w:pPr>
            <w:r>
              <w:t>LIUH</w:t>
            </w:r>
          </w:p>
        </w:tc>
        <w:tc>
          <w:tcPr>
            <w:cnfStyle w:evenVBand="true" w:oddVBand="false" w:firstColumn="false"/>
            <w:tcW w:w="33.333333%" w:type="pct"/>
          </w:tcPr>
          <w:p>
            <w:pPr>
              <w:ind w:leftChars="0" w:left="0" w:right="0"/>
            </w:pPr>
            <w:r>
              <w:t>LIUH</w:t>
            </w:r>
          </w:p>
        </w:tc>
        <w:tc>
          <w:tcPr>
            <w:cnfStyle w:evenVBand="false" w:oddVBand="true" w:firstColumn="false"/>
            <w:tcW w:w="33.333333%" w:type="pct"/>
          </w:tcPr>
          <w:p>
            <w:pPr>
              <w:ind w:leftChars="0" w:left="0" w:right="0"/>
            </w:pPr>
            <w:r>
              <w:t>LIQUIDNET, INC. H2O ATS</w:t>
            </w:r>
          </w:p>
        </w:tc>
      </w:tr>
      <w:tr>
        <w:trPr>
          <w:cnfStyle w:evenHBand="true" w:oddHBand="false" w:firstRow="false"/>
        </w:trPr>
        <w:tc>
          <w:tcPr>
            <w:cnfStyle w:evenVBand="false" w:oddVBand="true" w:firstColumn="false"/>
            <w:tcW w:w="33.333333%" w:type="pct"/>
          </w:tcPr>
          <w:p>
            <w:pPr>
              <w:ind w:leftChars="0" w:left="0" w:right="0"/>
            </w:pPr>
            <w:r>
              <w:t>LIUS</w:t>
            </w:r>
          </w:p>
        </w:tc>
        <w:tc>
          <w:tcPr>
            <w:cnfStyle w:evenVBand="true" w:oddVBand="false" w:firstColumn="false"/>
            <w:tcW w:w="33.333333%" w:type="pct"/>
          </w:tcPr>
          <w:p>
            <w:pPr>
              <w:ind w:leftChars="0" w:left="0" w:right="0"/>
            </w:pPr>
            <w:r>
              <w:t>LIUS</w:t>
            </w:r>
          </w:p>
        </w:tc>
        <w:tc>
          <w:tcPr>
            <w:cnfStyle w:evenVBand="false" w:oddVBand="true" w:firstColumn="false"/>
            <w:tcW w:w="33.333333%" w:type="pct"/>
          </w:tcPr>
          <w:p>
            <w:pPr>
              <w:ind w:leftChars="0" w:left="0" w:right="0"/>
            </w:pPr>
            <w:r>
              <w:t>LIQUIDNET, INC.</w:t>
            </w:r>
          </w:p>
        </w:tc>
      </w:tr>
      <w:tr>
        <w:trPr>
          <w:cnfStyle w:evenHBand="false" w:oddHBand="true" w:firstRow="false"/>
        </w:trPr>
        <w:tc>
          <w:tcPr>
            <w:cnfStyle w:evenVBand="false" w:oddVBand="true" w:firstColumn="false"/>
            <w:tcW w:w="33.333333%" w:type="pct"/>
          </w:tcPr>
          <w:p>
            <w:pPr>
              <w:ind w:leftChars="0" w:left="0" w:right="0"/>
            </w:pPr>
            <w:r>
              <w:t>LLAT</w:t>
            </w:r>
          </w:p>
        </w:tc>
        <w:tc>
          <w:tcPr>
            <w:cnfStyle w:evenVBand="true" w:oddVBand="false" w:firstColumn="false"/>
            <w:tcW w:w="33.333333%" w:type="pct"/>
          </w:tcPr>
          <w:p>
            <w:pPr>
              <w:ind w:leftChars="0" w:left="0" w:right="0"/>
            </w:pPr>
            <w:r>
              <w:t>LLAT</w:t>
            </w:r>
          </w:p>
        </w:tc>
        <w:tc>
          <w:tcPr>
            <w:cnfStyle w:evenVBand="false" w:oddVBand="true" w:firstColumn="false"/>
            <w:tcW w:w="33.333333%" w:type="pct"/>
          </w:tcPr>
          <w:p>
            <w:pPr>
              <w:ind w:leftChars="0" w:left="0" w:right="0"/>
            </w:pPr>
            <w:r>
              <w:t>LIECHTENSTEINISCHE LANDESBANK (OSTERREICH) AG - SYSTEMATIC INTERNALISER</w:t>
            </w:r>
          </w:p>
        </w:tc>
      </w:tr>
      <w:tr>
        <w:trPr>
          <w:cnfStyle w:evenHBand="true" w:oddHBand="false" w:firstRow="false"/>
        </w:trPr>
        <w:tc>
          <w:tcPr>
            <w:cnfStyle w:evenVBand="false" w:oddVBand="true" w:firstColumn="false"/>
            <w:tcW w:w="33.333333%" w:type="pct"/>
          </w:tcPr>
          <w:p>
            <w:pPr>
              <w:ind w:leftChars="0" w:left="0" w:right="0"/>
            </w:pPr>
            <w:r>
              <w:t>LMAD</w:t>
            </w:r>
          </w:p>
        </w:tc>
        <w:tc>
          <w:tcPr>
            <w:cnfStyle w:evenVBand="true" w:oddVBand="false" w:firstColumn="false"/>
            <w:tcW w:w="33.333333%" w:type="pct"/>
          </w:tcPr>
          <w:p>
            <w:pPr>
              <w:ind w:leftChars="0" w:left="0" w:right="0"/>
            </w:pPr>
            <w:r>
              <w:t>LMAD</w:t>
            </w:r>
          </w:p>
        </w:tc>
        <w:tc>
          <w:tcPr>
            <w:cnfStyle w:evenVBand="false" w:oddVBand="true" w:firstColumn="false"/>
            <w:tcW w:w="33.333333%" w:type="pct"/>
          </w:tcPr>
          <w:p>
            <w:pPr>
              <w:ind w:leftChars="0" w:left="0" w:right="0"/>
            </w:pPr>
            <w:r>
              <w:t>LMAX - DERIVATIVES</w:t>
            </w:r>
          </w:p>
        </w:tc>
      </w:tr>
      <w:tr>
        <w:trPr>
          <w:cnfStyle w:evenHBand="false" w:oddHBand="true" w:firstRow="false"/>
        </w:trPr>
        <w:tc>
          <w:tcPr>
            <w:cnfStyle w:evenVBand="false" w:oddVBand="true" w:firstColumn="false"/>
            <w:tcW w:w="33.333333%" w:type="pct"/>
          </w:tcPr>
          <w:p>
            <w:pPr>
              <w:ind w:leftChars="0" w:left="0" w:right="0"/>
            </w:pPr>
            <w:r>
              <w:t>LMAE</w:t>
            </w:r>
          </w:p>
        </w:tc>
        <w:tc>
          <w:tcPr>
            <w:cnfStyle w:evenVBand="true" w:oddVBand="false" w:firstColumn="false"/>
            <w:tcW w:w="33.333333%" w:type="pct"/>
          </w:tcPr>
          <w:p>
            <w:pPr>
              <w:ind w:leftChars="0" w:left="0" w:right="0"/>
            </w:pPr>
            <w:r>
              <w:t>LMAE</w:t>
            </w:r>
          </w:p>
        </w:tc>
        <w:tc>
          <w:tcPr>
            <w:cnfStyle w:evenVBand="false" w:oddVBand="true" w:firstColumn="false"/>
            <w:tcW w:w="33.333333%" w:type="pct"/>
          </w:tcPr>
          <w:p>
            <w:pPr>
              <w:ind w:leftChars="0" w:left="0" w:right="0"/>
            </w:pPr>
            <w:r>
              <w:t>LMAX - EQUITIES</w:t>
            </w:r>
          </w:p>
        </w:tc>
      </w:tr>
      <w:tr>
        <w:trPr>
          <w:cnfStyle w:evenHBand="true" w:oddHBand="false" w:firstRow="false"/>
        </w:trPr>
        <w:tc>
          <w:tcPr>
            <w:cnfStyle w:evenVBand="false" w:oddVBand="true" w:firstColumn="false"/>
            <w:tcW w:w="33.333333%" w:type="pct"/>
          </w:tcPr>
          <w:p>
            <w:pPr>
              <w:ind w:leftChars="0" w:left="0" w:right="0"/>
            </w:pPr>
            <w:r>
              <w:t>LMAF</w:t>
            </w:r>
          </w:p>
        </w:tc>
        <w:tc>
          <w:tcPr>
            <w:cnfStyle w:evenVBand="true" w:oddVBand="false" w:firstColumn="false"/>
            <w:tcW w:w="33.333333%" w:type="pct"/>
          </w:tcPr>
          <w:p>
            <w:pPr>
              <w:ind w:leftChars="0" w:left="0" w:right="0"/>
            </w:pPr>
            <w:r>
              <w:t>LMAF</w:t>
            </w:r>
          </w:p>
        </w:tc>
        <w:tc>
          <w:tcPr>
            <w:cnfStyle w:evenVBand="false" w:oddVBand="true" w:firstColumn="false"/>
            <w:tcW w:w="33.333333%" w:type="pct"/>
          </w:tcPr>
          <w:p>
            <w:pPr>
              <w:ind w:leftChars="0" w:left="0" w:right="0"/>
            </w:pPr>
            <w:r>
              <w:t>LMAX - FX</w:t>
            </w:r>
          </w:p>
        </w:tc>
      </w:tr>
      <w:tr>
        <w:trPr>
          <w:cnfStyle w:evenHBand="false" w:oddHBand="true" w:firstRow="false"/>
        </w:trPr>
        <w:tc>
          <w:tcPr>
            <w:cnfStyle w:evenVBand="false" w:oddVBand="true" w:firstColumn="false"/>
            <w:tcW w:w="33.333333%" w:type="pct"/>
          </w:tcPr>
          <w:p>
            <w:pPr>
              <w:ind w:leftChars="0" w:left="0" w:right="0"/>
            </w:pPr>
            <w:r>
              <w:t>LMAO</w:t>
            </w:r>
          </w:p>
        </w:tc>
        <w:tc>
          <w:tcPr>
            <w:cnfStyle w:evenVBand="true" w:oddVBand="false" w:firstColumn="false"/>
            <w:tcW w:w="33.333333%" w:type="pct"/>
          </w:tcPr>
          <w:p>
            <w:pPr>
              <w:ind w:leftChars="0" w:left="0" w:right="0"/>
            </w:pPr>
            <w:r>
              <w:t>LMAO</w:t>
            </w:r>
          </w:p>
        </w:tc>
        <w:tc>
          <w:tcPr>
            <w:cnfStyle w:evenVBand="false" w:oddVBand="true" w:firstColumn="false"/>
            <w:tcW w:w="33.333333%" w:type="pct"/>
          </w:tcPr>
          <w:p>
            <w:pPr>
              <w:ind w:leftChars="0" w:left="0" w:right="0"/>
            </w:pPr>
            <w:r>
              <w:t>LMAX - INDICES/RATES/COMMODITIES</w:t>
            </w:r>
          </w:p>
        </w:tc>
      </w:tr>
      <w:tr>
        <w:trPr>
          <w:cnfStyle w:evenHBand="true" w:oddHBand="false" w:firstRow="false"/>
        </w:trPr>
        <w:tc>
          <w:tcPr>
            <w:cnfStyle w:evenVBand="false" w:oddVBand="true" w:firstColumn="false"/>
            <w:tcW w:w="33.333333%" w:type="pct"/>
          </w:tcPr>
          <w:p>
            <w:pPr>
              <w:ind w:leftChars="0" w:left="0" w:right="0"/>
            </w:pPr>
            <w:r>
              <w:t>LMAX</w:t>
            </w:r>
          </w:p>
        </w:tc>
        <w:tc>
          <w:tcPr>
            <w:cnfStyle w:evenVBand="true" w:oddVBand="false" w:firstColumn="false"/>
            <w:tcW w:w="33.333333%" w:type="pct"/>
          </w:tcPr>
          <w:p>
            <w:pPr>
              <w:ind w:leftChars="0" w:left="0" w:right="0"/>
            </w:pPr>
            <w:r>
              <w:t>LMAX</w:t>
            </w:r>
          </w:p>
        </w:tc>
        <w:tc>
          <w:tcPr>
            <w:cnfStyle w:evenVBand="false" w:oddVBand="true" w:firstColumn="false"/>
            <w:tcW w:w="33.333333%" w:type="pct"/>
          </w:tcPr>
          <w:p>
            <w:pPr>
              <w:ind w:leftChars="0" w:left="0" w:right="0"/>
            </w:pPr>
            <w:r>
              <w:t>LMAX</w:t>
            </w:r>
          </w:p>
        </w:tc>
      </w:tr>
      <w:tr>
        <w:trPr>
          <w:cnfStyle w:evenHBand="false" w:oddHBand="true" w:firstRow="false"/>
        </w:trPr>
        <w:tc>
          <w:tcPr>
            <w:cnfStyle w:evenVBand="false" w:oddVBand="true" w:firstColumn="false"/>
            <w:tcW w:w="33.333333%" w:type="pct"/>
          </w:tcPr>
          <w:p>
            <w:pPr>
              <w:ind w:leftChars="0" w:left="0" w:right="0"/>
            </w:pPr>
            <w:r>
              <w:t>LMEC</w:t>
            </w:r>
          </w:p>
        </w:tc>
        <w:tc>
          <w:tcPr>
            <w:cnfStyle w:evenVBand="true" w:oddVBand="false" w:firstColumn="false"/>
            <w:tcW w:w="33.333333%" w:type="pct"/>
          </w:tcPr>
          <w:p>
            <w:pPr>
              <w:ind w:leftChars="0" w:left="0" w:right="0"/>
            </w:pPr>
            <w:r>
              <w:t>LMEC</w:t>
            </w:r>
          </w:p>
        </w:tc>
        <w:tc>
          <w:tcPr>
            <w:cnfStyle w:evenVBand="false" w:oddVBand="true" w:firstColumn="false"/>
            <w:tcW w:w="33.333333%" w:type="pct"/>
          </w:tcPr>
          <w:p>
            <w:pPr>
              <w:ind w:leftChars="0" w:left="0" w:right="0"/>
            </w:pPr>
            <w:r>
              <w:t>LME CLEAR</w:t>
            </w:r>
          </w:p>
        </w:tc>
      </w:tr>
      <w:tr>
        <w:trPr>
          <w:cnfStyle w:evenHBand="true" w:oddHBand="false" w:firstRow="false"/>
        </w:trPr>
        <w:tc>
          <w:tcPr>
            <w:cnfStyle w:evenVBand="false" w:oddVBand="true" w:firstColumn="false"/>
            <w:tcW w:w="33.333333%" w:type="pct"/>
          </w:tcPr>
          <w:p>
            <w:pPr>
              <w:ind w:leftChars="0" w:left="0" w:right="0"/>
            </w:pPr>
            <w:r>
              <w:t>LMNR</w:t>
            </w:r>
          </w:p>
        </w:tc>
        <w:tc>
          <w:tcPr>
            <w:cnfStyle w:evenVBand="true" w:oddVBand="false" w:firstColumn="false"/>
            <w:tcW w:w="33.333333%" w:type="pct"/>
          </w:tcPr>
          <w:p>
            <w:pPr>
              <w:ind w:leftChars="0" w:left="0" w:right="0"/>
            </w:pPr>
            <w:r>
              <w:t>LMNR</w:t>
            </w:r>
          </w:p>
        </w:tc>
        <w:tc>
          <w:tcPr>
            <w:cnfStyle w:evenVBand="false" w:oddVBand="true" w:firstColumn="false"/>
            <w:tcW w:w="33.333333%" w:type="pct"/>
          </w:tcPr>
          <w:p>
            <w:pPr>
              <w:ind w:leftChars="0" w:left="0" w:right="0"/>
            </w:pPr>
            <w:r>
              <w:t>LUMINOR BANK AS</w:t>
            </w:r>
          </w:p>
        </w:tc>
      </w:tr>
      <w:tr>
        <w:trPr>
          <w:cnfStyle w:evenHBand="false" w:oddHBand="true" w:firstRow="false"/>
        </w:trPr>
        <w:tc>
          <w:tcPr>
            <w:cnfStyle w:evenVBand="false" w:oddVBand="true" w:firstColumn="false"/>
            <w:tcW w:w="33.333333%" w:type="pct"/>
          </w:tcPr>
          <w:p>
            <w:pPr>
              <w:ind w:leftChars="0" w:left="0" w:right="0"/>
            </w:pPr>
            <w:r>
              <w:t>LMNX</w:t>
            </w:r>
          </w:p>
        </w:tc>
        <w:tc>
          <w:tcPr>
            <w:cnfStyle w:evenVBand="true" w:oddVBand="false" w:firstColumn="false"/>
            <w:tcW w:w="33.333333%" w:type="pct"/>
          </w:tcPr>
          <w:p>
            <w:pPr>
              <w:ind w:leftChars="0" w:left="0" w:right="0"/>
            </w:pPr>
            <w:r>
              <w:t>LMNX</w:t>
            </w:r>
          </w:p>
        </w:tc>
        <w:tc>
          <w:tcPr>
            <w:cnfStyle w:evenVBand="false" w:oddVBand="true" w:firstColumn="false"/>
            <w:tcW w:w="33.333333%" w:type="pct"/>
          </w:tcPr>
          <w:p>
            <w:pPr>
              <w:ind w:leftChars="0" w:left="0" w:right="0"/>
            </w:pPr>
            <w:r>
              <w:t>LUMINEX TRADING &amp; ANALYTICS LLC - ATS</w:t>
            </w:r>
          </w:p>
        </w:tc>
      </w:tr>
      <w:tr>
        <w:trPr>
          <w:cnfStyle w:evenHBand="true" w:oddHBand="false" w:firstRow="false"/>
        </w:trPr>
        <w:tc>
          <w:tcPr>
            <w:cnfStyle w:evenVBand="false" w:oddVBand="true" w:firstColumn="false"/>
            <w:tcW w:w="33.333333%" w:type="pct"/>
          </w:tcPr>
          <w:p>
            <w:pPr>
              <w:ind w:leftChars="0" w:left="0" w:right="0"/>
            </w:pPr>
            <w:r>
              <w:t>LMTS</w:t>
            </w:r>
          </w:p>
        </w:tc>
        <w:tc>
          <w:tcPr>
            <w:cnfStyle w:evenVBand="true" w:oddVBand="false" w:firstColumn="false"/>
            <w:tcW w:w="33.333333%" w:type="pct"/>
          </w:tcPr>
          <w:p>
            <w:pPr>
              <w:ind w:leftChars="0" w:left="0" w:right="0"/>
            </w:pPr>
            <w:r>
              <w:t>LMTS</w:t>
            </w:r>
          </w:p>
        </w:tc>
        <w:tc>
          <w:tcPr>
            <w:cnfStyle w:evenVBand="false" w:oddVBand="true" w:firstColumn="false"/>
            <w:tcW w:w="33.333333%" w:type="pct"/>
          </w:tcPr>
          <w:p>
            <w:pPr>
              <w:ind w:leftChars="0" w:left="0" w:right="0"/>
            </w:pPr>
            <w:r>
              <w:t>EUROGLOBALMTS</w:t>
            </w:r>
          </w:p>
        </w:tc>
      </w:tr>
      <w:tr>
        <w:trPr>
          <w:cnfStyle w:evenHBand="false" w:oddHBand="true" w:firstRow="false"/>
        </w:trPr>
        <w:tc>
          <w:tcPr>
            <w:cnfStyle w:evenVBand="false" w:oddVBand="true" w:firstColumn="false"/>
            <w:tcW w:w="33.333333%" w:type="pct"/>
          </w:tcPr>
          <w:p>
            <w:pPr>
              <w:ind w:leftChars="0" w:left="0" w:right="0"/>
            </w:pPr>
            <w:r>
              <w:t>LNEQ</w:t>
            </w:r>
          </w:p>
        </w:tc>
        <w:tc>
          <w:tcPr>
            <w:cnfStyle w:evenVBand="true" w:oddVBand="false" w:firstColumn="false"/>
            <w:tcW w:w="33.333333%" w:type="pct"/>
          </w:tcPr>
          <w:p>
            <w:pPr>
              <w:ind w:leftChars="0" w:left="0" w:right="0"/>
            </w:pPr>
            <w:r>
              <w:t>LNEQ</w:t>
            </w:r>
          </w:p>
        </w:tc>
        <w:tc>
          <w:tcPr>
            <w:cnfStyle w:evenVBand="false" w:oddVBand="true" w:firstColumn="false"/>
            <w:tcW w:w="33.333333%" w:type="pct"/>
          </w:tcPr>
          <w:p>
            <w:pPr>
              <w:ind w:leftChars="0" w:left="0" w:right="0"/>
            </w:pPr>
            <w:r>
              <w:t>TP ICAP EU - MTF - LIQUIDNET EU EQUITY</w:t>
            </w:r>
          </w:p>
        </w:tc>
      </w:tr>
      <w:tr>
        <w:trPr>
          <w:cnfStyle w:evenHBand="true" w:oddHBand="false" w:firstRow="false"/>
        </w:trPr>
        <w:tc>
          <w:tcPr>
            <w:cnfStyle w:evenVBand="false" w:oddVBand="true" w:firstColumn="false"/>
            <w:tcW w:w="33.333333%" w:type="pct"/>
          </w:tcPr>
          <w:p>
            <w:pPr>
              <w:ind w:leftChars="0" w:left="0" w:right="0"/>
            </w:pPr>
            <w:r>
              <w:t>LNFI</w:t>
            </w:r>
          </w:p>
        </w:tc>
        <w:tc>
          <w:tcPr>
            <w:cnfStyle w:evenVBand="true" w:oddVBand="false" w:firstColumn="false"/>
            <w:tcW w:w="33.333333%" w:type="pct"/>
          </w:tcPr>
          <w:p>
            <w:pPr>
              <w:ind w:leftChars="0" w:left="0" w:right="0"/>
            </w:pPr>
            <w:r>
              <w:t>LNFI</w:t>
            </w:r>
          </w:p>
        </w:tc>
        <w:tc>
          <w:tcPr>
            <w:cnfStyle w:evenVBand="false" w:oddVBand="true" w:firstColumn="false"/>
            <w:tcW w:w="33.333333%" w:type="pct"/>
          </w:tcPr>
          <w:p>
            <w:pPr>
              <w:ind w:leftChars="0" w:left="0" w:right="0"/>
            </w:pPr>
            <w:r>
              <w:t>TP ICAP EU - MTF - LIQUIDNET EU FIXED INCOME</w:t>
            </w:r>
          </w:p>
        </w:tc>
      </w:tr>
      <w:tr>
        <w:trPr>
          <w:cnfStyle w:evenHBand="false" w:oddHBand="true" w:firstRow="false"/>
        </w:trPr>
        <w:tc>
          <w:tcPr>
            <w:cnfStyle w:evenVBand="false" w:oddVBand="true" w:firstColumn="false"/>
            <w:tcW w:w="33.333333%" w:type="pct"/>
          </w:tcPr>
          <w:p>
            <w:pPr>
              <w:ind w:leftChars="0" w:left="0" w:right="0"/>
            </w:pPr>
            <w:r>
              <w:t>LOTC</w:t>
            </w:r>
          </w:p>
        </w:tc>
        <w:tc>
          <w:tcPr>
            <w:cnfStyle w:evenVBand="true" w:oddVBand="false" w:firstColumn="false"/>
            <w:tcW w:w="33.333333%" w:type="pct"/>
          </w:tcPr>
          <w:p>
            <w:pPr>
              <w:ind w:leftChars="0" w:left="0" w:right="0"/>
            </w:pPr>
            <w:r>
              <w:t>LOTC</w:t>
            </w:r>
          </w:p>
        </w:tc>
        <w:tc>
          <w:tcPr>
            <w:cnfStyle w:evenVBand="false" w:oddVBand="true" w:firstColumn="false"/>
            <w:tcW w:w="33.333333%" w:type="pct"/>
          </w:tcPr>
          <w:p>
            <w:pPr>
              <w:ind w:leftChars="0" w:left="0" w:right="0"/>
            </w:pPr>
            <w:r>
              <w:t>OTC MARKET</w:t>
            </w:r>
          </w:p>
        </w:tc>
      </w:tr>
      <w:tr>
        <w:trPr>
          <w:cnfStyle w:evenHBand="true" w:oddHBand="false" w:firstRow="false"/>
        </w:trPr>
        <w:tc>
          <w:tcPr>
            <w:cnfStyle w:evenVBand="false" w:oddVBand="true" w:firstColumn="false"/>
            <w:tcW w:w="33.333333%" w:type="pct"/>
          </w:tcPr>
          <w:p>
            <w:pPr>
              <w:ind w:leftChars="0" w:left="0" w:right="0"/>
            </w:pPr>
            <w:r>
              <w:t>LOUI</w:t>
            </w:r>
          </w:p>
        </w:tc>
        <w:tc>
          <w:tcPr>
            <w:cnfStyle w:evenVBand="true" w:oddVBand="false" w:firstColumn="false"/>
            <w:tcW w:w="33.333333%" w:type="pct"/>
          </w:tcPr>
          <w:p>
            <w:pPr>
              <w:ind w:leftChars="0" w:left="0" w:right="0"/>
            </w:pPr>
            <w:r>
              <w:t>LOUI</w:t>
            </w:r>
          </w:p>
        </w:tc>
        <w:tc>
          <w:tcPr>
            <w:cnfStyle w:evenVBand="false" w:oddVBand="true" w:firstColumn="false"/>
            <w:tcW w:w="33.333333%" w:type="pct"/>
          </w:tcPr>
          <w:p>
            <w:pPr>
              <w:ind w:leftChars="0" w:left="0" w:right="0"/>
            </w:pPr>
            <w:r>
              <w:t>LOUIS CAPITAL MARKETS UK LLP</w:t>
            </w:r>
          </w:p>
        </w:tc>
      </w:tr>
      <w:tr>
        <w:trPr>
          <w:cnfStyle w:evenHBand="false" w:oddHBand="true" w:firstRow="false"/>
        </w:trPr>
        <w:tc>
          <w:tcPr>
            <w:cnfStyle w:evenVBand="false" w:oddVBand="true" w:firstColumn="false"/>
            <w:tcW w:w="33.333333%" w:type="pct"/>
          </w:tcPr>
          <w:p>
            <w:pPr>
              <w:ind w:leftChars="0" w:left="0" w:right="0"/>
            </w:pPr>
            <w:r>
              <w:t>LOYD</w:t>
            </w:r>
          </w:p>
        </w:tc>
        <w:tc>
          <w:tcPr>
            <w:cnfStyle w:evenVBand="true" w:oddVBand="false" w:firstColumn="false"/>
            <w:tcW w:w="33.333333%" w:type="pct"/>
          </w:tcPr>
          <w:p>
            <w:pPr>
              <w:ind w:leftChars="0" w:left="0" w:right="0"/>
            </w:pPr>
            <w:r>
              <w:t>LOYD</w:t>
            </w:r>
          </w:p>
        </w:tc>
        <w:tc>
          <w:tcPr>
            <w:cnfStyle w:evenVBand="false" w:oddVBand="true" w:firstColumn="false"/>
            <w:tcW w:w="33.333333%" w:type="pct"/>
          </w:tcPr>
          <w:p>
            <w:pPr>
              <w:ind w:leftChars="0" w:left="0" w:right="0"/>
            </w:pPr>
            <w:r>
              <w:t>LLOYDS BANK - SYSTEMATIC INTERNALISER</w:t>
            </w:r>
          </w:p>
        </w:tc>
      </w:tr>
      <w:tr>
        <w:trPr>
          <w:cnfStyle w:evenHBand="true" w:oddHBand="false" w:firstRow="false"/>
        </w:trPr>
        <w:tc>
          <w:tcPr>
            <w:cnfStyle w:evenVBand="false" w:oddVBand="true" w:firstColumn="false"/>
            <w:tcW w:w="33.333333%" w:type="pct"/>
          </w:tcPr>
          <w:p>
            <w:pPr>
              <w:ind w:leftChars="0" w:left="0" w:right="0"/>
            </w:pPr>
            <w:r>
              <w:t>LPPM</w:t>
            </w:r>
          </w:p>
        </w:tc>
        <w:tc>
          <w:tcPr>
            <w:cnfStyle w:evenVBand="true" w:oddVBand="false" w:firstColumn="false"/>
            <w:tcW w:w="33.333333%" w:type="pct"/>
          </w:tcPr>
          <w:p>
            <w:pPr>
              <w:ind w:leftChars="0" w:left="0" w:right="0"/>
            </w:pPr>
            <w:r>
              <w:t>LPPM</w:t>
            </w:r>
          </w:p>
        </w:tc>
        <w:tc>
          <w:tcPr>
            <w:cnfStyle w:evenVBand="false" w:oddVBand="true" w:firstColumn="false"/>
            <w:tcW w:w="33.333333%" w:type="pct"/>
          </w:tcPr>
          <w:p>
            <w:pPr>
              <w:ind w:leftChars="0" w:left="0" w:right="0"/>
            </w:pPr>
            <w:r>
              <w:t>LONDON PLATINUM AND PALLADIUM MARKET</w:t>
            </w:r>
          </w:p>
        </w:tc>
      </w:tr>
      <w:tr>
        <w:trPr>
          <w:cnfStyle w:evenHBand="false" w:oddHBand="true" w:firstRow="false"/>
        </w:trPr>
        <w:tc>
          <w:tcPr>
            <w:cnfStyle w:evenVBand="false" w:oddVBand="true" w:firstColumn="false"/>
            <w:tcW w:w="33.333333%" w:type="pct"/>
          </w:tcPr>
          <w:p>
            <w:pPr>
              <w:ind w:leftChars="0" w:left="0" w:right="0"/>
            </w:pPr>
            <w:r>
              <w:t>LPSF</w:t>
            </w:r>
          </w:p>
        </w:tc>
        <w:tc>
          <w:tcPr>
            <w:cnfStyle w:evenVBand="true" w:oddVBand="false" w:firstColumn="false"/>
            <w:tcW w:w="33.333333%" w:type="pct"/>
          </w:tcPr>
          <w:p>
            <w:pPr>
              <w:ind w:leftChars="0" w:left="0" w:right="0"/>
            </w:pPr>
            <w:r>
              <w:t>LPSF</w:t>
            </w:r>
          </w:p>
        </w:tc>
        <w:tc>
          <w:tcPr>
            <w:cnfStyle w:evenVBand="false" w:oddVBand="true" w:firstColumn="false"/>
            <w:tcW w:w="33.333333%" w:type="pct"/>
          </w:tcPr>
          <w:p>
            <w:pPr>
              <w:ind w:leftChars="0" w:left="0" w:right="0"/>
            </w:pPr>
            <w:r>
              <w:t>LPSFX LLC</w:t>
            </w:r>
          </w:p>
        </w:tc>
      </w:tr>
      <w:tr>
        <w:trPr>
          <w:cnfStyle w:evenHBand="true" w:oddHBand="false" w:firstRow="false"/>
        </w:trPr>
        <w:tc>
          <w:tcPr>
            <w:cnfStyle w:evenVBand="false" w:oddVBand="true" w:firstColumn="false"/>
            <w:tcW w:w="33.333333%" w:type="pct"/>
          </w:tcPr>
          <w:p>
            <w:pPr>
              <w:ind w:leftChars="0" w:left="0" w:right="0"/>
            </w:pPr>
            <w:r>
              <w:t>LQED</w:t>
            </w:r>
          </w:p>
        </w:tc>
        <w:tc>
          <w:tcPr>
            <w:cnfStyle w:evenVBand="true" w:oddVBand="false" w:firstColumn="false"/>
            <w:tcW w:w="33.333333%" w:type="pct"/>
          </w:tcPr>
          <w:p>
            <w:pPr>
              <w:ind w:leftChars="0" w:left="0" w:right="0"/>
            </w:pPr>
            <w:r>
              <w:t>LQED</w:t>
            </w:r>
          </w:p>
        </w:tc>
        <w:tc>
          <w:tcPr>
            <w:cnfStyle w:evenVBand="false" w:oddVBand="true" w:firstColumn="false"/>
            <w:tcW w:w="33.333333%" w:type="pct"/>
          </w:tcPr>
          <w:p>
            <w:pPr>
              <w:ind w:leftChars="0" w:left="0" w:right="0"/>
            </w:pPr>
            <w:r>
              <w:t>LIQUIDITYEDGE</w:t>
            </w:r>
          </w:p>
        </w:tc>
      </w:tr>
      <w:tr>
        <w:trPr>
          <w:cnfStyle w:evenHBand="false" w:oddHBand="true" w:firstRow="false"/>
        </w:trPr>
        <w:tc>
          <w:tcPr>
            <w:cnfStyle w:evenVBand="false" w:oddVBand="true" w:firstColumn="false"/>
            <w:tcW w:w="33.333333%" w:type="pct"/>
          </w:tcPr>
          <w:p>
            <w:pPr>
              <w:ind w:leftChars="0" w:left="0" w:right="0"/>
            </w:pPr>
            <w:r>
              <w:t>LQFI</w:t>
            </w:r>
          </w:p>
        </w:tc>
        <w:tc>
          <w:tcPr>
            <w:cnfStyle w:evenVBand="true" w:oddVBand="false" w:firstColumn="false"/>
            <w:tcW w:w="33.333333%" w:type="pct"/>
          </w:tcPr>
          <w:p>
            <w:pPr>
              <w:ind w:leftChars="0" w:left="0" w:right="0"/>
            </w:pPr>
            <w:r>
              <w:t>LQFI</w:t>
            </w:r>
          </w:p>
        </w:tc>
        <w:tc>
          <w:tcPr>
            <w:cnfStyle w:evenVBand="false" w:oddVBand="true" w:firstColumn="false"/>
            <w:tcW w:w="33.333333%" w:type="pct"/>
          </w:tcPr>
          <w:p>
            <w:pPr>
              <w:ind w:leftChars="0" w:left="0" w:right="0"/>
            </w:pPr>
            <w:r>
              <w:t>CITI LIQUIFI</w:t>
            </w:r>
          </w:p>
        </w:tc>
      </w:tr>
      <w:tr>
        <w:trPr>
          <w:cnfStyle w:evenHBand="true" w:oddHBand="false" w:firstRow="false"/>
        </w:trPr>
        <w:tc>
          <w:tcPr>
            <w:cnfStyle w:evenVBand="false" w:oddVBand="true" w:firstColumn="false"/>
            <w:tcW w:w="33.333333%" w:type="pct"/>
          </w:tcPr>
          <w:p>
            <w:pPr>
              <w:ind w:leftChars="0" w:left="0" w:right="0"/>
            </w:pPr>
            <w:r>
              <w:t>LSSI</w:t>
            </w:r>
          </w:p>
        </w:tc>
        <w:tc>
          <w:tcPr>
            <w:cnfStyle w:evenVBand="true" w:oddVBand="false" w:firstColumn="false"/>
            <w:tcW w:w="33.333333%" w:type="pct"/>
          </w:tcPr>
          <w:p>
            <w:pPr>
              <w:ind w:leftChars="0" w:left="0" w:right="0"/>
            </w:pPr>
            <w:r>
              <w:t>LSSI</w:t>
            </w:r>
          </w:p>
        </w:tc>
        <w:tc>
          <w:tcPr>
            <w:cnfStyle w:evenVBand="false" w:oddVBand="true" w:firstColumn="false"/>
            <w:tcW w:w="33.333333%" w:type="pct"/>
          </w:tcPr>
          <w:p>
            <w:pPr>
              <w:ind w:leftChars="0" w:left="0" w:right="0"/>
            </w:pPr>
            <w:r>
              <w:t>LANG AND SCHWARZ TRADE CENTER - SYSTEMATIC INTERNALISER</w:t>
            </w:r>
          </w:p>
        </w:tc>
      </w:tr>
      <w:tr>
        <w:trPr>
          <w:cnfStyle w:evenHBand="false" w:oddHBand="true" w:firstRow="false"/>
        </w:trPr>
        <w:tc>
          <w:tcPr>
            <w:cnfStyle w:evenVBand="false" w:oddVBand="true" w:firstColumn="false"/>
            <w:tcW w:w="33.333333%" w:type="pct"/>
          </w:tcPr>
          <w:p>
            <w:pPr>
              <w:ind w:leftChars="0" w:left="0" w:right="0"/>
            </w:pPr>
            <w:r>
              <w:t>LTAA</w:t>
            </w:r>
          </w:p>
        </w:tc>
        <w:tc>
          <w:tcPr>
            <w:cnfStyle w:evenVBand="true" w:oddVBand="false" w:firstColumn="false"/>
            <w:tcW w:w="33.333333%" w:type="pct"/>
          </w:tcPr>
          <w:p>
            <w:pPr>
              <w:ind w:leftChars="0" w:left="0" w:right="0"/>
            </w:pPr>
            <w:r>
              <w:t>LTAA</w:t>
            </w:r>
          </w:p>
        </w:tc>
        <w:tc>
          <w:tcPr>
            <w:cnfStyle w:evenVBand="false" w:oddVBand="true" w:firstColumn="false"/>
            <w:tcW w:w="33.333333%" w:type="pct"/>
          </w:tcPr>
          <w:p>
            <w:pPr>
              <w:ind w:leftChars="0" w:left="0" w:right="0"/>
            </w:pPr>
            <w:r>
              <w:t>LUMINEX TRADING &amp; ANALYTICS LLC</w:t>
            </w:r>
          </w:p>
        </w:tc>
      </w:tr>
      <w:tr>
        <w:trPr>
          <w:cnfStyle w:evenHBand="true" w:oddHBand="false" w:firstRow="false"/>
        </w:trPr>
        <w:tc>
          <w:tcPr>
            <w:cnfStyle w:evenVBand="false" w:oddVBand="true" w:firstColumn="false"/>
            <w:tcW w:w="33.333333%" w:type="pct"/>
          </w:tcPr>
          <w:p>
            <w:pPr>
              <w:ind w:leftChars="0" w:left="0" w:right="0"/>
            </w:pPr>
            <w:r>
              <w:t>LTSE</w:t>
            </w:r>
          </w:p>
        </w:tc>
        <w:tc>
          <w:tcPr>
            <w:cnfStyle w:evenVBand="true" w:oddVBand="false" w:firstColumn="false"/>
            <w:tcW w:w="33.333333%" w:type="pct"/>
          </w:tcPr>
          <w:p>
            <w:pPr>
              <w:ind w:leftChars="0" w:left="0" w:right="0"/>
            </w:pPr>
            <w:r>
              <w:t>LTSE</w:t>
            </w:r>
          </w:p>
        </w:tc>
        <w:tc>
          <w:tcPr>
            <w:cnfStyle w:evenVBand="false" w:oddVBand="true" w:firstColumn="false"/>
            <w:tcW w:w="33.333333%" w:type="pct"/>
          </w:tcPr>
          <w:p>
            <w:pPr>
              <w:ind w:leftChars="0" w:left="0" w:right="0"/>
            </w:pPr>
            <w:r>
              <w:t>LONG-TERM STOCK EXCHANGE, INC.</w:t>
            </w:r>
          </w:p>
        </w:tc>
      </w:tr>
      <w:tr>
        <w:trPr>
          <w:cnfStyle w:evenHBand="false" w:oddHBand="true" w:firstRow="false"/>
        </w:trPr>
        <w:tc>
          <w:tcPr>
            <w:cnfStyle w:evenVBand="false" w:oddVBand="true" w:firstColumn="false"/>
            <w:tcW w:w="33.333333%" w:type="pct"/>
          </w:tcPr>
          <w:p>
            <w:pPr>
              <w:ind w:leftChars="0" w:left="0" w:right="0"/>
            </w:pPr>
            <w:r>
              <w:t>LXJP</w:t>
            </w:r>
          </w:p>
        </w:tc>
        <w:tc>
          <w:tcPr>
            <w:cnfStyle w:evenVBand="true" w:oddVBand="false" w:firstColumn="false"/>
            <w:tcW w:w="33.333333%" w:type="pct"/>
          </w:tcPr>
          <w:p>
            <w:pPr>
              <w:ind w:leftChars="0" w:left="0" w:right="0"/>
            </w:pPr>
            <w:r>
              <w:t>LXJP</w:t>
            </w:r>
          </w:p>
        </w:tc>
        <w:tc>
          <w:tcPr>
            <w:cnfStyle w:evenVBand="false" w:oddVBand="true" w:firstColumn="false"/>
            <w:tcW w:w="33.333333%" w:type="pct"/>
          </w:tcPr>
          <w:p>
            <w:pPr>
              <w:ind w:leftChars="0" w:left="0" w:right="0"/>
            </w:pPr>
            <w:r>
              <w:t>BARCLAYS LX JAPAN</w:t>
            </w:r>
          </w:p>
        </w:tc>
      </w:tr>
      <w:tr>
        <w:trPr>
          <w:cnfStyle w:evenHBand="true" w:oddHBand="false" w:firstRow="false"/>
        </w:trPr>
        <w:tc>
          <w:tcPr>
            <w:cnfStyle w:evenVBand="false" w:oddVBand="true" w:firstColumn="false"/>
            <w:tcW w:w="33.333333%" w:type="pct"/>
          </w:tcPr>
          <w:p>
            <w:pPr>
              <w:ind w:leftChars="0" w:left="0" w:right="0"/>
            </w:pPr>
            <w:r>
              <w:t>LYNX</w:t>
            </w:r>
          </w:p>
        </w:tc>
        <w:tc>
          <w:tcPr>
            <w:cnfStyle w:evenVBand="true" w:oddVBand="false" w:firstColumn="false"/>
            <w:tcW w:w="33.333333%" w:type="pct"/>
          </w:tcPr>
          <w:p>
            <w:pPr>
              <w:ind w:leftChars="0" w:left="0" w:right="0"/>
            </w:pPr>
            <w:r>
              <w:t>LYNX</w:t>
            </w:r>
          </w:p>
        </w:tc>
        <w:tc>
          <w:tcPr>
            <w:cnfStyle w:evenVBand="false" w:oddVBand="true" w:firstColumn="false"/>
            <w:tcW w:w="33.333333%" w:type="pct"/>
          </w:tcPr>
          <w:p>
            <w:pPr>
              <w:ind w:leftChars="0" w:left="0" w:right="0"/>
            </w:pPr>
            <w:r>
              <w:t>LYNX ATS</w:t>
            </w:r>
          </w:p>
        </w:tc>
      </w:tr>
      <w:tr>
        <w:trPr>
          <w:cnfStyle w:evenHBand="false" w:oddHBand="true" w:firstRow="false"/>
        </w:trPr>
        <w:tc>
          <w:tcPr>
            <w:cnfStyle w:evenVBand="false" w:oddVBand="true" w:firstColumn="false"/>
            <w:tcW w:w="33.333333%" w:type="pct"/>
          </w:tcPr>
          <w:p>
            <w:pPr>
              <w:ind w:leftChars="0" w:left="0" w:right="0"/>
            </w:pPr>
            <w:r>
              <w:t>MABX</w:t>
            </w:r>
          </w:p>
        </w:tc>
        <w:tc>
          <w:tcPr>
            <w:cnfStyle w:evenVBand="true" w:oddVBand="false" w:firstColumn="false"/>
            <w:tcW w:w="33.333333%" w:type="pct"/>
          </w:tcPr>
          <w:p>
            <w:pPr>
              <w:ind w:leftChars="0" w:left="0" w:right="0"/>
            </w:pPr>
            <w:r>
              <w:t>MABX</w:t>
            </w:r>
          </w:p>
        </w:tc>
        <w:tc>
          <w:tcPr>
            <w:cnfStyle w:evenVBand="false" w:oddVBand="true" w:firstColumn="false"/>
            <w:tcW w:w="33.333333%" w:type="pct"/>
          </w:tcPr>
          <w:p>
            <w:pPr>
              <w:ind w:leftChars="0" w:left="0" w:right="0"/>
            </w:pPr>
            <w:r>
              <w:t>BME MTF EQUITY (IIC AND ECR SEGMENTS)</w:t>
            </w:r>
          </w:p>
        </w:tc>
      </w:tr>
      <w:tr>
        <w:trPr>
          <w:cnfStyle w:evenHBand="true" w:oddHBand="false" w:firstRow="false"/>
        </w:trPr>
        <w:tc>
          <w:tcPr>
            <w:cnfStyle w:evenVBand="false" w:oddVBand="true" w:firstColumn="false"/>
            <w:tcW w:w="33.333333%" w:type="pct"/>
          </w:tcPr>
          <w:p>
            <w:pPr>
              <w:ind w:leftChars="0" w:left="0" w:right="0"/>
            </w:pPr>
            <w:r>
              <w:t>MACB</w:t>
            </w:r>
          </w:p>
        </w:tc>
        <w:tc>
          <w:tcPr>
            <w:cnfStyle w:evenVBand="true" w:oddVBand="false" w:firstColumn="false"/>
            <w:tcW w:w="33.333333%" w:type="pct"/>
          </w:tcPr>
          <w:p>
            <w:pPr>
              <w:ind w:leftChars="0" w:left="0" w:right="0"/>
            </w:pPr>
            <w:r>
              <w:t>MACB</w:t>
            </w:r>
          </w:p>
        </w:tc>
        <w:tc>
          <w:tcPr>
            <w:cnfStyle w:evenVBand="false" w:oddVBand="true" w:firstColumn="false"/>
            <w:tcW w:w="33.333333%" w:type="pct"/>
          </w:tcPr>
          <w:p>
            <w:pPr>
              <w:ind w:leftChars="0" w:left="0" w:right="0"/>
            </w:pPr>
            <w:r>
              <w:t>MACQUARIE AUSTRALIA BLOCK CROSSING</w:t>
            </w:r>
          </w:p>
        </w:tc>
      </w:tr>
      <w:tr>
        <w:trPr>
          <w:cnfStyle w:evenHBand="false" w:oddHBand="true" w:firstRow="false"/>
        </w:trPr>
        <w:tc>
          <w:tcPr>
            <w:cnfStyle w:evenVBand="false" w:oddVBand="true" w:firstColumn="false"/>
            <w:tcW w:w="33.333333%" w:type="pct"/>
          </w:tcPr>
          <w:p>
            <w:pPr>
              <w:ind w:leftChars="0" w:left="0" w:right="0"/>
            </w:pPr>
            <w:r>
              <w:t>MACX</w:t>
            </w:r>
          </w:p>
        </w:tc>
        <w:tc>
          <w:tcPr>
            <w:cnfStyle w:evenVBand="true" w:oddVBand="false" w:firstColumn="false"/>
            <w:tcW w:w="33.333333%" w:type="pct"/>
          </w:tcPr>
          <w:p>
            <w:pPr>
              <w:ind w:leftChars="0" w:left="0" w:right="0"/>
            </w:pPr>
            <w:r>
              <w:t>MACX</w:t>
            </w:r>
          </w:p>
        </w:tc>
        <w:tc>
          <w:tcPr>
            <w:cnfStyle w:evenVBand="false" w:oddVBand="true" w:firstColumn="false"/>
            <w:tcW w:w="33.333333%" w:type="pct"/>
          </w:tcPr>
          <w:p>
            <w:pPr>
              <w:ind w:leftChars="0" w:left="0" w:right="0"/>
            </w:pPr>
            <w:r>
              <w:t>MERCATO ALTERNATIVO DEL CAPITALE</w:t>
            </w:r>
          </w:p>
        </w:tc>
      </w:tr>
      <w:tr>
        <w:trPr>
          <w:cnfStyle w:evenHBand="true" w:oddHBand="false" w:firstRow="false"/>
        </w:trPr>
        <w:tc>
          <w:tcPr>
            <w:cnfStyle w:evenVBand="false" w:oddVBand="true" w:firstColumn="false"/>
            <w:tcW w:w="33.333333%" w:type="pct"/>
          </w:tcPr>
          <w:p>
            <w:pPr>
              <w:ind w:leftChars="0" w:left="0" w:right="0"/>
            </w:pPr>
            <w:r>
              <w:t>MAEL</w:t>
            </w:r>
          </w:p>
        </w:tc>
        <w:tc>
          <w:tcPr>
            <w:cnfStyle w:evenVBand="true" w:oddVBand="false" w:firstColumn="false"/>
            <w:tcW w:w="33.333333%" w:type="pct"/>
          </w:tcPr>
          <w:p>
            <w:pPr>
              <w:ind w:leftChars="0" w:left="0" w:right="0"/>
            </w:pPr>
            <w:r>
              <w:t>MAEL</w:t>
            </w:r>
          </w:p>
        </w:tc>
        <w:tc>
          <w:tcPr>
            <w:cnfStyle w:evenVBand="false" w:oddVBand="true" w:firstColumn="false"/>
            <w:tcW w:w="33.333333%" w:type="pct"/>
          </w:tcPr>
          <w:p>
            <w:pPr>
              <w:ind w:leftChars="0" w:left="0" w:right="0"/>
            </w:pPr>
            <w:r>
              <w:t>MARKETAXESS EUROPE LIMITED</w:t>
            </w:r>
          </w:p>
        </w:tc>
      </w:tr>
      <w:tr>
        <w:trPr>
          <w:cnfStyle w:evenHBand="false" w:oddHBand="true" w:firstRow="false"/>
        </w:trPr>
        <w:tc>
          <w:tcPr>
            <w:cnfStyle w:evenVBand="false" w:oddVBand="true" w:firstColumn="false"/>
            <w:tcW w:w="33.333333%" w:type="pct"/>
          </w:tcPr>
          <w:p>
            <w:pPr>
              <w:ind w:leftChars="0" w:left="0" w:right="0"/>
            </w:pPr>
            <w:r>
              <w:t>MAGM</w:t>
            </w:r>
          </w:p>
        </w:tc>
        <w:tc>
          <w:tcPr>
            <w:cnfStyle w:evenVBand="true" w:oddVBand="false" w:firstColumn="false"/>
            <w:tcW w:w="33.333333%" w:type="pct"/>
          </w:tcPr>
          <w:p>
            <w:pPr>
              <w:ind w:leftChars="0" w:left="0" w:right="0"/>
            </w:pPr>
            <w:r>
              <w:t>MAGM</w:t>
            </w:r>
          </w:p>
        </w:tc>
        <w:tc>
          <w:tcPr>
            <w:cnfStyle w:evenVBand="false" w:oddVBand="true" w:firstColumn="false"/>
            <w:tcW w:w="33.333333%" w:type="pct"/>
          </w:tcPr>
          <w:p>
            <w:pPr>
              <w:ind w:leftChars="0" w:left="0" w:right="0"/>
            </w:pPr>
            <w:r>
              <w:t>MAGMA ATS</w:t>
            </w:r>
          </w:p>
        </w:tc>
      </w:tr>
      <w:tr>
        <w:trPr>
          <w:cnfStyle w:evenHBand="true" w:oddHBand="false" w:firstRow="false"/>
        </w:trPr>
        <w:tc>
          <w:tcPr>
            <w:cnfStyle w:evenVBand="false" w:oddVBand="true" w:firstColumn="false"/>
            <w:tcW w:w="33.333333%" w:type="pct"/>
          </w:tcPr>
          <w:p>
            <w:pPr>
              <w:ind w:leftChars="0" w:left="0" w:right="0"/>
            </w:pPr>
            <w:r>
              <w:t>MAKX</w:t>
            </w:r>
          </w:p>
        </w:tc>
        <w:tc>
          <w:tcPr>
            <w:cnfStyle w:evenVBand="true" w:oddVBand="false" w:firstColumn="false"/>
            <w:tcW w:w="33.333333%" w:type="pct"/>
          </w:tcPr>
          <w:p>
            <w:pPr>
              <w:ind w:leftChars="0" w:left="0" w:right="0"/>
            </w:pPr>
            <w:r>
              <w:t>MAKX</w:t>
            </w:r>
          </w:p>
        </w:tc>
        <w:tc>
          <w:tcPr>
            <w:cnfStyle w:evenVBand="false" w:oddVBand="true" w:firstColumn="false"/>
            <w:tcW w:w="33.333333%" w:type="pct"/>
          </w:tcPr>
          <w:p>
            <w:pPr>
              <w:ind w:leftChars="0" w:left="0" w:right="0"/>
            </w:pPr>
            <w:r>
              <w:t>MAKOR SECURITIES LONDON LTD</w:t>
            </w:r>
          </w:p>
        </w:tc>
      </w:tr>
      <w:tr>
        <w:trPr>
          <w:cnfStyle w:evenHBand="false" w:oddHBand="true" w:firstRow="false"/>
        </w:trPr>
        <w:tc>
          <w:tcPr>
            <w:cnfStyle w:evenVBand="false" w:oddVBand="true" w:firstColumn="false"/>
            <w:tcW w:w="33.333333%" w:type="pct"/>
          </w:tcPr>
          <w:p>
            <w:pPr>
              <w:ind w:leftChars="0" w:left="0" w:right="0"/>
            </w:pPr>
            <w:r>
              <w:t>MALM</w:t>
            </w:r>
          </w:p>
        </w:tc>
        <w:tc>
          <w:tcPr>
            <w:cnfStyle w:evenVBand="true" w:oddVBand="false" w:firstColumn="false"/>
            <w:tcW w:w="33.333333%" w:type="pct"/>
          </w:tcPr>
          <w:p>
            <w:pPr>
              <w:ind w:leftChars="0" w:left="0" w:right="0"/>
            </w:pPr>
            <w:r>
              <w:t>MALM</w:t>
            </w:r>
          </w:p>
        </w:tc>
        <w:tc>
          <w:tcPr>
            <w:cnfStyle w:evenVBand="false" w:oddVBand="true" w:firstColumn="false"/>
            <w:tcW w:w="33.333333%" w:type="pct"/>
          </w:tcPr>
          <w:p>
            <w:pPr>
              <w:ind w:leftChars="0" w:left="0" w:right="0"/>
            </w:pPr>
            <w:r>
              <w:t>MARKETAXESS SINGAPORE PTE LIMITED - LIVE MARKETS</w:t>
            </w:r>
          </w:p>
        </w:tc>
      </w:tr>
      <w:tr>
        <w:trPr>
          <w:cnfStyle w:evenHBand="true" w:oddHBand="false" w:firstRow="false"/>
        </w:trPr>
        <w:tc>
          <w:tcPr>
            <w:cnfStyle w:evenVBand="false" w:oddVBand="true" w:firstColumn="false"/>
            <w:tcW w:w="33.333333%" w:type="pct"/>
          </w:tcPr>
          <w:p>
            <w:pPr>
              <w:ind w:leftChars="0" w:left="0" w:right="0"/>
            </w:pPr>
            <w:r>
              <w:t>MALX</w:t>
            </w:r>
          </w:p>
        </w:tc>
        <w:tc>
          <w:tcPr>
            <w:cnfStyle w:evenVBand="true" w:oddVBand="false" w:firstColumn="false"/>
            <w:tcW w:w="33.333333%" w:type="pct"/>
          </w:tcPr>
          <w:p>
            <w:pPr>
              <w:ind w:leftChars="0" w:left="0" w:right="0"/>
            </w:pPr>
            <w:r>
              <w:t>MALX</w:t>
            </w:r>
          </w:p>
        </w:tc>
        <w:tc>
          <w:tcPr>
            <w:cnfStyle w:evenVBand="false" w:oddVBand="true" w:firstColumn="false"/>
            <w:tcW w:w="33.333333%" w:type="pct"/>
          </w:tcPr>
          <w:p>
            <w:pPr>
              <w:ind w:leftChars="0" w:left="0" w:right="0"/>
            </w:pPr>
            <w:r>
              <w:t>MALDIVES STOCK EXCHANGE</w:t>
            </w:r>
          </w:p>
        </w:tc>
      </w:tr>
      <w:tr>
        <w:trPr>
          <w:cnfStyle w:evenHBand="false" w:oddHBand="true" w:firstRow="false"/>
        </w:trPr>
        <w:tc>
          <w:tcPr>
            <w:cnfStyle w:evenVBand="false" w:oddVBand="true" w:firstColumn="false"/>
            <w:tcW w:w="33.333333%" w:type="pct"/>
          </w:tcPr>
          <w:p>
            <w:pPr>
              <w:ind w:leftChars="0" w:left="0" w:right="0"/>
            </w:pPr>
            <w:r>
              <w:t>MANL</w:t>
            </w:r>
          </w:p>
        </w:tc>
        <w:tc>
          <w:tcPr>
            <w:cnfStyle w:evenVBand="true" w:oddVBand="false" w:firstColumn="false"/>
            <w:tcW w:w="33.333333%" w:type="pct"/>
          </w:tcPr>
          <w:p>
            <w:pPr>
              <w:ind w:leftChars="0" w:left="0" w:right="0"/>
            </w:pPr>
            <w:r>
              <w:t>MANL</w:t>
            </w:r>
          </w:p>
        </w:tc>
        <w:tc>
          <w:tcPr>
            <w:cnfStyle w:evenVBand="false" w:oddVBand="true" w:firstColumn="false"/>
            <w:tcW w:w="33.333333%" w:type="pct"/>
          </w:tcPr>
          <w:p>
            <w:pPr>
              <w:ind w:leftChars="0" w:left="0" w:right="0"/>
            </w:pPr>
            <w:r>
              <w:t>MARKETAXESS NL B.V.</w:t>
            </w:r>
          </w:p>
        </w:tc>
      </w:tr>
      <w:tr>
        <w:trPr>
          <w:cnfStyle w:evenHBand="true" w:oddHBand="false" w:firstRow="false"/>
        </w:trPr>
        <w:tc>
          <w:tcPr>
            <w:cnfStyle w:evenVBand="false" w:oddVBand="true" w:firstColumn="false"/>
            <w:tcW w:w="33.333333%" w:type="pct"/>
          </w:tcPr>
          <w:p>
            <w:pPr>
              <w:ind w:leftChars="0" w:left="0" w:right="0"/>
            </w:pPr>
            <w:r>
              <w:t>MAQE</w:t>
            </w:r>
          </w:p>
        </w:tc>
        <w:tc>
          <w:tcPr>
            <w:cnfStyle w:evenVBand="true" w:oddVBand="false" w:firstColumn="false"/>
            <w:tcW w:w="33.333333%" w:type="pct"/>
          </w:tcPr>
          <w:p>
            <w:pPr>
              <w:ind w:leftChars="0" w:left="0" w:right="0"/>
            </w:pPr>
            <w:r>
              <w:t>MAQE</w:t>
            </w:r>
          </w:p>
        </w:tc>
        <w:tc>
          <w:tcPr>
            <w:cnfStyle w:evenVBand="false" w:oddVBand="true" w:firstColumn="false"/>
            <w:tcW w:w="33.333333%" w:type="pct"/>
          </w:tcPr>
          <w:p>
            <w:pPr>
              <w:ind w:leftChars="0" w:left="0" w:right="0"/>
            </w:pPr>
            <w:r>
              <w:t>MACQUARIE BANK EUROPE DESIGNATED ACTIVITY COMPANY - SYSTEMATIC INTERNALISER</w:t>
            </w:r>
          </w:p>
        </w:tc>
      </w:tr>
      <w:tr>
        <w:trPr>
          <w:cnfStyle w:evenHBand="false" w:oddHBand="true" w:firstRow="false"/>
        </w:trPr>
        <w:tc>
          <w:tcPr>
            <w:cnfStyle w:evenVBand="false" w:oddVBand="true" w:firstColumn="false"/>
            <w:tcW w:w="33.333333%" w:type="pct"/>
          </w:tcPr>
          <w:p>
            <w:pPr>
              <w:ind w:leftChars="0" w:left="0" w:right="0"/>
            </w:pPr>
            <w:r>
              <w:t>MAQH</w:t>
            </w:r>
          </w:p>
        </w:tc>
        <w:tc>
          <w:tcPr>
            <w:cnfStyle w:evenVBand="true" w:oddVBand="false" w:firstColumn="false"/>
            <w:tcW w:w="33.333333%" w:type="pct"/>
          </w:tcPr>
          <w:p>
            <w:pPr>
              <w:ind w:leftChars="0" w:left="0" w:right="0"/>
            </w:pPr>
            <w:r>
              <w:t>MAQH</w:t>
            </w:r>
          </w:p>
        </w:tc>
        <w:tc>
          <w:tcPr>
            <w:cnfStyle w:evenVBand="false" w:oddVBand="true" w:firstColumn="false"/>
            <w:tcW w:w="33.333333%" w:type="pct"/>
          </w:tcPr>
          <w:p>
            <w:pPr>
              <w:ind w:leftChars="0" w:left="0" w:right="0"/>
            </w:pPr>
            <w:r>
              <w:t>MACQUARIE INTERNAL MARKETS (HONG KONG)</w:t>
            </w:r>
          </w:p>
        </w:tc>
      </w:tr>
      <w:tr>
        <w:trPr>
          <w:cnfStyle w:evenHBand="true" w:oddHBand="false" w:firstRow="false"/>
        </w:trPr>
        <w:tc>
          <w:tcPr>
            <w:cnfStyle w:evenVBand="false" w:oddVBand="true" w:firstColumn="false"/>
            <w:tcW w:w="33.333333%" w:type="pct"/>
          </w:tcPr>
          <w:p>
            <w:pPr>
              <w:ind w:leftChars="0" w:left="0" w:right="0"/>
            </w:pPr>
            <w:r>
              <w:t>MAQI</w:t>
            </w:r>
          </w:p>
        </w:tc>
        <w:tc>
          <w:tcPr>
            <w:cnfStyle w:evenVBand="true" w:oddVBand="false" w:firstColumn="false"/>
            <w:tcW w:w="33.333333%" w:type="pct"/>
          </w:tcPr>
          <w:p>
            <w:pPr>
              <w:ind w:leftChars="0" w:left="0" w:right="0"/>
            </w:pPr>
            <w:r>
              <w:t>MAQI</w:t>
            </w:r>
          </w:p>
        </w:tc>
        <w:tc>
          <w:tcPr>
            <w:cnfStyle w:evenVBand="false" w:oddVBand="true" w:firstColumn="false"/>
            <w:tcW w:w="33.333333%" w:type="pct"/>
          </w:tcPr>
          <w:p>
            <w:pPr>
              <w:ind w:leftChars="0" w:left="0" w:right="0"/>
            </w:pPr>
            <w:r>
              <w:t>MACQUARIE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MAQJ</w:t>
            </w:r>
          </w:p>
        </w:tc>
        <w:tc>
          <w:tcPr>
            <w:cnfStyle w:evenVBand="true" w:oddVBand="false" w:firstColumn="false"/>
            <w:tcW w:w="33.333333%" w:type="pct"/>
          </w:tcPr>
          <w:p>
            <w:pPr>
              <w:ind w:leftChars="0" w:left="0" w:right="0"/>
            </w:pPr>
            <w:r>
              <w:t>MAQJ</w:t>
            </w:r>
          </w:p>
        </w:tc>
        <w:tc>
          <w:tcPr>
            <w:cnfStyle w:evenVBand="false" w:oddVBand="true" w:firstColumn="false"/>
            <w:tcW w:w="33.333333%" w:type="pct"/>
          </w:tcPr>
          <w:p>
            <w:pPr>
              <w:ind w:leftChars="0" w:left="0" w:right="0"/>
            </w:pPr>
            <w:r>
              <w:t>MACQUARIE INTERNAL MARKETS (JAPAN)</w:t>
            </w:r>
          </w:p>
        </w:tc>
      </w:tr>
      <w:tr>
        <w:trPr>
          <w:cnfStyle w:evenHBand="true" w:oddHBand="false" w:firstRow="false"/>
        </w:trPr>
        <w:tc>
          <w:tcPr>
            <w:cnfStyle w:evenVBand="false" w:oddVBand="true" w:firstColumn="false"/>
            <w:tcW w:w="33.333333%" w:type="pct"/>
          </w:tcPr>
          <w:p>
            <w:pPr>
              <w:ind w:leftChars="0" w:left="0" w:right="0"/>
            </w:pPr>
            <w:r>
              <w:t>MAQL</w:t>
            </w:r>
          </w:p>
        </w:tc>
        <w:tc>
          <w:tcPr>
            <w:cnfStyle w:evenVBand="true" w:oddVBand="false" w:firstColumn="false"/>
            <w:tcW w:w="33.333333%" w:type="pct"/>
          </w:tcPr>
          <w:p>
            <w:pPr>
              <w:ind w:leftChars="0" w:left="0" w:right="0"/>
            </w:pPr>
            <w:r>
              <w:t>MAQL</w:t>
            </w:r>
          </w:p>
        </w:tc>
        <w:tc>
          <w:tcPr>
            <w:cnfStyle w:evenVBand="false" w:oddVBand="true" w:firstColumn="false"/>
            <w:tcW w:w="33.333333%" w:type="pct"/>
          </w:tcPr>
          <w:p>
            <w:pPr>
              <w:ind w:leftChars="0" w:left="0" w:right="0"/>
            </w:pPr>
            <w:r>
              <w:t>MACQUARIE CAPITAL EUROPE LIMITED</w:t>
            </w:r>
          </w:p>
        </w:tc>
      </w:tr>
      <w:tr>
        <w:trPr>
          <w:cnfStyle w:evenHBand="false" w:oddHBand="true" w:firstRow="false"/>
        </w:trPr>
        <w:tc>
          <w:tcPr>
            <w:cnfStyle w:evenVBand="false" w:oddVBand="true" w:firstColumn="false"/>
            <w:tcW w:w="33.333333%" w:type="pct"/>
          </w:tcPr>
          <w:p>
            <w:pPr>
              <w:ind w:leftChars="0" w:left="0" w:right="0"/>
            </w:pPr>
            <w:r>
              <w:t>MAQU</w:t>
            </w:r>
          </w:p>
        </w:tc>
        <w:tc>
          <w:tcPr>
            <w:cnfStyle w:evenVBand="true" w:oddVBand="false" w:firstColumn="false"/>
            <w:tcW w:w="33.333333%" w:type="pct"/>
          </w:tcPr>
          <w:p>
            <w:pPr>
              <w:ind w:leftChars="0" w:left="0" w:right="0"/>
            </w:pPr>
            <w:r>
              <w:t>MAQU</w:t>
            </w:r>
          </w:p>
        </w:tc>
        <w:tc>
          <w:tcPr>
            <w:cnfStyle w:evenVBand="false" w:oddVBand="true" w:firstColumn="false"/>
            <w:tcW w:w="33.333333%" w:type="pct"/>
          </w:tcPr>
          <w:p>
            <w:pPr>
              <w:ind w:leftChars="0" w:left="0" w:right="0"/>
            </w:pPr>
            <w:r>
              <w:t>MACQUARIE BANK LIMITED, LONDON BRANCH - SYSTEMATIC INTERNALISER</w:t>
            </w:r>
          </w:p>
        </w:tc>
      </w:tr>
      <w:tr>
        <w:trPr>
          <w:cnfStyle w:evenHBand="true" w:oddHBand="false" w:firstRow="false"/>
        </w:trPr>
        <w:tc>
          <w:tcPr>
            <w:cnfStyle w:evenVBand="false" w:oddVBand="true" w:firstColumn="false"/>
            <w:tcW w:w="33.333333%" w:type="pct"/>
          </w:tcPr>
          <w:p>
            <w:pPr>
              <w:ind w:leftChars="0" w:left="0" w:right="0"/>
            </w:pPr>
            <w:r>
              <w:t>MAQX</w:t>
            </w:r>
          </w:p>
        </w:tc>
        <w:tc>
          <w:tcPr>
            <w:cnfStyle w:evenVBand="true" w:oddVBand="false" w:firstColumn="false"/>
            <w:tcW w:w="33.333333%" w:type="pct"/>
          </w:tcPr>
          <w:p>
            <w:pPr>
              <w:ind w:leftChars="0" w:left="0" w:right="0"/>
            </w:pPr>
            <w:r>
              <w:t>MAQX</w:t>
            </w:r>
          </w:p>
        </w:tc>
        <w:tc>
          <w:tcPr>
            <w:cnfStyle w:evenVBand="false" w:oddVBand="true" w:firstColumn="false"/>
            <w:tcW w:w="33.333333%" w:type="pct"/>
          </w:tcPr>
          <w:p>
            <w:pPr>
              <w:ind w:leftChars="0" w:left="0" w:right="0"/>
            </w:pPr>
            <w:r>
              <w:t>MACQUARIE INTERNAL MARKETS (AUSTRALIA)</w:t>
            </w:r>
          </w:p>
        </w:tc>
      </w:tr>
      <w:tr>
        <w:trPr>
          <w:cnfStyle w:evenHBand="false" w:oddHBand="true" w:firstRow="false"/>
        </w:trPr>
        <w:tc>
          <w:tcPr>
            <w:cnfStyle w:evenVBand="false" w:oddVBand="true" w:firstColumn="false"/>
            <w:tcW w:w="33.333333%" w:type="pct"/>
          </w:tcPr>
          <w:p>
            <w:pPr>
              <w:ind w:leftChars="0" w:left="0" w:right="0"/>
            </w:pPr>
            <w:r>
              <w:t>MARF</w:t>
            </w:r>
          </w:p>
        </w:tc>
        <w:tc>
          <w:tcPr>
            <w:cnfStyle w:evenVBand="true" w:oddVBand="false" w:firstColumn="false"/>
            <w:tcW w:w="33.333333%" w:type="pct"/>
          </w:tcPr>
          <w:p>
            <w:pPr>
              <w:ind w:leftChars="0" w:left="0" w:right="0"/>
            </w:pPr>
            <w:r>
              <w:t>MARF</w:t>
            </w:r>
          </w:p>
        </w:tc>
        <w:tc>
          <w:tcPr>
            <w:cnfStyle w:evenVBand="false" w:oddVBand="true" w:firstColumn="false"/>
            <w:tcW w:w="33.333333%" w:type="pct"/>
          </w:tcPr>
          <w:p>
            <w:pPr>
              <w:ind w:leftChars="0" w:left="0" w:right="0"/>
            </w:pPr>
            <w:r>
              <w:t>MERCADO ALTERNATIVO DE RENTA FIJA</w:t>
            </w:r>
          </w:p>
        </w:tc>
      </w:tr>
      <w:tr>
        <w:trPr>
          <w:cnfStyle w:evenHBand="true" w:oddHBand="false" w:firstRow="false"/>
        </w:trPr>
        <w:tc>
          <w:tcPr>
            <w:cnfStyle w:evenVBand="false" w:oddVBand="true" w:firstColumn="false"/>
            <w:tcW w:w="33.333333%" w:type="pct"/>
          </w:tcPr>
          <w:p>
            <w:pPr>
              <w:ind w:leftChars="0" w:left="0" w:right="0"/>
            </w:pPr>
            <w:r>
              <w:t>MASG</w:t>
            </w:r>
          </w:p>
        </w:tc>
        <w:tc>
          <w:tcPr>
            <w:cnfStyle w:evenVBand="true" w:oddVBand="false" w:firstColumn="false"/>
            <w:tcW w:w="33.333333%" w:type="pct"/>
          </w:tcPr>
          <w:p>
            <w:pPr>
              <w:ind w:leftChars="0" w:left="0" w:right="0"/>
            </w:pPr>
            <w:r>
              <w:t>MASG</w:t>
            </w:r>
          </w:p>
        </w:tc>
        <w:tc>
          <w:tcPr>
            <w:cnfStyle w:evenVBand="false" w:oddVBand="true" w:firstColumn="false"/>
            <w:tcW w:w="33.333333%" w:type="pct"/>
          </w:tcPr>
          <w:p>
            <w:pPr>
              <w:ind w:leftChars="0" w:left="0" w:right="0"/>
            </w:pPr>
            <w:r>
              <w:t>MARKETAXESS SINGAPORE PTE LIMITED</w:t>
            </w:r>
          </w:p>
        </w:tc>
      </w:tr>
      <w:tr>
        <w:trPr>
          <w:cnfStyle w:evenHBand="false" w:oddHBand="true" w:firstRow="false"/>
        </w:trPr>
        <w:tc>
          <w:tcPr>
            <w:cnfStyle w:evenVBand="false" w:oddVBand="true" w:firstColumn="false"/>
            <w:tcW w:w="33.333333%" w:type="pct"/>
          </w:tcPr>
          <w:p>
            <w:pPr>
              <w:ind w:leftChars="0" w:left="0" w:right="0"/>
            </w:pPr>
            <w:r>
              <w:t>MATN</w:t>
            </w:r>
          </w:p>
        </w:tc>
        <w:tc>
          <w:tcPr>
            <w:cnfStyle w:evenVBand="true" w:oddVBand="false" w:firstColumn="false"/>
            <w:tcW w:w="33.333333%" w:type="pct"/>
          </w:tcPr>
          <w:p>
            <w:pPr>
              <w:ind w:leftChars="0" w:left="0" w:right="0"/>
            </w:pPr>
            <w:r>
              <w:t>MATN</w:t>
            </w:r>
          </w:p>
        </w:tc>
        <w:tc>
          <w:tcPr>
            <w:cnfStyle w:evenVBand="false" w:oddVBand="true" w:firstColumn="false"/>
            <w:tcW w:w="33.333333%" w:type="pct"/>
          </w:tcPr>
          <w:p>
            <w:pPr>
              <w:ind w:leftChars="0" w:left="0" w:right="0"/>
            </w:pPr>
            <w:r>
              <w:t>MATCH NOW</w:t>
            </w:r>
          </w:p>
        </w:tc>
      </w:tr>
      <w:tr>
        <w:trPr>
          <w:cnfStyle w:evenHBand="true" w:oddHBand="false" w:firstRow="false"/>
        </w:trPr>
        <w:tc>
          <w:tcPr>
            <w:cnfStyle w:evenVBand="false" w:oddVBand="true" w:firstColumn="false"/>
            <w:tcW w:w="33.333333%" w:type="pct"/>
          </w:tcPr>
          <w:p>
            <w:pPr>
              <w:ind w:leftChars="0" w:left="0" w:right="0"/>
            </w:pPr>
            <w:r>
              <w:t>MATX</w:t>
            </w:r>
          </w:p>
        </w:tc>
        <w:tc>
          <w:tcPr>
            <w:cnfStyle w:evenVBand="true" w:oddVBand="false" w:firstColumn="false"/>
            <w:tcW w:w="33.333333%" w:type="pct"/>
          </w:tcPr>
          <w:p>
            <w:pPr>
              <w:ind w:leftChars="0" w:left="0" w:right="0"/>
            </w:pPr>
            <w:r>
              <w:t>MATX</w:t>
            </w:r>
          </w:p>
        </w:tc>
        <w:tc>
          <w:tcPr>
            <w:cnfStyle w:evenVBand="false" w:oddVBand="true" w:firstColumn="false"/>
            <w:tcW w:w="33.333333%" w:type="pct"/>
          </w:tcPr>
          <w:p>
            <w:pPr>
              <w:ind w:leftChars="0" w:left="0" w:right="0"/>
            </w:pPr>
            <w:r>
              <w:t>MATRIX LIMITED</w:t>
            </w:r>
          </w:p>
        </w:tc>
      </w:tr>
      <w:tr>
        <w:trPr>
          <w:cnfStyle w:evenHBand="false" w:oddHBand="true" w:firstRow="false"/>
        </w:trPr>
        <w:tc>
          <w:tcPr>
            <w:cnfStyle w:evenVBand="false" w:oddVBand="true" w:firstColumn="false"/>
            <w:tcW w:w="33.333333%" w:type="pct"/>
          </w:tcPr>
          <w:p>
            <w:pPr>
              <w:ind w:leftChars="0" w:left="0" w:right="0"/>
            </w:pPr>
            <w:r>
              <w:t>MAXD</w:t>
            </w:r>
          </w:p>
        </w:tc>
        <w:tc>
          <w:tcPr>
            <w:cnfStyle w:evenVBand="true" w:oddVBand="false" w:firstColumn="false"/>
            <w:tcW w:w="33.333333%" w:type="pct"/>
          </w:tcPr>
          <w:p>
            <w:pPr>
              <w:ind w:leftChars="0" w:left="0" w:right="0"/>
            </w:pPr>
            <w:r>
              <w:t>MAXD</w:t>
            </w:r>
          </w:p>
        </w:tc>
        <w:tc>
          <w:tcPr>
            <w:cnfStyle w:evenVBand="false" w:oddVBand="true" w:firstColumn="false"/>
            <w:tcW w:w="33.333333%" w:type="pct"/>
          </w:tcPr>
          <w:p>
            <w:pPr>
              <w:ind w:leftChars="0" w:left="0" w:right="0"/>
            </w:pPr>
            <w:r>
              <w:t>MAX MARKETS LIMITED</w:t>
            </w:r>
          </w:p>
        </w:tc>
      </w:tr>
      <w:tr>
        <w:trPr>
          <w:cnfStyle w:evenHBand="true" w:oddHBand="false" w:firstRow="false"/>
        </w:trPr>
        <w:tc>
          <w:tcPr>
            <w:cnfStyle w:evenVBand="false" w:oddVBand="true" w:firstColumn="false"/>
            <w:tcW w:w="33.333333%" w:type="pct"/>
          </w:tcPr>
          <w:p>
            <w:pPr>
              <w:ind w:leftChars="0" w:left="0" w:right="0"/>
            </w:pPr>
            <w:r>
              <w:t>MBCP</w:t>
            </w:r>
          </w:p>
        </w:tc>
        <w:tc>
          <w:tcPr>
            <w:cnfStyle w:evenVBand="true" w:oddVBand="false" w:firstColumn="false"/>
            <w:tcW w:w="33.333333%" w:type="pct"/>
          </w:tcPr>
          <w:p>
            <w:pPr>
              <w:ind w:leftChars="0" w:left="0" w:right="0"/>
            </w:pPr>
            <w:r>
              <w:t>MBCP</w:t>
            </w:r>
          </w:p>
        </w:tc>
        <w:tc>
          <w:tcPr>
            <w:cnfStyle w:evenVBand="false" w:oddVBand="true" w:firstColumn="false"/>
            <w:tcW w:w="33.333333%" w:type="pct"/>
          </w:tcPr>
          <w:p>
            <w:pPr>
              <w:ind w:leftChars="0" w:left="0" w:right="0"/>
            </w:pPr>
            <w:r>
              <w:t>MILLENNIUM BCP-SYSTEMATIC INTERNALISER</w:t>
            </w:r>
          </w:p>
        </w:tc>
      </w:tr>
      <w:tr>
        <w:trPr>
          <w:cnfStyle w:evenHBand="false" w:oddHBand="true" w:firstRow="false"/>
        </w:trPr>
        <w:tc>
          <w:tcPr>
            <w:cnfStyle w:evenVBand="false" w:oddVBand="true" w:firstColumn="false"/>
            <w:tcW w:w="33.333333%" w:type="pct"/>
          </w:tcPr>
          <w:p>
            <w:pPr>
              <w:ind w:leftChars="0" w:left="0" w:right="0"/>
            </w:pPr>
            <w:r>
              <w:t>MBPL</w:t>
            </w:r>
          </w:p>
        </w:tc>
        <w:tc>
          <w:tcPr>
            <w:cnfStyle w:evenVBand="true" w:oddVBand="false" w:firstColumn="false"/>
            <w:tcW w:w="33.333333%" w:type="pct"/>
          </w:tcPr>
          <w:p>
            <w:pPr>
              <w:ind w:leftChars="0" w:left="0" w:right="0"/>
            </w:pPr>
            <w:r>
              <w:t>MBPL</w:t>
            </w:r>
          </w:p>
        </w:tc>
        <w:tc>
          <w:tcPr>
            <w:cnfStyle w:evenVBand="false" w:oddVBand="true" w:firstColumn="false"/>
            <w:tcW w:w="33.333333%" w:type="pct"/>
          </w:tcPr>
          <w:p>
            <w:pPr>
              <w:ind w:leftChars="0" w:left="0" w:right="0"/>
            </w:pPr>
            <w:r>
              <w:t>MBANK S.A. - SYSTEMATIC INTERNALISER</w:t>
            </w:r>
          </w:p>
        </w:tc>
      </w:tr>
      <w:tr>
        <w:trPr>
          <w:cnfStyle w:evenHBand="true" w:oddHBand="false" w:firstRow="false"/>
        </w:trPr>
        <w:tc>
          <w:tcPr>
            <w:cnfStyle w:evenVBand="false" w:oddVBand="true" w:firstColumn="false"/>
            <w:tcW w:w="33.333333%" w:type="pct"/>
          </w:tcPr>
          <w:p>
            <w:pPr>
              <w:ind w:leftChars="0" w:left="0" w:right="0"/>
            </w:pPr>
            <w:r>
              <w:t>MBSI</w:t>
            </w:r>
          </w:p>
        </w:tc>
        <w:tc>
          <w:tcPr>
            <w:cnfStyle w:evenVBand="true" w:oddVBand="false" w:firstColumn="false"/>
            <w:tcW w:w="33.333333%" w:type="pct"/>
          </w:tcPr>
          <w:p>
            <w:pPr>
              <w:ind w:leftChars="0" w:left="0" w:right="0"/>
            </w:pPr>
            <w:r>
              <w:t>MBSI</w:t>
            </w:r>
          </w:p>
        </w:tc>
        <w:tc>
          <w:tcPr>
            <w:cnfStyle w:evenVBand="false" w:oddVBand="true" w:firstColumn="false"/>
            <w:tcW w:w="33.333333%" w:type="pct"/>
          </w:tcPr>
          <w:p>
            <w:pPr>
              <w:ind w:leftChars="0" w:left="0" w:right="0"/>
            </w:pPr>
            <w:r>
              <w:t>MORGAN STANLEY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MBUL</w:t>
            </w:r>
          </w:p>
        </w:tc>
        <w:tc>
          <w:tcPr>
            <w:cnfStyle w:evenVBand="true" w:oddVBand="false" w:firstColumn="false"/>
            <w:tcW w:w="33.333333%" w:type="pct"/>
          </w:tcPr>
          <w:p>
            <w:pPr>
              <w:ind w:leftChars="0" w:left="0" w:right="0"/>
            </w:pPr>
            <w:r>
              <w:t>MBUL</w:t>
            </w:r>
          </w:p>
        </w:tc>
        <w:tc>
          <w:tcPr>
            <w:cnfStyle w:evenVBand="false" w:oddVBand="true" w:firstColumn="false"/>
            <w:tcW w:w="33.333333%" w:type="pct"/>
          </w:tcPr>
          <w:p>
            <w:pPr>
              <w:ind w:leftChars="0" w:left="0" w:right="0"/>
            </w:pPr>
            <w:r>
              <w:t>MTF SOFIA</w:t>
            </w:r>
          </w:p>
        </w:tc>
      </w:tr>
      <w:tr>
        <w:trPr>
          <w:cnfStyle w:evenHBand="true" w:oddHBand="false" w:firstRow="false"/>
        </w:trPr>
        <w:tc>
          <w:tcPr>
            <w:cnfStyle w:evenVBand="false" w:oddVBand="true" w:firstColumn="false"/>
            <w:tcW w:w="33.333333%" w:type="pct"/>
          </w:tcPr>
          <w:p>
            <w:pPr>
              <w:ind w:leftChars="0" w:left="0" w:right="0"/>
            </w:pPr>
            <w:r>
              <w:t>MCAD</w:t>
            </w:r>
          </w:p>
        </w:tc>
        <w:tc>
          <w:tcPr>
            <w:cnfStyle w:evenVBand="true" w:oddVBand="false" w:firstColumn="false"/>
            <w:tcW w:w="33.333333%" w:type="pct"/>
          </w:tcPr>
          <w:p>
            <w:pPr>
              <w:ind w:leftChars="0" w:left="0" w:right="0"/>
            </w:pPr>
            <w:r>
              <w:t>MCAD</w:t>
            </w:r>
          </w:p>
        </w:tc>
        <w:tc>
          <w:tcPr>
            <w:cnfStyle w:evenVBand="false" w:oddVBand="true" w:firstColumn="false"/>
            <w:tcW w:w="33.333333%" w:type="pct"/>
          </w:tcPr>
          <w:p>
            <w:pPr>
              <w:ind w:leftChars="0" w:left="0" w:right="0"/>
            </w:pPr>
            <w:r>
              <w:t>MTS CASH DOMESTIC - MTF</w:t>
            </w:r>
          </w:p>
        </w:tc>
      </w:tr>
      <w:tr>
        <w:trPr>
          <w:cnfStyle w:evenHBand="false" w:oddHBand="true" w:firstRow="false"/>
        </w:trPr>
        <w:tc>
          <w:tcPr>
            <w:cnfStyle w:evenVBand="false" w:oddVBand="true" w:firstColumn="false"/>
            <w:tcW w:w="33.333333%" w:type="pct"/>
          </w:tcPr>
          <w:p>
            <w:pPr>
              <w:ind w:leftChars="0" w:left="0" w:right="0"/>
            </w:pPr>
            <w:r>
              <w:t>MCID</w:t>
            </w:r>
          </w:p>
        </w:tc>
        <w:tc>
          <w:tcPr>
            <w:cnfStyle w:evenVBand="true" w:oddVBand="false" w:firstColumn="false"/>
            <w:tcW w:w="33.333333%" w:type="pct"/>
          </w:tcPr>
          <w:p>
            <w:pPr>
              <w:ind w:leftChars="0" w:left="0" w:right="0"/>
            </w:pPr>
            <w:r>
              <w:t>MCID</w:t>
            </w:r>
          </w:p>
        </w:tc>
        <w:tc>
          <w:tcPr>
            <w:cnfStyle w:evenVBand="false" w:oddVBand="true" w:firstColumn="false"/>
            <w:tcW w:w="33.333333%" w:type="pct"/>
          </w:tcPr>
          <w:p>
            <w:pPr>
              <w:ind w:leftChars="0" w:left="0" w:right="0"/>
            </w:pPr>
            <w:r>
              <w:t>MACQUARIE CAPITAL (IRELAND)</w:t>
            </w:r>
          </w:p>
        </w:tc>
      </w:tr>
      <w:tr>
        <w:trPr>
          <w:cnfStyle w:evenHBand="true" w:oddHBand="false" w:firstRow="false"/>
        </w:trPr>
        <w:tc>
          <w:tcPr>
            <w:cnfStyle w:evenVBand="false" w:oddVBand="true" w:firstColumn="false"/>
            <w:tcW w:w="33.333333%" w:type="pct"/>
          </w:tcPr>
          <w:p>
            <w:pPr>
              <w:ind w:leftChars="0" w:left="0" w:right="0"/>
            </w:pPr>
            <w:r>
              <w:t>MCRY</w:t>
            </w:r>
          </w:p>
        </w:tc>
        <w:tc>
          <w:tcPr>
            <w:cnfStyle w:evenVBand="true" w:oddVBand="false" w:firstColumn="false"/>
            <w:tcW w:w="33.333333%" w:type="pct"/>
          </w:tcPr>
          <w:p>
            <w:pPr>
              <w:ind w:leftChars="0" w:left="0" w:right="0"/>
            </w:pPr>
            <w:r>
              <w:t>MCRY</w:t>
            </w:r>
          </w:p>
        </w:tc>
        <w:tc>
          <w:tcPr>
            <w:cnfStyle w:evenVBand="false" w:oddVBand="true" w:firstColumn="false"/>
            <w:tcW w:w="33.333333%" w:type="pct"/>
          </w:tcPr>
          <w:p>
            <w:pPr>
              <w:ind w:leftChars="0" w:left="0" w:right="0"/>
            </w:pPr>
            <w:r>
              <w:t>ISE MERCURY, LLC</w:t>
            </w:r>
          </w:p>
        </w:tc>
      </w:tr>
      <w:tr>
        <w:trPr>
          <w:cnfStyle w:evenHBand="false" w:oddHBand="true" w:firstRow="false"/>
        </w:trPr>
        <w:tc>
          <w:tcPr>
            <w:cnfStyle w:evenVBand="false" w:oddVBand="true" w:firstColumn="false"/>
            <w:tcW w:w="33.333333%" w:type="pct"/>
          </w:tcPr>
          <w:p>
            <w:pPr>
              <w:ind w:leftChars="0" w:left="0" w:right="0"/>
            </w:pPr>
            <w:r>
              <w:t>MCSE</w:t>
            </w:r>
          </w:p>
        </w:tc>
        <w:tc>
          <w:tcPr>
            <w:cnfStyle w:evenVBand="true" w:oddVBand="false" w:firstColumn="false"/>
            <w:tcW w:w="33.333333%" w:type="pct"/>
          </w:tcPr>
          <w:p>
            <w:pPr>
              <w:ind w:leftChars="0" w:left="0" w:right="0"/>
            </w:pPr>
            <w:r>
              <w:t>MCSE</w:t>
            </w:r>
          </w:p>
        </w:tc>
        <w:tc>
          <w:tcPr>
            <w:cnfStyle w:evenVBand="false" w:oddVBand="true" w:firstColumn="false"/>
            <w:tcW w:w="33.333333%" w:type="pct"/>
          </w:tcPr>
          <w:p>
            <w:pPr>
              <w:ind w:leftChars="0" w:left="0" w:right="0"/>
            </w:pPr>
            <w:r>
              <w:t>NASDAQ COPENHAGEN A/S - AUCTION ON DEMAND</w:t>
            </w:r>
          </w:p>
        </w:tc>
      </w:tr>
      <w:tr>
        <w:trPr>
          <w:cnfStyle w:evenHBand="true" w:oddHBand="false" w:firstRow="false"/>
        </w:trPr>
        <w:tc>
          <w:tcPr>
            <w:cnfStyle w:evenVBand="false" w:oddVBand="true" w:firstColumn="false"/>
            <w:tcW w:w="33.333333%" w:type="pct"/>
          </w:tcPr>
          <w:p>
            <w:pPr>
              <w:ind w:leftChars="0" w:left="0" w:right="0"/>
            </w:pPr>
            <w:r>
              <w:t>MCUR</w:t>
            </w:r>
          </w:p>
        </w:tc>
        <w:tc>
          <w:tcPr>
            <w:cnfStyle w:evenVBand="true" w:oddVBand="false" w:firstColumn="false"/>
            <w:tcW w:w="33.333333%" w:type="pct"/>
          </w:tcPr>
          <w:p>
            <w:pPr>
              <w:ind w:leftChars="0" w:left="0" w:right="0"/>
            </w:pPr>
            <w:r>
              <w:t>MCUR</w:t>
            </w:r>
          </w:p>
        </w:tc>
        <w:tc>
          <w:tcPr>
            <w:cnfStyle w:evenVBand="false" w:oddVBand="true" w:firstColumn="false"/>
            <w:tcW w:w="33.333333%" w:type="pct"/>
          </w:tcPr>
          <w:p>
            <w:pPr>
              <w:ind w:leftChars="0" w:left="0" w:right="0"/>
            </w:pPr>
            <w:r>
              <w:t>CURRENEX MTF</w:t>
            </w:r>
          </w:p>
        </w:tc>
      </w:tr>
      <w:tr>
        <w:trPr>
          <w:cnfStyle w:evenHBand="false" w:oddHBand="true" w:firstRow="false"/>
        </w:trPr>
        <w:tc>
          <w:tcPr>
            <w:cnfStyle w:evenVBand="false" w:oddVBand="true" w:firstColumn="false"/>
            <w:tcW w:w="33.333333%" w:type="pct"/>
          </w:tcPr>
          <w:p>
            <w:pPr>
              <w:ind w:leftChars="0" w:left="0" w:right="0"/>
            </w:pPr>
            <w:r>
              <w:t>MCXR</w:t>
            </w:r>
          </w:p>
        </w:tc>
        <w:tc>
          <w:tcPr>
            <w:cnfStyle w:evenVBand="true" w:oddVBand="false" w:firstColumn="false"/>
            <w:tcW w:w="33.333333%" w:type="pct"/>
          </w:tcPr>
          <w:p>
            <w:pPr>
              <w:ind w:leftChars="0" w:left="0" w:right="0"/>
            </w:pPr>
            <w:r>
              <w:t>MCXR</w:t>
            </w:r>
          </w:p>
        </w:tc>
        <w:tc>
          <w:tcPr>
            <w:cnfStyle w:evenVBand="false" w:oddVBand="true" w:firstColumn="false"/>
            <w:tcW w:w="33.333333%" w:type="pct"/>
          </w:tcPr>
          <w:p>
            <w:pPr>
              <w:ind w:leftChars="0" w:left="0" w:right="0"/>
            </w:pPr>
            <w:r>
              <w:t>CURRENEX MTF - RFQ</w:t>
            </w:r>
          </w:p>
        </w:tc>
      </w:tr>
      <w:tr>
        <w:trPr>
          <w:cnfStyle w:evenHBand="true" w:oddHBand="false" w:firstRow="false"/>
        </w:trPr>
        <w:tc>
          <w:tcPr>
            <w:cnfStyle w:evenVBand="false" w:oddVBand="true" w:firstColumn="false"/>
            <w:tcW w:w="33.333333%" w:type="pct"/>
          </w:tcPr>
          <w:p>
            <w:pPr>
              <w:ind w:leftChars="0" w:left="0" w:right="0"/>
            </w:pPr>
            <w:r>
              <w:t>MCXS</w:t>
            </w:r>
          </w:p>
        </w:tc>
        <w:tc>
          <w:tcPr>
            <w:cnfStyle w:evenVBand="true" w:oddVBand="false" w:firstColumn="false"/>
            <w:tcW w:w="33.333333%" w:type="pct"/>
          </w:tcPr>
          <w:p>
            <w:pPr>
              <w:ind w:leftChars="0" w:left="0" w:right="0"/>
            </w:pPr>
            <w:r>
              <w:t>MCXS</w:t>
            </w:r>
          </w:p>
        </w:tc>
        <w:tc>
          <w:tcPr>
            <w:cnfStyle w:evenVBand="false" w:oddVBand="true" w:firstColumn="false"/>
            <w:tcW w:w="33.333333%" w:type="pct"/>
          </w:tcPr>
          <w:p>
            <w:pPr>
              <w:ind w:leftChars="0" w:left="0" w:right="0"/>
            </w:pPr>
            <w:r>
              <w:t>CURRENEX MTF - STREAMING</w:t>
            </w:r>
          </w:p>
        </w:tc>
      </w:tr>
      <w:tr>
        <w:trPr>
          <w:cnfStyle w:evenHBand="false" w:oddHBand="true" w:firstRow="false"/>
        </w:trPr>
        <w:tc>
          <w:tcPr>
            <w:cnfStyle w:evenVBand="false" w:oddVBand="true" w:firstColumn="false"/>
            <w:tcW w:w="33.333333%" w:type="pct"/>
          </w:tcPr>
          <w:p>
            <w:pPr>
              <w:ind w:leftChars="0" w:left="0" w:right="0"/>
            </w:pPr>
            <w:r>
              <w:t>MCXX</w:t>
            </w:r>
          </w:p>
        </w:tc>
        <w:tc>
          <w:tcPr>
            <w:cnfStyle w:evenVBand="true" w:oddVBand="false" w:firstColumn="false"/>
            <w:tcW w:w="33.333333%" w:type="pct"/>
          </w:tcPr>
          <w:p>
            <w:pPr>
              <w:ind w:leftChars="0" w:left="0" w:right="0"/>
            </w:pPr>
            <w:r>
              <w:t>MCXX</w:t>
            </w:r>
          </w:p>
        </w:tc>
        <w:tc>
          <w:tcPr>
            <w:cnfStyle w:evenVBand="false" w:oddVBand="true" w:firstColumn="false"/>
            <w:tcW w:w="33.333333%" w:type="pct"/>
          </w:tcPr>
          <w:p>
            <w:pPr>
              <w:ind w:leftChars="0" w:left="0" w:right="0"/>
            </w:pPr>
            <w:r>
              <w:t>METROPOLITAN STOCK EXCHANGE OF INDIA LIMITED</w:t>
            </w:r>
          </w:p>
        </w:tc>
      </w:tr>
      <w:tr>
        <w:trPr>
          <w:cnfStyle w:evenHBand="true" w:oddHBand="false" w:firstRow="false"/>
        </w:trPr>
        <w:tc>
          <w:tcPr>
            <w:cnfStyle w:evenVBand="false" w:oddVBand="true" w:firstColumn="false"/>
            <w:tcW w:w="33.333333%" w:type="pct"/>
          </w:tcPr>
          <w:p>
            <w:pPr>
              <w:ind w:leftChars="0" w:left="0" w:right="0"/>
            </w:pPr>
            <w:r>
              <w:t>MCZK</w:t>
            </w:r>
          </w:p>
        </w:tc>
        <w:tc>
          <w:tcPr>
            <w:cnfStyle w:evenVBand="true" w:oddVBand="false" w:firstColumn="false"/>
            <w:tcW w:w="33.333333%" w:type="pct"/>
          </w:tcPr>
          <w:p>
            <w:pPr>
              <w:ind w:leftChars="0" w:left="0" w:right="0"/>
            </w:pPr>
            <w:r>
              <w:t>MCZK</w:t>
            </w:r>
          </w:p>
        </w:tc>
        <w:tc>
          <w:tcPr>
            <w:cnfStyle w:evenVBand="false" w:oddVBand="true" w:firstColumn="false"/>
            <w:tcW w:w="33.333333%" w:type="pct"/>
          </w:tcPr>
          <w:p>
            <w:pPr>
              <w:ind w:leftChars="0" w:left="0" w:right="0"/>
            </w:pPr>
            <w:r>
              <w:t>MTS CZECH REPUBLIC</w:t>
            </w:r>
          </w:p>
        </w:tc>
      </w:tr>
      <w:tr>
        <w:trPr>
          <w:cnfStyle w:evenHBand="false" w:oddHBand="true" w:firstRow="false"/>
        </w:trPr>
        <w:tc>
          <w:tcPr>
            <w:cnfStyle w:evenVBand="false" w:oddVBand="true" w:firstColumn="false"/>
            <w:tcW w:w="33.333333%" w:type="pct"/>
          </w:tcPr>
          <w:p>
            <w:pPr>
              <w:ind w:leftChars="0" w:left="0" w:right="0"/>
            </w:pPr>
            <w:r>
              <w:t>MDIP</w:t>
            </w:r>
          </w:p>
        </w:tc>
        <w:tc>
          <w:tcPr>
            <w:cnfStyle w:evenVBand="true" w:oddVBand="false" w:firstColumn="false"/>
            <w:tcW w:w="33.333333%" w:type="pct"/>
          </w:tcPr>
          <w:p>
            <w:pPr>
              <w:ind w:leftChars="0" w:left="0" w:right="0"/>
            </w:pPr>
            <w:r>
              <w:t>MDIP</w:t>
            </w:r>
          </w:p>
        </w:tc>
        <w:tc>
          <w:tcPr>
            <w:cnfStyle w:evenVBand="false" w:oddVBand="true" w:firstColumn="false"/>
            <w:tcW w:w="33.333333%" w:type="pct"/>
          </w:tcPr>
          <w:p>
            <w:pPr>
              <w:ind w:leftChars="0" w:left="0" w:right="0"/>
            </w:pPr>
            <w:r>
              <w:t>MEDIP  (MTS PORTUGAL SGMR, SA)</w:t>
            </w:r>
          </w:p>
        </w:tc>
      </w:tr>
      <w:tr>
        <w:trPr>
          <w:cnfStyle w:evenHBand="true" w:oddHBand="false" w:firstRow="false"/>
        </w:trPr>
        <w:tc>
          <w:tcPr>
            <w:cnfStyle w:evenVBand="false" w:oddVBand="true" w:firstColumn="false"/>
            <w:tcW w:w="33.333333%" w:type="pct"/>
          </w:tcPr>
          <w:p>
            <w:pPr>
              <w:ind w:leftChars="0" w:left="0" w:right="0"/>
            </w:pPr>
            <w:r>
              <w:t>MDRV</w:t>
            </w:r>
          </w:p>
        </w:tc>
        <w:tc>
          <w:tcPr>
            <w:cnfStyle w:evenVBand="true" w:oddVBand="false" w:firstColumn="false"/>
            <w:tcW w:w="33.333333%" w:type="pct"/>
          </w:tcPr>
          <w:p>
            <w:pPr>
              <w:ind w:leftChars="0" w:left="0" w:right="0"/>
            </w:pPr>
            <w:r>
              <w:t>MDRV</w:t>
            </w:r>
          </w:p>
        </w:tc>
        <w:tc>
          <w:tcPr>
            <w:cnfStyle w:evenVBand="false" w:oddVBand="true" w:firstColumn="false"/>
            <w:tcW w:w="33.333333%" w:type="pct"/>
          </w:tcPr>
          <w:p>
            <w:pPr>
              <w:ind w:leftChars="0" w:left="0" w:right="0"/>
            </w:pPr>
            <w:r>
              <w:t>MIBGAS - DERIVATIVES</w:t>
            </w:r>
          </w:p>
        </w:tc>
      </w:tr>
      <w:tr>
        <w:trPr>
          <w:cnfStyle w:evenHBand="false" w:oddHBand="true" w:firstRow="false"/>
        </w:trPr>
        <w:tc>
          <w:tcPr>
            <w:cnfStyle w:evenVBand="false" w:oddVBand="true" w:firstColumn="false"/>
            <w:tcW w:w="33.333333%" w:type="pct"/>
          </w:tcPr>
          <w:p>
            <w:pPr>
              <w:ind w:leftChars="0" w:left="0" w:right="0"/>
            </w:pPr>
            <w:r>
              <w:t>MEAU</w:t>
            </w:r>
          </w:p>
        </w:tc>
        <w:tc>
          <w:tcPr>
            <w:cnfStyle w:evenVBand="true" w:oddVBand="false" w:firstColumn="false"/>
            <w:tcW w:w="33.333333%" w:type="pct"/>
          </w:tcPr>
          <w:p>
            <w:pPr>
              <w:ind w:leftChars="0" w:left="0" w:right="0"/>
            </w:pPr>
            <w:r>
              <w:t>MEAU</w:t>
            </w:r>
          </w:p>
        </w:tc>
        <w:tc>
          <w:tcPr>
            <w:cnfStyle w:evenVBand="false" w:oddVBand="true" w:firstColumn="false"/>
            <w:tcW w:w="33.333333%" w:type="pct"/>
          </w:tcPr>
          <w:p>
            <w:pPr>
              <w:ind w:leftChars="0" w:left="0" w:right="0"/>
            </w:pPr>
            <w:r>
              <w:t>MACQUARIE EXECUTION (AU)</w:t>
            </w:r>
          </w:p>
        </w:tc>
      </w:tr>
      <w:tr>
        <w:trPr>
          <w:cnfStyle w:evenHBand="true" w:oddHBand="false" w:firstRow="false"/>
        </w:trPr>
        <w:tc>
          <w:tcPr>
            <w:cnfStyle w:evenVBand="false" w:oddVBand="true" w:firstColumn="false"/>
            <w:tcW w:w="33.333333%" w:type="pct"/>
          </w:tcPr>
          <w:p>
            <w:pPr>
              <w:ind w:leftChars="0" w:left="0" w:right="0"/>
            </w:pPr>
            <w:r>
              <w:t>MEHK</w:t>
            </w:r>
          </w:p>
        </w:tc>
        <w:tc>
          <w:tcPr>
            <w:cnfStyle w:evenVBand="true" w:oddVBand="false" w:firstColumn="false"/>
            <w:tcW w:w="33.333333%" w:type="pct"/>
          </w:tcPr>
          <w:p>
            <w:pPr>
              <w:ind w:leftChars="0" w:left="0" w:right="0"/>
            </w:pPr>
            <w:r>
              <w:t>MEHK</w:t>
            </w:r>
          </w:p>
        </w:tc>
        <w:tc>
          <w:tcPr>
            <w:cnfStyle w:evenVBand="false" w:oddVBand="true" w:firstColumn="false"/>
            <w:tcW w:w="33.333333%" w:type="pct"/>
          </w:tcPr>
          <w:p>
            <w:pPr>
              <w:ind w:leftChars="0" w:left="0" w:right="0"/>
            </w:pPr>
            <w:r>
              <w:t>MACQUARIE EXECUTION (HK)</w:t>
            </w:r>
          </w:p>
        </w:tc>
      </w:tr>
      <w:tr>
        <w:trPr>
          <w:cnfStyle w:evenHBand="false" w:oddHBand="true" w:firstRow="false"/>
        </w:trPr>
        <w:tc>
          <w:tcPr>
            <w:cnfStyle w:evenVBand="false" w:oddVBand="true" w:firstColumn="false"/>
            <w:tcW w:w="33.333333%" w:type="pct"/>
          </w:tcPr>
          <w:p>
            <w:pPr>
              <w:ind w:leftChars="0" w:left="0" w:right="0"/>
            </w:pPr>
            <w:r>
              <w:t>MELO</w:t>
            </w:r>
          </w:p>
        </w:tc>
        <w:tc>
          <w:tcPr>
            <w:cnfStyle w:evenVBand="true" w:oddVBand="false" w:firstColumn="false"/>
            <w:tcW w:w="33.333333%" w:type="pct"/>
          </w:tcPr>
          <w:p>
            <w:pPr>
              <w:ind w:leftChars="0" w:left="0" w:right="0"/>
            </w:pPr>
            <w:r>
              <w:t>MELO</w:t>
            </w:r>
          </w:p>
        </w:tc>
        <w:tc>
          <w:tcPr>
            <w:cnfStyle w:evenVBand="false" w:oddVBand="true" w:firstColumn="false"/>
            <w:tcW w:w="33.333333%" w:type="pct"/>
          </w:tcPr>
          <w:p>
            <w:pPr>
              <w:ind w:leftChars="0" w:left="0" w:right="0"/>
            </w:pPr>
            <w:r>
              <w:t>NASDAQ MIDPOINT-ELO (M-ELO)</w:t>
            </w:r>
          </w:p>
        </w:tc>
      </w:tr>
      <w:tr>
        <w:trPr>
          <w:cnfStyle w:evenHBand="true" w:oddHBand="false" w:firstRow="false"/>
        </w:trPr>
        <w:tc>
          <w:tcPr>
            <w:cnfStyle w:evenVBand="false" w:oddVBand="true" w:firstColumn="false"/>
            <w:tcW w:w="33.333333%" w:type="pct"/>
          </w:tcPr>
          <w:p>
            <w:pPr>
              <w:ind w:leftChars="0" w:left="0" w:right="0"/>
            </w:pPr>
            <w:r>
              <w:t>MEMD</w:t>
            </w:r>
          </w:p>
        </w:tc>
        <w:tc>
          <w:tcPr>
            <w:cnfStyle w:evenVBand="true" w:oddVBand="false" w:firstColumn="false"/>
            <w:tcW w:w="33.333333%" w:type="pct"/>
          </w:tcPr>
          <w:p>
            <w:pPr>
              <w:ind w:leftChars="0" w:left="0" w:right="0"/>
            </w:pPr>
            <w:r>
              <w:t>MEMD</w:t>
            </w:r>
          </w:p>
        </w:tc>
        <w:tc>
          <w:tcPr>
            <w:cnfStyle w:evenVBand="false" w:oddVBand="true" w:firstColumn="false"/>
            <w:tcW w:w="33.333333%" w:type="pct"/>
          </w:tcPr>
          <w:p>
            <w:pPr>
              <w:ind w:leftChars="0" w:left="0" w:right="0"/>
            </w:pPr>
            <w:r>
              <w:t>MEMX LLC DARK</w:t>
            </w:r>
          </w:p>
        </w:tc>
      </w:tr>
      <w:tr>
        <w:trPr>
          <w:cnfStyle w:evenHBand="false" w:oddHBand="true" w:firstRow="false"/>
        </w:trPr>
        <w:tc>
          <w:tcPr>
            <w:cnfStyle w:evenVBand="false" w:oddVBand="true" w:firstColumn="false"/>
            <w:tcW w:w="33.333333%" w:type="pct"/>
          </w:tcPr>
          <w:p>
            <w:pPr>
              <w:ind w:leftChars="0" w:left="0" w:right="0"/>
            </w:pPr>
            <w:r>
              <w:t>MEMM</w:t>
            </w:r>
          </w:p>
        </w:tc>
        <w:tc>
          <w:tcPr>
            <w:cnfStyle w:evenVBand="true" w:oddVBand="false" w:firstColumn="false"/>
            <w:tcW w:w="33.333333%" w:type="pct"/>
          </w:tcPr>
          <w:p>
            <w:pPr>
              <w:ind w:leftChars="0" w:left="0" w:right="0"/>
            </w:pPr>
            <w:r>
              <w:t>MEMM</w:t>
            </w:r>
          </w:p>
        </w:tc>
        <w:tc>
          <w:tcPr>
            <w:cnfStyle w:evenVBand="false" w:oddVBand="true" w:firstColumn="false"/>
            <w:tcW w:w="33.333333%" w:type="pct"/>
          </w:tcPr>
          <w:p>
            <w:pPr>
              <w:ind w:leftChars="0" w:left="0" w:right="0"/>
            </w:pPr>
            <w:r>
              <w:t>MEMX LLC RETAIL MIDPOINT</w:t>
            </w:r>
          </w:p>
        </w:tc>
      </w:tr>
      <w:tr>
        <w:trPr>
          <w:cnfStyle w:evenHBand="true" w:oddHBand="false" w:firstRow="false"/>
        </w:trPr>
        <w:tc>
          <w:tcPr>
            <w:cnfStyle w:evenVBand="false" w:oddVBand="true" w:firstColumn="false"/>
            <w:tcW w:w="33.333333%" w:type="pct"/>
          </w:tcPr>
          <w:p>
            <w:pPr>
              <w:ind w:leftChars="0" w:left="0" w:right="0"/>
            </w:pPr>
            <w:r>
              <w:t>MEMX</w:t>
            </w:r>
          </w:p>
        </w:tc>
        <w:tc>
          <w:tcPr>
            <w:cnfStyle w:evenVBand="true" w:oddVBand="false" w:firstColumn="false"/>
            <w:tcW w:w="33.333333%" w:type="pct"/>
          </w:tcPr>
          <w:p>
            <w:pPr>
              <w:ind w:leftChars="0" w:left="0" w:right="0"/>
            </w:pPr>
            <w:r>
              <w:t>MEMX</w:t>
            </w:r>
          </w:p>
        </w:tc>
        <w:tc>
          <w:tcPr>
            <w:cnfStyle w:evenVBand="false" w:oddVBand="true" w:firstColumn="false"/>
            <w:tcW w:w="33.333333%" w:type="pct"/>
          </w:tcPr>
          <w:p>
            <w:pPr>
              <w:ind w:leftChars="0" w:left="0" w:right="0"/>
            </w:pPr>
            <w:r>
              <w:t>MEMX LLC EQUITIES</w:t>
            </w:r>
          </w:p>
        </w:tc>
      </w:tr>
      <w:tr>
        <w:trPr>
          <w:cnfStyle w:evenHBand="false" w:oddHBand="true" w:firstRow="false"/>
        </w:trPr>
        <w:tc>
          <w:tcPr>
            <w:cnfStyle w:evenVBand="false" w:oddVBand="true" w:firstColumn="false"/>
            <w:tcW w:w="33.333333%" w:type="pct"/>
          </w:tcPr>
          <w:p>
            <w:pPr>
              <w:ind w:leftChars="0" w:left="0" w:right="0"/>
            </w:pPr>
            <w:r>
              <w:t>MERD</w:t>
            </w:r>
          </w:p>
        </w:tc>
        <w:tc>
          <w:tcPr>
            <w:cnfStyle w:evenVBand="true" w:oddVBand="false" w:firstColumn="false"/>
            <w:tcW w:w="33.333333%" w:type="pct"/>
          </w:tcPr>
          <w:p>
            <w:pPr>
              <w:ind w:leftChars="0" w:left="0" w:right="0"/>
            </w:pPr>
            <w:r>
              <w:t>MERD</w:t>
            </w:r>
          </w:p>
        </w:tc>
        <w:tc>
          <w:tcPr>
            <w:cnfStyle w:evenVBand="false" w:oddVBand="true" w:firstColumn="false"/>
            <w:tcW w:w="33.333333%" w:type="pct"/>
          </w:tcPr>
          <w:p>
            <w:pPr>
              <w:ind w:leftChars="0" w:left="0" w:right="0"/>
            </w:pPr>
            <w:r>
              <w:t>MERKUR MARKET - DARK POOL</w:t>
            </w:r>
          </w:p>
        </w:tc>
      </w:tr>
      <w:tr>
        <w:trPr>
          <w:cnfStyle w:evenHBand="true" w:oddHBand="false" w:firstRow="false"/>
        </w:trPr>
        <w:tc>
          <w:tcPr>
            <w:cnfStyle w:evenVBand="false" w:oddVBand="true" w:firstColumn="false"/>
            <w:tcW w:w="33.333333%" w:type="pct"/>
          </w:tcPr>
          <w:p>
            <w:pPr>
              <w:ind w:leftChars="0" w:left="0" w:right="0"/>
            </w:pPr>
            <w:r>
              <w:t>MERF</w:t>
            </w:r>
          </w:p>
        </w:tc>
        <w:tc>
          <w:tcPr>
            <w:cnfStyle w:evenVBand="true" w:oddVBand="false" w:firstColumn="false"/>
            <w:tcW w:w="33.333333%" w:type="pct"/>
          </w:tcPr>
          <w:p>
            <w:pPr>
              <w:ind w:leftChars="0" w:left="0" w:right="0"/>
            </w:pPr>
            <w:r>
              <w:t>MERF</w:t>
            </w:r>
          </w:p>
        </w:tc>
        <w:tc>
          <w:tcPr>
            <w:cnfStyle w:evenVBand="false" w:oddVBand="true" w:firstColumn="false"/>
            <w:tcW w:w="33.333333%" w:type="pct"/>
          </w:tcPr>
          <w:p>
            <w:pPr>
              <w:ind w:leftChars="0" w:left="0" w:right="0"/>
            </w:pPr>
            <w:r>
              <w:t>MERCADO ELECTRONICO DE RENTA FIJA</w:t>
            </w:r>
          </w:p>
        </w:tc>
      </w:tr>
      <w:tr>
        <w:trPr>
          <w:cnfStyle w:evenHBand="false" w:oddHBand="true" w:firstRow="false"/>
        </w:trPr>
        <w:tc>
          <w:tcPr>
            <w:cnfStyle w:evenVBand="false" w:oddVBand="true" w:firstColumn="false"/>
            <w:tcW w:w="33.333333%" w:type="pct"/>
          </w:tcPr>
          <w:p>
            <w:pPr>
              <w:ind w:leftChars="0" w:left="0" w:right="0"/>
            </w:pPr>
            <w:r>
              <w:t>MERK</w:t>
            </w:r>
          </w:p>
        </w:tc>
        <w:tc>
          <w:tcPr>
            <w:cnfStyle w:evenVBand="true" w:oddVBand="false" w:firstColumn="false"/>
            <w:tcW w:w="33.333333%" w:type="pct"/>
          </w:tcPr>
          <w:p>
            <w:pPr>
              <w:ind w:leftChars="0" w:left="0" w:right="0"/>
            </w:pPr>
            <w:r>
              <w:t>MERK</w:t>
            </w:r>
          </w:p>
        </w:tc>
        <w:tc>
          <w:tcPr>
            <w:cnfStyle w:evenVBand="false" w:oddVBand="true" w:firstColumn="false"/>
            <w:tcW w:w="33.333333%" w:type="pct"/>
          </w:tcPr>
          <w:p>
            <w:pPr>
              <w:ind w:leftChars="0" w:left="0" w:right="0"/>
            </w:pPr>
            <w:r>
              <w:t>EURONEXT GROWTH - OSLO</w:t>
            </w:r>
          </w:p>
        </w:tc>
      </w:tr>
      <w:tr>
        <w:trPr>
          <w:cnfStyle w:evenHBand="true" w:oddHBand="false" w:firstRow="false"/>
        </w:trPr>
        <w:tc>
          <w:tcPr>
            <w:cnfStyle w:evenVBand="false" w:oddVBand="true" w:firstColumn="false"/>
            <w:tcW w:w="33.333333%" w:type="pct"/>
          </w:tcPr>
          <w:p>
            <w:pPr>
              <w:ind w:leftChars="0" w:left="0" w:right="0"/>
            </w:pPr>
            <w:r>
              <w:t>MESI</w:t>
            </w:r>
          </w:p>
        </w:tc>
        <w:tc>
          <w:tcPr>
            <w:cnfStyle w:evenVBand="true" w:oddVBand="false" w:firstColumn="false"/>
            <w:tcW w:w="33.333333%" w:type="pct"/>
          </w:tcPr>
          <w:p>
            <w:pPr>
              <w:ind w:leftChars="0" w:left="0" w:right="0"/>
            </w:pPr>
            <w:r>
              <w:t>MESI</w:t>
            </w:r>
          </w:p>
        </w:tc>
        <w:tc>
          <w:tcPr>
            <w:cnfStyle w:evenVBand="false" w:oddVBand="true" w:firstColumn="false"/>
            <w:tcW w:w="33.333333%" w:type="pct"/>
          </w:tcPr>
          <w:p>
            <w:pPr>
              <w:ind w:leftChars="0" w:left="0" w:right="0"/>
            </w:pPr>
            <w:r>
              <w:t>MORGAN STANLEY EUROPE S.E. - SYSTEMATIC INTERNALISER</w:t>
            </w:r>
          </w:p>
        </w:tc>
      </w:tr>
      <w:tr>
        <w:trPr>
          <w:cnfStyle w:evenHBand="false" w:oddHBand="true" w:firstRow="false"/>
        </w:trPr>
        <w:tc>
          <w:tcPr>
            <w:cnfStyle w:evenVBand="false" w:oddVBand="true" w:firstColumn="false"/>
            <w:tcW w:w="33.333333%" w:type="pct"/>
          </w:tcPr>
          <w:p>
            <w:pPr>
              <w:ind w:leftChars="0" w:left="0" w:right="0"/>
            </w:pPr>
            <w:r>
              <w:t>MESQ</w:t>
            </w:r>
          </w:p>
        </w:tc>
        <w:tc>
          <w:tcPr>
            <w:cnfStyle w:evenVBand="true" w:oddVBand="false" w:firstColumn="false"/>
            <w:tcW w:w="33.333333%" w:type="pct"/>
          </w:tcPr>
          <w:p>
            <w:pPr>
              <w:ind w:leftChars="0" w:left="0" w:right="0"/>
            </w:pPr>
            <w:r>
              <w:t>MESQ</w:t>
            </w:r>
          </w:p>
        </w:tc>
        <w:tc>
          <w:tcPr>
            <w:cnfStyle w:evenVBand="false" w:oddVBand="true" w:firstColumn="false"/>
            <w:tcW w:w="33.333333%" w:type="pct"/>
          </w:tcPr>
          <w:p>
            <w:pPr>
              <w:ind w:leftChars="0" w:left="0" w:right="0"/>
            </w:pPr>
            <w:r>
              <w:t>ACE MARKET</w:t>
            </w:r>
          </w:p>
        </w:tc>
      </w:tr>
      <w:tr>
        <w:trPr>
          <w:cnfStyle w:evenHBand="true" w:oddHBand="false" w:firstRow="false"/>
        </w:trPr>
        <w:tc>
          <w:tcPr>
            <w:cnfStyle w:evenVBand="false" w:oddVBand="true" w:firstColumn="false"/>
            <w:tcW w:w="33.333333%" w:type="pct"/>
          </w:tcPr>
          <w:p>
            <w:pPr>
              <w:ind w:leftChars="0" w:left="0" w:right="0"/>
            </w:pPr>
            <w:r>
              <w:t>METZ</w:t>
            </w:r>
          </w:p>
        </w:tc>
        <w:tc>
          <w:tcPr>
            <w:cnfStyle w:evenVBand="true" w:oddVBand="false" w:firstColumn="false"/>
            <w:tcW w:w="33.333333%" w:type="pct"/>
          </w:tcPr>
          <w:p>
            <w:pPr>
              <w:ind w:leftChars="0" w:left="0" w:right="0"/>
            </w:pPr>
            <w:r>
              <w:t>METZ</w:t>
            </w:r>
          </w:p>
        </w:tc>
        <w:tc>
          <w:tcPr>
            <w:cnfStyle w:evenVBand="false" w:oddVBand="true" w:firstColumn="false"/>
            <w:tcW w:w="33.333333%" w:type="pct"/>
          </w:tcPr>
          <w:p>
            <w:pPr>
              <w:ind w:leftChars="0" w:left="0" w:right="0"/>
            </w:pPr>
            <w:r>
              <w:t>MET ZURICH</w:t>
            </w:r>
          </w:p>
        </w:tc>
      </w:tr>
      <w:tr>
        <w:trPr>
          <w:cnfStyle w:evenHBand="false" w:oddHBand="true" w:firstRow="false"/>
        </w:trPr>
        <w:tc>
          <w:tcPr>
            <w:cnfStyle w:evenVBand="false" w:oddVBand="true" w:firstColumn="false"/>
            <w:tcW w:w="33.333333%" w:type="pct"/>
          </w:tcPr>
          <w:p>
            <w:pPr>
              <w:ind w:leftChars="0" w:left="0" w:right="0"/>
            </w:pPr>
            <w:r>
              <w:t>MFGL</w:t>
            </w:r>
          </w:p>
        </w:tc>
        <w:tc>
          <w:tcPr>
            <w:cnfStyle w:evenVBand="true" w:oddVBand="false" w:firstColumn="false"/>
            <w:tcW w:w="33.333333%" w:type="pct"/>
          </w:tcPr>
          <w:p>
            <w:pPr>
              <w:ind w:leftChars="0" w:left="0" w:right="0"/>
            </w:pPr>
            <w:r>
              <w:t>MFGL</w:t>
            </w:r>
          </w:p>
        </w:tc>
        <w:tc>
          <w:tcPr>
            <w:cnfStyle w:evenVBand="false" w:oddVBand="true" w:firstColumn="false"/>
            <w:tcW w:w="33.333333%" w:type="pct"/>
          </w:tcPr>
          <w:p>
            <w:pPr>
              <w:ind w:leftChars="0" w:left="0" w:right="0"/>
            </w:pPr>
            <w:r>
              <w:t>MF GLOBAL ENERGY MTF</w:t>
            </w:r>
          </w:p>
        </w:tc>
      </w:tr>
      <w:tr>
        <w:trPr>
          <w:cnfStyle w:evenHBand="true" w:oddHBand="false" w:firstRow="false"/>
        </w:trPr>
        <w:tc>
          <w:tcPr>
            <w:cnfStyle w:evenVBand="false" w:oddVBand="true" w:firstColumn="false"/>
            <w:tcW w:w="33.333333%" w:type="pct"/>
          </w:tcPr>
          <w:p>
            <w:pPr>
              <w:ind w:leftChars="0" w:left="0" w:right="0"/>
            </w:pPr>
            <w:r>
              <w:t>MFOX</w:t>
            </w:r>
          </w:p>
        </w:tc>
        <w:tc>
          <w:tcPr>
            <w:cnfStyle w:evenVBand="true" w:oddVBand="false" w:firstColumn="false"/>
            <w:tcW w:w="33.333333%" w:type="pct"/>
          </w:tcPr>
          <w:p>
            <w:pPr>
              <w:ind w:leftChars="0" w:left="0" w:right="0"/>
            </w:pPr>
            <w:r>
              <w:t>MFOX</w:t>
            </w:r>
          </w:p>
        </w:tc>
        <w:tc>
          <w:tcPr>
            <w:cnfStyle w:evenVBand="false" w:oddVBand="true" w:firstColumn="false"/>
            <w:tcW w:w="33.333333%" w:type="pct"/>
          </w:tcPr>
          <w:p>
            <w:pPr>
              <w:ind w:leftChars="0" w:left="0" w:right="0"/>
            </w:pPr>
            <w:r>
              <w:t>EURONEXT - MERCADO DE FUTUROS E OPÇÕES</w:t>
            </w:r>
          </w:p>
        </w:tc>
      </w:tr>
      <w:tr>
        <w:trPr>
          <w:cnfStyle w:evenHBand="false" w:oddHBand="true" w:firstRow="false"/>
        </w:trPr>
        <w:tc>
          <w:tcPr>
            <w:cnfStyle w:evenVBand="false" w:oddVBand="true" w:firstColumn="false"/>
            <w:tcW w:w="33.333333%" w:type="pct"/>
          </w:tcPr>
          <w:p>
            <w:pPr>
              <w:ind w:leftChars="0" w:left="0" w:right="0"/>
            </w:pPr>
            <w:r>
              <w:t>MFXA</w:t>
            </w:r>
          </w:p>
        </w:tc>
        <w:tc>
          <w:tcPr>
            <w:cnfStyle w:evenVBand="true" w:oddVBand="false" w:firstColumn="false"/>
            <w:tcW w:w="33.333333%" w:type="pct"/>
          </w:tcPr>
          <w:p>
            <w:pPr>
              <w:ind w:leftChars="0" w:left="0" w:right="0"/>
            </w:pPr>
            <w:r>
              <w:t>MFXA</w:t>
            </w:r>
          </w:p>
        </w:tc>
        <w:tc>
          <w:tcPr>
            <w:cnfStyle w:evenVBand="false" w:oddVBand="true" w:firstColumn="false"/>
            <w:tcW w:w="33.333333%" w:type="pct"/>
          </w:tcPr>
          <w:p>
            <w:pPr>
              <w:ind w:leftChars="0" w:left="0" w:right="0"/>
            </w:pPr>
            <w:r>
              <w:t>FX CONNECT - MTF - ALLOCATIONS</w:t>
            </w:r>
          </w:p>
        </w:tc>
      </w:tr>
      <w:tr>
        <w:trPr>
          <w:cnfStyle w:evenHBand="true" w:oddHBand="false" w:firstRow="false"/>
        </w:trPr>
        <w:tc>
          <w:tcPr>
            <w:cnfStyle w:evenVBand="false" w:oddVBand="true" w:firstColumn="false"/>
            <w:tcW w:w="33.333333%" w:type="pct"/>
          </w:tcPr>
          <w:p>
            <w:pPr>
              <w:ind w:leftChars="0" w:left="0" w:right="0"/>
            </w:pPr>
            <w:r>
              <w:t>MFXC</w:t>
            </w:r>
          </w:p>
        </w:tc>
        <w:tc>
          <w:tcPr>
            <w:cnfStyle w:evenVBand="true" w:oddVBand="false" w:firstColumn="false"/>
            <w:tcW w:w="33.333333%" w:type="pct"/>
          </w:tcPr>
          <w:p>
            <w:pPr>
              <w:ind w:leftChars="0" w:left="0" w:right="0"/>
            </w:pPr>
            <w:r>
              <w:t>MFXC</w:t>
            </w:r>
          </w:p>
        </w:tc>
        <w:tc>
          <w:tcPr>
            <w:cnfStyle w:evenVBand="false" w:oddVBand="true" w:firstColumn="false"/>
            <w:tcW w:w="33.333333%" w:type="pct"/>
          </w:tcPr>
          <w:p>
            <w:pPr>
              <w:ind w:leftChars="0" w:left="0" w:right="0"/>
            </w:pPr>
            <w:r>
              <w:t>FX CONNECT - MTF</w:t>
            </w:r>
          </w:p>
        </w:tc>
      </w:tr>
      <w:tr>
        <w:trPr>
          <w:cnfStyle w:evenHBand="false" w:oddHBand="true" w:firstRow="false"/>
        </w:trPr>
        <w:tc>
          <w:tcPr>
            <w:cnfStyle w:evenVBand="false" w:oddVBand="true" w:firstColumn="false"/>
            <w:tcW w:w="33.333333%" w:type="pct"/>
          </w:tcPr>
          <w:p>
            <w:pPr>
              <w:ind w:leftChars="0" w:left="0" w:right="0"/>
            </w:pPr>
            <w:r>
              <w:t>MFXR</w:t>
            </w:r>
          </w:p>
        </w:tc>
        <w:tc>
          <w:tcPr>
            <w:cnfStyle w:evenVBand="true" w:oddVBand="false" w:firstColumn="false"/>
            <w:tcW w:w="33.333333%" w:type="pct"/>
          </w:tcPr>
          <w:p>
            <w:pPr>
              <w:ind w:leftChars="0" w:left="0" w:right="0"/>
            </w:pPr>
            <w:r>
              <w:t>MFXR</w:t>
            </w:r>
          </w:p>
        </w:tc>
        <w:tc>
          <w:tcPr>
            <w:cnfStyle w:evenVBand="false" w:oddVBand="true" w:firstColumn="false"/>
            <w:tcW w:w="33.333333%" w:type="pct"/>
          </w:tcPr>
          <w:p>
            <w:pPr>
              <w:ind w:leftChars="0" w:left="0" w:right="0"/>
            </w:pPr>
            <w:r>
              <w:t>FX CONNECT - MTF - RFQ</w:t>
            </w:r>
          </w:p>
        </w:tc>
      </w:tr>
      <w:tr>
        <w:trPr>
          <w:cnfStyle w:evenHBand="true" w:oddHBand="false" w:firstRow="false"/>
        </w:trPr>
        <w:tc>
          <w:tcPr>
            <w:cnfStyle w:evenVBand="false" w:oddVBand="true" w:firstColumn="false"/>
            <w:tcW w:w="33.333333%" w:type="pct"/>
          </w:tcPr>
          <w:p>
            <w:pPr>
              <w:ind w:leftChars="0" w:left="0" w:right="0"/>
            </w:pPr>
            <w:r>
              <w:t>MHBD</w:t>
            </w:r>
          </w:p>
        </w:tc>
        <w:tc>
          <w:tcPr>
            <w:cnfStyle w:evenVBand="true" w:oddVBand="false" w:firstColumn="false"/>
            <w:tcW w:w="33.333333%" w:type="pct"/>
          </w:tcPr>
          <w:p>
            <w:pPr>
              <w:ind w:leftChars="0" w:left="0" w:right="0"/>
            </w:pPr>
            <w:r>
              <w:t>MHBD</w:t>
            </w:r>
          </w:p>
        </w:tc>
        <w:tc>
          <w:tcPr>
            <w:cnfStyle w:evenVBand="false" w:oddVBand="true" w:firstColumn="false"/>
            <w:tcW w:w="33.333333%" w:type="pct"/>
          </w:tcPr>
          <w:p>
            <w:pPr>
              <w:ind w:leftChars="0" w:left="0" w:right="0"/>
            </w:pPr>
            <w:r>
              <w:t>MIZUHO BANK, LTD. DUESSELDORF BRANCH - SYSTEMATIC INTERNALISER</w:t>
            </w:r>
          </w:p>
        </w:tc>
      </w:tr>
      <w:tr>
        <w:trPr>
          <w:cnfStyle w:evenHBand="false" w:oddHBand="true" w:firstRow="false"/>
        </w:trPr>
        <w:tc>
          <w:tcPr>
            <w:cnfStyle w:evenVBand="false" w:oddVBand="true" w:firstColumn="false"/>
            <w:tcW w:w="33.333333%" w:type="pct"/>
          </w:tcPr>
          <w:p>
            <w:pPr>
              <w:ind w:leftChars="0" w:left="0" w:right="0"/>
            </w:pPr>
            <w:r>
              <w:t>MHBE</w:t>
            </w:r>
          </w:p>
        </w:tc>
        <w:tc>
          <w:tcPr>
            <w:cnfStyle w:evenVBand="true" w:oddVBand="false" w:firstColumn="false"/>
            <w:tcW w:w="33.333333%" w:type="pct"/>
          </w:tcPr>
          <w:p>
            <w:pPr>
              <w:ind w:leftChars="0" w:left="0" w:right="0"/>
            </w:pPr>
            <w:r>
              <w:t>MHBE</w:t>
            </w:r>
          </w:p>
        </w:tc>
        <w:tc>
          <w:tcPr>
            <w:cnfStyle w:evenVBand="false" w:oddVBand="true" w:firstColumn="false"/>
            <w:tcW w:w="33.333333%" w:type="pct"/>
          </w:tcPr>
          <w:p>
            <w:pPr>
              <w:ind w:leftChars="0" w:left="0" w:right="0"/>
            </w:pPr>
            <w:r>
              <w:t>MIZUHO BANK EUROPE N.V. - SYSTEMATIC INTERNALISER</w:t>
            </w:r>
          </w:p>
        </w:tc>
      </w:tr>
      <w:tr>
        <w:trPr>
          <w:cnfStyle w:evenHBand="true" w:oddHBand="false" w:firstRow="false"/>
        </w:trPr>
        <w:tc>
          <w:tcPr>
            <w:cnfStyle w:evenVBand="false" w:oddVBand="true" w:firstColumn="false"/>
            <w:tcW w:w="33.333333%" w:type="pct"/>
          </w:tcPr>
          <w:p>
            <w:pPr>
              <w:ind w:leftChars="0" w:left="0" w:right="0"/>
            </w:pPr>
            <w:r>
              <w:t>MHBL</w:t>
            </w:r>
          </w:p>
        </w:tc>
        <w:tc>
          <w:tcPr>
            <w:cnfStyle w:evenVBand="true" w:oddVBand="false" w:firstColumn="false"/>
            <w:tcW w:w="33.333333%" w:type="pct"/>
          </w:tcPr>
          <w:p>
            <w:pPr>
              <w:ind w:leftChars="0" w:left="0" w:right="0"/>
            </w:pPr>
            <w:r>
              <w:t>MHBL</w:t>
            </w:r>
          </w:p>
        </w:tc>
        <w:tc>
          <w:tcPr>
            <w:cnfStyle w:evenVBand="false" w:oddVBand="true" w:firstColumn="false"/>
            <w:tcW w:w="33.333333%" w:type="pct"/>
          </w:tcPr>
          <w:p>
            <w:pPr>
              <w:ind w:leftChars="0" w:left="0" w:right="0"/>
            </w:pPr>
            <w:r>
              <w:t>MIZUHO BANK, LTD. LONDON BRANCH - SYSTEMATIC INTERNALISER</w:t>
            </w:r>
          </w:p>
        </w:tc>
      </w:tr>
      <w:tr>
        <w:trPr>
          <w:cnfStyle w:evenHBand="false" w:oddHBand="true" w:firstRow="false"/>
        </w:trPr>
        <w:tc>
          <w:tcPr>
            <w:cnfStyle w:evenVBand="false" w:oddVBand="true" w:firstColumn="false"/>
            <w:tcW w:w="33.333333%" w:type="pct"/>
          </w:tcPr>
          <w:p>
            <w:pPr>
              <w:ind w:leftChars="0" w:left="0" w:right="0"/>
            </w:pPr>
            <w:r>
              <w:t>MHBP</w:t>
            </w:r>
          </w:p>
        </w:tc>
        <w:tc>
          <w:tcPr>
            <w:cnfStyle w:evenVBand="true" w:oddVBand="false" w:firstColumn="false"/>
            <w:tcW w:w="33.333333%" w:type="pct"/>
          </w:tcPr>
          <w:p>
            <w:pPr>
              <w:ind w:leftChars="0" w:left="0" w:right="0"/>
            </w:pPr>
            <w:r>
              <w:t>MHBP</w:t>
            </w:r>
          </w:p>
        </w:tc>
        <w:tc>
          <w:tcPr>
            <w:cnfStyle w:evenVBand="false" w:oddVBand="true" w:firstColumn="false"/>
            <w:tcW w:w="33.333333%" w:type="pct"/>
          </w:tcPr>
          <w:p>
            <w:pPr>
              <w:ind w:leftChars="0" w:left="0" w:right="0"/>
            </w:pPr>
            <w:r>
              <w:t>MIZUHO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MHEL</w:t>
            </w:r>
          </w:p>
        </w:tc>
        <w:tc>
          <w:tcPr>
            <w:cnfStyle w:evenVBand="true" w:oddVBand="false" w:firstColumn="false"/>
            <w:tcW w:w="33.333333%" w:type="pct"/>
          </w:tcPr>
          <w:p>
            <w:pPr>
              <w:ind w:leftChars="0" w:left="0" w:right="0"/>
            </w:pPr>
            <w:r>
              <w:t>MHEL</w:t>
            </w:r>
          </w:p>
        </w:tc>
        <w:tc>
          <w:tcPr>
            <w:cnfStyle w:evenVBand="false" w:oddVBand="true" w:firstColumn="false"/>
            <w:tcW w:w="33.333333%" w:type="pct"/>
          </w:tcPr>
          <w:p>
            <w:pPr>
              <w:ind w:leftChars="0" w:left="0" w:right="0"/>
            </w:pPr>
            <w:r>
              <w:t>NASDAQ HELSINKI LTD -  AUCTION ON DEMAND</w:t>
            </w:r>
          </w:p>
        </w:tc>
      </w:tr>
      <w:tr>
        <w:trPr>
          <w:cnfStyle w:evenHBand="false" w:oddHBand="true" w:firstRow="false"/>
        </w:trPr>
        <w:tc>
          <w:tcPr>
            <w:cnfStyle w:evenVBand="false" w:oddVBand="true" w:firstColumn="false"/>
            <w:tcW w:w="33.333333%" w:type="pct"/>
          </w:tcPr>
          <w:p>
            <w:pPr>
              <w:ind w:leftChars="0" w:left="0" w:right="0"/>
            </w:pPr>
            <w:r>
              <w:t>MHEU</w:t>
            </w:r>
          </w:p>
        </w:tc>
        <w:tc>
          <w:tcPr>
            <w:cnfStyle w:evenVBand="true" w:oddVBand="false" w:firstColumn="false"/>
            <w:tcW w:w="33.333333%" w:type="pct"/>
          </w:tcPr>
          <w:p>
            <w:pPr>
              <w:ind w:leftChars="0" w:left="0" w:right="0"/>
            </w:pPr>
            <w:r>
              <w:t>MHEU</w:t>
            </w:r>
          </w:p>
        </w:tc>
        <w:tc>
          <w:tcPr>
            <w:cnfStyle w:evenVBand="false" w:oddVBand="true" w:firstColumn="false"/>
            <w:tcW w:w="33.333333%" w:type="pct"/>
          </w:tcPr>
          <w:p>
            <w:pPr>
              <w:ind w:leftChars="0" w:left="0" w:right="0"/>
            </w:pPr>
            <w:r>
              <w:t>MIZUHO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MHIP</w:t>
            </w:r>
          </w:p>
        </w:tc>
        <w:tc>
          <w:tcPr>
            <w:cnfStyle w:evenVBand="true" w:oddVBand="false" w:firstColumn="false"/>
            <w:tcW w:w="33.333333%" w:type="pct"/>
          </w:tcPr>
          <w:p>
            <w:pPr>
              <w:ind w:leftChars="0" w:left="0" w:right="0"/>
            </w:pPr>
            <w:r>
              <w:t>MHIP</w:t>
            </w:r>
          </w:p>
        </w:tc>
        <w:tc>
          <w:tcPr>
            <w:cnfStyle w:evenVBand="false" w:oddVBand="true" w:firstColumn="false"/>
            <w:tcW w:w="33.333333%" w:type="pct"/>
          </w:tcPr>
          <w:p>
            <w:pPr>
              <w:ind w:leftChars="0" w:left="0" w:right="0"/>
            </w:pPr>
            <w:r>
              <w:t>MIZUHO INTERNATIONAL - SYSTEMATIC INTERNALISER</w:t>
            </w:r>
          </w:p>
        </w:tc>
      </w:tr>
      <w:tr>
        <w:trPr>
          <w:cnfStyle w:evenHBand="false" w:oddHBand="true" w:firstRow="false"/>
        </w:trPr>
        <w:tc>
          <w:tcPr>
            <w:cnfStyle w:evenVBand="false" w:oddVBand="true" w:firstColumn="false"/>
            <w:tcW w:w="33.333333%" w:type="pct"/>
          </w:tcPr>
          <w:p>
            <w:pPr>
              <w:ind w:leftChars="0" w:left="0" w:right="0"/>
            </w:pPr>
            <w:r>
              <w:t>MIBG</w:t>
            </w:r>
          </w:p>
        </w:tc>
        <w:tc>
          <w:tcPr>
            <w:cnfStyle w:evenVBand="true" w:oddVBand="false" w:firstColumn="false"/>
            <w:tcW w:w="33.333333%" w:type="pct"/>
          </w:tcPr>
          <w:p>
            <w:pPr>
              <w:ind w:leftChars="0" w:left="0" w:right="0"/>
            </w:pPr>
            <w:r>
              <w:t>MIBG</w:t>
            </w:r>
          </w:p>
        </w:tc>
        <w:tc>
          <w:tcPr>
            <w:cnfStyle w:evenVBand="false" w:oddVBand="true" w:firstColumn="false"/>
            <w:tcW w:w="33.333333%" w:type="pct"/>
          </w:tcPr>
          <w:p>
            <w:pPr>
              <w:ind w:leftChars="0" w:left="0" w:right="0"/>
            </w:pPr>
            <w:r>
              <w:t>MERCADO ORGANIZADO DEL GAS</w:t>
            </w:r>
          </w:p>
        </w:tc>
      </w:tr>
      <w:tr>
        <w:trPr>
          <w:cnfStyle w:evenHBand="true" w:oddHBand="false" w:firstRow="false"/>
        </w:trPr>
        <w:tc>
          <w:tcPr>
            <w:cnfStyle w:evenVBand="false" w:oddVBand="true" w:firstColumn="false"/>
            <w:tcW w:w="33.333333%" w:type="pct"/>
          </w:tcPr>
          <w:p>
            <w:pPr>
              <w:ind w:leftChars="0" w:left="0" w:right="0"/>
            </w:pPr>
            <w:r>
              <w:t>MIBL</w:t>
            </w:r>
          </w:p>
        </w:tc>
        <w:tc>
          <w:tcPr>
            <w:cnfStyle w:evenVBand="true" w:oddVBand="false" w:firstColumn="false"/>
            <w:tcW w:w="33.333333%" w:type="pct"/>
          </w:tcPr>
          <w:p>
            <w:pPr>
              <w:ind w:leftChars="0" w:left="0" w:right="0"/>
            </w:pPr>
            <w:r>
              <w:t>MIBL</w:t>
            </w:r>
          </w:p>
        </w:tc>
        <w:tc>
          <w:tcPr>
            <w:cnfStyle w:evenVBand="false" w:oddVBand="true" w:firstColumn="false"/>
            <w:tcW w:w="33.333333%" w:type="pct"/>
          </w:tcPr>
          <w:p>
            <w:pPr>
              <w:ind w:leftChars="0" w:left="0" w:right="0"/>
            </w:pPr>
            <w:r>
              <w:t>MITSUBISHI UFJ INVESTOR SERVICES AND BANKING - SYSTEMATIC INTERNALISER</w:t>
            </w:r>
          </w:p>
        </w:tc>
      </w:tr>
      <w:tr>
        <w:trPr>
          <w:cnfStyle w:evenHBand="false" w:oddHBand="true" w:firstRow="false"/>
        </w:trPr>
        <w:tc>
          <w:tcPr>
            <w:cnfStyle w:evenVBand="false" w:oddVBand="true" w:firstColumn="false"/>
            <w:tcW w:w="33.333333%" w:type="pct"/>
          </w:tcPr>
          <w:p>
            <w:pPr>
              <w:ind w:leftChars="0" w:left="0" w:right="0"/>
            </w:pPr>
            <w:r>
              <w:t>MICE</w:t>
            </w:r>
          </w:p>
        </w:tc>
        <w:tc>
          <w:tcPr>
            <w:cnfStyle w:evenVBand="true" w:oddVBand="false" w:firstColumn="false"/>
            <w:tcW w:w="33.333333%" w:type="pct"/>
          </w:tcPr>
          <w:p>
            <w:pPr>
              <w:ind w:leftChars="0" w:left="0" w:right="0"/>
            </w:pPr>
            <w:r>
              <w:t>MICE</w:t>
            </w:r>
          </w:p>
        </w:tc>
        <w:tc>
          <w:tcPr>
            <w:cnfStyle w:evenVBand="false" w:oddVBand="true" w:firstColumn="false"/>
            <w:tcW w:w="33.333333%" w:type="pct"/>
          </w:tcPr>
          <w:p>
            <w:pPr>
              <w:ind w:leftChars="0" w:left="0" w:right="0"/>
            </w:pPr>
            <w:r>
              <w:t>NASDAQ ICELAND HF. - AUCTION ON DEMAND</w:t>
            </w:r>
          </w:p>
        </w:tc>
      </w:tr>
      <w:tr>
        <w:trPr>
          <w:cnfStyle w:evenHBand="true" w:oddHBand="false" w:firstRow="false"/>
        </w:trPr>
        <w:tc>
          <w:tcPr>
            <w:cnfStyle w:evenVBand="false" w:oddVBand="true" w:firstColumn="false"/>
            <w:tcW w:w="33.333333%" w:type="pct"/>
          </w:tcPr>
          <w:p>
            <w:pPr>
              <w:ind w:leftChars="0" w:left="0" w:right="0"/>
            </w:pPr>
            <w:r>
              <w:t>MIDC</w:t>
            </w:r>
          </w:p>
        </w:tc>
        <w:tc>
          <w:tcPr>
            <w:cnfStyle w:evenVBand="true" w:oddVBand="false" w:firstColumn="false"/>
            <w:tcW w:w="33.333333%" w:type="pct"/>
          </w:tcPr>
          <w:p>
            <w:pPr>
              <w:ind w:leftChars="0" w:left="0" w:right="0"/>
            </w:pPr>
            <w:r>
              <w:t>MIDC</w:t>
            </w:r>
          </w:p>
        </w:tc>
        <w:tc>
          <w:tcPr>
            <w:cnfStyle w:evenVBand="false" w:oddVBand="true" w:firstColumn="false"/>
            <w:tcW w:w="33.333333%" w:type="pct"/>
          </w:tcPr>
          <w:p>
            <w:pPr>
              <w:ind w:leftChars="0" w:left="0" w:right="0"/>
            </w:pPr>
            <w:r>
              <w:t>MIDCHAINS</w:t>
            </w:r>
          </w:p>
        </w:tc>
      </w:tr>
      <w:tr>
        <w:trPr>
          <w:cnfStyle w:evenHBand="false" w:oddHBand="true" w:firstRow="false"/>
        </w:trPr>
        <w:tc>
          <w:tcPr>
            <w:cnfStyle w:evenVBand="false" w:oddVBand="true" w:firstColumn="false"/>
            <w:tcW w:w="33.333333%" w:type="pct"/>
          </w:tcPr>
          <w:p>
            <w:pPr>
              <w:ind w:leftChars="0" w:left="0" w:right="0"/>
            </w:pPr>
            <w:r>
              <w:t>MIHI</w:t>
            </w:r>
          </w:p>
        </w:tc>
        <w:tc>
          <w:tcPr>
            <w:cnfStyle w:evenVBand="true" w:oddVBand="false" w:firstColumn="false"/>
            <w:tcW w:w="33.333333%" w:type="pct"/>
          </w:tcPr>
          <w:p>
            <w:pPr>
              <w:ind w:leftChars="0" w:left="0" w:right="0"/>
            </w:pPr>
            <w:r>
              <w:t>MIHI</w:t>
            </w:r>
          </w:p>
        </w:tc>
        <w:tc>
          <w:tcPr>
            <w:cnfStyle w:evenVBand="false" w:oddVBand="true" w:firstColumn="false"/>
            <w:tcW w:w="33.333333%" w:type="pct"/>
          </w:tcPr>
          <w:p>
            <w:pPr>
              <w:ind w:leftChars="0" w:left="0" w:right="0"/>
            </w:pPr>
            <w:r>
              <w:t>MIAMI INTERNATIONAL HOLDINGS, INC.</w:t>
            </w:r>
          </w:p>
        </w:tc>
      </w:tr>
      <w:tr>
        <w:trPr>
          <w:cnfStyle w:evenHBand="true" w:oddHBand="false" w:firstRow="false"/>
        </w:trPr>
        <w:tc>
          <w:tcPr>
            <w:cnfStyle w:evenVBand="false" w:oddVBand="true" w:firstColumn="false"/>
            <w:tcW w:w="33.333333%" w:type="pct"/>
          </w:tcPr>
          <w:p>
            <w:pPr>
              <w:ind w:leftChars="0" w:left="0" w:right="0"/>
            </w:pPr>
            <w:r>
              <w:t>MISX</w:t>
            </w:r>
          </w:p>
        </w:tc>
        <w:tc>
          <w:tcPr>
            <w:cnfStyle w:evenVBand="true" w:oddVBand="false" w:firstColumn="false"/>
            <w:tcW w:w="33.333333%" w:type="pct"/>
          </w:tcPr>
          <w:p>
            <w:pPr>
              <w:ind w:leftChars="0" w:left="0" w:right="0"/>
            </w:pPr>
            <w:r>
              <w:t>MISX</w:t>
            </w:r>
          </w:p>
        </w:tc>
        <w:tc>
          <w:tcPr>
            <w:cnfStyle w:evenVBand="false" w:oddVBand="true" w:firstColumn="false"/>
            <w:tcW w:w="33.333333%" w:type="pct"/>
          </w:tcPr>
          <w:p>
            <w:pPr>
              <w:ind w:leftChars="0" w:left="0" w:right="0"/>
            </w:pPr>
            <w:r>
              <w:t>MOSCOW EXCHANGE - ALL MARKETS</w:t>
            </w:r>
          </w:p>
        </w:tc>
      </w:tr>
      <w:tr>
        <w:trPr>
          <w:cnfStyle w:evenHBand="false" w:oddHBand="true" w:firstRow="false"/>
        </w:trPr>
        <w:tc>
          <w:tcPr>
            <w:cnfStyle w:evenVBand="false" w:oddVBand="true" w:firstColumn="false"/>
            <w:tcW w:w="33.333333%" w:type="pct"/>
          </w:tcPr>
          <w:p>
            <w:pPr>
              <w:ind w:leftChars="0" w:left="0" w:right="0"/>
            </w:pPr>
            <w:r>
              <w:t>MIVX</w:t>
            </w:r>
          </w:p>
        </w:tc>
        <w:tc>
          <w:tcPr>
            <w:cnfStyle w:evenVBand="true" w:oddVBand="false" w:firstColumn="false"/>
            <w:tcW w:w="33.333333%" w:type="pct"/>
          </w:tcPr>
          <w:p>
            <w:pPr>
              <w:ind w:leftChars="0" w:left="0" w:right="0"/>
            </w:pPr>
            <w:r>
              <w:t>MIVX</w:t>
            </w:r>
          </w:p>
        </w:tc>
        <w:tc>
          <w:tcPr>
            <w:cnfStyle w:evenVBand="false" w:oddVBand="true" w:firstColumn="false"/>
            <w:tcW w:w="33.333333%" w:type="pct"/>
          </w:tcPr>
          <w:p>
            <w:pPr>
              <w:ind w:leftChars="0" w:left="0" w:right="0"/>
            </w:pPr>
            <w:r>
              <w:t>EURONEXT MIV MILAN</w:t>
            </w:r>
          </w:p>
        </w:tc>
      </w:tr>
      <w:tr>
        <w:trPr>
          <w:cnfStyle w:evenHBand="true" w:oddHBand="false" w:firstRow="false"/>
        </w:trPr>
        <w:tc>
          <w:tcPr>
            <w:cnfStyle w:evenVBand="false" w:oddVBand="true" w:firstColumn="false"/>
            <w:tcW w:w="33.333333%" w:type="pct"/>
          </w:tcPr>
          <w:p>
            <w:pPr>
              <w:ind w:leftChars="0" w:left="0" w:right="0"/>
            </w:pPr>
            <w:r>
              <w:t>MIZX</w:t>
            </w:r>
          </w:p>
        </w:tc>
        <w:tc>
          <w:tcPr>
            <w:cnfStyle w:evenVBand="true" w:oddVBand="false" w:firstColumn="false"/>
            <w:tcW w:w="33.333333%" w:type="pct"/>
          </w:tcPr>
          <w:p>
            <w:pPr>
              <w:ind w:leftChars="0" w:left="0" w:right="0"/>
            </w:pPr>
            <w:r>
              <w:t>MIZX</w:t>
            </w:r>
          </w:p>
        </w:tc>
        <w:tc>
          <w:tcPr>
            <w:cnfStyle w:evenVBand="false" w:oddVBand="true" w:firstColumn="false"/>
            <w:tcW w:w="33.333333%" w:type="pct"/>
          </w:tcPr>
          <w:p>
            <w:pPr>
              <w:ind w:leftChars="0" w:left="0" w:right="0"/>
            </w:pPr>
            <w:r>
              <w:t>MIZUHO INTERNAL CROSSING</w:t>
            </w:r>
          </w:p>
        </w:tc>
      </w:tr>
      <w:tr>
        <w:trPr>
          <w:cnfStyle w:evenHBand="false" w:oddHBand="true" w:firstRow="false"/>
        </w:trPr>
        <w:tc>
          <w:tcPr>
            <w:cnfStyle w:evenVBand="false" w:oddVBand="true" w:firstColumn="false"/>
            <w:tcW w:w="33.333333%" w:type="pct"/>
          </w:tcPr>
          <w:p>
            <w:pPr>
              <w:ind w:leftChars="0" w:left="0" w:right="0"/>
            </w:pPr>
            <w:r>
              <w:t>MKAA</w:t>
            </w:r>
          </w:p>
        </w:tc>
        <w:tc>
          <w:tcPr>
            <w:cnfStyle w:evenVBand="true" w:oddVBand="false" w:firstColumn="false"/>
            <w:tcW w:w="33.333333%" w:type="pct"/>
          </w:tcPr>
          <w:p>
            <w:pPr>
              <w:ind w:leftChars="0" w:left="0" w:right="0"/>
            </w:pPr>
            <w:r>
              <w:t>MKAA</w:t>
            </w:r>
          </w:p>
        </w:tc>
        <w:tc>
          <w:tcPr>
            <w:cnfStyle w:evenVBand="false" w:oddVBand="true" w:firstColumn="false"/>
            <w:tcW w:w="33.333333%" w:type="pct"/>
          </w:tcPr>
          <w:p>
            <w:pPr>
              <w:ind w:leftChars="0" w:left="0" w:right="0"/>
            </w:pPr>
            <w:r>
              <w:t>MARKETAXESS ATS</w:t>
            </w:r>
          </w:p>
        </w:tc>
      </w:tr>
      <w:tr>
        <w:trPr>
          <w:cnfStyle w:evenHBand="true" w:oddHBand="false" w:firstRow="false"/>
        </w:trPr>
        <w:tc>
          <w:tcPr>
            <w:cnfStyle w:evenVBand="false" w:oddVBand="true" w:firstColumn="false"/>
            <w:tcW w:w="33.333333%" w:type="pct"/>
          </w:tcPr>
          <w:p>
            <w:pPr>
              <w:ind w:leftChars="0" w:left="0" w:right="0"/>
            </w:pPr>
            <w:r>
              <w:t>MKAP</w:t>
            </w:r>
          </w:p>
        </w:tc>
        <w:tc>
          <w:tcPr>
            <w:cnfStyle w:evenVBand="true" w:oddVBand="false" w:firstColumn="false"/>
            <w:tcW w:w="33.333333%" w:type="pct"/>
          </w:tcPr>
          <w:p>
            <w:pPr>
              <w:ind w:leftChars="0" w:left="0" w:right="0"/>
            </w:pPr>
            <w:r>
              <w:t>MKAP</w:t>
            </w:r>
          </w:p>
        </w:tc>
        <w:tc>
          <w:tcPr>
            <w:cnfStyle w:evenVBand="false" w:oddVBand="true" w:firstColumn="false"/>
            <w:tcW w:w="33.333333%" w:type="pct"/>
          </w:tcPr>
          <w:p>
            <w:pPr>
              <w:ind w:leftChars="0" w:left="0" w:right="0"/>
            </w:pPr>
            <w:r>
              <w:t>MERITKAPITAL - SYSTEMATIC INTERNALISER</w:t>
            </w:r>
          </w:p>
        </w:tc>
      </w:tr>
      <w:tr>
        <w:trPr>
          <w:cnfStyle w:evenHBand="false" w:oddHBand="true" w:firstRow="false"/>
        </w:trPr>
        <w:tc>
          <w:tcPr>
            <w:cnfStyle w:evenVBand="false" w:oddVBand="true" w:firstColumn="false"/>
            <w:tcW w:w="33.333333%" w:type="pct"/>
          </w:tcPr>
          <w:p>
            <w:pPr>
              <w:ind w:leftChars="0" w:left="0" w:right="0"/>
            </w:pPr>
            <w:r>
              <w:t>MKTF</w:t>
            </w:r>
          </w:p>
        </w:tc>
        <w:tc>
          <w:tcPr>
            <w:cnfStyle w:evenVBand="true" w:oddVBand="false" w:firstColumn="false"/>
            <w:tcW w:w="33.333333%" w:type="pct"/>
          </w:tcPr>
          <w:p>
            <w:pPr>
              <w:ind w:leftChars="0" w:left="0" w:right="0"/>
            </w:pPr>
            <w:r>
              <w:t>MKTF</w:t>
            </w:r>
          </w:p>
        </w:tc>
        <w:tc>
          <w:tcPr>
            <w:cnfStyle w:evenVBand="false" w:oddVBand="true" w:firstColumn="false"/>
            <w:tcW w:w="33.333333%" w:type="pct"/>
          </w:tcPr>
          <w:p>
            <w:pPr>
              <w:ind w:leftChars="0" w:left="0" w:right="0"/>
            </w:pPr>
            <w:r>
              <w:t>MARKET SECURITIES (FRANCE) SA</w:t>
            </w:r>
          </w:p>
        </w:tc>
      </w:tr>
      <w:tr>
        <w:trPr>
          <w:cnfStyle w:evenHBand="true" w:oddHBand="false" w:firstRow="false"/>
        </w:trPr>
        <w:tc>
          <w:tcPr>
            <w:cnfStyle w:evenVBand="false" w:oddVBand="true" w:firstColumn="false"/>
            <w:tcW w:w="33.333333%" w:type="pct"/>
          </w:tcPr>
          <w:p>
            <w:pPr>
              <w:ind w:leftChars="0" w:left="0" w:right="0"/>
            </w:pPr>
            <w:r>
              <w:t>MLAX</w:t>
            </w:r>
          </w:p>
        </w:tc>
        <w:tc>
          <w:tcPr>
            <w:cnfStyle w:evenVBand="true" w:oddVBand="false" w:firstColumn="false"/>
            <w:tcW w:w="33.333333%" w:type="pct"/>
          </w:tcPr>
          <w:p>
            <w:pPr>
              <w:ind w:leftChars="0" w:left="0" w:right="0"/>
            </w:pPr>
            <w:r>
              <w:t>MLAX</w:t>
            </w:r>
          </w:p>
        </w:tc>
        <w:tc>
          <w:tcPr>
            <w:cnfStyle w:evenVBand="false" w:oddVBand="true" w:firstColumn="false"/>
            <w:tcW w:w="33.333333%" w:type="pct"/>
          </w:tcPr>
          <w:p>
            <w:pPr>
              <w:ind w:leftChars="0" w:left="0" w:right="0"/>
            </w:pPr>
            <w:r>
              <w:t>BANK OF AMERICA - MERRILL LYNCH AUCTION CROSS</w:t>
            </w:r>
          </w:p>
        </w:tc>
      </w:tr>
      <w:tr>
        <w:trPr>
          <w:cnfStyle w:evenHBand="false" w:oddHBand="true" w:firstRow="false"/>
        </w:trPr>
        <w:tc>
          <w:tcPr>
            <w:cnfStyle w:evenVBand="false" w:oddVBand="true" w:firstColumn="false"/>
            <w:tcW w:w="33.333333%" w:type="pct"/>
          </w:tcPr>
          <w:p>
            <w:pPr>
              <w:ind w:leftChars="0" w:left="0" w:right="0"/>
            </w:pPr>
            <w:r>
              <w:t>MLCO</w:t>
            </w:r>
          </w:p>
        </w:tc>
        <w:tc>
          <w:tcPr>
            <w:cnfStyle w:evenVBand="true" w:oddVBand="false" w:firstColumn="false"/>
            <w:tcW w:w="33.333333%" w:type="pct"/>
          </w:tcPr>
          <w:p>
            <w:pPr>
              <w:ind w:leftChars="0" w:left="0" w:right="0"/>
            </w:pPr>
            <w:r>
              <w:t>MLCO</w:t>
            </w:r>
          </w:p>
        </w:tc>
        <w:tc>
          <w:tcPr>
            <w:cnfStyle w:evenVBand="false" w:oddVBand="true" w:firstColumn="false"/>
            <w:tcW w:w="33.333333%" w:type="pct"/>
          </w:tcPr>
          <w:p>
            <w:pPr>
              <w:ind w:leftChars="0" w:left="0" w:right="0"/>
            </w:pPr>
            <w:r>
              <w:t>BANK OF AMERICA - MERRILL LYNCH OTC</w:t>
            </w:r>
          </w:p>
        </w:tc>
      </w:tr>
      <w:tr>
        <w:trPr>
          <w:cnfStyle w:evenHBand="true" w:oddHBand="false" w:firstRow="false"/>
        </w:trPr>
        <w:tc>
          <w:tcPr>
            <w:cnfStyle w:evenVBand="false" w:oddVBand="true" w:firstColumn="false"/>
            <w:tcW w:w="33.333333%" w:type="pct"/>
          </w:tcPr>
          <w:p>
            <w:pPr>
              <w:ind w:leftChars="0" w:left="0" w:right="0"/>
            </w:pPr>
            <w:r>
              <w:t>MLER</w:t>
            </w:r>
          </w:p>
        </w:tc>
        <w:tc>
          <w:tcPr>
            <w:cnfStyle w:evenVBand="true" w:oddVBand="false" w:firstColumn="false"/>
            <w:tcW w:w="33.333333%" w:type="pct"/>
          </w:tcPr>
          <w:p>
            <w:pPr>
              <w:ind w:leftChars="0" w:left="0" w:right="0"/>
            </w:pPr>
            <w:r>
              <w:t>MLER</w:t>
            </w:r>
          </w:p>
        </w:tc>
        <w:tc>
          <w:tcPr>
            <w:cnfStyle w:evenVBand="false" w:oddVBand="true" w:firstColumn="false"/>
            <w:tcW w:w="33.333333%" w:type="pct"/>
          </w:tcPr>
          <w:p>
            <w:pPr>
              <w:ind w:leftChars="0" w:left="0" w:right="0"/>
            </w:pPr>
            <w:r>
              <w:t>BOFA SECURITIES EUROPE - RFQ - SYSTEMATIC INTERNALISER</w:t>
            </w:r>
          </w:p>
        </w:tc>
      </w:tr>
      <w:tr>
        <w:trPr>
          <w:cnfStyle w:evenHBand="false" w:oddHBand="true" w:firstRow="false"/>
        </w:trPr>
        <w:tc>
          <w:tcPr>
            <w:cnfStyle w:evenVBand="false" w:oddVBand="true" w:firstColumn="false"/>
            <w:tcW w:w="33.333333%" w:type="pct"/>
          </w:tcPr>
          <w:p>
            <w:pPr>
              <w:ind w:leftChars="0" w:left="0" w:right="0"/>
            </w:pPr>
            <w:r>
              <w:t>MLES</w:t>
            </w:r>
          </w:p>
        </w:tc>
        <w:tc>
          <w:tcPr>
            <w:cnfStyle w:evenVBand="true" w:oddVBand="false" w:firstColumn="false"/>
            <w:tcW w:w="33.333333%" w:type="pct"/>
          </w:tcPr>
          <w:p>
            <w:pPr>
              <w:ind w:leftChars="0" w:left="0" w:right="0"/>
            </w:pPr>
            <w:r>
              <w:t>MLES</w:t>
            </w:r>
          </w:p>
        </w:tc>
        <w:tc>
          <w:tcPr>
            <w:cnfStyle w:evenVBand="false" w:oddVBand="true" w:firstColumn="false"/>
            <w:tcW w:w="33.333333%" w:type="pct"/>
          </w:tcPr>
          <w:p>
            <w:pPr>
              <w:ind w:leftChars="0" w:left="0" w:right="0"/>
            </w:pPr>
            <w:r>
              <w:t>BOFA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MLEU</w:t>
            </w:r>
          </w:p>
        </w:tc>
        <w:tc>
          <w:tcPr>
            <w:cnfStyle w:evenVBand="true" w:oddVBand="false" w:firstColumn="false"/>
            <w:tcW w:w="33.333333%" w:type="pct"/>
          </w:tcPr>
          <w:p>
            <w:pPr>
              <w:ind w:leftChars="0" w:left="0" w:right="0"/>
            </w:pPr>
            <w:r>
              <w:t>MLEU</w:t>
            </w:r>
          </w:p>
        </w:tc>
        <w:tc>
          <w:tcPr>
            <w:cnfStyle w:evenVBand="false" w:oddVBand="true" w:firstColumn="false"/>
            <w:tcW w:w="33.333333%" w:type="pct"/>
          </w:tcPr>
          <w:p>
            <w:pPr>
              <w:ind w:leftChars="0" w:left="0" w:right="0"/>
            </w:pPr>
            <w:r>
              <w:t>BANK OF AMERICA - MERRILL LYNCH OTC - EUROPE</w:t>
            </w:r>
          </w:p>
        </w:tc>
      </w:tr>
      <w:tr>
        <w:trPr>
          <w:cnfStyle w:evenHBand="false" w:oddHBand="true" w:firstRow="false"/>
        </w:trPr>
        <w:tc>
          <w:tcPr>
            <w:cnfStyle w:evenVBand="false" w:oddVBand="true" w:firstColumn="false"/>
            <w:tcW w:w="33.333333%" w:type="pct"/>
          </w:tcPr>
          <w:p>
            <w:pPr>
              <w:ind w:leftChars="0" w:left="0" w:right="0"/>
            </w:pPr>
            <w:r>
              <w:t>MLEX</w:t>
            </w:r>
          </w:p>
        </w:tc>
        <w:tc>
          <w:tcPr>
            <w:cnfStyle w:evenVBand="true" w:oddVBand="false" w:firstColumn="false"/>
            <w:tcW w:w="33.333333%" w:type="pct"/>
          </w:tcPr>
          <w:p>
            <w:pPr>
              <w:ind w:leftChars="0" w:left="0" w:right="0"/>
            </w:pPr>
            <w:r>
              <w:t>MLEX</w:t>
            </w:r>
          </w:p>
        </w:tc>
        <w:tc>
          <w:tcPr>
            <w:cnfStyle w:evenVBand="false" w:oddVBand="true" w:firstColumn="false"/>
            <w:tcW w:w="33.333333%" w:type="pct"/>
          </w:tcPr>
          <w:p>
            <w:pPr>
              <w:ind w:leftChars="0" w:left="0" w:right="0"/>
            </w:pPr>
            <w:r>
              <w:t>BOFA SECURITIES EUROPE</w:t>
            </w:r>
          </w:p>
        </w:tc>
      </w:tr>
      <w:tr>
        <w:trPr>
          <w:cnfStyle w:evenHBand="true" w:oddHBand="false" w:firstRow="false"/>
        </w:trPr>
        <w:tc>
          <w:tcPr>
            <w:cnfStyle w:evenVBand="false" w:oddVBand="true" w:firstColumn="false"/>
            <w:tcW w:w="33.333333%" w:type="pct"/>
          </w:tcPr>
          <w:p>
            <w:pPr>
              <w:ind w:leftChars="0" w:left="0" w:right="0"/>
            </w:pPr>
            <w:r>
              <w:t>MLIB</w:t>
            </w:r>
          </w:p>
        </w:tc>
        <w:tc>
          <w:tcPr>
            <w:cnfStyle w:evenVBand="true" w:oddVBand="false" w:firstColumn="false"/>
            <w:tcW w:w="33.333333%" w:type="pct"/>
          </w:tcPr>
          <w:p>
            <w:pPr>
              <w:ind w:leftChars="0" w:left="0" w:right="0"/>
            </w:pPr>
            <w:r>
              <w:t>MLIB</w:t>
            </w:r>
          </w:p>
        </w:tc>
        <w:tc>
          <w:tcPr>
            <w:cnfStyle w:evenVBand="false" w:oddVBand="true" w:firstColumn="false"/>
            <w:tcW w:w="33.333333%" w:type="pct"/>
          </w:tcPr>
          <w:p>
            <w:pPr>
              <w:ind w:leftChars="0" w:left="0" w:right="0"/>
            </w:pPr>
            <w:r>
              <w:t>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MLIX</w:t>
            </w:r>
          </w:p>
        </w:tc>
        <w:tc>
          <w:tcPr>
            <w:cnfStyle w:evenVBand="true" w:oddVBand="false" w:firstColumn="false"/>
            <w:tcW w:w="33.333333%" w:type="pct"/>
          </w:tcPr>
          <w:p>
            <w:pPr>
              <w:ind w:leftChars="0" w:left="0" w:right="0"/>
            </w:pPr>
            <w:r>
              <w:t>MLIX</w:t>
            </w:r>
          </w:p>
        </w:tc>
        <w:tc>
          <w:tcPr>
            <w:cnfStyle w:evenVBand="false" w:oddVBand="true" w:firstColumn="false"/>
            <w:tcW w:w="33.333333%" w:type="pct"/>
          </w:tcPr>
          <w:p>
            <w:pPr>
              <w:ind w:leftChars="0" w:left="0" w:right="0"/>
            </w:pPr>
            <w:r>
              <w:t>MERRILL LYNCH INTERNATIONAL</w:t>
            </w:r>
          </w:p>
        </w:tc>
      </w:tr>
      <w:tr>
        <w:trPr>
          <w:cnfStyle w:evenHBand="true" w:oddHBand="false" w:firstRow="false"/>
        </w:trPr>
        <w:tc>
          <w:tcPr>
            <w:cnfStyle w:evenVBand="false" w:oddVBand="true" w:firstColumn="false"/>
            <w:tcW w:w="33.333333%" w:type="pct"/>
          </w:tcPr>
          <w:p>
            <w:pPr>
              <w:ind w:leftChars="0" w:left="0" w:right="0"/>
            </w:pPr>
            <w:r>
              <w:t>MLRQ</w:t>
            </w:r>
          </w:p>
        </w:tc>
        <w:tc>
          <w:tcPr>
            <w:cnfStyle w:evenVBand="true" w:oddVBand="false" w:firstColumn="false"/>
            <w:tcW w:w="33.333333%" w:type="pct"/>
          </w:tcPr>
          <w:p>
            <w:pPr>
              <w:ind w:leftChars="0" w:left="0" w:right="0"/>
            </w:pPr>
            <w:r>
              <w:t>MLRQ</w:t>
            </w:r>
          </w:p>
        </w:tc>
        <w:tc>
          <w:tcPr>
            <w:cnfStyle w:evenVBand="false" w:oddVBand="true" w:firstColumn="false"/>
            <w:tcW w:w="33.333333%" w:type="pct"/>
          </w:tcPr>
          <w:p>
            <w:pPr>
              <w:ind w:leftChars="0" w:left="0" w:right="0"/>
            </w:pPr>
            <w:r>
              <w:t>MERRILL LYNCH INTERNATIONAL - RFQ - SYSTEMATIC INTERNALISER</w:t>
            </w:r>
          </w:p>
        </w:tc>
      </w:tr>
      <w:tr>
        <w:trPr>
          <w:cnfStyle w:evenHBand="false" w:oddHBand="true" w:firstRow="false"/>
        </w:trPr>
        <w:tc>
          <w:tcPr>
            <w:cnfStyle w:evenVBand="false" w:oddVBand="true" w:firstColumn="false"/>
            <w:tcW w:w="33.333333%" w:type="pct"/>
          </w:tcPr>
          <w:p>
            <w:pPr>
              <w:ind w:leftChars="0" w:left="0" w:right="0"/>
            </w:pPr>
            <w:r>
              <w:t>MLSI</w:t>
            </w:r>
          </w:p>
        </w:tc>
        <w:tc>
          <w:tcPr>
            <w:cnfStyle w:evenVBand="true" w:oddVBand="false" w:firstColumn="false"/>
            <w:tcW w:w="33.333333%" w:type="pct"/>
          </w:tcPr>
          <w:p>
            <w:pPr>
              <w:ind w:leftChars="0" w:left="0" w:right="0"/>
            </w:pPr>
            <w:r>
              <w:t>MLSI</w:t>
            </w:r>
          </w:p>
        </w:tc>
        <w:tc>
          <w:tcPr>
            <w:cnfStyle w:evenVBand="false" w:oddVBand="true" w:firstColumn="false"/>
            <w:tcW w:w="33.333333%" w:type="pct"/>
          </w:tcPr>
          <w:p>
            <w:pPr>
              <w:ind w:leftChars="0" w:left="0" w:right="0"/>
            </w:pPr>
            <w:r>
              <w:t>MERRILL LYNCH INTERNATIONAL - SYSTEMATIC INTERNALISER</w:t>
            </w:r>
          </w:p>
        </w:tc>
      </w:tr>
      <w:tr>
        <w:trPr>
          <w:cnfStyle w:evenHBand="true" w:oddHBand="false" w:firstRow="false"/>
        </w:trPr>
        <w:tc>
          <w:tcPr>
            <w:cnfStyle w:evenVBand="false" w:oddVBand="true" w:firstColumn="false"/>
            <w:tcW w:w="33.333333%" w:type="pct"/>
          </w:tcPr>
          <w:p>
            <w:pPr>
              <w:ind w:leftChars="0" w:left="0" w:right="0"/>
            </w:pPr>
            <w:r>
              <w:t>MLVE</w:t>
            </w:r>
          </w:p>
        </w:tc>
        <w:tc>
          <w:tcPr>
            <w:cnfStyle w:evenVBand="true" w:oddVBand="false" w:firstColumn="false"/>
            <w:tcW w:w="33.333333%" w:type="pct"/>
          </w:tcPr>
          <w:p>
            <w:pPr>
              <w:ind w:leftChars="0" w:left="0" w:right="0"/>
            </w:pPr>
            <w:r>
              <w:t>MLVE</w:t>
            </w:r>
          </w:p>
        </w:tc>
        <w:tc>
          <w:tcPr>
            <w:cnfStyle w:evenVBand="false" w:oddVBand="true" w:firstColumn="false"/>
            <w:tcW w:w="33.333333%" w:type="pct"/>
          </w:tcPr>
          <w:p>
            <w:pPr>
              <w:ind w:leftChars="0" w:left="0" w:right="0"/>
            </w:pPr>
            <w:r>
              <w:t>BANK OF AMERICA - MERRILL LYNCH VWAP CROSS - EUROPE</w:t>
            </w:r>
          </w:p>
        </w:tc>
      </w:tr>
      <w:tr>
        <w:trPr>
          <w:cnfStyle w:evenHBand="false" w:oddHBand="true" w:firstRow="false"/>
        </w:trPr>
        <w:tc>
          <w:tcPr>
            <w:cnfStyle w:evenVBand="false" w:oddVBand="true" w:firstColumn="false"/>
            <w:tcW w:w="33.333333%" w:type="pct"/>
          </w:tcPr>
          <w:p>
            <w:pPr>
              <w:ind w:leftChars="0" w:left="0" w:right="0"/>
            </w:pPr>
            <w:r>
              <w:t>MLVX</w:t>
            </w:r>
          </w:p>
        </w:tc>
        <w:tc>
          <w:tcPr>
            <w:cnfStyle w:evenVBand="true" w:oddVBand="false" w:firstColumn="false"/>
            <w:tcW w:w="33.333333%" w:type="pct"/>
          </w:tcPr>
          <w:p>
            <w:pPr>
              <w:ind w:leftChars="0" w:left="0" w:right="0"/>
            </w:pPr>
            <w:r>
              <w:t>MLVX</w:t>
            </w:r>
          </w:p>
        </w:tc>
        <w:tc>
          <w:tcPr>
            <w:cnfStyle w:evenVBand="false" w:oddVBand="true" w:firstColumn="false"/>
            <w:tcW w:w="33.333333%" w:type="pct"/>
          </w:tcPr>
          <w:p>
            <w:pPr>
              <w:ind w:leftChars="0" w:left="0" w:right="0"/>
            </w:pPr>
            <w:r>
              <w:t>BANK OF AMERICA - MERRILL LYNCH VWAP CROSS</w:t>
            </w:r>
          </w:p>
        </w:tc>
      </w:tr>
      <w:tr>
        <w:trPr>
          <w:cnfStyle w:evenHBand="true" w:oddHBand="false" w:firstRow="false"/>
        </w:trPr>
        <w:tc>
          <w:tcPr>
            <w:cnfStyle w:evenVBand="false" w:oddVBand="true" w:firstColumn="false"/>
            <w:tcW w:w="33.333333%" w:type="pct"/>
          </w:tcPr>
          <w:p>
            <w:pPr>
              <w:ind w:leftChars="0" w:left="0" w:right="0"/>
            </w:pPr>
            <w:r>
              <w:t>MLXB</w:t>
            </w:r>
          </w:p>
        </w:tc>
        <w:tc>
          <w:tcPr>
            <w:cnfStyle w:evenVBand="true" w:oddVBand="false" w:firstColumn="false"/>
            <w:tcW w:w="33.333333%" w:type="pct"/>
          </w:tcPr>
          <w:p>
            <w:pPr>
              <w:ind w:leftChars="0" w:left="0" w:right="0"/>
            </w:pPr>
            <w:r>
              <w:t>MLXB</w:t>
            </w:r>
          </w:p>
        </w:tc>
        <w:tc>
          <w:tcPr>
            <w:cnfStyle w:evenVBand="false" w:oddVBand="true" w:firstColumn="false"/>
            <w:tcW w:w="33.333333%" w:type="pct"/>
          </w:tcPr>
          <w:p>
            <w:pPr>
              <w:ind w:leftChars="0" w:left="0" w:right="0"/>
            </w:pPr>
            <w:r>
              <w:t>EURONEXT ACCESS BRUSSELS</w:t>
            </w:r>
          </w:p>
        </w:tc>
      </w:tr>
      <w:tr>
        <w:trPr>
          <w:cnfStyle w:evenHBand="false" w:oddHBand="true" w:firstRow="false"/>
        </w:trPr>
        <w:tc>
          <w:tcPr>
            <w:cnfStyle w:evenVBand="false" w:oddVBand="true" w:firstColumn="false"/>
            <w:tcW w:w="33.333333%" w:type="pct"/>
          </w:tcPr>
          <w:p>
            <w:pPr>
              <w:ind w:leftChars="0" w:left="0" w:right="0"/>
            </w:pPr>
            <w:r>
              <w:t>MLXN</w:t>
            </w:r>
          </w:p>
        </w:tc>
        <w:tc>
          <w:tcPr>
            <w:cnfStyle w:evenVBand="true" w:oddVBand="false" w:firstColumn="false"/>
            <w:tcW w:w="33.333333%" w:type="pct"/>
          </w:tcPr>
          <w:p>
            <w:pPr>
              <w:ind w:leftChars="0" w:left="0" w:right="0"/>
            </w:pPr>
            <w:r>
              <w:t>MLXN</w:t>
            </w:r>
          </w:p>
        </w:tc>
        <w:tc>
          <w:tcPr>
            <w:cnfStyle w:evenVBand="false" w:oddVBand="true" w:firstColumn="false"/>
            <w:tcW w:w="33.333333%" w:type="pct"/>
          </w:tcPr>
          <w:p>
            <w:pPr>
              <w:ind w:leftChars="0" w:left="0" w:right="0"/>
            </w:pPr>
            <w:r>
              <w:t>BANK OF AMERICA - MERRILL LYNCH INSTINCT X - EUROPE</w:t>
            </w:r>
          </w:p>
        </w:tc>
      </w:tr>
      <w:tr>
        <w:trPr>
          <w:cnfStyle w:evenHBand="true" w:oddHBand="false" w:firstRow="false"/>
        </w:trPr>
        <w:tc>
          <w:tcPr>
            <w:cnfStyle w:evenVBand="false" w:oddVBand="true" w:firstColumn="false"/>
            <w:tcW w:w="33.333333%" w:type="pct"/>
          </w:tcPr>
          <w:p>
            <w:pPr>
              <w:ind w:leftChars="0" w:left="0" w:right="0"/>
            </w:pPr>
            <w:r>
              <w:t>MNDK</w:t>
            </w:r>
          </w:p>
        </w:tc>
        <w:tc>
          <w:tcPr>
            <w:cnfStyle w:evenVBand="true" w:oddVBand="false" w:firstColumn="false"/>
            <w:tcW w:w="33.333333%" w:type="pct"/>
          </w:tcPr>
          <w:p>
            <w:pPr>
              <w:ind w:leftChars="0" w:left="0" w:right="0"/>
            </w:pPr>
            <w:r>
              <w:t>MNDK</w:t>
            </w:r>
          </w:p>
        </w:tc>
        <w:tc>
          <w:tcPr>
            <w:cnfStyle w:evenVBand="false" w:oddVBand="true" w:firstColumn="false"/>
            <w:tcW w:w="33.333333%" w:type="pct"/>
          </w:tcPr>
          <w:p>
            <w:pPr>
              <w:ind w:leftChars="0" w:left="0" w:right="0"/>
            </w:pPr>
            <w:r>
              <w:t>FIRST NORTH DENMARK - AUCTION ON DEMAND</w:t>
            </w:r>
          </w:p>
        </w:tc>
      </w:tr>
      <w:tr>
        <w:trPr>
          <w:cnfStyle w:evenHBand="false" w:oddHBand="true" w:firstRow="false"/>
        </w:trPr>
        <w:tc>
          <w:tcPr>
            <w:cnfStyle w:evenVBand="false" w:oddVBand="true" w:firstColumn="false"/>
            <w:tcW w:w="33.333333%" w:type="pct"/>
          </w:tcPr>
          <w:p>
            <w:pPr>
              <w:ind w:leftChars="0" w:left="0" w:right="0"/>
            </w:pPr>
            <w:r>
              <w:t>MNFI</w:t>
            </w:r>
          </w:p>
        </w:tc>
        <w:tc>
          <w:tcPr>
            <w:cnfStyle w:evenVBand="true" w:oddVBand="false" w:firstColumn="false"/>
            <w:tcW w:w="33.333333%" w:type="pct"/>
          </w:tcPr>
          <w:p>
            <w:pPr>
              <w:ind w:leftChars="0" w:left="0" w:right="0"/>
            </w:pPr>
            <w:r>
              <w:t>MNFI</w:t>
            </w:r>
          </w:p>
        </w:tc>
        <w:tc>
          <w:tcPr>
            <w:cnfStyle w:evenVBand="false" w:oddVBand="true" w:firstColumn="false"/>
            <w:tcW w:w="33.333333%" w:type="pct"/>
          </w:tcPr>
          <w:p>
            <w:pPr>
              <w:ind w:leftChars="0" w:left="0" w:right="0"/>
            </w:pPr>
            <w:r>
              <w:t>FIRST NORTH FINLAND - AUCTION ON DEMAND</w:t>
            </w:r>
          </w:p>
        </w:tc>
      </w:tr>
      <w:tr>
        <w:trPr>
          <w:cnfStyle w:evenHBand="true" w:oddHBand="false" w:firstRow="false"/>
        </w:trPr>
        <w:tc>
          <w:tcPr>
            <w:cnfStyle w:evenVBand="false" w:oddVBand="true" w:firstColumn="false"/>
            <w:tcW w:w="33.333333%" w:type="pct"/>
          </w:tcPr>
          <w:p>
            <w:pPr>
              <w:ind w:leftChars="0" w:left="0" w:right="0"/>
            </w:pPr>
            <w:r>
              <w:t>MNIS</w:t>
            </w:r>
          </w:p>
        </w:tc>
        <w:tc>
          <w:tcPr>
            <w:cnfStyle w:evenVBand="true" w:oddVBand="false" w:firstColumn="false"/>
            <w:tcW w:w="33.333333%" w:type="pct"/>
          </w:tcPr>
          <w:p>
            <w:pPr>
              <w:ind w:leftChars="0" w:left="0" w:right="0"/>
            </w:pPr>
            <w:r>
              <w:t>MNIS</w:t>
            </w:r>
          </w:p>
        </w:tc>
        <w:tc>
          <w:tcPr>
            <w:cnfStyle w:evenVBand="false" w:oddVBand="true" w:firstColumn="false"/>
            <w:tcW w:w="33.333333%" w:type="pct"/>
          </w:tcPr>
          <w:p>
            <w:pPr>
              <w:ind w:leftChars="0" w:left="0" w:right="0"/>
            </w:pPr>
            <w:r>
              <w:t>FIRST NORTH ICELAND - AUCTION ON DEMAND</w:t>
            </w:r>
          </w:p>
        </w:tc>
      </w:tr>
      <w:tr>
        <w:trPr>
          <w:cnfStyle w:evenHBand="false" w:oddHBand="true" w:firstRow="false"/>
        </w:trPr>
        <w:tc>
          <w:tcPr>
            <w:cnfStyle w:evenVBand="false" w:oddVBand="true" w:firstColumn="false"/>
            <w:tcW w:w="33.333333%" w:type="pct"/>
          </w:tcPr>
          <w:p>
            <w:pPr>
              <w:ind w:leftChars="0" w:left="0" w:right="0"/>
            </w:pPr>
            <w:r>
              <w:t>MNSE</w:t>
            </w:r>
          </w:p>
        </w:tc>
        <w:tc>
          <w:tcPr>
            <w:cnfStyle w:evenVBand="true" w:oddVBand="false" w:firstColumn="false"/>
            <w:tcW w:w="33.333333%" w:type="pct"/>
          </w:tcPr>
          <w:p>
            <w:pPr>
              <w:ind w:leftChars="0" w:left="0" w:right="0"/>
            </w:pPr>
            <w:r>
              <w:t>MNSE</w:t>
            </w:r>
          </w:p>
        </w:tc>
        <w:tc>
          <w:tcPr>
            <w:cnfStyle w:evenVBand="false" w:oddVBand="true" w:firstColumn="false"/>
            <w:tcW w:w="33.333333%" w:type="pct"/>
          </w:tcPr>
          <w:p>
            <w:pPr>
              <w:ind w:leftChars="0" w:left="0" w:right="0"/>
            </w:pPr>
            <w:r>
              <w:t>FIRST NORTH SWEDEN - AUCTION ON DEMAND</w:t>
            </w:r>
          </w:p>
        </w:tc>
      </w:tr>
      <w:tr>
        <w:trPr>
          <w:cnfStyle w:evenHBand="true" w:oddHBand="false" w:firstRow="false"/>
        </w:trPr>
        <w:tc>
          <w:tcPr>
            <w:cnfStyle w:evenVBand="false" w:oddVBand="true" w:firstColumn="false"/>
            <w:tcW w:w="33.333333%" w:type="pct"/>
          </w:tcPr>
          <w:p>
            <w:pPr>
              <w:ind w:leftChars="0" w:left="0" w:right="0"/>
            </w:pPr>
            <w:r>
              <w:t>MOCX</w:t>
            </w:r>
          </w:p>
        </w:tc>
        <w:tc>
          <w:tcPr>
            <w:cnfStyle w:evenVBand="true" w:oddVBand="false" w:firstColumn="false"/>
            <w:tcW w:w="33.333333%" w:type="pct"/>
          </w:tcPr>
          <w:p>
            <w:pPr>
              <w:ind w:leftChars="0" w:left="0" w:right="0"/>
            </w:pPr>
            <w:r>
              <w:t>MOCX</w:t>
            </w:r>
          </w:p>
        </w:tc>
        <w:tc>
          <w:tcPr>
            <w:cnfStyle w:evenVBand="false" w:oddVBand="true" w:firstColumn="false"/>
            <w:tcW w:w="33.333333%" w:type="pct"/>
          </w:tcPr>
          <w:p>
            <w:pPr>
              <w:ind w:leftChars="0" w:left="0" w:right="0"/>
            </w:pPr>
            <w:r>
              <w:t>MOC CROSS</w:t>
            </w:r>
          </w:p>
        </w:tc>
      </w:tr>
      <w:tr>
        <w:trPr>
          <w:cnfStyle w:evenHBand="false" w:oddHBand="true" w:firstRow="false"/>
        </w:trPr>
        <w:tc>
          <w:tcPr>
            <w:cnfStyle w:evenVBand="false" w:oddVBand="true" w:firstColumn="false"/>
            <w:tcW w:w="33.333333%" w:type="pct"/>
          </w:tcPr>
          <w:p>
            <w:pPr>
              <w:ind w:leftChars="0" w:left="0" w:right="0"/>
            </w:pPr>
            <w:r>
              <w:t>MOSE</w:t>
            </w:r>
          </w:p>
        </w:tc>
        <w:tc>
          <w:tcPr>
            <w:cnfStyle w:evenVBand="true" w:oddVBand="false" w:firstColumn="false"/>
            <w:tcW w:w="33.333333%" w:type="pct"/>
          </w:tcPr>
          <w:p>
            <w:pPr>
              <w:ind w:leftChars="0" w:left="0" w:right="0"/>
            </w:pPr>
            <w:r>
              <w:t>MOSE</w:t>
            </w:r>
          </w:p>
        </w:tc>
        <w:tc>
          <w:tcPr>
            <w:cnfStyle w:evenVBand="false" w:oddVBand="true" w:firstColumn="false"/>
            <w:tcW w:w="33.333333%" w:type="pct"/>
          </w:tcPr>
          <w:p>
            <w:pPr>
              <w:ind w:leftChars="0" w:left="0" w:right="0"/>
            </w:pPr>
            <w:r>
              <w:t>FIRST NORTH SWEDEN - NORWAY AUCTION ON DEMAND</w:t>
            </w:r>
          </w:p>
        </w:tc>
      </w:tr>
      <w:tr>
        <w:trPr>
          <w:cnfStyle w:evenHBand="true" w:oddHBand="false" w:firstRow="false"/>
        </w:trPr>
        <w:tc>
          <w:tcPr>
            <w:cnfStyle w:evenVBand="false" w:oddVBand="true" w:firstColumn="false"/>
            <w:tcW w:w="33.333333%" w:type="pct"/>
          </w:tcPr>
          <w:p>
            <w:pPr>
              <w:ind w:leftChars="0" w:left="0" w:right="0"/>
            </w:pPr>
            <w:r>
              <w:t>MOTX</w:t>
            </w:r>
          </w:p>
        </w:tc>
        <w:tc>
          <w:tcPr>
            <w:cnfStyle w:evenVBand="true" w:oddVBand="false" w:firstColumn="false"/>
            <w:tcW w:w="33.333333%" w:type="pct"/>
          </w:tcPr>
          <w:p>
            <w:pPr>
              <w:ind w:leftChars="0" w:left="0" w:right="0"/>
            </w:pPr>
            <w:r>
              <w:t>MOTX</w:t>
            </w:r>
          </w:p>
        </w:tc>
        <w:tc>
          <w:tcPr>
            <w:cnfStyle w:evenVBand="false" w:oddVBand="true" w:firstColumn="false"/>
            <w:tcW w:w="33.333333%" w:type="pct"/>
          </w:tcPr>
          <w:p>
            <w:pPr>
              <w:ind w:leftChars="0" w:left="0" w:right="0"/>
            </w:pPr>
            <w:r>
              <w:t>ELECTRONIC BOND MARKET</w:t>
            </w:r>
          </w:p>
        </w:tc>
      </w:tr>
      <w:tr>
        <w:trPr>
          <w:cnfStyle w:evenHBand="false" w:oddHBand="true" w:firstRow="false"/>
        </w:trPr>
        <w:tc>
          <w:tcPr>
            <w:cnfStyle w:evenVBand="false" w:oddVBand="true" w:firstColumn="false"/>
            <w:tcW w:w="33.333333%" w:type="pct"/>
          </w:tcPr>
          <w:p>
            <w:pPr>
              <w:ind w:leftChars="0" w:left="0" w:right="0"/>
            </w:pPr>
            <w:r>
              <w:t>MPRL</w:t>
            </w:r>
          </w:p>
        </w:tc>
        <w:tc>
          <w:tcPr>
            <w:cnfStyle w:evenVBand="true" w:oddVBand="false" w:firstColumn="false"/>
            <w:tcW w:w="33.333333%" w:type="pct"/>
          </w:tcPr>
          <w:p>
            <w:pPr>
              <w:ind w:leftChars="0" w:left="0" w:right="0"/>
            </w:pPr>
            <w:r>
              <w:t>MPRL</w:t>
            </w:r>
          </w:p>
        </w:tc>
        <w:tc>
          <w:tcPr>
            <w:cnfStyle w:evenVBand="false" w:oddVBand="true" w:firstColumn="false"/>
            <w:tcW w:w="33.333333%" w:type="pct"/>
          </w:tcPr>
          <w:p>
            <w:pPr>
              <w:ind w:leftChars="0" w:left="0" w:right="0"/>
            </w:pPr>
            <w:r>
              <w:t>MIAX PEARL, LLC</w:t>
            </w:r>
          </w:p>
        </w:tc>
      </w:tr>
      <w:tr>
        <w:trPr>
          <w:cnfStyle w:evenHBand="true" w:oddHBand="false" w:firstRow="false"/>
        </w:trPr>
        <w:tc>
          <w:tcPr>
            <w:cnfStyle w:evenVBand="false" w:oddVBand="true" w:firstColumn="false"/>
            <w:tcW w:w="33.333333%" w:type="pct"/>
          </w:tcPr>
          <w:p>
            <w:pPr>
              <w:ind w:leftChars="0" w:left="0" w:right="0"/>
            </w:pPr>
            <w:r>
              <w:t>MSAL</w:t>
            </w:r>
          </w:p>
        </w:tc>
        <w:tc>
          <w:tcPr>
            <w:cnfStyle w:evenVBand="true" w:oddVBand="false" w:firstColumn="false"/>
            <w:tcW w:w="33.333333%" w:type="pct"/>
          </w:tcPr>
          <w:p>
            <w:pPr>
              <w:ind w:leftChars="0" w:left="0" w:right="0"/>
            </w:pPr>
            <w:r>
              <w:t>MSAL</w:t>
            </w:r>
          </w:p>
        </w:tc>
        <w:tc>
          <w:tcPr>
            <w:cnfStyle w:evenVBand="false" w:oddVBand="true" w:firstColumn="false"/>
            <w:tcW w:w="33.333333%" w:type="pct"/>
          </w:tcPr>
          <w:p>
            <w:pPr>
              <w:ind w:leftChars="0" w:left="0" w:right="0"/>
            </w:pPr>
            <w:r>
              <w:t>MORGAN STANLEY AUSTRALIA SECURITIES LIMITED</w:t>
            </w:r>
          </w:p>
        </w:tc>
      </w:tr>
      <w:tr>
        <w:trPr>
          <w:cnfStyle w:evenHBand="false" w:oddHBand="true" w:firstRow="false"/>
        </w:trPr>
        <w:tc>
          <w:tcPr>
            <w:cnfStyle w:evenVBand="false" w:oddVBand="true" w:firstColumn="false"/>
            <w:tcW w:w="33.333333%" w:type="pct"/>
          </w:tcPr>
          <w:p>
            <w:pPr>
              <w:ind w:leftChars="0" w:left="0" w:right="0"/>
            </w:pPr>
            <w:r>
              <w:t>MSAX</w:t>
            </w:r>
          </w:p>
        </w:tc>
        <w:tc>
          <w:tcPr>
            <w:cnfStyle w:evenVBand="true" w:oddVBand="false" w:firstColumn="false"/>
            <w:tcW w:w="33.333333%" w:type="pct"/>
          </w:tcPr>
          <w:p>
            <w:pPr>
              <w:ind w:leftChars="0" w:left="0" w:right="0"/>
            </w:pPr>
            <w:r>
              <w:t>MSAX</w:t>
            </w:r>
          </w:p>
        </w:tc>
        <w:tc>
          <w:tcPr>
            <w:cnfStyle w:evenVBand="false" w:oddVBand="true" w:firstColumn="false"/>
            <w:tcW w:w="33.333333%" w:type="pct"/>
          </w:tcPr>
          <w:p>
            <w:pPr>
              <w:ind w:leftChars="0" w:left="0" w:right="0"/>
            </w:pPr>
            <w:r>
              <w:t>MORGAN STANLEY MTF - PERIODIC AUCTION</w:t>
            </w:r>
          </w:p>
        </w:tc>
      </w:tr>
      <w:tr>
        <w:trPr>
          <w:cnfStyle w:evenHBand="true" w:oddHBand="false" w:firstRow="false"/>
        </w:trPr>
        <w:tc>
          <w:tcPr>
            <w:cnfStyle w:evenVBand="false" w:oddVBand="true" w:firstColumn="false"/>
            <w:tcW w:w="33.333333%" w:type="pct"/>
          </w:tcPr>
          <w:p>
            <w:pPr>
              <w:ind w:leftChars="0" w:left="0" w:right="0"/>
            </w:pPr>
            <w:r>
              <w:t>MSBI</w:t>
            </w:r>
          </w:p>
        </w:tc>
        <w:tc>
          <w:tcPr>
            <w:cnfStyle w:evenVBand="true" w:oddVBand="false" w:firstColumn="false"/>
            <w:tcW w:w="33.333333%" w:type="pct"/>
          </w:tcPr>
          <w:p>
            <w:pPr>
              <w:ind w:leftChars="0" w:left="0" w:right="0"/>
            </w:pPr>
            <w:r>
              <w:t>MSBI</w:t>
            </w:r>
          </w:p>
        </w:tc>
        <w:tc>
          <w:tcPr>
            <w:cnfStyle w:evenVBand="false" w:oddVBand="true" w:firstColumn="false"/>
            <w:tcW w:w="33.333333%" w:type="pct"/>
          </w:tcPr>
          <w:p>
            <w:pPr>
              <w:ind w:leftChars="0" w:left="0" w:right="0"/>
            </w:pPr>
            <w:r>
              <w:t>MORGAN STANLEY BANK INTERNATIONAL LIMITED</w:t>
            </w:r>
          </w:p>
        </w:tc>
      </w:tr>
      <w:tr>
        <w:trPr>
          <w:cnfStyle w:evenHBand="false" w:oddHBand="true" w:firstRow="false"/>
        </w:trPr>
        <w:tc>
          <w:tcPr>
            <w:cnfStyle w:evenVBand="false" w:oddVBand="true" w:firstColumn="false"/>
            <w:tcW w:w="33.333333%" w:type="pct"/>
          </w:tcPr>
          <w:p>
            <w:pPr>
              <w:ind w:leftChars="0" w:left="0" w:right="0"/>
            </w:pPr>
            <w:r>
              <w:t>MSCO</w:t>
            </w:r>
          </w:p>
        </w:tc>
        <w:tc>
          <w:tcPr>
            <w:cnfStyle w:evenVBand="true" w:oddVBand="false" w:firstColumn="false"/>
            <w:tcW w:w="33.333333%" w:type="pct"/>
          </w:tcPr>
          <w:p>
            <w:pPr>
              <w:ind w:leftChars="0" w:left="0" w:right="0"/>
            </w:pPr>
            <w:r>
              <w:t>MSCO</w:t>
            </w:r>
          </w:p>
        </w:tc>
        <w:tc>
          <w:tcPr>
            <w:cnfStyle w:evenVBand="false" w:oddVBand="true" w:firstColumn="false"/>
            <w:tcW w:w="33.333333%" w:type="pct"/>
          </w:tcPr>
          <w:p>
            <w:pPr>
              <w:ind w:leftChars="0" w:left="0" w:right="0"/>
            </w:pPr>
            <w:r>
              <w:t>MORGAN STANLEY AND CO. LLC</w:t>
            </w:r>
          </w:p>
        </w:tc>
      </w:tr>
      <w:tr>
        <w:trPr>
          <w:cnfStyle w:evenHBand="true" w:oddHBand="false" w:firstRow="false"/>
        </w:trPr>
        <w:tc>
          <w:tcPr>
            <w:cnfStyle w:evenVBand="false" w:oddVBand="true" w:firstColumn="false"/>
            <w:tcW w:w="33.333333%" w:type="pct"/>
          </w:tcPr>
          <w:p>
            <w:pPr>
              <w:ind w:leftChars="0" w:left="0" w:right="0"/>
            </w:pPr>
            <w:r>
              <w:t>MSCX</w:t>
            </w:r>
          </w:p>
        </w:tc>
        <w:tc>
          <w:tcPr>
            <w:cnfStyle w:evenVBand="true" w:oddVBand="false" w:firstColumn="false"/>
            <w:tcW w:w="33.333333%" w:type="pct"/>
          </w:tcPr>
          <w:p>
            <w:pPr>
              <w:ind w:leftChars="0" w:left="0" w:right="0"/>
            </w:pPr>
            <w:r>
              <w:t>MSCX</w:t>
            </w:r>
          </w:p>
        </w:tc>
        <w:tc>
          <w:tcPr>
            <w:cnfStyle w:evenVBand="false" w:oddVBand="true" w:firstColumn="false"/>
            <w:tcW w:w="33.333333%" w:type="pct"/>
          </w:tcPr>
          <w:p>
            <w:pPr>
              <w:ind w:leftChars="0" w:left="0" w:right="0"/>
            </w:pPr>
            <w:r>
              <w:t>MORGAN STANLEY MTF - CONTINUOUS CROSS DARK</w:t>
            </w:r>
          </w:p>
        </w:tc>
      </w:tr>
      <w:tr>
        <w:trPr>
          <w:cnfStyle w:evenHBand="false" w:oddHBand="true" w:firstRow="false"/>
        </w:trPr>
        <w:tc>
          <w:tcPr>
            <w:cnfStyle w:evenVBand="false" w:oddVBand="true" w:firstColumn="false"/>
            <w:tcW w:w="33.333333%" w:type="pct"/>
          </w:tcPr>
          <w:p>
            <w:pPr>
              <w:ind w:leftChars="0" w:left="0" w:right="0"/>
            </w:pPr>
            <w:r>
              <w:t>MSDM</w:t>
            </w:r>
          </w:p>
        </w:tc>
        <w:tc>
          <w:tcPr>
            <w:cnfStyle w:evenVBand="true" w:oddVBand="false" w:firstColumn="false"/>
            <w:tcW w:w="33.333333%" w:type="pct"/>
          </w:tcPr>
          <w:p>
            <w:pPr>
              <w:ind w:leftChars="0" w:left="0" w:right="0"/>
            </w:pPr>
            <w:r>
              <w:t>MSDM</w:t>
            </w:r>
          </w:p>
        </w:tc>
        <w:tc>
          <w:tcPr>
            <w:cnfStyle w:evenVBand="false" w:oddVBand="true" w:firstColumn="false"/>
            <w:tcW w:w="33.333333%" w:type="pct"/>
          </w:tcPr>
          <w:p>
            <w:pPr>
              <w:ind w:leftChars="0" w:left="0" w:right="0"/>
            </w:pPr>
            <w:r>
              <w:t>MICHAEL/STROM DOM MAKLERSKI SPOLKA AKCYJNA - SYSTEMATIC INTERNALISER</w:t>
            </w:r>
          </w:p>
        </w:tc>
      </w:tr>
      <w:tr>
        <w:trPr>
          <w:cnfStyle w:evenHBand="true" w:oddHBand="false" w:firstRow="false"/>
        </w:trPr>
        <w:tc>
          <w:tcPr>
            <w:cnfStyle w:evenVBand="false" w:oddVBand="true" w:firstColumn="false"/>
            <w:tcW w:w="33.333333%" w:type="pct"/>
          </w:tcPr>
          <w:p>
            <w:pPr>
              <w:ind w:leftChars="0" w:left="0" w:right="0"/>
            </w:pPr>
            <w:r>
              <w:t>MSEL</w:t>
            </w:r>
          </w:p>
        </w:tc>
        <w:tc>
          <w:tcPr>
            <w:cnfStyle w:evenVBand="true" w:oddVBand="false" w:firstColumn="false"/>
            <w:tcW w:w="33.333333%" w:type="pct"/>
          </w:tcPr>
          <w:p>
            <w:pPr>
              <w:ind w:leftChars="0" w:left="0" w:right="0"/>
            </w:pPr>
            <w:r>
              <w:t>MSEL</w:t>
            </w:r>
          </w:p>
        </w:tc>
        <w:tc>
          <w:tcPr>
            <w:cnfStyle w:evenVBand="false" w:oddVBand="true" w:firstColumn="false"/>
            <w:tcW w:w="33.333333%" w:type="pct"/>
          </w:tcPr>
          <w:p>
            <w:pPr>
              <w:ind w:leftChars="0" w:left="0" w:right="0"/>
            </w:pPr>
            <w:r>
              <w:t>MAREX SPECTRON EUROPE LIMITED - OTF</w:t>
            </w:r>
          </w:p>
        </w:tc>
      </w:tr>
      <w:tr>
        <w:trPr>
          <w:cnfStyle w:evenHBand="false" w:oddHBand="true" w:firstRow="false"/>
        </w:trPr>
        <w:tc>
          <w:tcPr>
            <w:cnfStyle w:evenVBand="false" w:oddVBand="true" w:firstColumn="false"/>
            <w:tcW w:w="33.333333%" w:type="pct"/>
          </w:tcPr>
          <w:p>
            <w:pPr>
              <w:ind w:leftChars="0" w:left="0" w:right="0"/>
            </w:pPr>
            <w:r>
              <w:t>MSEU</w:t>
            </w:r>
          </w:p>
        </w:tc>
        <w:tc>
          <w:tcPr>
            <w:cnfStyle w:evenVBand="true" w:oddVBand="false" w:firstColumn="false"/>
            <w:tcW w:w="33.333333%" w:type="pct"/>
          </w:tcPr>
          <w:p>
            <w:pPr>
              <w:ind w:leftChars="0" w:left="0" w:right="0"/>
            </w:pPr>
            <w:r>
              <w:t>MSEU</w:t>
            </w:r>
          </w:p>
        </w:tc>
        <w:tc>
          <w:tcPr>
            <w:cnfStyle w:evenVBand="false" w:oddVBand="true" w:firstColumn="false"/>
            <w:tcW w:w="33.333333%" w:type="pct"/>
          </w:tcPr>
          <w:p>
            <w:pPr>
              <w:ind w:leftChars="0" w:left="0" w:right="0"/>
            </w:pPr>
            <w:r>
              <w:t>MORGAN STANLEY EUROPE S.E.</w:t>
            </w:r>
          </w:p>
        </w:tc>
      </w:tr>
      <w:tr>
        <w:trPr>
          <w:cnfStyle w:evenHBand="true" w:oddHBand="false" w:firstRow="false"/>
        </w:trPr>
        <w:tc>
          <w:tcPr>
            <w:cnfStyle w:evenVBand="false" w:oddVBand="true" w:firstColumn="false"/>
            <w:tcW w:w="33.333333%" w:type="pct"/>
          </w:tcPr>
          <w:p>
            <w:pPr>
              <w:ind w:leftChars="0" w:left="0" w:right="0"/>
            </w:pPr>
            <w:r>
              <w:t>MSIP</w:t>
            </w:r>
          </w:p>
        </w:tc>
        <w:tc>
          <w:tcPr>
            <w:cnfStyle w:evenVBand="true" w:oddVBand="false" w:firstColumn="false"/>
            <w:tcW w:w="33.333333%" w:type="pct"/>
          </w:tcPr>
          <w:p>
            <w:pPr>
              <w:ind w:leftChars="0" w:left="0" w:right="0"/>
            </w:pPr>
            <w:r>
              <w:t>MSIP</w:t>
            </w:r>
          </w:p>
        </w:tc>
        <w:tc>
          <w:tcPr>
            <w:cnfStyle w:evenVBand="false" w:oddVBand="true" w:firstColumn="false"/>
            <w:tcW w:w="33.333333%" w:type="pct"/>
          </w:tcPr>
          <w:p>
            <w:pPr>
              <w:ind w:leftChars="0" w:left="0" w:right="0"/>
            </w:pPr>
            <w:r>
              <w:t>MORGAN STANLEY AND CO. INTERNATIONAL PLC</w:t>
            </w:r>
          </w:p>
        </w:tc>
      </w:tr>
      <w:tr>
        <w:trPr>
          <w:cnfStyle w:evenHBand="false" w:oddHBand="true" w:firstRow="false"/>
        </w:trPr>
        <w:tc>
          <w:tcPr>
            <w:cnfStyle w:evenVBand="false" w:oddVBand="true" w:firstColumn="false"/>
            <w:tcW w:w="33.333333%" w:type="pct"/>
          </w:tcPr>
          <w:p>
            <w:pPr>
              <w:ind w:leftChars="0" w:left="0" w:right="0"/>
            </w:pPr>
            <w:r>
              <w:t>MSLP</w:t>
            </w:r>
          </w:p>
        </w:tc>
        <w:tc>
          <w:tcPr>
            <w:cnfStyle w:evenVBand="true" w:oddVBand="false" w:firstColumn="false"/>
            <w:tcW w:w="33.333333%" w:type="pct"/>
          </w:tcPr>
          <w:p>
            <w:pPr>
              <w:ind w:leftChars="0" w:left="0" w:right="0"/>
            </w:pPr>
            <w:r>
              <w:t>MSLP</w:t>
            </w:r>
          </w:p>
        </w:tc>
        <w:tc>
          <w:tcPr>
            <w:cnfStyle w:evenVBand="false" w:oddVBand="true" w:firstColumn="false"/>
            <w:tcW w:w="33.333333%" w:type="pct"/>
          </w:tcPr>
          <w:p>
            <w:pPr>
              <w:ind w:leftChars="0" w:left="0" w:right="0"/>
            </w:pPr>
            <w:r>
              <w:t>MORGAN STANLEY AUTOMATED LIQUIDITY PROVISION</w:t>
            </w:r>
          </w:p>
        </w:tc>
      </w:tr>
      <w:tr>
        <w:trPr>
          <w:cnfStyle w:evenHBand="true" w:oddHBand="false" w:firstRow="false"/>
        </w:trPr>
        <w:tc>
          <w:tcPr>
            <w:cnfStyle w:evenVBand="false" w:oddVBand="true" w:firstColumn="false"/>
            <w:tcW w:w="33.333333%" w:type="pct"/>
          </w:tcPr>
          <w:p>
            <w:pPr>
              <w:ind w:leftChars="0" w:left="0" w:right="0"/>
            </w:pPr>
            <w:r>
              <w:t>MSMS</w:t>
            </w:r>
          </w:p>
        </w:tc>
        <w:tc>
          <w:tcPr>
            <w:cnfStyle w:evenVBand="true" w:oddVBand="false" w:firstColumn="false"/>
            <w:tcW w:w="33.333333%" w:type="pct"/>
          </w:tcPr>
          <w:p>
            <w:pPr>
              <w:ind w:leftChars="0" w:left="0" w:right="0"/>
            </w:pPr>
            <w:r>
              <w:t>MSMS</w:t>
            </w:r>
          </w:p>
        </w:tc>
        <w:tc>
          <w:tcPr>
            <w:cnfStyle w:evenVBand="false" w:oddVBand="true" w:firstColumn="false"/>
            <w:tcW w:w="33.333333%" w:type="pct"/>
          </w:tcPr>
          <w:p>
            <w:pPr>
              <w:ind w:leftChars="0" w:left="0" w:right="0"/>
            </w:pPr>
            <w:r>
              <w:t>MORGAN STANLEY MUFG SECURITIES CO., LTD</w:t>
            </w:r>
          </w:p>
        </w:tc>
      </w:tr>
      <w:tr>
        <w:trPr>
          <w:cnfStyle w:evenHBand="false" w:oddHBand="true" w:firstRow="false"/>
        </w:trPr>
        <w:tc>
          <w:tcPr>
            <w:cnfStyle w:evenVBand="false" w:oddVBand="true" w:firstColumn="false"/>
            <w:tcW w:w="33.333333%" w:type="pct"/>
          </w:tcPr>
          <w:p>
            <w:pPr>
              <w:ind w:leftChars="0" w:left="0" w:right="0"/>
            </w:pPr>
            <w:r>
              <w:t>MSNT</w:t>
            </w:r>
          </w:p>
        </w:tc>
        <w:tc>
          <w:tcPr>
            <w:cnfStyle w:evenVBand="true" w:oddVBand="false" w:firstColumn="false"/>
            <w:tcW w:w="33.333333%" w:type="pct"/>
          </w:tcPr>
          <w:p>
            <w:pPr>
              <w:ind w:leftChars="0" w:left="0" w:right="0"/>
            </w:pPr>
            <w:r>
              <w:t>MSNT</w:t>
            </w:r>
          </w:p>
        </w:tc>
        <w:tc>
          <w:tcPr>
            <w:cnfStyle w:evenVBand="false" w:oddVBand="true" w:firstColumn="false"/>
            <w:tcW w:w="33.333333%" w:type="pct"/>
          </w:tcPr>
          <w:p>
            <w:pPr>
              <w:ind w:leftChars="0" w:left="0" w:right="0"/>
            </w:pPr>
            <w:r>
              <w:t>MORGAN STANLEY MTF - NEGOTIATED TRADE</w:t>
            </w:r>
          </w:p>
        </w:tc>
      </w:tr>
      <w:tr>
        <w:trPr>
          <w:cnfStyle w:evenHBand="true" w:oddHBand="false" w:firstRow="false"/>
        </w:trPr>
        <w:tc>
          <w:tcPr>
            <w:cnfStyle w:evenVBand="false" w:oddVBand="true" w:firstColumn="false"/>
            <w:tcW w:w="33.333333%" w:type="pct"/>
          </w:tcPr>
          <w:p>
            <w:pPr>
              <w:ind w:leftChars="0" w:left="0" w:right="0"/>
            </w:pPr>
            <w:r>
              <w:t>MSPL</w:t>
            </w:r>
          </w:p>
        </w:tc>
        <w:tc>
          <w:tcPr>
            <w:cnfStyle w:evenVBand="true" w:oddVBand="false" w:firstColumn="false"/>
            <w:tcW w:w="33.333333%" w:type="pct"/>
          </w:tcPr>
          <w:p>
            <w:pPr>
              <w:ind w:leftChars="0" w:left="0" w:right="0"/>
            </w:pPr>
            <w:r>
              <w:t>MSPL</w:t>
            </w:r>
          </w:p>
        </w:tc>
        <w:tc>
          <w:tcPr>
            <w:cnfStyle w:evenVBand="false" w:oddVBand="true" w:firstColumn="false"/>
            <w:tcW w:w="33.333333%" w:type="pct"/>
          </w:tcPr>
          <w:p>
            <w:pPr>
              <w:ind w:leftChars="0" w:left="0" w:right="0"/>
            </w:pPr>
            <w:r>
              <w:t>MS POOL</w:t>
            </w:r>
          </w:p>
        </w:tc>
      </w:tr>
      <w:tr>
        <w:trPr>
          <w:cnfStyle w:evenHBand="false" w:oddHBand="true" w:firstRow="false"/>
        </w:trPr>
        <w:tc>
          <w:tcPr>
            <w:cnfStyle w:evenVBand="false" w:oddVBand="true" w:firstColumn="false"/>
            <w:tcW w:w="33.333333%" w:type="pct"/>
          </w:tcPr>
          <w:p>
            <w:pPr>
              <w:ind w:leftChars="0" w:left="0" w:right="0"/>
            </w:pPr>
            <w:r>
              <w:t>MSRP</w:t>
            </w:r>
          </w:p>
        </w:tc>
        <w:tc>
          <w:tcPr>
            <w:cnfStyle w:evenVBand="true" w:oddVBand="false" w:firstColumn="false"/>
            <w:tcW w:w="33.333333%" w:type="pct"/>
          </w:tcPr>
          <w:p>
            <w:pPr>
              <w:ind w:leftChars="0" w:left="0" w:right="0"/>
            </w:pPr>
            <w:r>
              <w:t>MSRP</w:t>
            </w:r>
          </w:p>
        </w:tc>
        <w:tc>
          <w:tcPr>
            <w:cnfStyle w:evenVBand="false" w:oddVBand="true" w:firstColumn="false"/>
            <w:tcW w:w="33.333333%" w:type="pct"/>
          </w:tcPr>
          <w:p>
            <w:pPr>
              <w:ind w:leftChars="0" w:left="0" w:right="0"/>
            </w:pPr>
            <w:r>
              <w:t>MS RPOOL</w:t>
            </w:r>
          </w:p>
        </w:tc>
      </w:tr>
      <w:tr>
        <w:trPr>
          <w:cnfStyle w:evenHBand="true" w:oddHBand="false" w:firstRow="false"/>
        </w:trPr>
        <w:tc>
          <w:tcPr>
            <w:cnfStyle w:evenVBand="false" w:oddVBand="true" w:firstColumn="false"/>
            <w:tcW w:w="33.333333%" w:type="pct"/>
          </w:tcPr>
          <w:p>
            <w:pPr>
              <w:ind w:leftChars="0" w:left="0" w:right="0"/>
            </w:pPr>
            <w:r>
              <w:t>MSSI</w:t>
            </w:r>
          </w:p>
        </w:tc>
        <w:tc>
          <w:tcPr>
            <w:cnfStyle w:evenVBand="true" w:oddVBand="false" w:firstColumn="false"/>
            <w:tcW w:w="33.333333%" w:type="pct"/>
          </w:tcPr>
          <w:p>
            <w:pPr>
              <w:ind w:leftChars="0" w:left="0" w:right="0"/>
            </w:pPr>
            <w:r>
              <w:t>MSSI</w:t>
            </w:r>
          </w:p>
        </w:tc>
        <w:tc>
          <w:tcPr>
            <w:cnfStyle w:evenVBand="false" w:oddVBand="true" w:firstColumn="false"/>
            <w:tcW w:w="33.333333%" w:type="pct"/>
          </w:tcPr>
          <w:p>
            <w:pPr>
              <w:ind w:leftChars="0" w:left="0" w:right="0"/>
            </w:pPr>
            <w:r>
              <w:t>MORGAN STANLEY AND CO. INTERNATIONAL PLC - SYSTEMATIC INTERNALISER</w:t>
            </w:r>
          </w:p>
        </w:tc>
      </w:tr>
      <w:tr>
        <w:trPr>
          <w:cnfStyle w:evenHBand="false" w:oddHBand="true" w:firstRow="false"/>
        </w:trPr>
        <w:tc>
          <w:tcPr>
            <w:cnfStyle w:evenVBand="false" w:oddVBand="true" w:firstColumn="false"/>
            <w:tcW w:w="33.333333%" w:type="pct"/>
          </w:tcPr>
          <w:p>
            <w:pPr>
              <w:ind w:leftChars="0" w:left="0" w:right="0"/>
            </w:pPr>
            <w:r>
              <w:t>MSTC</w:t>
            </w:r>
          </w:p>
        </w:tc>
        <w:tc>
          <w:tcPr>
            <w:cnfStyle w:evenVBand="true" w:oddVBand="false" w:firstColumn="false"/>
            <w:tcW w:w="33.333333%" w:type="pct"/>
          </w:tcPr>
          <w:p>
            <w:pPr>
              <w:ind w:leftChars="0" w:left="0" w:right="0"/>
            </w:pPr>
            <w:r>
              <w:t>MSTC</w:t>
            </w:r>
          </w:p>
        </w:tc>
        <w:tc>
          <w:tcPr>
            <w:cnfStyle w:evenVBand="false" w:oddVBand="true" w:firstColumn="false"/>
            <w:tcW w:w="33.333333%" w:type="pct"/>
          </w:tcPr>
          <w:p>
            <w:pPr>
              <w:ind w:leftChars="0" w:left="0" w:right="0"/>
            </w:pPr>
            <w:r>
              <w:t>MS TRAJECTORY CROSSING ATS</w:t>
            </w:r>
          </w:p>
        </w:tc>
      </w:tr>
      <w:tr>
        <w:trPr>
          <w:cnfStyle w:evenHBand="true" w:oddHBand="false" w:firstRow="false"/>
        </w:trPr>
        <w:tc>
          <w:tcPr>
            <w:cnfStyle w:evenVBand="false" w:oddVBand="true" w:firstColumn="false"/>
            <w:tcW w:w="33.333333%" w:type="pct"/>
          </w:tcPr>
          <w:p>
            <w:pPr>
              <w:ind w:leftChars="0" w:left="0" w:right="0"/>
            </w:pPr>
            <w:r>
              <w:t>MSTO</w:t>
            </w:r>
          </w:p>
        </w:tc>
        <w:tc>
          <w:tcPr>
            <w:cnfStyle w:evenVBand="true" w:oddVBand="false" w:firstColumn="false"/>
            <w:tcW w:w="33.333333%" w:type="pct"/>
          </w:tcPr>
          <w:p>
            <w:pPr>
              <w:ind w:leftChars="0" w:left="0" w:right="0"/>
            </w:pPr>
            <w:r>
              <w:t>MSTO</w:t>
            </w:r>
          </w:p>
        </w:tc>
        <w:tc>
          <w:tcPr>
            <w:cnfStyle w:evenVBand="false" w:oddVBand="true" w:firstColumn="false"/>
            <w:tcW w:w="33.333333%" w:type="pct"/>
          </w:tcPr>
          <w:p>
            <w:pPr>
              <w:ind w:leftChars="0" w:left="0" w:right="0"/>
            </w:pPr>
            <w:r>
              <w:t>NASDAQ STOCKHOLM AB - AUCTION ON DEMAND</w:t>
            </w:r>
          </w:p>
        </w:tc>
      </w:tr>
      <w:tr>
        <w:trPr>
          <w:cnfStyle w:evenHBand="false" w:oddHBand="true" w:firstRow="false"/>
        </w:trPr>
        <w:tc>
          <w:tcPr>
            <w:cnfStyle w:evenVBand="false" w:oddVBand="true" w:firstColumn="false"/>
            <w:tcW w:w="33.333333%" w:type="pct"/>
          </w:tcPr>
          <w:p>
            <w:pPr>
              <w:ind w:leftChars="0" w:left="0" w:right="0"/>
            </w:pPr>
            <w:r>
              <w:t>MSTX</w:t>
            </w:r>
          </w:p>
        </w:tc>
        <w:tc>
          <w:tcPr>
            <w:cnfStyle w:evenVBand="true" w:oddVBand="false" w:firstColumn="false"/>
            <w:tcW w:w="33.333333%" w:type="pct"/>
          </w:tcPr>
          <w:p>
            <w:pPr>
              <w:ind w:leftChars="0" w:left="0" w:right="0"/>
            </w:pPr>
            <w:r>
              <w:t>MSTX</w:t>
            </w:r>
          </w:p>
        </w:tc>
        <w:tc>
          <w:tcPr>
            <w:cnfStyle w:evenVBand="false" w:oddVBand="true" w:firstColumn="false"/>
            <w:tcW w:w="33.333333%" w:type="pct"/>
          </w:tcPr>
          <w:p>
            <w:pPr>
              <w:ind w:leftChars="0" w:left="0" w:right="0"/>
            </w:pPr>
            <w:r>
              <w:t>MS TRAJECTORY CROSS</w:t>
            </w:r>
          </w:p>
        </w:tc>
      </w:tr>
      <w:tr>
        <w:trPr>
          <w:cnfStyle w:evenHBand="true" w:oddHBand="false" w:firstRow="false"/>
        </w:trPr>
        <w:tc>
          <w:tcPr>
            <w:cnfStyle w:evenVBand="false" w:oddVBand="true" w:firstColumn="false"/>
            <w:tcW w:w="33.333333%" w:type="pct"/>
          </w:tcPr>
          <w:p>
            <w:pPr>
              <w:ind w:leftChars="0" w:left="0" w:right="0"/>
            </w:pPr>
            <w:r>
              <w:t>MSWP</w:t>
            </w:r>
          </w:p>
        </w:tc>
        <w:tc>
          <w:tcPr>
            <w:cnfStyle w:evenVBand="true" w:oddVBand="false" w:firstColumn="false"/>
            <w:tcW w:w="33.333333%" w:type="pct"/>
          </w:tcPr>
          <w:p>
            <w:pPr>
              <w:ind w:leftChars="0" w:left="0" w:right="0"/>
            </w:pPr>
            <w:r>
              <w:t>MSWP</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MTAA</w:t>
            </w:r>
          </w:p>
        </w:tc>
        <w:tc>
          <w:tcPr>
            <w:cnfStyle w:evenVBand="true" w:oddVBand="false" w:firstColumn="false"/>
            <w:tcW w:w="33.333333%" w:type="pct"/>
          </w:tcPr>
          <w:p>
            <w:pPr>
              <w:ind w:leftChars="0" w:left="0" w:right="0"/>
            </w:pPr>
            <w:r>
              <w:t>MTAA</w:t>
            </w:r>
          </w:p>
        </w:tc>
        <w:tc>
          <w:tcPr>
            <w:cnfStyle w:evenVBand="false" w:oddVBand="true" w:firstColumn="false"/>
            <w:tcW w:w="33.333333%" w:type="pct"/>
          </w:tcPr>
          <w:p>
            <w:pPr>
              <w:ind w:leftChars="0" w:left="0" w:right="0"/>
            </w:pPr>
            <w:r>
              <w:t>EURONEXT MILAN</w:t>
            </w:r>
          </w:p>
        </w:tc>
      </w:tr>
      <w:tr>
        <w:trPr>
          <w:cnfStyle w:evenHBand="true" w:oddHBand="false" w:firstRow="false"/>
        </w:trPr>
        <w:tc>
          <w:tcPr>
            <w:cnfStyle w:evenVBand="false" w:oddVBand="true" w:firstColumn="false"/>
            <w:tcW w:w="33.333333%" w:type="pct"/>
          </w:tcPr>
          <w:p>
            <w:pPr>
              <w:ind w:leftChars="0" w:left="0" w:right="0"/>
            </w:pPr>
            <w:r>
              <w:t>MTAH</w:t>
            </w:r>
          </w:p>
        </w:tc>
        <w:tc>
          <w:tcPr>
            <w:cnfStyle w:evenVBand="true" w:oddVBand="false" w:firstColumn="false"/>
            <w:tcW w:w="33.333333%" w:type="pct"/>
          </w:tcPr>
          <w:p>
            <w:pPr>
              <w:ind w:leftChars="0" w:left="0" w:right="0"/>
            </w:pPr>
            <w:r>
              <w:t>MTAH</w:t>
            </w:r>
          </w:p>
        </w:tc>
        <w:tc>
          <w:tcPr>
            <w:cnfStyle w:evenVBand="false" w:oddVBand="true" w:firstColumn="false"/>
            <w:tcW w:w="33.333333%" w:type="pct"/>
          </w:tcPr>
          <w:p>
            <w:pPr>
              <w:ind w:leftChars="0" w:left="0" w:right="0"/>
            </w:pPr>
            <w:r>
              <w:t>BORSA ITALIANA EQUITY MTF</w:t>
            </w:r>
          </w:p>
        </w:tc>
      </w:tr>
      <w:tr>
        <w:trPr>
          <w:cnfStyle w:evenHBand="false" w:oddHBand="true" w:firstRow="false"/>
        </w:trPr>
        <w:tc>
          <w:tcPr>
            <w:cnfStyle w:evenVBand="false" w:oddVBand="true" w:firstColumn="false"/>
            <w:tcW w:w="33.333333%" w:type="pct"/>
          </w:tcPr>
          <w:p>
            <w:pPr>
              <w:ind w:leftChars="0" w:left="0" w:right="0"/>
            </w:pPr>
            <w:r>
              <w:t>MTAX</w:t>
            </w:r>
          </w:p>
        </w:tc>
        <w:tc>
          <w:tcPr>
            <w:cnfStyle w:evenVBand="true" w:oddVBand="false" w:firstColumn="false"/>
            <w:tcW w:w="33.333333%" w:type="pct"/>
          </w:tcPr>
          <w:p>
            <w:pPr>
              <w:ind w:leftChars="0" w:left="0" w:right="0"/>
            </w:pPr>
            <w:r>
              <w:t>MTAX</w:t>
            </w:r>
          </w:p>
        </w:tc>
        <w:tc>
          <w:tcPr>
            <w:cnfStyle w:evenVBand="false" w:oddVBand="true" w:firstColumn="false"/>
            <w:tcW w:w="33.333333%" w:type="pct"/>
          </w:tcPr>
          <w:p>
            <w:pPr>
              <w:ind w:leftChars="0" w:left="0" w:right="0"/>
            </w:pPr>
            <w:r>
              <w:t>MTAX</w:t>
            </w:r>
          </w:p>
        </w:tc>
      </w:tr>
      <w:tr>
        <w:trPr>
          <w:cnfStyle w:evenHBand="true" w:oddHBand="false" w:firstRow="false"/>
        </w:trPr>
        <w:tc>
          <w:tcPr>
            <w:cnfStyle w:evenVBand="false" w:oddVBand="true" w:firstColumn="false"/>
            <w:tcW w:w="33.333333%" w:type="pct"/>
          </w:tcPr>
          <w:p>
            <w:pPr>
              <w:ind w:leftChars="0" w:left="0" w:right="0"/>
            </w:pPr>
            <w:r>
              <w:t>MTCH</w:t>
            </w:r>
          </w:p>
        </w:tc>
        <w:tc>
          <w:tcPr>
            <w:cnfStyle w:evenVBand="true" w:oddVBand="false" w:firstColumn="false"/>
            <w:tcW w:w="33.333333%" w:type="pct"/>
          </w:tcPr>
          <w:p>
            <w:pPr>
              <w:ind w:leftChars="0" w:left="0" w:right="0"/>
            </w:pPr>
            <w:r>
              <w:t>MTCH</w:t>
            </w:r>
          </w:p>
        </w:tc>
        <w:tc>
          <w:tcPr>
            <w:cnfStyle w:evenVBand="false" w:oddVBand="true" w:firstColumn="false"/>
            <w:tcW w:w="33.333333%" w:type="pct"/>
          </w:tcPr>
          <w:p>
            <w:pPr>
              <w:ind w:leftChars="0" w:left="0" w:right="0"/>
            </w:pPr>
            <w:r>
              <w:t>BONDMATCH</w:t>
            </w:r>
          </w:p>
        </w:tc>
      </w:tr>
      <w:tr>
        <w:trPr>
          <w:cnfStyle w:evenHBand="false" w:oddHBand="true" w:firstRow="false"/>
        </w:trPr>
        <w:tc>
          <w:tcPr>
            <w:cnfStyle w:evenVBand="false" w:oddVBand="true" w:firstColumn="false"/>
            <w:tcW w:w="33.333333%" w:type="pct"/>
          </w:tcPr>
          <w:p>
            <w:pPr>
              <w:ind w:leftChars="0" w:left="0" w:right="0"/>
            </w:pPr>
            <w:r>
              <w:t>MTSA</w:t>
            </w:r>
          </w:p>
        </w:tc>
        <w:tc>
          <w:tcPr>
            <w:cnfStyle w:evenVBand="true" w:oddVBand="false" w:firstColumn="false"/>
            <w:tcW w:w="33.333333%" w:type="pct"/>
          </w:tcPr>
          <w:p>
            <w:pPr>
              <w:ind w:leftChars="0" w:left="0" w:right="0"/>
            </w:pPr>
            <w:r>
              <w:t>MTSA</w:t>
            </w:r>
          </w:p>
        </w:tc>
        <w:tc>
          <w:tcPr>
            <w:cnfStyle w:evenVBand="false" w:oddVBand="true" w:firstColumn="false"/>
            <w:tcW w:w="33.333333%" w:type="pct"/>
          </w:tcPr>
          <w:p>
            <w:pPr>
              <w:ind w:leftChars="0" w:left="0" w:right="0"/>
            </w:pPr>
            <w:r>
              <w:t>MTS AUSTRIA</w:t>
            </w:r>
          </w:p>
        </w:tc>
      </w:tr>
      <w:tr>
        <w:trPr>
          <w:cnfStyle w:evenHBand="true" w:oddHBand="false" w:firstRow="false"/>
        </w:trPr>
        <w:tc>
          <w:tcPr>
            <w:cnfStyle w:evenVBand="false" w:oddVBand="true" w:firstColumn="false"/>
            <w:tcW w:w="33.333333%" w:type="pct"/>
          </w:tcPr>
          <w:p>
            <w:pPr>
              <w:ind w:leftChars="0" w:left="0" w:right="0"/>
            </w:pPr>
            <w:r>
              <w:t>MTSB</w:t>
            </w:r>
          </w:p>
        </w:tc>
        <w:tc>
          <w:tcPr>
            <w:cnfStyle w:evenVBand="true" w:oddVBand="false" w:firstColumn="false"/>
            <w:tcW w:w="33.333333%" w:type="pct"/>
          </w:tcPr>
          <w:p>
            <w:pPr>
              <w:ind w:leftChars="0" w:left="0" w:right="0"/>
            </w:pPr>
            <w:r>
              <w:t>MTSB</w:t>
            </w:r>
          </w:p>
        </w:tc>
        <w:tc>
          <w:tcPr>
            <w:cnfStyle w:evenVBand="false" w:oddVBand="true" w:firstColumn="false"/>
            <w:tcW w:w="33.333333%" w:type="pct"/>
          </w:tcPr>
          <w:p>
            <w:pPr>
              <w:ind w:leftChars="0" w:left="0" w:right="0"/>
            </w:pPr>
            <w:r>
              <w:t>MTS BONDS.COM</w:t>
            </w:r>
          </w:p>
        </w:tc>
      </w:tr>
      <w:tr>
        <w:trPr>
          <w:cnfStyle w:evenHBand="false" w:oddHBand="true" w:firstRow="false"/>
        </w:trPr>
        <w:tc>
          <w:tcPr>
            <w:cnfStyle w:evenVBand="false" w:oddVBand="true" w:firstColumn="false"/>
            <w:tcW w:w="33.333333%" w:type="pct"/>
          </w:tcPr>
          <w:p>
            <w:pPr>
              <w:ind w:leftChars="0" w:left="0" w:right="0"/>
            </w:pPr>
            <w:r>
              <w:t>MTSC</w:t>
            </w:r>
          </w:p>
        </w:tc>
        <w:tc>
          <w:tcPr>
            <w:cnfStyle w:evenVBand="true" w:oddVBand="false" w:firstColumn="false"/>
            <w:tcW w:w="33.333333%" w:type="pct"/>
          </w:tcPr>
          <w:p>
            <w:pPr>
              <w:ind w:leftChars="0" w:left="0" w:right="0"/>
            </w:pPr>
            <w:r>
              <w:t>MTSC</w:t>
            </w:r>
          </w:p>
        </w:tc>
        <w:tc>
          <w:tcPr>
            <w:cnfStyle w:evenVBand="false" w:oddVBand="true" w:firstColumn="false"/>
            <w:tcW w:w="33.333333%" w:type="pct"/>
          </w:tcPr>
          <w:p>
            <w:pPr>
              <w:ind w:leftChars="0" w:left="0" w:right="0"/>
            </w:pPr>
            <w:r>
              <w:t>MTS ITALIA</w:t>
            </w:r>
          </w:p>
        </w:tc>
      </w:tr>
      <w:tr>
        <w:trPr>
          <w:cnfStyle w:evenHBand="true" w:oddHBand="false" w:firstRow="false"/>
        </w:trPr>
        <w:tc>
          <w:tcPr>
            <w:cnfStyle w:evenVBand="false" w:oddVBand="true" w:firstColumn="false"/>
            <w:tcW w:w="33.333333%" w:type="pct"/>
          </w:tcPr>
          <w:p>
            <w:pPr>
              <w:ind w:leftChars="0" w:left="0" w:right="0"/>
            </w:pPr>
            <w:r>
              <w:t>MTSD</w:t>
            </w:r>
          </w:p>
        </w:tc>
        <w:tc>
          <w:tcPr>
            <w:cnfStyle w:evenVBand="true" w:oddVBand="false" w:firstColumn="false"/>
            <w:tcW w:w="33.333333%" w:type="pct"/>
          </w:tcPr>
          <w:p>
            <w:pPr>
              <w:ind w:leftChars="0" w:left="0" w:right="0"/>
            </w:pPr>
            <w:r>
              <w:t>MTSD</w:t>
            </w:r>
          </w:p>
        </w:tc>
        <w:tc>
          <w:tcPr>
            <w:cnfStyle w:evenVBand="false" w:oddVBand="true" w:firstColumn="false"/>
            <w:tcW w:w="33.333333%" w:type="pct"/>
          </w:tcPr>
          <w:p>
            <w:pPr>
              <w:ind w:leftChars="0" w:left="0" w:right="0"/>
            </w:pPr>
            <w:r>
              <w:t>MTS DENMARK</w:t>
            </w:r>
          </w:p>
        </w:tc>
      </w:tr>
      <w:tr>
        <w:trPr>
          <w:cnfStyle w:evenHBand="false" w:oddHBand="true" w:firstRow="false"/>
        </w:trPr>
        <w:tc>
          <w:tcPr>
            <w:cnfStyle w:evenVBand="false" w:oddVBand="true" w:firstColumn="false"/>
            <w:tcW w:w="33.333333%" w:type="pct"/>
          </w:tcPr>
          <w:p>
            <w:pPr>
              <w:ind w:leftChars="0" w:left="0" w:right="0"/>
            </w:pPr>
            <w:r>
              <w:t>MTSF</w:t>
            </w:r>
          </w:p>
        </w:tc>
        <w:tc>
          <w:tcPr>
            <w:cnfStyle w:evenVBand="true" w:oddVBand="false" w:firstColumn="false"/>
            <w:tcW w:w="33.333333%" w:type="pct"/>
          </w:tcPr>
          <w:p>
            <w:pPr>
              <w:ind w:leftChars="0" w:left="0" w:right="0"/>
            </w:pPr>
            <w:r>
              <w:t>MTSF</w:t>
            </w:r>
          </w:p>
        </w:tc>
        <w:tc>
          <w:tcPr>
            <w:cnfStyle w:evenVBand="false" w:oddVBand="true" w:firstColumn="false"/>
            <w:tcW w:w="33.333333%" w:type="pct"/>
          </w:tcPr>
          <w:p>
            <w:pPr>
              <w:ind w:leftChars="0" w:left="0" w:right="0"/>
            </w:pPr>
            <w:r>
              <w:t>MTS FINLAND</w:t>
            </w:r>
          </w:p>
        </w:tc>
      </w:tr>
      <w:tr>
        <w:trPr>
          <w:cnfStyle w:evenHBand="true" w:oddHBand="false" w:firstRow="false"/>
        </w:trPr>
        <w:tc>
          <w:tcPr>
            <w:cnfStyle w:evenVBand="false" w:oddVBand="true" w:firstColumn="false"/>
            <w:tcW w:w="33.333333%" w:type="pct"/>
          </w:tcPr>
          <w:p>
            <w:pPr>
              <w:ind w:leftChars="0" w:left="0" w:right="0"/>
            </w:pPr>
            <w:r>
              <w:t>MTSG</w:t>
            </w:r>
          </w:p>
        </w:tc>
        <w:tc>
          <w:tcPr>
            <w:cnfStyle w:evenVBand="true" w:oddVBand="false" w:firstColumn="false"/>
            <w:tcW w:w="33.333333%" w:type="pct"/>
          </w:tcPr>
          <w:p>
            <w:pPr>
              <w:ind w:leftChars="0" w:left="0" w:right="0"/>
            </w:pPr>
            <w:r>
              <w:t>MTSG</w:t>
            </w:r>
          </w:p>
        </w:tc>
        <w:tc>
          <w:tcPr>
            <w:cnfStyle w:evenVBand="false" w:oddVBand="true" w:firstColumn="false"/>
            <w:tcW w:w="33.333333%" w:type="pct"/>
          </w:tcPr>
          <w:p>
            <w:pPr>
              <w:ind w:leftChars="0" w:left="0" w:right="0"/>
            </w:pPr>
            <w:r>
              <w:t>MTS GREECE</w:t>
            </w:r>
          </w:p>
        </w:tc>
      </w:tr>
      <w:tr>
        <w:trPr>
          <w:cnfStyle w:evenHBand="false" w:oddHBand="true" w:firstRow="false"/>
        </w:trPr>
        <w:tc>
          <w:tcPr>
            <w:cnfStyle w:evenVBand="false" w:oddVBand="true" w:firstColumn="false"/>
            <w:tcW w:w="33.333333%" w:type="pct"/>
          </w:tcPr>
          <w:p>
            <w:pPr>
              <w:ind w:leftChars="0" w:left="0" w:right="0"/>
            </w:pPr>
            <w:r>
              <w:t>MTSM</w:t>
            </w:r>
          </w:p>
        </w:tc>
        <w:tc>
          <w:tcPr>
            <w:cnfStyle w:evenVBand="true" w:oddVBand="false" w:firstColumn="false"/>
            <w:tcW w:w="33.333333%" w:type="pct"/>
          </w:tcPr>
          <w:p>
            <w:pPr>
              <w:ind w:leftChars="0" w:left="0" w:right="0"/>
            </w:pPr>
            <w:r>
              <w:t>MTSM</w:t>
            </w:r>
          </w:p>
        </w:tc>
        <w:tc>
          <w:tcPr>
            <w:cnfStyle w:evenVBand="false" w:oddVBand="true" w:firstColumn="false"/>
            <w:tcW w:w="33.333333%" w:type="pct"/>
          </w:tcPr>
          <w:p>
            <w:pPr>
              <w:ind w:leftChars="0" w:left="0" w:right="0"/>
            </w:pPr>
            <w:r>
              <w:t>MTS CORPORATE MARKET</w:t>
            </w:r>
          </w:p>
        </w:tc>
      </w:tr>
      <w:tr>
        <w:trPr>
          <w:cnfStyle w:evenHBand="true" w:oddHBand="false" w:firstRow="false"/>
        </w:trPr>
        <w:tc>
          <w:tcPr>
            <w:cnfStyle w:evenVBand="false" w:oddVBand="true" w:firstColumn="false"/>
            <w:tcW w:w="33.333333%" w:type="pct"/>
          </w:tcPr>
          <w:p>
            <w:pPr>
              <w:ind w:leftChars="0" w:left="0" w:right="0"/>
            </w:pPr>
            <w:r>
              <w:t>MTSO</w:t>
            </w:r>
          </w:p>
        </w:tc>
        <w:tc>
          <w:tcPr>
            <w:cnfStyle w:evenVBand="true" w:oddVBand="false" w:firstColumn="false"/>
            <w:tcW w:w="33.333333%" w:type="pct"/>
          </w:tcPr>
          <w:p>
            <w:pPr>
              <w:ind w:leftChars="0" w:left="0" w:right="0"/>
            </w:pPr>
            <w:r>
              <w:t>MTSO</w:t>
            </w:r>
          </w:p>
        </w:tc>
        <w:tc>
          <w:tcPr>
            <w:cnfStyle w:evenVBand="false" w:oddVBand="true" w:firstColumn="false"/>
            <w:tcW w:w="33.333333%" w:type="pct"/>
          </w:tcPr>
          <w:p>
            <w:pPr>
              <w:ind w:leftChars="0" w:left="0" w:right="0"/>
            </w:pPr>
            <w:r>
              <w:t>MTS S.P.A.</w:t>
            </w:r>
          </w:p>
        </w:tc>
      </w:tr>
      <w:tr>
        <w:trPr>
          <w:cnfStyle w:evenHBand="false" w:oddHBand="true" w:firstRow="false"/>
        </w:trPr>
        <w:tc>
          <w:tcPr>
            <w:cnfStyle w:evenVBand="false" w:oddVBand="true" w:firstColumn="false"/>
            <w:tcW w:w="33.333333%" w:type="pct"/>
          </w:tcPr>
          <w:p>
            <w:pPr>
              <w:ind w:leftChars="0" w:left="0" w:right="0"/>
            </w:pPr>
            <w:r>
              <w:t>MTSP</w:t>
            </w:r>
          </w:p>
        </w:tc>
        <w:tc>
          <w:tcPr>
            <w:cnfStyle w:evenVBand="true" w:oddVBand="false" w:firstColumn="false"/>
            <w:tcW w:w="33.333333%" w:type="pct"/>
          </w:tcPr>
          <w:p>
            <w:pPr>
              <w:ind w:leftChars="0" w:left="0" w:right="0"/>
            </w:pPr>
            <w:r>
              <w:t>MTSP</w:t>
            </w:r>
          </w:p>
        </w:tc>
        <w:tc>
          <w:tcPr>
            <w:cnfStyle w:evenVBand="false" w:oddVBand="true" w:firstColumn="false"/>
            <w:tcW w:w="33.333333%" w:type="pct"/>
          </w:tcPr>
          <w:p>
            <w:pPr>
              <w:ind w:leftChars="0" w:left="0" w:right="0"/>
            </w:pPr>
            <w:r>
              <w:t>MTS POLAND</w:t>
            </w:r>
          </w:p>
        </w:tc>
      </w:tr>
      <w:tr>
        <w:trPr>
          <w:cnfStyle w:evenHBand="true" w:oddHBand="false" w:firstRow="false"/>
        </w:trPr>
        <w:tc>
          <w:tcPr>
            <w:cnfStyle w:evenVBand="false" w:oddVBand="true" w:firstColumn="false"/>
            <w:tcW w:w="33.333333%" w:type="pct"/>
          </w:tcPr>
          <w:p>
            <w:pPr>
              <w:ind w:leftChars="0" w:left="0" w:right="0"/>
            </w:pPr>
            <w:r>
              <w:t>MTSS</w:t>
            </w:r>
          </w:p>
        </w:tc>
        <w:tc>
          <w:tcPr>
            <w:cnfStyle w:evenVBand="true" w:oddVBand="false" w:firstColumn="false"/>
            <w:tcW w:w="33.333333%" w:type="pct"/>
          </w:tcPr>
          <w:p>
            <w:pPr>
              <w:ind w:leftChars="0" w:left="0" w:right="0"/>
            </w:pPr>
            <w:r>
              <w:t>MTSS</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MTSW</w:t>
            </w:r>
          </w:p>
        </w:tc>
        <w:tc>
          <w:tcPr>
            <w:cnfStyle w:evenVBand="true" w:oddVBand="false" w:firstColumn="false"/>
            <w:tcW w:w="33.333333%" w:type="pct"/>
          </w:tcPr>
          <w:p>
            <w:pPr>
              <w:ind w:leftChars="0" w:left="0" w:right="0"/>
            </w:pPr>
            <w:r>
              <w:t>MTSW</w:t>
            </w:r>
          </w:p>
        </w:tc>
        <w:tc>
          <w:tcPr>
            <w:cnfStyle w:evenVBand="false" w:oddVBand="true" w:firstColumn="false"/>
            <w:tcW w:w="33.333333%" w:type="pct"/>
          </w:tcPr>
          <w:p>
            <w:pPr>
              <w:ind w:leftChars="0" w:left="0" w:right="0"/>
            </w:pPr>
            <w:r>
              <w:t>MTS SWAP MARKET</w:t>
            </w:r>
          </w:p>
        </w:tc>
      </w:tr>
      <w:tr>
        <w:trPr>
          <w:cnfStyle w:evenHBand="true" w:oddHBand="false" w:firstRow="false"/>
        </w:trPr>
        <w:tc>
          <w:tcPr>
            <w:cnfStyle w:evenVBand="false" w:oddVBand="true" w:firstColumn="false"/>
            <w:tcW w:w="33.333333%" w:type="pct"/>
          </w:tcPr>
          <w:p>
            <w:pPr>
              <w:ind w:leftChars="0" w:left="0" w:right="0"/>
            </w:pPr>
            <w:r>
              <w:t>MTUS</w:t>
            </w:r>
          </w:p>
        </w:tc>
        <w:tc>
          <w:tcPr>
            <w:cnfStyle w:evenVBand="true" w:oddVBand="false" w:firstColumn="false"/>
            <w:tcW w:w="33.333333%" w:type="pct"/>
          </w:tcPr>
          <w:p>
            <w:pPr>
              <w:ind w:leftChars="0" w:left="0" w:right="0"/>
            </w:pPr>
            <w:r>
              <w:t>MTUS</w:t>
            </w:r>
          </w:p>
        </w:tc>
        <w:tc>
          <w:tcPr>
            <w:cnfStyle w:evenVBand="false" w:oddVBand="true" w:firstColumn="false"/>
            <w:tcW w:w="33.333333%" w:type="pct"/>
          </w:tcPr>
          <w:p>
            <w:pPr>
              <w:ind w:leftChars="0" w:left="0" w:right="0"/>
            </w:pPr>
            <w:r>
              <w:t>MTS MARKETS INTERNATIONAL INC.</w:t>
            </w:r>
          </w:p>
        </w:tc>
      </w:tr>
      <w:tr>
        <w:trPr>
          <w:cnfStyle w:evenHBand="false" w:oddHBand="true" w:firstRow="false"/>
        </w:trPr>
        <w:tc>
          <w:tcPr>
            <w:cnfStyle w:evenVBand="false" w:oddVBand="true" w:firstColumn="false"/>
            <w:tcW w:w="33.333333%" w:type="pct"/>
          </w:tcPr>
          <w:p>
            <w:pPr>
              <w:ind w:leftChars="0" w:left="0" w:right="0"/>
            </w:pPr>
            <w:r>
              <w:t>MTXA</w:t>
            </w:r>
          </w:p>
        </w:tc>
        <w:tc>
          <w:tcPr>
            <w:cnfStyle w:evenVBand="true" w:oddVBand="false" w:firstColumn="false"/>
            <w:tcW w:w="33.333333%" w:type="pct"/>
          </w:tcPr>
          <w:p>
            <w:pPr>
              <w:ind w:leftChars="0" w:left="0" w:right="0"/>
            </w:pPr>
            <w:r>
              <w:t>MTXA</w:t>
            </w:r>
          </w:p>
        </w:tc>
        <w:tc>
          <w:tcPr>
            <w:cnfStyle w:evenVBand="false" w:oddVBand="true" w:firstColumn="false"/>
            <w:tcW w:w="33.333333%" w:type="pct"/>
          </w:tcPr>
          <w:p>
            <w:pPr>
              <w:ind w:leftChars="0" w:left="0" w:right="0"/>
            </w:pPr>
            <w:r>
              <w:t>MARKETAXESS CANADA COMPANY</w:t>
            </w:r>
          </w:p>
        </w:tc>
      </w:tr>
      <w:tr>
        <w:trPr>
          <w:cnfStyle w:evenHBand="true" w:oddHBand="false" w:firstRow="false"/>
        </w:trPr>
        <w:tc>
          <w:tcPr>
            <w:cnfStyle w:evenVBand="false" w:oddVBand="true" w:firstColumn="false"/>
            <w:tcW w:w="33.333333%" w:type="pct"/>
          </w:tcPr>
          <w:p>
            <w:pPr>
              <w:ind w:leftChars="0" w:left="0" w:right="0"/>
            </w:pPr>
            <w:r>
              <w:t>MTXC</w:t>
            </w:r>
          </w:p>
        </w:tc>
        <w:tc>
          <w:tcPr>
            <w:cnfStyle w:evenVBand="true" w:oddVBand="false" w:firstColumn="false"/>
            <w:tcW w:w="33.333333%" w:type="pct"/>
          </w:tcPr>
          <w:p>
            <w:pPr>
              <w:ind w:leftChars="0" w:left="0" w:right="0"/>
            </w:pPr>
            <w:r>
              <w:t>MTXC</w:t>
            </w:r>
          </w:p>
        </w:tc>
        <w:tc>
          <w:tcPr>
            <w:cnfStyle w:evenVBand="false" w:oddVBand="true" w:firstColumn="false"/>
            <w:tcW w:w="33.333333%" w:type="pct"/>
          </w:tcPr>
          <w:p>
            <w:pPr>
              <w:ind w:leftChars="0" w:left="0" w:right="0"/>
            </w:pPr>
            <w:r>
              <w:t>MARKETAXESS CORPORATION SINGLE-NAME CDS CENTRAL LIMIT ORDER</w:t>
            </w:r>
          </w:p>
        </w:tc>
      </w:tr>
      <w:tr>
        <w:trPr>
          <w:cnfStyle w:evenHBand="false" w:oddHBand="true" w:firstRow="false"/>
        </w:trPr>
        <w:tc>
          <w:tcPr>
            <w:cnfStyle w:evenVBand="false" w:oddVBand="true" w:firstColumn="false"/>
            <w:tcW w:w="33.333333%" w:type="pct"/>
          </w:tcPr>
          <w:p>
            <w:pPr>
              <w:ind w:leftChars="0" w:left="0" w:right="0"/>
            </w:pPr>
            <w:r>
              <w:t>MTXM</w:t>
            </w:r>
          </w:p>
        </w:tc>
        <w:tc>
          <w:tcPr>
            <w:cnfStyle w:evenVBand="true" w:oddVBand="false" w:firstColumn="false"/>
            <w:tcW w:w="33.333333%" w:type="pct"/>
          </w:tcPr>
          <w:p>
            <w:pPr>
              <w:ind w:leftChars="0" w:left="0" w:right="0"/>
            </w:pPr>
            <w:r>
              <w:t>MTXM</w:t>
            </w:r>
          </w:p>
        </w:tc>
        <w:tc>
          <w:tcPr>
            <w:cnfStyle w:evenVBand="false" w:oddVBand="true" w:firstColumn="false"/>
            <w:tcW w:w="33.333333%" w:type="pct"/>
          </w:tcPr>
          <w:p>
            <w:pPr>
              <w:ind w:leftChars="0" w:left="0" w:right="0"/>
            </w:pPr>
            <w:r>
              <w:t>MARKETAXESS CORPORATION MID-X TRADING SYSTEM</w:t>
            </w:r>
          </w:p>
        </w:tc>
      </w:tr>
      <w:tr>
        <w:trPr>
          <w:cnfStyle w:evenHBand="true" w:oddHBand="false" w:firstRow="false"/>
        </w:trPr>
        <w:tc>
          <w:tcPr>
            <w:cnfStyle w:evenVBand="false" w:oddVBand="true" w:firstColumn="false"/>
            <w:tcW w:w="33.333333%" w:type="pct"/>
          </w:tcPr>
          <w:p>
            <w:pPr>
              <w:ind w:leftChars="0" w:left="0" w:right="0"/>
            </w:pPr>
            <w:r>
              <w:t>MTXS</w:t>
            </w:r>
          </w:p>
        </w:tc>
        <w:tc>
          <w:tcPr>
            <w:cnfStyle w:evenVBand="true" w:oddVBand="false" w:firstColumn="false"/>
            <w:tcW w:w="33.333333%" w:type="pct"/>
          </w:tcPr>
          <w:p>
            <w:pPr>
              <w:ind w:leftChars="0" w:left="0" w:right="0"/>
            </w:pPr>
            <w:r>
              <w:t>MTXS</w:t>
            </w:r>
          </w:p>
        </w:tc>
        <w:tc>
          <w:tcPr>
            <w:cnfStyle w:evenVBand="false" w:oddVBand="true" w:firstColumn="false"/>
            <w:tcW w:w="33.333333%" w:type="pct"/>
          </w:tcPr>
          <w:p>
            <w:pPr>
              <w:ind w:leftChars="0" w:left="0" w:right="0"/>
            </w:pPr>
            <w:r>
              <w:t>MARKETAXESS SEF CORPORATION</w:t>
            </w:r>
          </w:p>
        </w:tc>
      </w:tr>
      <w:tr>
        <w:trPr>
          <w:cnfStyle w:evenHBand="false" w:oddHBand="true" w:firstRow="false"/>
        </w:trPr>
        <w:tc>
          <w:tcPr>
            <w:cnfStyle w:evenVBand="false" w:oddVBand="true" w:firstColumn="false"/>
            <w:tcW w:w="33.333333%" w:type="pct"/>
          </w:tcPr>
          <w:p>
            <w:pPr>
              <w:ind w:leftChars="0" w:left="0" w:right="0"/>
            </w:pPr>
            <w:r>
              <w:t>MTXX</w:t>
            </w:r>
          </w:p>
        </w:tc>
        <w:tc>
          <w:tcPr>
            <w:cnfStyle w:evenVBand="true" w:oddVBand="false" w:firstColumn="false"/>
            <w:tcW w:w="33.333333%" w:type="pct"/>
          </w:tcPr>
          <w:p>
            <w:pPr>
              <w:ind w:leftChars="0" w:left="0" w:right="0"/>
            </w:pPr>
            <w:r>
              <w:t>MTXX</w:t>
            </w:r>
          </w:p>
        </w:tc>
        <w:tc>
          <w:tcPr>
            <w:cnfStyle w:evenVBand="false" w:oddVBand="true" w:firstColumn="false"/>
            <w:tcW w:w="33.333333%" w:type="pct"/>
          </w:tcPr>
          <w:p>
            <w:pPr>
              <w:ind w:leftChars="0" w:left="0" w:right="0"/>
            </w:pPr>
            <w:r>
              <w:t>MARKETAXESS CORPORATION</w:t>
            </w:r>
          </w:p>
        </w:tc>
      </w:tr>
      <w:tr>
        <w:trPr>
          <w:cnfStyle w:evenHBand="true" w:oddHBand="false" w:firstRow="false"/>
        </w:trPr>
        <w:tc>
          <w:tcPr>
            <w:cnfStyle w:evenVBand="false" w:oddVBand="true" w:firstColumn="false"/>
            <w:tcW w:w="33.333333%" w:type="pct"/>
          </w:tcPr>
          <w:p>
            <w:pPr>
              <w:ind w:leftChars="0" w:left="0" w:right="0"/>
            </w:pPr>
            <w:r>
              <w:t>MUBE</w:t>
            </w:r>
          </w:p>
        </w:tc>
        <w:tc>
          <w:tcPr>
            <w:cnfStyle w:evenVBand="true" w:oddVBand="false" w:firstColumn="false"/>
            <w:tcW w:w="33.333333%" w:type="pct"/>
          </w:tcPr>
          <w:p>
            <w:pPr>
              <w:ind w:leftChars="0" w:left="0" w:right="0"/>
            </w:pPr>
            <w:r>
              <w:t>MUBE</w:t>
            </w:r>
          </w:p>
        </w:tc>
        <w:tc>
          <w:tcPr>
            <w:cnfStyle w:evenVBand="false" w:oddVBand="true" w:firstColumn="false"/>
            <w:tcW w:w="33.333333%" w:type="pct"/>
          </w:tcPr>
          <w:p>
            <w:pPr>
              <w:ind w:leftChars="0" w:left="0" w:right="0"/>
            </w:pPr>
            <w:r>
              <w:t>MUFG BANK (EUROPE) N.V. - SYSTEMATIC INTERNALISER</w:t>
            </w:r>
          </w:p>
        </w:tc>
      </w:tr>
      <w:tr>
        <w:trPr>
          <w:cnfStyle w:evenHBand="false" w:oddHBand="true" w:firstRow="false"/>
        </w:trPr>
        <w:tc>
          <w:tcPr>
            <w:cnfStyle w:evenVBand="false" w:oddVBand="true" w:firstColumn="false"/>
            <w:tcW w:w="33.333333%" w:type="pct"/>
          </w:tcPr>
          <w:p>
            <w:pPr>
              <w:ind w:leftChars="0" w:left="0" w:right="0"/>
            </w:pPr>
            <w:r>
              <w:t>MUBL</w:t>
            </w:r>
          </w:p>
        </w:tc>
        <w:tc>
          <w:tcPr>
            <w:cnfStyle w:evenVBand="true" w:oddVBand="false" w:firstColumn="false"/>
            <w:tcW w:w="33.333333%" w:type="pct"/>
          </w:tcPr>
          <w:p>
            <w:pPr>
              <w:ind w:leftChars="0" w:left="0" w:right="0"/>
            </w:pPr>
            <w:r>
              <w:t>MUBL</w:t>
            </w:r>
          </w:p>
        </w:tc>
        <w:tc>
          <w:tcPr>
            <w:cnfStyle w:evenVBand="false" w:oddVBand="true" w:firstColumn="false"/>
            <w:tcW w:w="33.333333%" w:type="pct"/>
          </w:tcPr>
          <w:p>
            <w:pPr>
              <w:ind w:leftChars="0" w:left="0" w:right="0"/>
            </w:pPr>
            <w:r>
              <w:t>MUFG BANK, LTD. - LONDON BRANCH -SYSTEMATIC INTERNALISER</w:t>
            </w:r>
          </w:p>
        </w:tc>
      </w:tr>
      <w:tr>
        <w:trPr>
          <w:cnfStyle w:evenHBand="true" w:oddHBand="false" w:firstRow="false"/>
        </w:trPr>
        <w:tc>
          <w:tcPr>
            <w:cnfStyle w:evenVBand="false" w:oddVBand="true" w:firstColumn="false"/>
            <w:tcW w:w="33.333333%" w:type="pct"/>
          </w:tcPr>
          <w:p>
            <w:pPr>
              <w:ind w:leftChars="0" w:left="0" w:right="0"/>
            </w:pPr>
            <w:r>
              <w:t>MUBM</w:t>
            </w:r>
          </w:p>
        </w:tc>
        <w:tc>
          <w:tcPr>
            <w:cnfStyle w:evenVBand="true" w:oddVBand="false" w:firstColumn="false"/>
            <w:tcW w:w="33.333333%" w:type="pct"/>
          </w:tcPr>
          <w:p>
            <w:pPr>
              <w:ind w:leftChars="0" w:left="0" w:right="0"/>
            </w:pPr>
            <w:r>
              <w:t>MUBM</w:t>
            </w:r>
          </w:p>
        </w:tc>
        <w:tc>
          <w:tcPr>
            <w:cnfStyle w:evenVBand="false" w:oddVBand="true" w:firstColumn="false"/>
            <w:tcW w:w="33.333333%" w:type="pct"/>
          </w:tcPr>
          <w:p>
            <w:pPr>
              <w:ind w:leftChars="0" w:left="0" w:right="0"/>
            </w:pPr>
            <w:r>
              <w:t>MUFG BANK, LTD. - MILANO BRANCH - SYSTEMATIC INTERNALISER</w:t>
            </w:r>
          </w:p>
        </w:tc>
      </w:tr>
      <w:tr>
        <w:trPr>
          <w:cnfStyle w:evenHBand="false" w:oddHBand="true" w:firstRow="false"/>
        </w:trPr>
        <w:tc>
          <w:tcPr>
            <w:cnfStyle w:evenVBand="false" w:oddVBand="true" w:firstColumn="false"/>
            <w:tcW w:w="33.333333%" w:type="pct"/>
          </w:tcPr>
          <w:p>
            <w:pPr>
              <w:ind w:leftChars="0" w:left="0" w:right="0"/>
            </w:pPr>
            <w:r>
              <w:t>MUBP</w:t>
            </w:r>
          </w:p>
        </w:tc>
        <w:tc>
          <w:tcPr>
            <w:cnfStyle w:evenVBand="true" w:oddVBand="false" w:firstColumn="false"/>
            <w:tcW w:w="33.333333%" w:type="pct"/>
          </w:tcPr>
          <w:p>
            <w:pPr>
              <w:ind w:leftChars="0" w:left="0" w:right="0"/>
            </w:pPr>
            <w:r>
              <w:t>MUBP</w:t>
            </w:r>
          </w:p>
        </w:tc>
        <w:tc>
          <w:tcPr>
            <w:cnfStyle w:evenVBand="false" w:oddVBand="true" w:firstColumn="false"/>
            <w:tcW w:w="33.333333%" w:type="pct"/>
          </w:tcPr>
          <w:p>
            <w:pPr>
              <w:ind w:leftChars="0" w:left="0" w:right="0"/>
            </w:pPr>
            <w:r>
              <w:t>MUFG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MUDX</w:t>
            </w:r>
          </w:p>
        </w:tc>
        <w:tc>
          <w:tcPr>
            <w:cnfStyle w:evenVBand="true" w:oddVBand="false" w:firstColumn="false"/>
            <w:tcW w:w="33.333333%" w:type="pct"/>
          </w:tcPr>
          <w:p>
            <w:pPr>
              <w:ind w:leftChars="0" w:left="0" w:right="0"/>
            </w:pPr>
            <w:r>
              <w:t>MUDX</w:t>
            </w:r>
          </w:p>
        </w:tc>
        <w:tc>
          <w:tcPr>
            <w:cnfStyle w:evenVBand="false" w:oddVBand="true" w:firstColumn="false"/>
            <w:tcW w:w="33.333333%" w:type="pct"/>
          </w:tcPr>
          <w:p>
            <w:pPr>
              <w:ind w:leftChars="0" w:left="0" w:right="0"/>
            </w:pPr>
            <w:r>
              <w:t>MITSUBISHI DIAMOND CROSSING</w:t>
            </w:r>
          </w:p>
        </w:tc>
      </w:tr>
      <w:tr>
        <w:trPr>
          <w:cnfStyle w:evenHBand="false" w:oddHBand="true" w:firstRow="false"/>
        </w:trPr>
        <w:tc>
          <w:tcPr>
            <w:cnfStyle w:evenVBand="false" w:oddVBand="true" w:firstColumn="false"/>
            <w:tcW w:w="33.333333%" w:type="pct"/>
          </w:tcPr>
          <w:p>
            <w:pPr>
              <w:ind w:leftChars="0" w:left="0" w:right="0"/>
            </w:pPr>
            <w:r>
              <w:t>MUFP</w:t>
            </w:r>
          </w:p>
        </w:tc>
        <w:tc>
          <w:tcPr>
            <w:cnfStyle w:evenVBand="true" w:oddVBand="false" w:firstColumn="false"/>
            <w:tcW w:w="33.333333%" w:type="pct"/>
          </w:tcPr>
          <w:p>
            <w:pPr>
              <w:ind w:leftChars="0" w:left="0" w:right="0"/>
            </w:pPr>
            <w:r>
              <w:t>MUFP</w:t>
            </w:r>
          </w:p>
        </w:tc>
        <w:tc>
          <w:tcPr>
            <w:cnfStyle w:evenVBand="false" w:oddVBand="true" w:firstColumn="false"/>
            <w:tcW w:w="33.333333%" w:type="pct"/>
          </w:tcPr>
          <w:p>
            <w:pPr>
              <w:ind w:leftChars="0" w:left="0" w:right="0"/>
            </w:pPr>
            <w:r>
              <w:t>MARIANA UFP LLP</w:t>
            </w:r>
          </w:p>
        </w:tc>
      </w:tr>
      <w:tr>
        <w:trPr>
          <w:cnfStyle w:evenHBand="true" w:oddHBand="false" w:firstRow="false"/>
        </w:trPr>
        <w:tc>
          <w:tcPr>
            <w:cnfStyle w:evenVBand="false" w:oddVBand="true" w:firstColumn="false"/>
            <w:tcW w:w="33.333333%" w:type="pct"/>
          </w:tcPr>
          <w:p>
            <w:pPr>
              <w:ind w:leftChars="0" w:left="0" w:right="0"/>
            </w:pPr>
            <w:r>
              <w:t>MUNA</w:t>
            </w:r>
          </w:p>
        </w:tc>
        <w:tc>
          <w:tcPr>
            <w:cnfStyle w:evenVBand="true" w:oddVBand="false" w:firstColumn="false"/>
            <w:tcW w:w="33.333333%" w:type="pct"/>
          </w:tcPr>
          <w:p>
            <w:pPr>
              <w:ind w:leftChars="0" w:left="0" w:right="0"/>
            </w:pPr>
            <w:r>
              <w:t>MUNA</w:t>
            </w:r>
          </w:p>
        </w:tc>
        <w:tc>
          <w:tcPr>
            <w:cnfStyle w:evenVBand="false" w:oddVBand="true" w:firstColumn="false"/>
            <w:tcW w:w="33.333333%" w:type="pct"/>
          </w:tcPr>
          <w:p>
            <w:pPr>
              <w:ind w:leftChars="0" w:left="0" w:right="0"/>
            </w:pPr>
            <w:r>
              <w:t>BOERSE MUENCHEN - REGULIERTER MARKT</w:t>
            </w:r>
          </w:p>
        </w:tc>
      </w:tr>
      <w:tr>
        <w:trPr>
          <w:cnfStyle w:evenHBand="false" w:oddHBand="true" w:firstRow="false"/>
        </w:trPr>
        <w:tc>
          <w:tcPr>
            <w:cnfStyle w:evenVBand="false" w:oddVBand="true" w:firstColumn="false"/>
            <w:tcW w:w="33.333333%" w:type="pct"/>
          </w:tcPr>
          <w:p>
            <w:pPr>
              <w:ind w:leftChars="0" w:left="0" w:right="0"/>
            </w:pPr>
            <w:r>
              <w:t>MUNB</w:t>
            </w:r>
          </w:p>
        </w:tc>
        <w:tc>
          <w:tcPr>
            <w:cnfStyle w:evenVBand="true" w:oddVBand="false" w:firstColumn="false"/>
            <w:tcW w:w="33.333333%" w:type="pct"/>
          </w:tcPr>
          <w:p>
            <w:pPr>
              <w:ind w:leftChars="0" w:left="0" w:right="0"/>
            </w:pPr>
            <w:r>
              <w:t>MUNB</w:t>
            </w:r>
          </w:p>
        </w:tc>
        <w:tc>
          <w:tcPr>
            <w:cnfStyle w:evenVBand="false" w:oddVBand="true" w:firstColumn="false"/>
            <w:tcW w:w="33.333333%" w:type="pct"/>
          </w:tcPr>
          <w:p>
            <w:pPr>
              <w:ind w:leftChars="0" w:left="0" w:right="0"/>
            </w:pPr>
            <w:r>
              <w:t>BOERSE MUENCHEN - FREIVERKEHR</w:t>
            </w:r>
          </w:p>
        </w:tc>
      </w:tr>
      <w:tr>
        <w:trPr>
          <w:cnfStyle w:evenHBand="true" w:oddHBand="false" w:firstRow="false"/>
        </w:trPr>
        <w:tc>
          <w:tcPr>
            <w:cnfStyle w:evenVBand="false" w:oddVBand="true" w:firstColumn="false"/>
            <w:tcW w:w="33.333333%" w:type="pct"/>
          </w:tcPr>
          <w:p>
            <w:pPr>
              <w:ind w:leftChars="0" w:left="0" w:right="0"/>
            </w:pPr>
            <w:r>
              <w:t>MUNC</w:t>
            </w:r>
          </w:p>
        </w:tc>
        <w:tc>
          <w:tcPr>
            <w:cnfStyle w:evenVBand="true" w:oddVBand="false" w:firstColumn="false"/>
            <w:tcW w:w="33.333333%" w:type="pct"/>
          </w:tcPr>
          <w:p>
            <w:pPr>
              <w:ind w:leftChars="0" w:left="0" w:right="0"/>
            </w:pPr>
            <w:r>
              <w:t>MUNC</w:t>
            </w:r>
          </w:p>
        </w:tc>
        <w:tc>
          <w:tcPr>
            <w:cnfStyle w:evenVBand="false" w:oddVBand="true" w:firstColumn="false"/>
            <w:tcW w:w="33.333333%" w:type="pct"/>
          </w:tcPr>
          <w:p>
            <w:pPr>
              <w:ind w:leftChars="0" w:left="0" w:right="0"/>
            </w:pPr>
            <w:r>
              <w:t>BOERSE MUENCHEN - GETTEX - REGULIERTER MARKT</w:t>
            </w:r>
          </w:p>
        </w:tc>
      </w:tr>
      <w:tr>
        <w:trPr>
          <w:cnfStyle w:evenHBand="false" w:oddHBand="true" w:firstRow="false"/>
        </w:trPr>
        <w:tc>
          <w:tcPr>
            <w:cnfStyle w:evenVBand="false" w:oddVBand="true" w:firstColumn="false"/>
            <w:tcW w:w="33.333333%" w:type="pct"/>
          </w:tcPr>
          <w:p>
            <w:pPr>
              <w:ind w:leftChars="0" w:left="0" w:right="0"/>
            </w:pPr>
            <w:r>
              <w:t>MUND</w:t>
            </w:r>
          </w:p>
        </w:tc>
        <w:tc>
          <w:tcPr>
            <w:cnfStyle w:evenVBand="true" w:oddVBand="false" w:firstColumn="false"/>
            <w:tcW w:w="33.333333%" w:type="pct"/>
          </w:tcPr>
          <w:p>
            <w:pPr>
              <w:ind w:leftChars="0" w:left="0" w:right="0"/>
            </w:pPr>
            <w:r>
              <w:t>MUND</w:t>
            </w:r>
          </w:p>
        </w:tc>
        <w:tc>
          <w:tcPr>
            <w:cnfStyle w:evenVBand="false" w:oddVBand="true" w:firstColumn="false"/>
            <w:tcW w:w="33.333333%" w:type="pct"/>
          </w:tcPr>
          <w:p>
            <w:pPr>
              <w:ind w:leftChars="0" w:left="0" w:right="0"/>
            </w:pPr>
            <w:r>
              <w:t>BOERSE MUENCHEN - GETTEX - FREIVERKEHR</w:t>
            </w:r>
          </w:p>
        </w:tc>
      </w:tr>
      <w:tr>
        <w:trPr>
          <w:cnfStyle w:evenHBand="true" w:oddHBand="false" w:firstRow="false"/>
        </w:trPr>
        <w:tc>
          <w:tcPr>
            <w:cnfStyle w:evenVBand="false" w:oddVBand="true" w:firstColumn="false"/>
            <w:tcW w:w="33.333333%" w:type="pct"/>
          </w:tcPr>
          <w:p>
            <w:pPr>
              <w:ind w:leftChars="0" w:left="0" w:right="0"/>
            </w:pPr>
            <w:r>
              <w:t>MUSE</w:t>
            </w:r>
          </w:p>
        </w:tc>
        <w:tc>
          <w:tcPr>
            <w:cnfStyle w:evenVBand="true" w:oddVBand="false" w:firstColumn="false"/>
            <w:tcW w:w="33.333333%" w:type="pct"/>
          </w:tcPr>
          <w:p>
            <w:pPr>
              <w:ind w:leftChars="0" w:left="0" w:right="0"/>
            </w:pPr>
            <w:r>
              <w:t>MUSE</w:t>
            </w:r>
          </w:p>
        </w:tc>
        <w:tc>
          <w:tcPr>
            <w:cnfStyle w:evenVBand="false" w:oddVBand="true" w:firstColumn="false"/>
            <w:tcW w:w="33.333333%" w:type="pct"/>
          </w:tcPr>
          <w:p>
            <w:pPr>
              <w:ind w:leftChars="0" w:left="0" w:right="0"/>
            </w:pPr>
            <w:r>
              <w:t>MUFG SECURITIES EMEA PLC - SYSTEMATIC INTERNALISER</w:t>
            </w:r>
          </w:p>
        </w:tc>
      </w:tr>
      <w:tr>
        <w:trPr>
          <w:cnfStyle w:evenHBand="false" w:oddHBand="true" w:firstRow="false"/>
        </w:trPr>
        <w:tc>
          <w:tcPr>
            <w:cnfStyle w:evenVBand="false" w:oddVBand="true" w:firstColumn="false"/>
            <w:tcW w:w="33.333333%" w:type="pct"/>
          </w:tcPr>
          <w:p>
            <w:pPr>
              <w:ind w:leftChars="0" w:left="0" w:right="0"/>
            </w:pPr>
            <w:r>
              <w:t>MUSN</w:t>
            </w:r>
          </w:p>
        </w:tc>
        <w:tc>
          <w:tcPr>
            <w:cnfStyle w:evenVBand="true" w:oddVBand="false" w:firstColumn="false"/>
            <w:tcW w:w="33.333333%" w:type="pct"/>
          </w:tcPr>
          <w:p>
            <w:pPr>
              <w:ind w:leftChars="0" w:left="0" w:right="0"/>
            </w:pPr>
            <w:r>
              <w:t>MUSN</w:t>
            </w:r>
          </w:p>
        </w:tc>
        <w:tc>
          <w:tcPr>
            <w:cnfStyle w:evenVBand="false" w:oddVBand="true" w:firstColumn="false"/>
            <w:tcW w:w="33.333333%" w:type="pct"/>
          </w:tcPr>
          <w:p>
            <w:pPr>
              <w:ind w:leftChars="0" w:left="0" w:right="0"/>
            </w:pPr>
            <w:r>
              <w:t>MUFG SECURITIES (EUROPE) N.V -</w:t>
            </w:r>
          </w:p>
        </w:tc>
      </w:tr>
      <w:tr>
        <w:trPr>
          <w:cnfStyle w:evenHBand="true" w:oddHBand="false" w:firstRow="false"/>
        </w:trPr>
        <w:tc>
          <w:tcPr>
            <w:cnfStyle w:evenVBand="false" w:oddVBand="true" w:firstColumn="false"/>
            <w:tcW w:w="33.333333%" w:type="pct"/>
          </w:tcPr>
          <w:p>
            <w:pPr>
              <w:ind w:leftChars="0" w:left="0" w:right="0"/>
            </w:pPr>
            <w:r>
              <w:t>MUTI</w:t>
            </w:r>
          </w:p>
        </w:tc>
        <w:tc>
          <w:tcPr>
            <w:cnfStyle w:evenVBand="true" w:oddVBand="false" w:firstColumn="false"/>
            <w:tcW w:w="33.333333%" w:type="pct"/>
          </w:tcPr>
          <w:p>
            <w:pPr>
              <w:ind w:leftChars="0" w:left="0" w:right="0"/>
            </w:pPr>
            <w:r>
              <w:t>MUTI</w:t>
            </w:r>
          </w:p>
        </w:tc>
        <w:tc>
          <w:tcPr>
            <w:cnfStyle w:evenVBand="false" w:oddVBand="true" w:firstColumn="false"/>
            <w:tcW w:w="33.333333%" w:type="pct"/>
          </w:tcPr>
          <w:p>
            <w:pPr>
              <w:ind w:leftChars="0" w:left="0" w:right="0"/>
            </w:pPr>
            <w:r>
              <w:t>MITSUBISHI UFJ TRUST INTERNATIONAL LIMITED</w:t>
            </w:r>
          </w:p>
        </w:tc>
      </w:tr>
      <w:tr>
        <w:trPr>
          <w:cnfStyle w:evenHBand="false" w:oddHBand="true" w:firstRow="false"/>
        </w:trPr>
        <w:tc>
          <w:tcPr>
            <w:cnfStyle w:evenVBand="false" w:oddVBand="true" w:firstColumn="false"/>
            <w:tcW w:w="33.333333%" w:type="pct"/>
          </w:tcPr>
          <w:p>
            <w:pPr>
              <w:ind w:leftChars="0" w:left="0" w:right="0"/>
            </w:pPr>
            <w:r>
              <w:t>MVCX</w:t>
            </w:r>
          </w:p>
        </w:tc>
        <w:tc>
          <w:tcPr>
            <w:cnfStyle w:evenVBand="true" w:oddVBand="false" w:firstColumn="false"/>
            <w:tcW w:w="33.333333%" w:type="pct"/>
          </w:tcPr>
          <w:p>
            <w:pPr>
              <w:ind w:leftChars="0" w:left="0" w:right="0"/>
            </w:pPr>
            <w:r>
              <w:t>MVCX</w:t>
            </w:r>
          </w:p>
        </w:tc>
        <w:tc>
          <w:tcPr>
            <w:cnfStyle w:evenVBand="false" w:oddVBand="true" w:firstColumn="false"/>
            <w:tcW w:w="33.333333%" w:type="pct"/>
          </w:tcPr>
          <w:p>
            <w:pPr>
              <w:ind w:leftChars="0" w:left="0" w:right="0"/>
            </w:pPr>
            <w:r>
              <w:t>MERCADO DE VALORES DE CORDOBA S.A.</w:t>
            </w:r>
          </w:p>
        </w:tc>
      </w:tr>
      <w:tr>
        <w:trPr>
          <w:cnfStyle w:evenHBand="true" w:oddHBand="false" w:firstRow="false"/>
        </w:trPr>
        <w:tc>
          <w:tcPr>
            <w:cnfStyle w:evenVBand="false" w:oddVBand="true" w:firstColumn="false"/>
            <w:tcW w:w="33.333333%" w:type="pct"/>
          </w:tcPr>
          <w:p>
            <w:pPr>
              <w:ind w:leftChars="0" w:left="0" w:right="0"/>
            </w:pPr>
            <w:r>
              <w:t>MXLM</w:t>
            </w:r>
          </w:p>
        </w:tc>
        <w:tc>
          <w:tcPr>
            <w:cnfStyle w:evenVBand="true" w:oddVBand="false" w:firstColumn="false"/>
            <w:tcW w:w="33.333333%" w:type="pct"/>
          </w:tcPr>
          <w:p>
            <w:pPr>
              <w:ind w:leftChars="0" w:left="0" w:right="0"/>
            </w:pPr>
            <w:r>
              <w:t>MXLM</w:t>
            </w:r>
          </w:p>
        </w:tc>
        <w:tc>
          <w:tcPr>
            <w:cnfStyle w:evenVBand="false" w:oddVBand="true" w:firstColumn="false"/>
            <w:tcW w:w="33.333333%" w:type="pct"/>
          </w:tcPr>
          <w:p>
            <w:pPr>
              <w:ind w:leftChars="0" w:left="0" w:right="0"/>
            </w:pPr>
            <w:r>
              <w:t>MARKETAXESS EUROPE LIMITED - LIVE MARKETS</w:t>
            </w:r>
          </w:p>
        </w:tc>
      </w:tr>
      <w:tr>
        <w:trPr>
          <w:cnfStyle w:evenHBand="false" w:oddHBand="true" w:firstRow="false"/>
        </w:trPr>
        <w:tc>
          <w:tcPr>
            <w:cnfStyle w:evenVBand="false" w:oddVBand="true" w:firstColumn="false"/>
            <w:tcW w:w="33.333333%" w:type="pct"/>
          </w:tcPr>
          <w:p>
            <w:pPr>
              <w:ind w:leftChars="0" w:left="0" w:right="0"/>
            </w:pPr>
            <w:r>
              <w:t>MXNL</w:t>
            </w:r>
          </w:p>
        </w:tc>
        <w:tc>
          <w:tcPr>
            <w:cnfStyle w:evenVBand="true" w:oddVBand="false" w:firstColumn="false"/>
            <w:tcW w:w="33.333333%" w:type="pct"/>
          </w:tcPr>
          <w:p>
            <w:pPr>
              <w:ind w:leftChars="0" w:left="0" w:right="0"/>
            </w:pPr>
            <w:r>
              <w:t>MXNL</w:t>
            </w:r>
          </w:p>
        </w:tc>
        <w:tc>
          <w:tcPr>
            <w:cnfStyle w:evenVBand="false" w:oddVBand="true" w:firstColumn="false"/>
            <w:tcW w:w="33.333333%" w:type="pct"/>
          </w:tcPr>
          <w:p>
            <w:pPr>
              <w:ind w:leftChars="0" w:left="0" w:right="0"/>
            </w:pPr>
            <w:r>
              <w:t>MARKETAXESS NL B.V. - LIVE MARKETS</w:t>
            </w:r>
          </w:p>
        </w:tc>
      </w:tr>
      <w:tr>
        <w:trPr>
          <w:cnfStyle w:evenHBand="true" w:oddHBand="false" w:firstRow="false"/>
        </w:trPr>
        <w:tc>
          <w:tcPr>
            <w:cnfStyle w:evenVBand="false" w:oddVBand="true" w:firstColumn="false"/>
            <w:tcW w:w="33.333333%" w:type="pct"/>
          </w:tcPr>
          <w:p>
            <w:pPr>
              <w:ind w:leftChars="0" w:left="0" w:right="0"/>
            </w:pPr>
            <w:r>
              <w:t>MXOP</w:t>
            </w:r>
          </w:p>
        </w:tc>
        <w:tc>
          <w:tcPr>
            <w:cnfStyle w:evenVBand="true" w:oddVBand="false" w:firstColumn="false"/>
            <w:tcW w:w="33.333333%" w:type="pct"/>
          </w:tcPr>
          <w:p>
            <w:pPr>
              <w:ind w:leftChars="0" w:left="0" w:right="0"/>
            </w:pPr>
            <w:r>
              <w:t>MXOP</w:t>
            </w:r>
          </w:p>
        </w:tc>
        <w:tc>
          <w:tcPr>
            <w:cnfStyle w:evenVBand="false" w:oddVBand="true" w:firstColumn="false"/>
            <w:tcW w:w="33.333333%" w:type="pct"/>
          </w:tcPr>
          <w:p>
            <w:pPr>
              <w:ind w:leftChars="0" w:left="0" w:right="0"/>
            </w:pPr>
            <w:r>
              <w:t>MEMX LLC OPTIONS</w:t>
            </w:r>
          </w:p>
        </w:tc>
      </w:tr>
      <w:tr>
        <w:trPr>
          <w:cnfStyle w:evenHBand="false" w:oddHBand="true" w:firstRow="false"/>
        </w:trPr>
        <w:tc>
          <w:tcPr>
            <w:cnfStyle w:evenVBand="false" w:oddVBand="true" w:firstColumn="false"/>
            <w:tcW w:w="33.333333%" w:type="pct"/>
          </w:tcPr>
          <w:p>
            <w:pPr>
              <w:ind w:leftChars="0" w:left="0" w:right="0"/>
            </w:pPr>
            <w:r>
              <w:t>MYTR</w:t>
            </w:r>
          </w:p>
        </w:tc>
        <w:tc>
          <w:tcPr>
            <w:cnfStyle w:evenVBand="true" w:oddVBand="false" w:firstColumn="false"/>
            <w:tcW w:w="33.333333%" w:type="pct"/>
          </w:tcPr>
          <w:p>
            <w:pPr>
              <w:ind w:leftChars="0" w:left="0" w:right="0"/>
            </w:pPr>
            <w:r>
              <w:t>MYTR</w:t>
            </w:r>
          </w:p>
        </w:tc>
        <w:tc>
          <w:tcPr>
            <w:cnfStyle w:evenVBand="false" w:oddVBand="true" w:firstColumn="false"/>
            <w:tcW w:w="33.333333%" w:type="pct"/>
          </w:tcPr>
          <w:p>
            <w:pPr>
              <w:ind w:leftChars="0" w:left="0" w:right="0"/>
            </w:pPr>
            <w:r>
              <w:t>MYTREASURY</w:t>
            </w:r>
          </w:p>
        </w:tc>
      </w:tr>
      <w:tr>
        <w:trPr>
          <w:cnfStyle w:evenHBand="true" w:oddHBand="false" w:firstRow="false"/>
        </w:trPr>
        <w:tc>
          <w:tcPr>
            <w:cnfStyle w:evenVBand="false" w:oddVBand="true" w:firstColumn="false"/>
            <w:tcW w:w="33.333333%" w:type="pct"/>
          </w:tcPr>
          <w:p>
            <w:pPr>
              <w:ind w:leftChars="0" w:left="0" w:right="0"/>
            </w:pPr>
            <w:r>
              <w:t>N2EX</w:t>
            </w:r>
          </w:p>
        </w:tc>
        <w:tc>
          <w:tcPr>
            <w:cnfStyle w:evenVBand="true" w:oddVBand="false" w:firstColumn="false"/>
            <w:tcW w:w="33.333333%" w:type="pct"/>
          </w:tcPr>
          <w:p>
            <w:pPr>
              <w:ind w:leftChars="0" w:left="0" w:right="0"/>
            </w:pPr>
            <w:r>
              <w:t>N2EX</w:t>
            </w:r>
          </w:p>
        </w:tc>
        <w:tc>
          <w:tcPr>
            <w:cnfStyle w:evenVBand="false" w:oddVBand="true" w:firstColumn="false"/>
            <w:tcW w:w="33.333333%" w:type="pct"/>
          </w:tcPr>
          <w:p>
            <w:pPr>
              <w:ind w:leftChars="0" w:left="0" w:right="0"/>
            </w:pPr>
            <w:r>
              <w:t>N2EX</w:t>
            </w:r>
          </w:p>
        </w:tc>
      </w:tr>
      <w:tr>
        <w:trPr>
          <w:cnfStyle w:evenHBand="false" w:oddHBand="true" w:firstRow="false"/>
        </w:trPr>
        <w:tc>
          <w:tcPr>
            <w:cnfStyle w:evenVBand="false" w:oddVBand="true" w:firstColumn="false"/>
            <w:tcW w:w="33.333333%" w:type="pct"/>
          </w:tcPr>
          <w:p>
            <w:pPr>
              <w:ind w:leftChars="0" w:left="0" w:right="0"/>
            </w:pPr>
            <w:r>
              <w:t>NABA</w:t>
            </w:r>
          </w:p>
        </w:tc>
        <w:tc>
          <w:tcPr>
            <w:cnfStyle w:evenVBand="true" w:oddVBand="false" w:firstColumn="false"/>
            <w:tcW w:w="33.333333%" w:type="pct"/>
          </w:tcPr>
          <w:p>
            <w:pPr>
              <w:ind w:leftChars="0" w:left="0" w:right="0"/>
            </w:pPr>
            <w:r>
              <w:t>NABA</w:t>
            </w:r>
          </w:p>
        </w:tc>
        <w:tc>
          <w:tcPr>
            <w:cnfStyle w:evenVBand="false" w:oddVBand="true" w:firstColumn="false"/>
            <w:tcW w:w="33.333333%" w:type="pct"/>
          </w:tcPr>
          <w:p>
            <w:pPr>
              <w:ind w:leftChars="0" w:left="0" w:right="0"/>
            </w:pPr>
            <w:r>
              <w:t>NATIONAL AUSTRALIA BANK - FX DERIVATIVES AND FIXED INCOME SECURITIES - SYSTEMATIC INTERNALISER</w:t>
            </w:r>
          </w:p>
        </w:tc>
      </w:tr>
      <w:tr>
        <w:trPr>
          <w:cnfStyle w:evenHBand="true" w:oddHBand="false" w:firstRow="false"/>
        </w:trPr>
        <w:tc>
          <w:tcPr>
            <w:cnfStyle w:evenVBand="false" w:oddVBand="true" w:firstColumn="false"/>
            <w:tcW w:w="33.333333%" w:type="pct"/>
          </w:tcPr>
          <w:p>
            <w:pPr>
              <w:ind w:leftChars="0" w:left="0" w:right="0"/>
            </w:pPr>
            <w:r>
              <w:t>NABE</w:t>
            </w:r>
          </w:p>
        </w:tc>
        <w:tc>
          <w:tcPr>
            <w:cnfStyle w:evenVBand="true" w:oddVBand="false" w:firstColumn="false"/>
            <w:tcW w:w="33.333333%" w:type="pct"/>
          </w:tcPr>
          <w:p>
            <w:pPr>
              <w:ind w:leftChars="0" w:left="0" w:right="0"/>
            </w:pPr>
            <w:r>
              <w:t>NABE</w:t>
            </w:r>
          </w:p>
        </w:tc>
        <w:tc>
          <w:tcPr>
            <w:cnfStyle w:evenVBand="false" w:oddVBand="true" w:firstColumn="false"/>
            <w:tcW w:w="33.333333%" w:type="pct"/>
          </w:tcPr>
          <w:p>
            <w:pPr>
              <w:ind w:leftChars="0" w:left="0" w:right="0"/>
            </w:pPr>
            <w:r>
              <w:t>NAB EUROPE LIMITED - SYSTEMATIC INTERNALISER</w:t>
            </w:r>
          </w:p>
        </w:tc>
      </w:tr>
      <w:tr>
        <w:trPr>
          <w:cnfStyle w:evenHBand="false" w:oddHBand="true" w:firstRow="false"/>
        </w:trPr>
        <w:tc>
          <w:tcPr>
            <w:cnfStyle w:evenVBand="false" w:oddVBand="true" w:firstColumn="false"/>
            <w:tcW w:w="33.333333%" w:type="pct"/>
          </w:tcPr>
          <w:p>
            <w:pPr>
              <w:ind w:leftChars="0" w:left="0" w:right="0"/>
            </w:pPr>
            <w:r>
              <w:t>NABL</w:t>
            </w:r>
          </w:p>
        </w:tc>
        <w:tc>
          <w:tcPr>
            <w:cnfStyle w:evenVBand="true" w:oddVBand="false" w:firstColumn="false"/>
            <w:tcW w:w="33.333333%" w:type="pct"/>
          </w:tcPr>
          <w:p>
            <w:pPr>
              <w:ind w:leftChars="0" w:left="0" w:right="0"/>
            </w:pPr>
            <w:r>
              <w:t>NABL</w:t>
            </w:r>
          </w:p>
        </w:tc>
        <w:tc>
          <w:tcPr>
            <w:cnfStyle w:evenVBand="false" w:oddVBand="true" w:firstColumn="false"/>
            <w:tcW w:w="33.333333%" w:type="pct"/>
          </w:tcPr>
          <w:p>
            <w:pPr>
              <w:ind w:leftChars="0" w:left="0" w:right="0"/>
            </w:pPr>
            <w:r>
              <w:t>NATIONAL AUSTRALIA BANK - SYSTEMATIC INTERNALISER</w:t>
            </w:r>
          </w:p>
        </w:tc>
      </w:tr>
      <w:tr>
        <w:trPr>
          <w:cnfStyle w:evenHBand="true" w:oddHBand="false" w:firstRow="false"/>
        </w:trPr>
        <w:tc>
          <w:tcPr>
            <w:cnfStyle w:evenVBand="false" w:oddVBand="true" w:firstColumn="false"/>
            <w:tcW w:w="33.333333%" w:type="pct"/>
          </w:tcPr>
          <w:p>
            <w:pPr>
              <w:ind w:leftChars="0" w:left="0" w:right="0"/>
            </w:pPr>
            <w:r>
              <w:t>NABP</w:t>
            </w:r>
          </w:p>
        </w:tc>
        <w:tc>
          <w:tcPr>
            <w:cnfStyle w:evenVBand="true" w:oddVBand="false" w:firstColumn="false"/>
            <w:tcW w:w="33.333333%" w:type="pct"/>
          </w:tcPr>
          <w:p>
            <w:pPr>
              <w:ind w:leftChars="0" w:left="0" w:right="0"/>
            </w:pPr>
            <w:r>
              <w:t>NABP</w:t>
            </w:r>
          </w:p>
        </w:tc>
        <w:tc>
          <w:tcPr>
            <w:cnfStyle w:evenVBand="false" w:oddVBand="true" w:firstColumn="false"/>
            <w:tcW w:w="33.333333%" w:type="pct"/>
          </w:tcPr>
          <w:p>
            <w:pPr>
              <w:ind w:leftChars="0" w:left="0" w:right="0"/>
            </w:pPr>
            <w:r>
              <w:t>NATIONAL AUSTRALIA BANK EUROPE S.A.</w:t>
            </w:r>
          </w:p>
        </w:tc>
      </w:tr>
      <w:tr>
        <w:trPr>
          <w:cnfStyle w:evenHBand="false" w:oddHBand="true" w:firstRow="false"/>
        </w:trPr>
        <w:tc>
          <w:tcPr>
            <w:cnfStyle w:evenVBand="false" w:oddVBand="true" w:firstColumn="false"/>
            <w:tcW w:w="33.333333%" w:type="pct"/>
          </w:tcPr>
          <w:p>
            <w:pPr>
              <w:ind w:leftChars="0" w:left="0" w:right="0"/>
            </w:pPr>
            <w:r>
              <w:t>NABU</w:t>
            </w:r>
          </w:p>
        </w:tc>
        <w:tc>
          <w:tcPr>
            <w:cnfStyle w:evenVBand="true" w:oddVBand="false" w:firstColumn="false"/>
            <w:tcW w:w="33.333333%" w:type="pct"/>
          </w:tcPr>
          <w:p>
            <w:pPr>
              <w:ind w:leftChars="0" w:left="0" w:right="0"/>
            </w:pPr>
            <w:r>
              <w:t>NABU</w:t>
            </w:r>
          </w:p>
        </w:tc>
        <w:tc>
          <w:tcPr>
            <w:cnfStyle w:evenVBand="false" w:oddVBand="true" w:firstColumn="false"/>
            <w:tcW w:w="33.333333%" w:type="pct"/>
          </w:tcPr>
          <w:p>
            <w:pPr>
              <w:ind w:leftChars="0" w:left="0" w:right="0"/>
            </w:pPr>
            <w:r>
              <w:t>NAB EUROPE LIMITED - SYSTEMATIC INTERNALISER - FIXED INCOME SECURITIES</w:t>
            </w:r>
          </w:p>
        </w:tc>
      </w:tr>
      <w:tr>
        <w:trPr>
          <w:cnfStyle w:evenHBand="true" w:oddHBand="false" w:firstRow="false"/>
        </w:trPr>
        <w:tc>
          <w:tcPr>
            <w:cnfStyle w:evenVBand="false" w:oddVBand="true" w:firstColumn="false"/>
            <w:tcW w:w="33.333333%" w:type="pct"/>
          </w:tcPr>
          <w:p>
            <w:pPr>
              <w:ind w:leftChars="0" w:left="0" w:right="0"/>
            </w:pPr>
            <w:r>
              <w:t>NAMX</w:t>
            </w:r>
          </w:p>
        </w:tc>
        <w:tc>
          <w:tcPr>
            <w:cnfStyle w:evenVBand="true" w:oddVBand="false" w:firstColumn="false"/>
            <w:tcW w:w="33.333333%" w:type="pct"/>
          </w:tcPr>
          <w:p>
            <w:pPr>
              <w:ind w:leftChars="0" w:left="0" w:right="0"/>
            </w:pPr>
            <w:r>
              <w:t>NAMX</w:t>
            </w:r>
          </w:p>
        </w:tc>
        <w:tc>
          <w:tcPr>
            <w:cnfStyle w:evenVBand="false" w:oddVBand="true" w:firstColumn="false"/>
            <w:tcW w:w="33.333333%" w:type="pct"/>
          </w:tcPr>
          <w:p>
            <w:pPr>
              <w:ind w:leftChars="0" w:left="0" w:right="0"/>
            </w:pPr>
            <w:r>
              <w:t>NATIONAL MERCANTILE EXCHANGE</w:t>
            </w:r>
          </w:p>
        </w:tc>
      </w:tr>
      <w:tr>
        <w:trPr>
          <w:cnfStyle w:evenHBand="false" w:oddHBand="true" w:firstRow="false"/>
        </w:trPr>
        <w:tc>
          <w:tcPr>
            <w:cnfStyle w:evenVBand="false" w:oddVBand="true" w:firstColumn="false"/>
            <w:tcW w:w="33.333333%" w:type="pct"/>
          </w:tcPr>
          <w:p>
            <w:pPr>
              <w:ind w:leftChars="0" w:left="0" w:right="0"/>
            </w:pPr>
            <w:r>
              <w:t>NAPA</w:t>
            </w:r>
          </w:p>
        </w:tc>
        <w:tc>
          <w:tcPr>
            <w:cnfStyle w:evenVBand="true" w:oddVBand="false" w:firstColumn="false"/>
            <w:tcW w:w="33.333333%" w:type="pct"/>
          </w:tcPr>
          <w:p>
            <w:pPr>
              <w:ind w:leftChars="0" w:left="0" w:right="0"/>
            </w:pPr>
            <w:r>
              <w:t>NAPA</w:t>
            </w:r>
          </w:p>
        </w:tc>
        <w:tc>
          <w:tcPr>
            <w:cnfStyle w:evenVBand="false" w:oddVBand="true" w:firstColumn="false"/>
            <w:tcW w:w="33.333333%" w:type="pct"/>
          </w:tcPr>
          <w:p>
            <w:pPr>
              <w:ind w:leftChars="0" w:left="0" w:right="0"/>
            </w:pPr>
            <w:r>
              <w:t>NASDAQ STOCKHOLM AB - APA SERVICE</w:t>
            </w:r>
          </w:p>
        </w:tc>
      </w:tr>
      <w:tr>
        <w:trPr>
          <w:cnfStyle w:evenHBand="true" w:oddHBand="false" w:firstRow="false"/>
        </w:trPr>
        <w:tc>
          <w:tcPr>
            <w:cnfStyle w:evenVBand="false" w:oddVBand="true" w:firstColumn="false"/>
            <w:tcW w:w="33.333333%" w:type="pct"/>
          </w:tcPr>
          <w:p>
            <w:pPr>
              <w:ind w:leftChars="0" w:left="0" w:right="0"/>
            </w:pPr>
            <w:r>
              <w:t>NASB</w:t>
            </w:r>
          </w:p>
        </w:tc>
        <w:tc>
          <w:tcPr>
            <w:cnfStyle w:evenVBand="true" w:oddVBand="false" w:firstColumn="false"/>
            <w:tcW w:w="33.333333%" w:type="pct"/>
          </w:tcPr>
          <w:p>
            <w:pPr>
              <w:ind w:leftChars="0" w:left="0" w:right="0"/>
            </w:pPr>
            <w:r>
              <w:t>NASB</w:t>
            </w:r>
          </w:p>
        </w:tc>
        <w:tc>
          <w:tcPr>
            <w:cnfStyle w:evenVBand="false" w:oddVBand="true" w:firstColumn="false"/>
            <w:tcW w:w="33.333333%" w:type="pct"/>
          </w:tcPr>
          <w:p>
            <w:pPr>
              <w:ind w:leftChars="0" w:left="0" w:right="0"/>
            </w:pPr>
            <w:r>
              <w:t>NASDAQ BALTIC</w:t>
            </w:r>
          </w:p>
        </w:tc>
      </w:tr>
      <w:tr>
        <w:trPr>
          <w:cnfStyle w:evenHBand="false" w:oddHBand="true" w:firstRow="false"/>
        </w:trPr>
        <w:tc>
          <w:tcPr>
            <w:cnfStyle w:evenVBand="false" w:oddVBand="true" w:firstColumn="false"/>
            <w:tcW w:w="33.333333%" w:type="pct"/>
          </w:tcPr>
          <w:p>
            <w:pPr>
              <w:ind w:leftChars="0" w:left="0" w:right="0"/>
            </w:pPr>
            <w:r>
              <w:t>NASD</w:t>
            </w:r>
          </w:p>
        </w:tc>
        <w:tc>
          <w:tcPr>
            <w:cnfStyle w:evenVBand="true" w:oddVBand="false" w:firstColumn="false"/>
            <w:tcW w:w="33.333333%" w:type="pct"/>
          </w:tcPr>
          <w:p>
            <w:pPr>
              <w:ind w:leftChars="0" w:left="0" w:right="0"/>
            </w:pPr>
            <w:r>
              <w:t>NASD</w:t>
            </w:r>
          </w:p>
        </w:tc>
        <w:tc>
          <w:tcPr>
            <w:cnfStyle w:evenVBand="false" w:oddVBand="true" w:firstColumn="false"/>
            <w:tcW w:w="33.333333%" w:type="pct"/>
          </w:tcPr>
          <w:p>
            <w:pPr>
              <w:ind w:leftChars="0" w:left="0" w:right="0"/>
            </w:pPr>
            <w:r>
              <w:t>NSDQ DARK</w:t>
            </w:r>
          </w:p>
        </w:tc>
      </w:tr>
      <w:tr>
        <w:trPr>
          <w:cnfStyle w:evenHBand="true" w:oddHBand="false" w:firstRow="false"/>
        </w:trPr>
        <w:tc>
          <w:tcPr>
            <w:cnfStyle w:evenVBand="false" w:oddVBand="true" w:firstColumn="false"/>
            <w:tcW w:w="33.333333%" w:type="pct"/>
          </w:tcPr>
          <w:p>
            <w:pPr>
              <w:ind w:leftChars="0" w:left="0" w:right="0"/>
            </w:pPr>
            <w:r>
              <w:t>NASN</w:t>
            </w:r>
          </w:p>
        </w:tc>
        <w:tc>
          <w:tcPr>
            <w:cnfStyle w:evenVBand="true" w:oddVBand="false" w:firstColumn="false"/>
            <w:tcW w:w="33.333333%" w:type="pct"/>
          </w:tcPr>
          <w:p>
            <w:pPr>
              <w:ind w:leftChars="0" w:left="0" w:right="0"/>
            </w:pPr>
            <w:r>
              <w:t>NASN</w:t>
            </w:r>
          </w:p>
        </w:tc>
        <w:tc>
          <w:tcPr>
            <w:cnfStyle w:evenVBand="false" w:oddVBand="true" w:firstColumn="false"/>
            <w:tcW w:w="33.333333%" w:type="pct"/>
          </w:tcPr>
          <w:p>
            <w:pPr>
              <w:ind w:leftChars="0" w:left="0" w:right="0"/>
            </w:pPr>
            <w:r>
              <w:t>NASDAQ OMX DERIVATIVES MARKETS</w:t>
            </w:r>
          </w:p>
        </w:tc>
      </w:tr>
      <w:tr>
        <w:trPr>
          <w:cnfStyle w:evenHBand="false" w:oddHBand="true" w:firstRow="false"/>
        </w:trPr>
        <w:tc>
          <w:tcPr>
            <w:cnfStyle w:evenVBand="false" w:oddVBand="true" w:firstColumn="false"/>
            <w:tcW w:w="33.333333%" w:type="pct"/>
          </w:tcPr>
          <w:p>
            <w:pPr>
              <w:ind w:leftChars="0" w:left="0" w:right="0"/>
            </w:pPr>
            <w:r>
              <w:t>NASX</w:t>
            </w:r>
          </w:p>
        </w:tc>
        <w:tc>
          <w:tcPr>
            <w:cnfStyle w:evenVBand="true" w:oddVBand="false" w:firstColumn="false"/>
            <w:tcW w:w="33.333333%" w:type="pct"/>
          </w:tcPr>
          <w:p>
            <w:pPr>
              <w:ind w:leftChars="0" w:left="0" w:right="0"/>
            </w:pPr>
            <w:r>
              <w:t>NASX</w:t>
            </w:r>
          </w:p>
        </w:tc>
        <w:tc>
          <w:tcPr>
            <w:cnfStyle w:evenVBand="false" w:oddVBand="true" w:firstColumn="false"/>
            <w:tcW w:w="33.333333%" w:type="pct"/>
          </w:tcPr>
          <w:p>
            <w:pPr>
              <w:ind w:leftChars="0" w:left="0" w:right="0"/>
            </w:pPr>
            <w:r>
              <w:t>NASD OTC MARKET</w:t>
            </w:r>
          </w:p>
        </w:tc>
      </w:tr>
      <w:tr>
        <w:trPr>
          <w:cnfStyle w:evenHBand="true" w:oddHBand="false" w:firstRow="false"/>
        </w:trPr>
        <w:tc>
          <w:tcPr>
            <w:cnfStyle w:evenVBand="false" w:oddVBand="true" w:firstColumn="false"/>
            <w:tcW w:w="33.333333%" w:type="pct"/>
          </w:tcPr>
          <w:p>
            <w:pPr>
              <w:ind w:leftChars="0" w:left="0" w:right="0"/>
            </w:pPr>
            <w:r>
              <w:t>NATX</w:t>
            </w:r>
          </w:p>
        </w:tc>
        <w:tc>
          <w:tcPr>
            <w:cnfStyle w:evenVBand="true" w:oddVBand="false" w:firstColumn="false"/>
            <w:tcW w:w="33.333333%" w:type="pct"/>
          </w:tcPr>
          <w:p>
            <w:pPr>
              <w:ind w:leftChars="0" w:left="0" w:right="0"/>
            </w:pPr>
            <w:r>
              <w:t>NATX</w:t>
            </w:r>
          </w:p>
        </w:tc>
        <w:tc>
          <w:tcPr>
            <w:cnfStyle w:evenVBand="false" w:oddVBand="true" w:firstColumn="false"/>
            <w:tcW w:w="33.333333%" w:type="pct"/>
          </w:tcPr>
          <w:p>
            <w:pPr>
              <w:ind w:leftChars="0" w:left="0" w:right="0"/>
            </w:pPr>
            <w:r>
              <w:t>NATIXIS - SYSTEMATIC INTERNALISER</w:t>
            </w:r>
          </w:p>
        </w:tc>
      </w:tr>
      <w:tr>
        <w:trPr>
          <w:cnfStyle w:evenHBand="false" w:oddHBand="true" w:firstRow="false"/>
        </w:trPr>
        <w:tc>
          <w:tcPr>
            <w:cnfStyle w:evenVBand="false" w:oddVBand="true" w:firstColumn="false"/>
            <w:tcW w:w="33.333333%" w:type="pct"/>
          </w:tcPr>
          <w:p>
            <w:pPr>
              <w:ind w:leftChars="0" w:left="0" w:right="0"/>
            </w:pPr>
            <w:r>
              <w:t>NAVE</w:t>
            </w:r>
          </w:p>
        </w:tc>
        <w:tc>
          <w:tcPr>
            <w:cnfStyle w:evenVBand="true" w:oddVBand="false" w:firstColumn="false"/>
            <w:tcW w:w="33.333333%" w:type="pct"/>
          </w:tcPr>
          <w:p>
            <w:pPr>
              <w:ind w:leftChars="0" w:left="0" w:right="0"/>
            </w:pPr>
            <w:r>
              <w:t>NAVE</w:t>
            </w:r>
          </w:p>
        </w:tc>
        <w:tc>
          <w:tcPr>
            <w:cnfStyle w:evenVBand="false" w:oddVBand="true" w:firstColumn="false"/>
            <w:tcW w:w="33.333333%" w:type="pct"/>
          </w:tcPr>
          <w:p>
            <w:pPr>
              <w:ind w:leftChars="0" w:left="0" w:right="0"/>
            </w:pPr>
            <w:r>
              <w:t>NAVESIS-MTF</w:t>
            </w:r>
          </w:p>
        </w:tc>
      </w:tr>
      <w:tr>
        <w:trPr>
          <w:cnfStyle w:evenHBand="true" w:oddHBand="false" w:firstRow="false"/>
        </w:trPr>
        <w:tc>
          <w:tcPr>
            <w:cnfStyle w:evenVBand="false" w:oddVBand="true" w:firstColumn="false"/>
            <w:tcW w:w="33.333333%" w:type="pct"/>
          </w:tcPr>
          <w:p>
            <w:pPr>
              <w:ind w:leftChars="0" w:left="0" w:right="0"/>
            </w:pPr>
            <w:r>
              <w:t>NBFL</w:t>
            </w:r>
          </w:p>
        </w:tc>
        <w:tc>
          <w:tcPr>
            <w:cnfStyle w:evenVBand="true" w:oddVBand="false" w:firstColumn="false"/>
            <w:tcW w:w="33.333333%" w:type="pct"/>
          </w:tcPr>
          <w:p>
            <w:pPr>
              <w:ind w:leftChars="0" w:left="0" w:right="0"/>
            </w:pPr>
            <w:r>
              <w:t>NBFL</w:t>
            </w:r>
          </w:p>
        </w:tc>
        <w:tc>
          <w:tcPr>
            <w:cnfStyle w:evenVBand="false" w:oddVBand="true" w:firstColumn="false"/>
            <w:tcW w:w="33.333333%" w:type="pct"/>
          </w:tcPr>
          <w:p>
            <w:pPr>
              <w:ind w:leftChars="0" w:left="0" w:right="0"/>
            </w:pPr>
            <w:r>
              <w:t>NATIONAL BANK FINANCIAL INC. - SYSTEMATIC INTERNALISER</w:t>
            </w:r>
          </w:p>
        </w:tc>
      </w:tr>
      <w:tr>
        <w:trPr>
          <w:cnfStyle w:evenHBand="false" w:oddHBand="true" w:firstRow="false"/>
        </w:trPr>
        <w:tc>
          <w:tcPr>
            <w:cnfStyle w:evenVBand="false" w:oddVBand="true" w:firstColumn="false"/>
            <w:tcW w:w="33.333333%" w:type="pct"/>
          </w:tcPr>
          <w:p>
            <w:pPr>
              <w:ind w:leftChars="0" w:left="0" w:right="0"/>
            </w:pPr>
            <w:r>
              <w:t>NBLX</w:t>
            </w:r>
          </w:p>
        </w:tc>
        <w:tc>
          <w:tcPr>
            <w:cnfStyle w:evenVBand="true" w:oddVBand="false" w:firstColumn="false"/>
            <w:tcW w:w="33.333333%" w:type="pct"/>
          </w:tcPr>
          <w:p>
            <w:pPr>
              <w:ind w:leftChars="0" w:left="0" w:right="0"/>
            </w:pPr>
            <w:r>
              <w:t>NBLX</w:t>
            </w:r>
          </w:p>
        </w:tc>
        <w:tc>
          <w:tcPr>
            <w:cnfStyle w:evenVBand="false" w:oddVBand="true" w:firstColumn="false"/>
            <w:tcW w:w="33.333333%" w:type="pct"/>
          </w:tcPr>
          <w:p>
            <w:pPr>
              <w:ind w:leftChars="0" w:left="0" w:right="0"/>
            </w:pPr>
            <w:r>
              <w:t>NOBLE EXCHANGE</w:t>
            </w:r>
          </w:p>
        </w:tc>
      </w:tr>
      <w:tr>
        <w:trPr>
          <w:cnfStyle w:evenHBand="true" w:oddHBand="false" w:firstRow="false"/>
        </w:trPr>
        <w:tc>
          <w:tcPr>
            <w:cnfStyle w:evenVBand="false" w:oddVBand="true" w:firstColumn="false"/>
            <w:tcW w:w="33.333333%" w:type="pct"/>
          </w:tcPr>
          <w:p>
            <w:pPr>
              <w:ind w:leftChars="0" w:left="0" w:right="0"/>
            </w:pPr>
            <w:r>
              <w:t>NBOT</w:t>
            </w:r>
          </w:p>
        </w:tc>
        <w:tc>
          <w:tcPr>
            <w:cnfStyle w:evenVBand="true" w:oddVBand="false" w:firstColumn="false"/>
            <w:tcW w:w="33.333333%" w:type="pct"/>
          </w:tcPr>
          <w:p>
            <w:pPr>
              <w:ind w:leftChars="0" w:left="0" w:right="0"/>
            </w:pPr>
            <w:r>
              <w:t>NBOT</w:t>
            </w:r>
          </w:p>
        </w:tc>
        <w:tc>
          <w:tcPr>
            <w:cnfStyle w:evenVBand="false" w:oddVBand="true" w:firstColumn="false"/>
            <w:tcW w:w="33.333333%" w:type="pct"/>
          </w:tcPr>
          <w:p>
            <w:pPr>
              <w:ind w:leftChars="0" w:left="0" w:right="0"/>
            </w:pPr>
            <w:r>
              <w:t>NATIONAL BOARD OF TRADE LIMITED</w:t>
            </w:r>
          </w:p>
        </w:tc>
      </w:tr>
      <w:tr>
        <w:trPr>
          <w:cnfStyle w:evenHBand="false" w:oddHBand="true" w:firstRow="false"/>
        </w:trPr>
        <w:tc>
          <w:tcPr>
            <w:cnfStyle w:evenVBand="false" w:oddVBand="true" w:firstColumn="false"/>
            <w:tcW w:w="33.333333%" w:type="pct"/>
          </w:tcPr>
          <w:p>
            <w:pPr>
              <w:ind w:leftChars="0" w:left="0" w:right="0"/>
            </w:pPr>
            <w:r>
              <w:t>NBXO</w:t>
            </w:r>
          </w:p>
        </w:tc>
        <w:tc>
          <w:tcPr>
            <w:cnfStyle w:evenVBand="true" w:oddVBand="false" w:firstColumn="false"/>
            <w:tcW w:w="33.333333%" w:type="pct"/>
          </w:tcPr>
          <w:p>
            <w:pPr>
              <w:ind w:leftChars="0" w:left="0" w:right="0"/>
            </w:pPr>
            <w:r>
              <w:t>NBXO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NCEL</w:t>
            </w:r>
          </w:p>
        </w:tc>
        <w:tc>
          <w:tcPr>
            <w:cnfStyle w:evenVBand="true" w:oddVBand="false" w:firstColumn="false"/>
            <w:tcW w:w="33.333333%" w:type="pct"/>
          </w:tcPr>
          <w:p>
            <w:pPr>
              <w:ind w:leftChars="0" w:left="0" w:right="0"/>
            </w:pPr>
            <w:r>
              <w:t>NCEL</w:t>
            </w:r>
          </w:p>
        </w:tc>
        <w:tc>
          <w:tcPr>
            <w:cnfStyle w:evenVBand="false" w:oddVBand="true" w:firstColumn="false"/>
            <w:tcW w:w="33.333333%" w:type="pct"/>
          </w:tcPr>
          <w:p>
            <w:pPr>
              <w:ind w:leftChars="0" w:left="0" w:right="0"/>
            </w:pPr>
            <w:r>
              <w:t>PAKISTAN MERCANTILE EXCHANGE</w:t>
            </w:r>
          </w:p>
        </w:tc>
      </w:tr>
      <w:tr>
        <w:trPr>
          <w:cnfStyle w:evenHBand="false" w:oddHBand="true" w:firstRow="false"/>
        </w:trPr>
        <w:tc>
          <w:tcPr>
            <w:cnfStyle w:evenVBand="false" w:oddVBand="true" w:firstColumn="false"/>
            <w:tcW w:w="33.333333%" w:type="pct"/>
          </w:tcPr>
          <w:p>
            <w:pPr>
              <w:ind w:leftChars="0" w:left="0" w:right="0"/>
            </w:pPr>
            <w:r>
              <w:t>NCME</w:t>
            </w:r>
          </w:p>
        </w:tc>
        <w:tc>
          <w:tcPr>
            <w:cnfStyle w:evenVBand="true" w:oddVBand="false" w:firstColumn="false"/>
            <w:tcW w:w="33.333333%" w:type="pct"/>
          </w:tcPr>
          <w:p>
            <w:pPr>
              <w:ind w:leftChars="0" w:left="0" w:right="0"/>
            </w:pPr>
            <w:r>
              <w:t>NCME</w:t>
            </w:r>
          </w:p>
        </w:tc>
        <w:tc>
          <w:tcPr>
            <w:cnfStyle w:evenVBand="false" w:oddVBand="true" w:firstColumn="false"/>
            <w:tcW w:w="33.333333%" w:type="pct"/>
          </w:tcPr>
          <w:p>
            <w:pPr>
              <w:ind w:leftChars="0" w:left="0" w:right="0"/>
            </w:pPr>
            <w:r>
              <w:t>SMBC NIKKO CAPITAL MARKETS EUROPE GMBH</w:t>
            </w:r>
          </w:p>
        </w:tc>
      </w:tr>
      <w:tr>
        <w:trPr>
          <w:cnfStyle w:evenHBand="true" w:oddHBand="false" w:firstRow="false"/>
        </w:trPr>
        <w:tc>
          <w:tcPr>
            <w:cnfStyle w:evenVBand="false" w:oddVBand="true" w:firstColumn="false"/>
            <w:tcW w:w="33.333333%" w:type="pct"/>
          </w:tcPr>
          <w:p>
            <w:pPr>
              <w:ind w:leftChars="0" w:left="0" w:right="0"/>
            </w:pPr>
            <w:r>
              <w:t>NCML</w:t>
            </w:r>
          </w:p>
        </w:tc>
        <w:tc>
          <w:tcPr>
            <w:cnfStyle w:evenVBand="true" w:oddVBand="false" w:firstColumn="false"/>
            <w:tcW w:w="33.333333%" w:type="pct"/>
          </w:tcPr>
          <w:p>
            <w:pPr>
              <w:ind w:leftChars="0" w:left="0" w:right="0"/>
            </w:pPr>
            <w:r>
              <w:t>NCML</w:t>
            </w:r>
          </w:p>
        </w:tc>
        <w:tc>
          <w:tcPr>
            <w:cnfStyle w:evenVBand="false" w:oddVBand="true" w:firstColumn="false"/>
            <w:tcW w:w="33.333333%" w:type="pct"/>
          </w:tcPr>
          <w:p>
            <w:pPr>
              <w:ind w:leftChars="0" w:left="0" w:right="0"/>
            </w:pPr>
            <w:r>
              <w:t>SMBC NIKKO CAPITAL MARKETS LIMITED - SYSTEMATIC INTERNALISER</w:t>
            </w:r>
          </w:p>
        </w:tc>
      </w:tr>
      <w:tr>
        <w:trPr>
          <w:cnfStyle w:evenHBand="false" w:oddHBand="true" w:firstRow="false"/>
        </w:trPr>
        <w:tc>
          <w:tcPr>
            <w:cnfStyle w:evenVBand="false" w:oddVBand="true" w:firstColumn="false"/>
            <w:tcW w:w="33.333333%" w:type="pct"/>
          </w:tcPr>
          <w:p>
            <w:pPr>
              <w:ind w:leftChars="0" w:left="0" w:right="0"/>
            </w:pPr>
            <w:r>
              <w:t>NDCM</w:t>
            </w:r>
          </w:p>
        </w:tc>
        <w:tc>
          <w:tcPr>
            <w:cnfStyle w:evenVBand="true" w:oddVBand="false" w:firstColumn="false"/>
            <w:tcW w:w="33.333333%" w:type="pct"/>
          </w:tcPr>
          <w:p>
            <w:pPr>
              <w:ind w:leftChars="0" w:left="0" w:right="0"/>
            </w:pPr>
            <w:r>
              <w:t>NDCM</w:t>
            </w:r>
          </w:p>
        </w:tc>
        <w:tc>
          <w:tcPr>
            <w:cnfStyle w:evenVBand="false" w:oddVBand="true" w:firstColumn="false"/>
            <w:tcW w:w="33.333333%" w:type="pct"/>
          </w:tcPr>
          <w:p>
            <w:pPr>
              <w:ind w:leftChars="0" w:left="0" w:right="0"/>
            </w:pPr>
            <w:r>
              <w:t>ICE ENDEX UK OCM GAS SPOT</w:t>
            </w:r>
          </w:p>
        </w:tc>
      </w:tr>
      <w:tr>
        <w:trPr>
          <w:cnfStyle w:evenHBand="true" w:oddHBand="false" w:firstRow="false"/>
        </w:trPr>
        <w:tc>
          <w:tcPr>
            <w:cnfStyle w:evenVBand="false" w:oddVBand="true" w:firstColumn="false"/>
            <w:tcW w:w="33.333333%" w:type="pct"/>
          </w:tcPr>
          <w:p>
            <w:pPr>
              <w:ind w:leftChars="0" w:left="0" w:right="0"/>
            </w:pPr>
            <w:r>
              <w:t>NDEX</w:t>
            </w:r>
          </w:p>
        </w:tc>
        <w:tc>
          <w:tcPr>
            <w:cnfStyle w:evenVBand="true" w:oddVBand="false" w:firstColumn="false"/>
            <w:tcW w:w="33.333333%" w:type="pct"/>
          </w:tcPr>
          <w:p>
            <w:pPr>
              <w:ind w:leftChars="0" w:left="0" w:right="0"/>
            </w:pPr>
            <w:r>
              <w:t>NDEX</w:t>
            </w:r>
          </w:p>
        </w:tc>
        <w:tc>
          <w:tcPr>
            <w:cnfStyle w:evenVBand="false" w:oddVBand="true" w:firstColumn="false"/>
            <w:tcW w:w="33.333333%" w:type="pct"/>
          </w:tcPr>
          <w:p>
            <w:pPr>
              <w:ind w:leftChars="0" w:left="0" w:right="0"/>
            </w:pPr>
            <w:r>
              <w:t>ICE ENDEX FUTURES</w:t>
            </w:r>
          </w:p>
        </w:tc>
      </w:tr>
      <w:tr>
        <w:trPr>
          <w:cnfStyle w:evenHBand="false" w:oddHBand="true" w:firstRow="false"/>
        </w:trPr>
        <w:tc>
          <w:tcPr>
            <w:cnfStyle w:evenVBand="false" w:oddVBand="true" w:firstColumn="false"/>
            <w:tcW w:w="33.333333%" w:type="pct"/>
          </w:tcPr>
          <w:p>
            <w:pPr>
              <w:ind w:leftChars="0" w:left="0" w:right="0"/>
            </w:pPr>
            <w:r>
              <w:t>NDXS</w:t>
            </w:r>
          </w:p>
        </w:tc>
        <w:tc>
          <w:tcPr>
            <w:cnfStyle w:evenVBand="true" w:oddVBand="false" w:firstColumn="false"/>
            <w:tcW w:w="33.333333%" w:type="pct"/>
          </w:tcPr>
          <w:p>
            <w:pPr>
              <w:ind w:leftChars="0" w:left="0" w:right="0"/>
            </w:pPr>
            <w:r>
              <w:t>NDXS</w:t>
            </w:r>
          </w:p>
        </w:tc>
        <w:tc>
          <w:tcPr>
            <w:cnfStyle w:evenVBand="false" w:oddVBand="true" w:firstColumn="false"/>
            <w:tcW w:w="33.333333%" w:type="pct"/>
          </w:tcPr>
          <w:p>
            <w:pPr>
              <w:ind w:leftChars="0" w:left="0" w:right="0"/>
            </w:pPr>
            <w:r>
              <w:t>ICE ENDEX EUROPEAN GAS SPOT</w:t>
            </w:r>
          </w:p>
        </w:tc>
      </w:tr>
      <w:tr>
        <w:trPr>
          <w:cnfStyle w:evenHBand="true" w:oddHBand="false" w:firstRow="false"/>
        </w:trPr>
        <w:tc>
          <w:tcPr>
            <w:cnfStyle w:evenVBand="false" w:oddVBand="true" w:firstColumn="false"/>
            <w:tcW w:w="33.333333%" w:type="pct"/>
          </w:tcPr>
          <w:p>
            <w:pPr>
              <w:ind w:leftChars="0" w:left="0" w:right="0"/>
            </w:pPr>
            <w:r>
              <w:t>NECD</w:t>
            </w:r>
          </w:p>
        </w:tc>
        <w:tc>
          <w:tcPr>
            <w:cnfStyle w:evenVBand="true" w:oddVBand="false" w:firstColumn="false"/>
            <w:tcW w:w="33.333333%" w:type="pct"/>
          </w:tcPr>
          <w:p>
            <w:pPr>
              <w:ind w:leftChars="0" w:left="0" w:right="0"/>
            </w:pPr>
            <w:r>
              <w:t>NECD</w:t>
            </w:r>
          </w:p>
        </w:tc>
        <w:tc>
          <w:tcPr>
            <w:cnfStyle w:evenVBand="false" w:oddVBand="true" w:firstColumn="false"/>
            <w:tcW w:w="33.333333%" w:type="pct"/>
          </w:tcPr>
          <w:p>
            <w:pPr>
              <w:ind w:leftChars="0" w:left="0" w:right="0"/>
            </w:pPr>
            <w:r>
              <w:t>NSX DARK</w:t>
            </w:r>
          </w:p>
        </w:tc>
      </w:tr>
      <w:tr>
        <w:trPr>
          <w:cnfStyle w:evenHBand="false" w:oddHBand="true" w:firstRow="false"/>
        </w:trPr>
        <w:tc>
          <w:tcPr>
            <w:cnfStyle w:evenVBand="false" w:oddVBand="true" w:firstColumn="false"/>
            <w:tcW w:w="33.333333%" w:type="pct"/>
          </w:tcPr>
          <w:p>
            <w:pPr>
              <w:ind w:leftChars="0" w:left="0" w:right="0"/>
            </w:pPr>
            <w:r>
              <w:t>NEEQ</w:t>
            </w:r>
          </w:p>
        </w:tc>
        <w:tc>
          <w:tcPr>
            <w:cnfStyle w:evenVBand="true" w:oddVBand="false" w:firstColumn="false"/>
            <w:tcW w:w="33.333333%" w:type="pct"/>
          </w:tcPr>
          <w:p>
            <w:pPr>
              <w:ind w:leftChars="0" w:left="0" w:right="0"/>
            </w:pPr>
            <w:r>
              <w:t>NEEQ</w:t>
            </w:r>
          </w:p>
        </w:tc>
        <w:tc>
          <w:tcPr>
            <w:cnfStyle w:evenVBand="false" w:oddVBand="true" w:firstColumn="false"/>
            <w:tcW w:w="33.333333%" w:type="pct"/>
          </w:tcPr>
          <w:p>
            <w:pPr>
              <w:ind w:leftChars="0" w:left="0" w:right="0"/>
            </w:pPr>
            <w:r>
              <w:t>NATIONAL EQUITIES EXCHANGE AND QUOTATIONS</w:t>
            </w:r>
          </w:p>
        </w:tc>
      </w:tr>
      <w:tr>
        <w:trPr>
          <w:cnfStyle w:evenHBand="true" w:oddHBand="false" w:firstRow="false"/>
        </w:trPr>
        <w:tc>
          <w:tcPr>
            <w:cnfStyle w:evenVBand="false" w:oddVBand="true" w:firstColumn="false"/>
            <w:tcW w:w="33.333333%" w:type="pct"/>
          </w:tcPr>
          <w:p>
            <w:pPr>
              <w:ind w:leftChars="0" w:left="0" w:right="0"/>
            </w:pPr>
            <w:r>
              <w:t>NEOC</w:t>
            </w:r>
          </w:p>
        </w:tc>
        <w:tc>
          <w:tcPr>
            <w:cnfStyle w:evenVBand="true" w:oddVBand="false" w:firstColumn="false"/>
            <w:tcW w:w="33.333333%" w:type="pct"/>
          </w:tcPr>
          <w:p>
            <w:pPr>
              <w:ind w:leftChars="0" w:left="0" w:right="0"/>
            </w:pPr>
            <w:r>
              <w:t>NEOC</w:t>
            </w:r>
          </w:p>
        </w:tc>
        <w:tc>
          <w:tcPr>
            <w:cnfStyle w:evenVBand="false" w:oddVBand="true" w:firstColumn="false"/>
            <w:tcW w:w="33.333333%" w:type="pct"/>
          </w:tcPr>
          <w:p>
            <w:pPr>
              <w:ind w:leftChars="0" w:left="0" w:right="0"/>
            </w:pPr>
            <w:r>
              <w:t>NEO CONNECT</w:t>
            </w:r>
          </w:p>
        </w:tc>
      </w:tr>
      <w:tr>
        <w:trPr>
          <w:cnfStyle w:evenHBand="false" w:oddHBand="true" w:firstRow="false"/>
        </w:trPr>
        <w:tc>
          <w:tcPr>
            <w:cnfStyle w:evenVBand="false" w:oddVBand="true" w:firstColumn="false"/>
            <w:tcW w:w="33.333333%" w:type="pct"/>
          </w:tcPr>
          <w:p>
            <w:pPr>
              <w:ind w:leftChars="0" w:left="0" w:right="0"/>
            </w:pPr>
            <w:r>
              <w:t>NEOD</w:t>
            </w:r>
          </w:p>
        </w:tc>
        <w:tc>
          <w:tcPr>
            <w:cnfStyle w:evenVBand="true" w:oddVBand="false" w:firstColumn="false"/>
            <w:tcW w:w="33.333333%" w:type="pct"/>
          </w:tcPr>
          <w:p>
            <w:pPr>
              <w:ind w:leftChars="0" w:left="0" w:right="0"/>
            </w:pPr>
            <w:r>
              <w:t>NEOD</w:t>
            </w:r>
          </w:p>
        </w:tc>
        <w:tc>
          <w:tcPr>
            <w:cnfStyle w:evenVBand="false" w:oddVBand="true" w:firstColumn="false"/>
            <w:tcW w:w="33.333333%" w:type="pct"/>
          </w:tcPr>
          <w:p>
            <w:pPr>
              <w:ind w:leftChars="0" w:left="0" w:right="0"/>
            </w:pPr>
            <w:r>
              <w:t>NEO EXCHANGE - NEO-D (DARK)</w:t>
            </w:r>
          </w:p>
        </w:tc>
      </w:tr>
      <w:tr>
        <w:trPr>
          <w:cnfStyle w:evenHBand="true" w:oddHBand="false" w:firstRow="false"/>
        </w:trPr>
        <w:tc>
          <w:tcPr>
            <w:cnfStyle w:evenVBand="false" w:oddVBand="true" w:firstColumn="false"/>
            <w:tcW w:w="33.333333%" w:type="pct"/>
          </w:tcPr>
          <w:p>
            <w:pPr>
              <w:ind w:leftChars="0" w:left="0" w:right="0"/>
            </w:pPr>
            <w:r>
              <w:t>NEOE</w:t>
            </w:r>
          </w:p>
        </w:tc>
        <w:tc>
          <w:tcPr>
            <w:cnfStyle w:evenVBand="true" w:oddVBand="false" w:firstColumn="false"/>
            <w:tcW w:w="33.333333%" w:type="pct"/>
          </w:tcPr>
          <w:p>
            <w:pPr>
              <w:ind w:leftChars="0" w:left="0" w:right="0"/>
            </w:pPr>
            <w:r>
              <w:t>NEOE</w:t>
            </w:r>
          </w:p>
        </w:tc>
        <w:tc>
          <w:tcPr>
            <w:cnfStyle w:evenVBand="false" w:oddVBand="true" w:firstColumn="false"/>
            <w:tcW w:w="33.333333%" w:type="pct"/>
          </w:tcPr>
          <w:p>
            <w:pPr>
              <w:ind w:leftChars="0" w:left="0" w:right="0"/>
            </w:pPr>
            <w:r>
              <w:t>NEO EXCHANGE - NEO-L (MARKET BY ORDER)</w:t>
            </w:r>
          </w:p>
        </w:tc>
      </w:tr>
      <w:tr>
        <w:trPr>
          <w:cnfStyle w:evenHBand="false" w:oddHBand="true" w:firstRow="false"/>
        </w:trPr>
        <w:tc>
          <w:tcPr>
            <w:cnfStyle w:evenVBand="false" w:oddVBand="true" w:firstColumn="false"/>
            <w:tcW w:w="33.333333%" w:type="pct"/>
          </w:tcPr>
          <w:p>
            <w:pPr>
              <w:ind w:leftChars="0" w:left="0" w:right="0"/>
            </w:pPr>
            <w:r>
              <w:t>NEON</w:t>
            </w:r>
          </w:p>
        </w:tc>
        <w:tc>
          <w:tcPr>
            <w:cnfStyle w:evenVBand="true" w:oddVBand="false" w:firstColumn="false"/>
            <w:tcW w:w="33.333333%" w:type="pct"/>
          </w:tcPr>
          <w:p>
            <w:pPr>
              <w:ind w:leftChars="0" w:left="0" w:right="0"/>
            </w:pPr>
            <w:r>
              <w:t>NEON</w:t>
            </w:r>
          </w:p>
        </w:tc>
        <w:tc>
          <w:tcPr>
            <w:cnfStyle w:evenVBand="false" w:oddVBand="true" w:firstColumn="false"/>
            <w:tcW w:w="33.333333%" w:type="pct"/>
          </w:tcPr>
          <w:p>
            <w:pPr>
              <w:ind w:leftChars="0" w:left="0" w:right="0"/>
            </w:pPr>
            <w:r>
              <w:t>NEO EXCHANGE - NEO-N (MARKET BY PRICE)</w:t>
            </w:r>
          </w:p>
        </w:tc>
      </w:tr>
      <w:tr>
        <w:trPr>
          <w:cnfStyle w:evenHBand="true" w:oddHBand="false" w:firstRow="false"/>
        </w:trPr>
        <w:tc>
          <w:tcPr>
            <w:cnfStyle w:evenVBand="false" w:oddVBand="true" w:firstColumn="false"/>
            <w:tcW w:w="33.333333%" w:type="pct"/>
          </w:tcPr>
          <w:p>
            <w:pPr>
              <w:ind w:leftChars="0" w:left="0" w:right="0"/>
            </w:pPr>
            <w:r>
              <w:t>NESI</w:t>
            </w:r>
          </w:p>
        </w:tc>
        <w:tc>
          <w:tcPr>
            <w:cnfStyle w:evenVBand="true" w:oddVBand="false" w:firstColumn="false"/>
            <w:tcW w:w="33.333333%" w:type="pct"/>
          </w:tcPr>
          <w:p>
            <w:pPr>
              <w:ind w:leftChars="0" w:left="0" w:right="0"/>
            </w:pPr>
            <w:r>
              <w:t>NESI</w:t>
            </w:r>
          </w:p>
        </w:tc>
        <w:tc>
          <w:tcPr>
            <w:cnfStyle w:evenVBand="false" w:oddVBand="true" w:firstColumn="false"/>
            <w:tcW w:w="33.333333%" w:type="pct"/>
          </w:tcPr>
          <w:p>
            <w:pPr>
              <w:ind w:leftChars="0" w:left="0" w:right="0"/>
            </w:pPr>
            <w:r>
              <w:t>NOMURA EUROPE - SYSTEMATIC INTERNALISER</w:t>
            </w:r>
          </w:p>
        </w:tc>
      </w:tr>
      <w:tr>
        <w:trPr>
          <w:cnfStyle w:evenHBand="false" w:oddHBand="true" w:firstRow="false"/>
        </w:trPr>
        <w:tc>
          <w:tcPr>
            <w:cnfStyle w:evenVBand="false" w:oddVBand="true" w:firstColumn="false"/>
            <w:tcW w:w="33.333333%" w:type="pct"/>
          </w:tcPr>
          <w:p>
            <w:pPr>
              <w:ind w:leftChars="0" w:left="0" w:right="0"/>
            </w:pPr>
            <w:r>
              <w:t>NEXD</w:t>
            </w:r>
          </w:p>
        </w:tc>
        <w:tc>
          <w:tcPr>
            <w:cnfStyle w:evenVBand="true" w:oddVBand="false" w:firstColumn="false"/>
            <w:tcW w:w="33.333333%" w:type="pct"/>
          </w:tcPr>
          <w:p>
            <w:pPr>
              <w:ind w:leftChars="0" w:left="0" w:right="0"/>
            </w:pPr>
            <w:r>
              <w:t>NEXD</w:t>
            </w:r>
          </w:p>
        </w:tc>
        <w:tc>
          <w:tcPr>
            <w:cnfStyle w:evenVBand="false" w:oddVBand="true" w:firstColumn="false"/>
            <w:tcW w:w="33.333333%" w:type="pct"/>
          </w:tcPr>
          <w:p>
            <w:pPr>
              <w:ind w:leftChars="0" w:left="0" w:right="0"/>
            </w:pPr>
            <w:r>
              <w:t>AQSE MAIN MARKET (NON-EQUITY)</w:t>
            </w:r>
          </w:p>
        </w:tc>
      </w:tr>
      <w:tr>
        <w:trPr>
          <w:cnfStyle w:evenHBand="true" w:oddHBand="false" w:firstRow="false"/>
        </w:trPr>
        <w:tc>
          <w:tcPr>
            <w:cnfStyle w:evenVBand="false" w:oddVBand="true" w:firstColumn="false"/>
            <w:tcW w:w="33.333333%" w:type="pct"/>
          </w:tcPr>
          <w:p>
            <w:pPr>
              <w:ind w:leftChars="0" w:left="0" w:right="0"/>
            </w:pPr>
            <w:r>
              <w:t>NEXF</w:t>
            </w:r>
          </w:p>
        </w:tc>
        <w:tc>
          <w:tcPr>
            <w:cnfStyle w:evenVBand="true" w:oddVBand="false" w:firstColumn="false"/>
            <w:tcW w:w="33.333333%" w:type="pct"/>
          </w:tcPr>
          <w:p>
            <w:pPr>
              <w:ind w:leftChars="0" w:left="0" w:right="0"/>
            </w:pPr>
            <w:r>
              <w:t>NEXF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NEXG</w:t>
            </w:r>
          </w:p>
        </w:tc>
        <w:tc>
          <w:tcPr>
            <w:cnfStyle w:evenVBand="true" w:oddVBand="false" w:firstColumn="false"/>
            <w:tcW w:w="33.333333%" w:type="pct"/>
          </w:tcPr>
          <w:p>
            <w:pPr>
              <w:ind w:leftChars="0" w:left="0" w:right="0"/>
            </w:pPr>
            <w:r>
              <w:t>NEXG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NEXL</w:t>
            </w:r>
          </w:p>
        </w:tc>
        <w:tc>
          <w:tcPr>
            <w:cnfStyle w:evenVBand="true" w:oddVBand="false" w:firstColumn="false"/>
            <w:tcW w:w="33.333333%" w:type="pct"/>
          </w:tcPr>
          <w:p>
            <w:pPr>
              <w:ind w:leftChars="0" w:left="0" w:right="0"/>
            </w:pPr>
            <w:r>
              <w:t>NEXL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NEXN</w:t>
            </w:r>
          </w:p>
        </w:tc>
        <w:tc>
          <w:tcPr>
            <w:cnfStyle w:evenVBand="true" w:oddVBand="false" w:firstColumn="false"/>
            <w:tcW w:w="33.333333%" w:type="pct"/>
          </w:tcPr>
          <w:p>
            <w:pPr>
              <w:ind w:leftChars="0" w:left="0" w:right="0"/>
            </w:pPr>
            <w:r>
              <w:t>NEXN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NEXO</w:t>
            </w:r>
          </w:p>
        </w:tc>
        <w:tc>
          <w:tcPr>
            <w:cnfStyle w:evenVBand="true" w:oddVBand="false" w:firstColumn="false"/>
            <w:tcW w:w="33.333333%" w:type="pct"/>
          </w:tcPr>
          <w:p>
            <w:pPr>
              <w:ind w:leftChars="0" w:left="0" w:right="0"/>
            </w:pPr>
            <w:r>
              <w:t>NEXO</w:t>
            </w:r>
          </w:p>
        </w:tc>
        <w:tc>
          <w:tcPr>
            <w:cnfStyle w:evenVBand="false" w:oddVBand="true" w:firstColumn="false"/>
            <w:tcW w:w="33.333333%" w:type="pct"/>
          </w:tcPr>
          <w:p>
            <w:pPr>
              <w:ind w:leftChars="0" w:left="0" w:right="0"/>
            </w:pPr>
            <w:r>
              <w:t>NOREXECO ASA</w:t>
            </w:r>
          </w:p>
        </w:tc>
      </w:tr>
      <w:tr>
        <w:trPr>
          <w:cnfStyle w:evenHBand="false" w:oddHBand="true" w:firstRow="false"/>
        </w:trPr>
        <w:tc>
          <w:tcPr>
            <w:cnfStyle w:evenVBand="false" w:oddVBand="true" w:firstColumn="false"/>
            <w:tcW w:w="33.333333%" w:type="pct"/>
          </w:tcPr>
          <w:p>
            <w:pPr>
              <w:ind w:leftChars="0" w:left="0" w:right="0"/>
            </w:pPr>
            <w:r>
              <w:t>NEXS</w:t>
            </w:r>
          </w:p>
        </w:tc>
        <w:tc>
          <w:tcPr>
            <w:cnfStyle w:evenVBand="true" w:oddVBand="false" w:firstColumn="false"/>
            <w:tcW w:w="33.333333%" w:type="pct"/>
          </w:tcPr>
          <w:p>
            <w:pPr>
              <w:ind w:leftChars="0" w:left="0" w:right="0"/>
            </w:pPr>
            <w:r>
              <w:t>NEXS</w:t>
            </w:r>
          </w:p>
        </w:tc>
        <w:tc>
          <w:tcPr>
            <w:cnfStyle w:evenVBand="false" w:oddVBand="true" w:firstColumn="false"/>
            <w:tcW w:w="33.333333%" w:type="pct"/>
          </w:tcPr>
          <w:p>
            <w:pPr>
              <w:ind w:leftChars="0" w:left="0" w:right="0"/>
            </w:pPr>
            <w:r>
              <w:t>NEX SEF</w:t>
            </w:r>
          </w:p>
        </w:tc>
      </w:tr>
      <w:tr>
        <w:trPr>
          <w:cnfStyle w:evenHBand="true" w:oddHBand="false" w:firstRow="false"/>
        </w:trPr>
        <w:tc>
          <w:tcPr>
            <w:cnfStyle w:evenVBand="false" w:oddVBand="true" w:firstColumn="false"/>
            <w:tcW w:w="33.333333%" w:type="pct"/>
          </w:tcPr>
          <w:p>
            <w:pPr>
              <w:ind w:leftChars="0" w:left="0" w:right="0"/>
            </w:pPr>
            <w:r>
              <w:t>NEXT</w:t>
            </w:r>
          </w:p>
        </w:tc>
        <w:tc>
          <w:tcPr>
            <w:cnfStyle w:evenVBand="true" w:oddVBand="false" w:firstColumn="false"/>
            <w:tcW w:w="33.333333%" w:type="pct"/>
          </w:tcPr>
          <w:p>
            <w:pPr>
              <w:ind w:leftChars="0" w:left="0" w:right="0"/>
            </w:pPr>
            <w:r>
              <w:t>NEXT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NEXX</w:t>
            </w:r>
          </w:p>
        </w:tc>
        <w:tc>
          <w:tcPr>
            <w:cnfStyle w:evenVBand="true" w:oddVBand="false" w:firstColumn="false"/>
            <w:tcW w:w="33.333333%" w:type="pct"/>
          </w:tcPr>
          <w:p>
            <w:pPr>
              <w:ind w:leftChars="0" w:left="0" w:right="0"/>
            </w:pPr>
            <w:r>
              <w:t>NEXX</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NEXY</w:t>
            </w:r>
          </w:p>
        </w:tc>
        <w:tc>
          <w:tcPr>
            <w:cnfStyle w:evenVBand="true" w:oddVBand="false" w:firstColumn="false"/>
            <w:tcW w:w="33.333333%" w:type="pct"/>
          </w:tcPr>
          <w:p>
            <w:pPr>
              <w:ind w:leftChars="0" w:left="0" w:right="0"/>
            </w:pPr>
            <w:r>
              <w:t>NEXY</w:t>
            </w:r>
          </w:p>
        </w:tc>
        <w:tc>
          <w:tcPr>
            <w:cnfStyle w:evenVBand="false" w:oddVBand="true" w:firstColumn="false"/>
            <w:tcW w:w="33.333333%" w:type="pct"/>
          </w:tcPr>
          <w:p>
            <w:pPr>
              <w:ind w:leftChars="0" w:left="0" w:right="0"/>
            </w:pPr>
            <w:r>
              <w:t>EBS MTF - RFQ - FOR CORPORATES TRADING FX PRODUCTS</w:t>
            </w:r>
          </w:p>
        </w:tc>
      </w:tr>
      <w:tr>
        <w:trPr>
          <w:cnfStyle w:evenHBand="false" w:oddHBand="true" w:firstRow="false"/>
        </w:trPr>
        <w:tc>
          <w:tcPr>
            <w:cnfStyle w:evenVBand="false" w:oddVBand="true" w:firstColumn="false"/>
            <w:tcW w:w="33.333333%" w:type="pct"/>
          </w:tcPr>
          <w:p>
            <w:pPr>
              <w:ind w:leftChars="0" w:left="0" w:right="0"/>
            </w:pPr>
            <w:r>
              <w:t>NFSA</w:t>
            </w:r>
          </w:p>
        </w:tc>
        <w:tc>
          <w:tcPr>
            <w:cnfStyle w:evenVBand="true" w:oddVBand="false" w:firstColumn="false"/>
            <w:tcW w:w="33.333333%" w:type="pct"/>
          </w:tcPr>
          <w:p>
            <w:pPr>
              <w:ind w:leftChars="0" w:left="0" w:right="0"/>
            </w:pPr>
            <w:r>
              <w:t>NFSA</w:t>
            </w:r>
          </w:p>
        </w:tc>
        <w:tc>
          <w:tcPr>
            <w:cnfStyle w:evenVBand="false" w:oddVBand="true" w:firstColumn="false"/>
            <w:tcW w:w="33.333333%" w:type="pct"/>
          </w:tcPr>
          <w:p>
            <w:pPr>
              <w:ind w:leftChars="0" w:left="0" w:right="0"/>
            </w:pPr>
            <w:r>
              <w:t>FIDELITY CROSSSTREAM</w:t>
            </w:r>
          </w:p>
        </w:tc>
      </w:tr>
      <w:tr>
        <w:trPr>
          <w:cnfStyle w:evenHBand="true" w:oddHBand="false" w:firstRow="false"/>
        </w:trPr>
        <w:tc>
          <w:tcPr>
            <w:cnfStyle w:evenVBand="false" w:oddVBand="true" w:firstColumn="false"/>
            <w:tcW w:w="33.333333%" w:type="pct"/>
          </w:tcPr>
          <w:p>
            <w:pPr>
              <w:ind w:leftChars="0" w:left="0" w:right="0"/>
            </w:pPr>
            <w:r>
              <w:t>NFSC</w:t>
            </w:r>
          </w:p>
        </w:tc>
        <w:tc>
          <w:tcPr>
            <w:cnfStyle w:evenVBand="true" w:oddVBand="false" w:firstColumn="false"/>
            <w:tcW w:w="33.333333%" w:type="pct"/>
          </w:tcPr>
          <w:p>
            <w:pPr>
              <w:ind w:leftChars="0" w:left="0" w:right="0"/>
            </w:pPr>
            <w:r>
              <w:t>NFSC</w:t>
            </w:r>
          </w:p>
        </w:tc>
        <w:tc>
          <w:tcPr>
            <w:cnfStyle w:evenVBand="false" w:oddVBand="true" w:firstColumn="false"/>
            <w:tcW w:w="33.333333%" w:type="pct"/>
          </w:tcPr>
          <w:p>
            <w:pPr>
              <w:ind w:leftChars="0" w:left="0" w:right="0"/>
            </w:pPr>
            <w:r>
              <w:t>NATIONAL FINANCIAL SERVICES, LLC</w:t>
            </w:r>
          </w:p>
        </w:tc>
      </w:tr>
      <w:tr>
        <w:trPr>
          <w:cnfStyle w:evenHBand="false" w:oddHBand="true" w:firstRow="false"/>
        </w:trPr>
        <w:tc>
          <w:tcPr>
            <w:cnfStyle w:evenVBand="false" w:oddVBand="true" w:firstColumn="false"/>
            <w:tcW w:w="33.333333%" w:type="pct"/>
          </w:tcPr>
          <w:p>
            <w:pPr>
              <w:ind w:leftChars="0" w:left="0" w:right="0"/>
            </w:pPr>
            <w:r>
              <w:t>NFSD</w:t>
            </w:r>
          </w:p>
        </w:tc>
        <w:tc>
          <w:tcPr>
            <w:cnfStyle w:evenVBand="true" w:oddVBand="false" w:firstColumn="false"/>
            <w:tcW w:w="33.333333%" w:type="pct"/>
          </w:tcPr>
          <w:p>
            <w:pPr>
              <w:ind w:leftChars="0" w:left="0" w:right="0"/>
            </w:pPr>
            <w:r>
              <w:t>NFSD</w:t>
            </w:r>
          </w:p>
        </w:tc>
        <w:tc>
          <w:tcPr>
            <w:cnfStyle w:evenVBand="false" w:oddVBand="true" w:firstColumn="false"/>
            <w:tcW w:w="33.333333%" w:type="pct"/>
          </w:tcPr>
          <w:p>
            <w:pPr>
              <w:ind w:leftChars="0" w:left="0" w:right="0"/>
            </w:pPr>
            <w:r>
              <w:t>FIDELITY DARK</w:t>
            </w:r>
          </w:p>
        </w:tc>
      </w:tr>
      <w:tr>
        <w:trPr>
          <w:cnfStyle w:evenHBand="true" w:oddHBand="false" w:firstRow="false"/>
        </w:trPr>
        <w:tc>
          <w:tcPr>
            <w:cnfStyle w:evenVBand="false" w:oddVBand="true" w:firstColumn="false"/>
            <w:tcW w:w="33.333333%" w:type="pct"/>
          </w:tcPr>
          <w:p>
            <w:pPr>
              <w:ind w:leftChars="0" w:left="0" w:right="0"/>
            </w:pPr>
            <w:r>
              <w:t>NGXC</w:t>
            </w:r>
          </w:p>
        </w:tc>
        <w:tc>
          <w:tcPr>
            <w:cnfStyle w:evenVBand="true" w:oddVBand="false" w:firstColumn="false"/>
            <w:tcW w:w="33.333333%" w:type="pct"/>
          </w:tcPr>
          <w:p>
            <w:pPr>
              <w:ind w:leftChars="0" w:left="0" w:right="0"/>
            </w:pPr>
            <w:r>
              <w:t>NGXC</w:t>
            </w:r>
          </w:p>
        </w:tc>
        <w:tc>
          <w:tcPr>
            <w:cnfStyle w:evenVBand="false" w:oddVBand="true" w:firstColumn="false"/>
            <w:tcW w:w="33.333333%" w:type="pct"/>
          </w:tcPr>
          <w:p>
            <w:pPr>
              <w:ind w:leftChars="0" w:left="0" w:right="0"/>
            </w:pPr>
            <w:r>
              <w:t>NATURAL GAS EXCHANGE</w:t>
            </w:r>
          </w:p>
        </w:tc>
      </w:tr>
      <w:tr>
        <w:trPr>
          <w:cnfStyle w:evenHBand="false" w:oddHBand="true" w:firstRow="false"/>
        </w:trPr>
        <w:tc>
          <w:tcPr>
            <w:cnfStyle w:evenVBand="false" w:oddVBand="true" w:firstColumn="false"/>
            <w:tcW w:w="33.333333%" w:type="pct"/>
          </w:tcPr>
          <w:p>
            <w:pPr>
              <w:ind w:leftChars="0" w:left="0" w:right="0"/>
            </w:pPr>
            <w:r>
              <w:t>NIBC</w:t>
            </w:r>
          </w:p>
        </w:tc>
        <w:tc>
          <w:tcPr>
            <w:cnfStyle w:evenVBand="true" w:oddVBand="false" w:firstColumn="false"/>
            <w:tcW w:w="33.333333%" w:type="pct"/>
          </w:tcPr>
          <w:p>
            <w:pPr>
              <w:ind w:leftChars="0" w:left="0" w:right="0"/>
            </w:pPr>
            <w:r>
              <w:t>NIBC</w:t>
            </w:r>
          </w:p>
        </w:tc>
        <w:tc>
          <w:tcPr>
            <w:cnfStyle w:evenVBand="false" w:oddVBand="true" w:firstColumn="false"/>
            <w:tcW w:w="33.333333%" w:type="pct"/>
          </w:tcPr>
          <w:p>
            <w:pPr>
              <w:ind w:leftChars="0" w:left="0" w:right="0"/>
            </w:pPr>
            <w:r>
              <w:t>NIBC - SYSTEMIC INTERNALISER</w:t>
            </w:r>
          </w:p>
        </w:tc>
      </w:tr>
      <w:tr>
        <w:trPr>
          <w:cnfStyle w:evenHBand="true" w:oddHBand="false" w:firstRow="false"/>
        </w:trPr>
        <w:tc>
          <w:tcPr>
            <w:cnfStyle w:evenVBand="false" w:oddVBand="true" w:firstColumn="false"/>
            <w:tcW w:w="33.333333%" w:type="pct"/>
          </w:tcPr>
          <w:p>
            <w:pPr>
              <w:ind w:leftChars="0" w:left="0" w:right="0"/>
            </w:pPr>
            <w:r>
              <w:t>NIBR</w:t>
            </w:r>
          </w:p>
        </w:tc>
        <w:tc>
          <w:tcPr>
            <w:cnfStyle w:evenVBand="true" w:oddVBand="false" w:firstColumn="false"/>
            <w:tcW w:w="33.333333%" w:type="pct"/>
          </w:tcPr>
          <w:p>
            <w:pPr>
              <w:ind w:leftChars="0" w:left="0" w:right="0"/>
            </w:pPr>
            <w:r>
              <w:t>NIBR</w:t>
            </w:r>
          </w:p>
        </w:tc>
        <w:tc>
          <w:tcPr>
            <w:cnfStyle w:evenVBand="false" w:oddVBand="true" w:firstColumn="false"/>
            <w:tcW w:w="33.333333%" w:type="pct"/>
          </w:tcPr>
          <w:p>
            <w:pPr>
              <w:ind w:leftChars="0" w:left="0" w:right="0"/>
            </w:pPr>
            <w:r>
              <w:t>NORWEGIAN INTER BANK OFFERED RATE</w:t>
            </w:r>
          </w:p>
        </w:tc>
      </w:tr>
      <w:tr>
        <w:trPr>
          <w:cnfStyle w:evenHBand="false" w:oddHBand="true" w:firstRow="false"/>
        </w:trPr>
        <w:tc>
          <w:tcPr>
            <w:cnfStyle w:evenVBand="false" w:oddVBand="true" w:firstColumn="false"/>
            <w:tcW w:w="33.333333%" w:type="pct"/>
          </w:tcPr>
          <w:p>
            <w:pPr>
              <w:ind w:leftChars="0" w:left="0" w:right="0"/>
            </w:pPr>
            <w:r>
              <w:t>NILX</w:t>
            </w:r>
          </w:p>
        </w:tc>
        <w:tc>
          <w:tcPr>
            <w:cnfStyle w:evenVBand="true" w:oddVBand="false" w:firstColumn="false"/>
            <w:tcW w:w="33.333333%" w:type="pct"/>
          </w:tcPr>
          <w:p>
            <w:pPr>
              <w:ind w:leftChars="0" w:left="0" w:right="0"/>
            </w:pPr>
            <w:r>
              <w:t>NILX</w:t>
            </w:r>
          </w:p>
        </w:tc>
        <w:tc>
          <w:tcPr>
            <w:cnfStyle w:evenVBand="false" w:oddVBand="true" w:firstColumn="false"/>
            <w:tcW w:w="33.333333%" w:type="pct"/>
          </w:tcPr>
          <w:p>
            <w:pPr>
              <w:ind w:leftChars="0" w:left="0" w:right="0"/>
            </w:pPr>
            <w:r>
              <w:t>NILE STOCK EXCHANGE</w:t>
            </w:r>
          </w:p>
        </w:tc>
      </w:tr>
      <w:tr>
        <w:trPr>
          <w:cnfStyle w:evenHBand="true" w:oddHBand="false" w:firstRow="false"/>
        </w:trPr>
        <w:tc>
          <w:tcPr>
            <w:cnfStyle w:evenVBand="false" w:oddVBand="true" w:firstColumn="false"/>
            <w:tcW w:w="33.333333%" w:type="pct"/>
          </w:tcPr>
          <w:p>
            <w:pPr>
              <w:ind w:leftChars="0" w:left="0" w:right="0"/>
            </w:pPr>
            <w:r>
              <w:t>NLAX</w:t>
            </w:r>
          </w:p>
        </w:tc>
        <w:tc>
          <w:tcPr>
            <w:cnfStyle w:evenVBand="true" w:oddVBand="false" w:firstColumn="false"/>
            <w:tcW w:w="33.333333%" w:type="pct"/>
          </w:tcPr>
          <w:p>
            <w:pPr>
              <w:ind w:leftChars="0" w:left="0" w:right="0"/>
            </w:pPr>
            <w:r>
              <w:t>NLAX</w:t>
            </w:r>
          </w:p>
        </w:tc>
        <w:tc>
          <w:tcPr>
            <w:cnfStyle w:evenVBand="false" w:oddVBand="true" w:firstColumn="false"/>
            <w:tcW w:w="33.333333%" w:type="pct"/>
          </w:tcPr>
          <w:p>
            <w:pPr>
              <w:ind w:leftChars="0" w:left="0" w:right="0"/>
            </w:pPr>
            <w:r>
              <w:t>CLEARPOOL EXECUTION SERVICES, LLC - NATURAL LIQUIDITY ALLIANCE</w:t>
            </w:r>
          </w:p>
        </w:tc>
      </w:tr>
      <w:tr>
        <w:trPr>
          <w:cnfStyle w:evenHBand="false" w:oddHBand="true" w:firstRow="false"/>
        </w:trPr>
        <w:tc>
          <w:tcPr>
            <w:cnfStyle w:evenVBand="false" w:oddVBand="true" w:firstColumn="false"/>
            <w:tcW w:w="33.333333%" w:type="pct"/>
          </w:tcPr>
          <w:p>
            <w:pPr>
              <w:ind w:leftChars="0" w:left="0" w:right="0"/>
            </w:pPr>
            <w:r>
              <w:t>NLBX</w:t>
            </w:r>
          </w:p>
        </w:tc>
        <w:tc>
          <w:tcPr>
            <w:cnfStyle w:evenVBand="true" w:oddVBand="false" w:firstColumn="false"/>
            <w:tcW w:w="33.333333%" w:type="pct"/>
          </w:tcPr>
          <w:p>
            <w:pPr>
              <w:ind w:leftChars="0" w:left="0" w:right="0"/>
            </w:pPr>
            <w:r>
              <w:t>NLBX</w:t>
            </w:r>
          </w:p>
        </w:tc>
        <w:tc>
          <w:tcPr>
            <w:cnfStyle w:evenVBand="false" w:oddVBand="true" w:firstColumn="false"/>
            <w:tcW w:w="33.333333%" w:type="pct"/>
          </w:tcPr>
          <w:p>
            <w:pPr>
              <w:ind w:leftChars="0" w:left="0" w:right="0"/>
            </w:pPr>
            <w:r>
              <w:t>NORDDEUTSCHE LANDESBANK - GIROZENTRALE - SYSTEMATIC INTERNALISER</w:t>
            </w:r>
          </w:p>
        </w:tc>
      </w:tr>
      <w:tr>
        <w:trPr>
          <w:cnfStyle w:evenHBand="true" w:oddHBand="false" w:firstRow="false"/>
        </w:trPr>
        <w:tc>
          <w:tcPr>
            <w:cnfStyle w:evenVBand="false" w:oddVBand="true" w:firstColumn="false"/>
            <w:tcW w:w="33.333333%" w:type="pct"/>
          </w:tcPr>
          <w:p>
            <w:pPr>
              <w:ind w:leftChars="0" w:left="0" w:right="0"/>
            </w:pPr>
            <w:r>
              <w:t>NLPX</w:t>
            </w:r>
          </w:p>
        </w:tc>
        <w:tc>
          <w:tcPr>
            <w:cnfStyle w:evenVBand="true" w:oddVBand="false" w:firstColumn="false"/>
            <w:tcW w:w="33.333333%" w:type="pct"/>
          </w:tcPr>
          <w:p>
            <w:pPr>
              <w:ind w:leftChars="0" w:left="0" w:right="0"/>
            </w:pPr>
            <w:r>
              <w:t>NLPX</w:t>
            </w:r>
          </w:p>
        </w:tc>
        <w:tc>
          <w:tcPr>
            <w:cnfStyle w:evenVBand="false" w:oddVBand="true" w:firstColumn="false"/>
            <w:tcW w:w="33.333333%" w:type="pct"/>
          </w:tcPr>
          <w:p>
            <w:pPr>
              <w:ind w:leftChars="0" w:left="0" w:right="0"/>
            </w:pPr>
            <w:r>
              <w:t>APX POWER NL</w:t>
            </w:r>
          </w:p>
        </w:tc>
      </w:tr>
      <w:tr>
        <w:trPr>
          <w:cnfStyle w:evenHBand="false" w:oddHBand="true" w:firstRow="false"/>
        </w:trPr>
        <w:tc>
          <w:tcPr>
            <w:cnfStyle w:evenVBand="false" w:oddVBand="true" w:firstColumn="false"/>
            <w:tcW w:w="33.333333%" w:type="pct"/>
          </w:tcPr>
          <w:p>
            <w:pPr>
              <w:ind w:leftChars="0" w:left="0" w:right="0"/>
            </w:pPr>
            <w:r>
              <w:t>NMCE</w:t>
            </w:r>
          </w:p>
        </w:tc>
        <w:tc>
          <w:tcPr>
            <w:cnfStyle w:evenVBand="true" w:oddVBand="false" w:firstColumn="false"/>
            <w:tcW w:w="33.333333%" w:type="pct"/>
          </w:tcPr>
          <w:p>
            <w:pPr>
              <w:ind w:leftChars="0" w:left="0" w:right="0"/>
            </w:pPr>
            <w:r>
              <w:t>NMCE</w:t>
            </w:r>
          </w:p>
        </w:tc>
        <w:tc>
          <w:tcPr>
            <w:cnfStyle w:evenVBand="false" w:oddVBand="true" w:firstColumn="false"/>
            <w:tcW w:w="33.333333%" w:type="pct"/>
          </w:tcPr>
          <w:p>
            <w:pPr>
              <w:ind w:leftChars="0" w:left="0" w:right="0"/>
            </w:pPr>
            <w:r>
              <w:t>NATIONAL MULTI-COMMODITY EXCHANGE OF INDIA</w:t>
            </w:r>
          </w:p>
        </w:tc>
      </w:tr>
      <w:tr>
        <w:trPr>
          <w:cnfStyle w:evenHBand="true" w:oddHBand="false" w:firstRow="false"/>
        </w:trPr>
        <w:tc>
          <w:tcPr>
            <w:cnfStyle w:evenVBand="false" w:oddVBand="true" w:firstColumn="false"/>
            <w:tcW w:w="33.333333%" w:type="pct"/>
          </w:tcPr>
          <w:p>
            <w:pPr>
              <w:ind w:leftChars="0" w:left="0" w:right="0"/>
            </w:pPr>
            <w:r>
              <w:t>NMRA</w:t>
            </w:r>
          </w:p>
        </w:tc>
        <w:tc>
          <w:tcPr>
            <w:cnfStyle w:evenVBand="true" w:oddVBand="false" w:firstColumn="false"/>
            <w:tcW w:w="33.333333%" w:type="pct"/>
          </w:tcPr>
          <w:p>
            <w:pPr>
              <w:ind w:leftChars="0" w:left="0" w:right="0"/>
            </w:pPr>
            <w:r>
              <w:t>NMRA</w:t>
            </w:r>
          </w:p>
        </w:tc>
        <w:tc>
          <w:tcPr>
            <w:cnfStyle w:evenVBand="false" w:oddVBand="true" w:firstColumn="false"/>
            <w:tcW w:w="33.333333%" w:type="pct"/>
          </w:tcPr>
          <w:p>
            <w:pPr>
              <w:ind w:leftChars="0" w:left="0" w:right="0"/>
            </w:pPr>
            <w:r>
              <w:t>NOMURA SECURITIES INTERNATIONAL</w:t>
            </w:r>
          </w:p>
        </w:tc>
      </w:tr>
      <w:tr>
        <w:trPr>
          <w:cnfStyle w:evenHBand="false" w:oddHBand="true" w:firstRow="false"/>
        </w:trPr>
        <w:tc>
          <w:tcPr>
            <w:cnfStyle w:evenVBand="false" w:oddVBand="true" w:firstColumn="false"/>
            <w:tcW w:w="33.333333%" w:type="pct"/>
          </w:tcPr>
          <w:p>
            <w:pPr>
              <w:ind w:leftChars="0" w:left="0" w:right="0"/>
            </w:pPr>
            <w:r>
              <w:t>NMRJ</w:t>
            </w:r>
          </w:p>
        </w:tc>
        <w:tc>
          <w:tcPr>
            <w:cnfStyle w:evenVBand="true" w:oddVBand="false" w:firstColumn="false"/>
            <w:tcW w:w="33.333333%" w:type="pct"/>
          </w:tcPr>
          <w:p>
            <w:pPr>
              <w:ind w:leftChars="0" w:left="0" w:right="0"/>
            </w:pPr>
            <w:r>
              <w:t>NMRJ</w:t>
            </w:r>
          </w:p>
        </w:tc>
        <w:tc>
          <w:tcPr>
            <w:cnfStyle w:evenVBand="false" w:oddVBand="true" w:firstColumn="false"/>
            <w:tcW w:w="33.333333%" w:type="pct"/>
          </w:tcPr>
          <w:p>
            <w:pPr>
              <w:ind w:leftChars="0" w:left="0" w:right="0"/>
            </w:pPr>
            <w:r>
              <w:t>NOMURA SECURITIES CO LTD</w:t>
            </w:r>
          </w:p>
        </w:tc>
      </w:tr>
      <w:tr>
        <w:trPr>
          <w:cnfStyle w:evenHBand="true" w:oddHBand="false" w:firstRow="false"/>
        </w:trPr>
        <w:tc>
          <w:tcPr>
            <w:cnfStyle w:evenVBand="false" w:oddVBand="true" w:firstColumn="false"/>
            <w:tcW w:w="33.333333%" w:type="pct"/>
          </w:tcPr>
          <w:p>
            <w:pPr>
              <w:ind w:leftChars="0" w:left="0" w:right="0"/>
            </w:pPr>
            <w:r>
              <w:t>NMSX</w:t>
            </w:r>
          </w:p>
        </w:tc>
        <w:tc>
          <w:tcPr>
            <w:cnfStyle w:evenVBand="true" w:oddVBand="false" w:firstColumn="false"/>
            <w:tcW w:w="33.333333%" w:type="pct"/>
          </w:tcPr>
          <w:p>
            <w:pPr>
              <w:ind w:leftChars="0" w:left="0" w:right="0"/>
            </w:pPr>
            <w:r>
              <w:t>NMSX</w:t>
            </w:r>
          </w:p>
        </w:tc>
        <w:tc>
          <w:tcPr>
            <w:cnfStyle w:evenVBand="false" w:oddVBand="true" w:firstColumn="false"/>
            <w:tcW w:w="33.333333%" w:type="pct"/>
          </w:tcPr>
          <w:p>
            <w:pPr>
              <w:ind w:leftChars="0" w:left="0" w:right="0"/>
            </w:pPr>
            <w:r>
              <w:t>NOMURA - EXTERNAL CROSSING PLATFORM</w:t>
            </w:r>
          </w:p>
        </w:tc>
      </w:tr>
      <w:tr>
        <w:trPr>
          <w:cnfStyle w:evenHBand="false" w:oddHBand="true" w:firstRow="false"/>
        </w:trPr>
        <w:tc>
          <w:tcPr>
            <w:cnfStyle w:evenVBand="false" w:oddVBand="true" w:firstColumn="false"/>
            <w:tcW w:w="33.333333%" w:type="pct"/>
          </w:tcPr>
          <w:p>
            <w:pPr>
              <w:ind w:leftChars="0" w:left="0" w:right="0"/>
            </w:pPr>
            <w:r>
              <w:t>NMTF</w:t>
            </w:r>
          </w:p>
        </w:tc>
        <w:tc>
          <w:tcPr>
            <w:cnfStyle w:evenVBand="true" w:oddVBand="false" w:firstColumn="false"/>
            <w:tcW w:w="33.333333%" w:type="pct"/>
          </w:tcPr>
          <w:p>
            <w:pPr>
              <w:ind w:leftChars="0" w:left="0" w:right="0"/>
            </w:pPr>
            <w:r>
              <w:t>NMTF</w:t>
            </w:r>
          </w:p>
        </w:tc>
        <w:tc>
          <w:tcPr>
            <w:cnfStyle w:evenVBand="false" w:oddVBand="true" w:firstColumn="false"/>
            <w:tcW w:w="33.333333%" w:type="pct"/>
          </w:tcPr>
          <w:p>
            <w:pPr>
              <w:ind w:leftChars="0" w:left="0" w:right="0"/>
            </w:pPr>
            <w:r>
              <w:t>NORDIC MTF</w:t>
            </w:r>
          </w:p>
        </w:tc>
      </w:tr>
      <w:tr>
        <w:trPr>
          <w:cnfStyle w:evenHBand="true" w:oddHBand="false" w:firstRow="false"/>
        </w:trPr>
        <w:tc>
          <w:tcPr>
            <w:cnfStyle w:evenVBand="false" w:oddVBand="true" w:firstColumn="false"/>
            <w:tcW w:w="33.333333%" w:type="pct"/>
          </w:tcPr>
          <w:p>
            <w:pPr>
              <w:ind w:leftChars="0" w:left="0" w:right="0"/>
            </w:pPr>
            <w:r>
              <w:t>NMTS</w:t>
            </w:r>
          </w:p>
        </w:tc>
        <w:tc>
          <w:tcPr>
            <w:cnfStyle w:evenVBand="true" w:oddVBand="false" w:firstColumn="false"/>
            <w:tcW w:w="33.333333%" w:type="pct"/>
          </w:tcPr>
          <w:p>
            <w:pPr>
              <w:ind w:leftChars="0" w:left="0" w:right="0"/>
            </w:pPr>
            <w:r>
              <w:t>NMTS</w:t>
            </w:r>
          </w:p>
        </w:tc>
        <w:tc>
          <w:tcPr>
            <w:cnfStyle w:evenVBand="false" w:oddVBand="true" w:firstColumn="false"/>
            <w:tcW w:w="33.333333%" w:type="pct"/>
          </w:tcPr>
          <w:p>
            <w:pPr>
              <w:ind w:leftChars="0" w:left="0" w:right="0"/>
            </w:pPr>
            <w:r>
              <w:t>NEW EUROMTS</w:t>
            </w:r>
          </w:p>
        </w:tc>
      </w:tr>
      <w:tr>
        <w:trPr>
          <w:cnfStyle w:evenHBand="false" w:oddHBand="true" w:firstRow="false"/>
        </w:trPr>
        <w:tc>
          <w:tcPr>
            <w:cnfStyle w:evenVBand="false" w:oddVBand="true" w:firstColumn="false"/>
            <w:tcW w:w="33.333333%" w:type="pct"/>
          </w:tcPr>
          <w:p>
            <w:pPr>
              <w:ind w:leftChars="0" w:left="0" w:right="0"/>
            </w:pPr>
            <w:r>
              <w:t>NNCS</w:t>
            </w:r>
          </w:p>
        </w:tc>
        <w:tc>
          <w:tcPr>
            <w:cnfStyle w:evenVBand="true" w:oddVBand="false" w:firstColumn="false"/>
            <w:tcW w:w="33.333333%" w:type="pct"/>
          </w:tcPr>
          <w:p>
            <w:pPr>
              <w:ind w:leftChars="0" w:left="0" w:right="0"/>
            </w:pPr>
            <w:r>
              <w:t>NNCS</w:t>
            </w:r>
          </w:p>
        </w:tc>
        <w:tc>
          <w:tcPr>
            <w:cnfStyle w:evenVBand="false" w:oddVBand="true" w:firstColumn="false"/>
            <w:tcW w:w="33.333333%" w:type="pct"/>
          </w:tcPr>
          <w:p>
            <w:pPr>
              <w:ind w:leftChars="0" w:left="0" w:right="0"/>
            </w:pPr>
            <w:r>
              <w:t>REGIONAL EXCHANGE CENTRE - MICEX VOLGA REGION</w:t>
            </w:r>
          </w:p>
        </w:tc>
      </w:tr>
      <w:tr>
        <w:trPr>
          <w:cnfStyle w:evenHBand="true" w:oddHBand="false" w:firstRow="false"/>
        </w:trPr>
        <w:tc>
          <w:tcPr>
            <w:cnfStyle w:evenVBand="false" w:oddVBand="true" w:firstColumn="false"/>
            <w:tcW w:w="33.333333%" w:type="pct"/>
          </w:tcPr>
          <w:p>
            <w:pPr>
              <w:ind w:leftChars="0" w:left="0" w:right="0"/>
            </w:pPr>
            <w:r>
              <w:t>NOCO</w:t>
            </w:r>
          </w:p>
        </w:tc>
        <w:tc>
          <w:tcPr>
            <w:cnfStyle w:evenVBand="true" w:oddVBand="false" w:firstColumn="false"/>
            <w:tcW w:w="33.333333%" w:type="pct"/>
          </w:tcPr>
          <w:p>
            <w:pPr>
              <w:ind w:leftChars="0" w:left="0" w:right="0"/>
            </w:pPr>
            <w:r>
              <w:t>NOCO</w:t>
            </w:r>
          </w:p>
        </w:tc>
        <w:tc>
          <w:tcPr>
            <w:cnfStyle w:evenVBand="false" w:oddVBand="true" w:firstColumn="false"/>
            <w:tcW w:w="33.333333%" w:type="pct"/>
          </w:tcPr>
          <w:p>
            <w:pPr>
              <w:ind w:leftChars="0" w:left="0" w:right="0"/>
            </w:pPr>
            <w:r>
              <w:t>NASDAQ STOCKHOLM AB - COMMODITIES</w:t>
            </w:r>
          </w:p>
        </w:tc>
      </w:tr>
      <w:tr>
        <w:trPr>
          <w:cnfStyle w:evenHBand="false" w:oddHBand="true" w:firstRow="false"/>
        </w:trPr>
        <w:tc>
          <w:tcPr>
            <w:cnfStyle w:evenVBand="false" w:oddVBand="true" w:firstColumn="false"/>
            <w:tcW w:w="33.333333%" w:type="pct"/>
          </w:tcPr>
          <w:p>
            <w:pPr>
              <w:ind w:leftChars="0" w:left="0" w:right="0"/>
            </w:pPr>
            <w:r>
              <w:t>NODX</w:t>
            </w:r>
          </w:p>
        </w:tc>
        <w:tc>
          <w:tcPr>
            <w:cnfStyle w:evenVBand="true" w:oddVBand="false" w:firstColumn="false"/>
            <w:tcW w:w="33.333333%" w:type="pct"/>
          </w:tcPr>
          <w:p>
            <w:pPr>
              <w:ind w:leftChars="0" w:left="0" w:right="0"/>
            </w:pPr>
            <w:r>
              <w:t>NODX</w:t>
            </w:r>
          </w:p>
        </w:tc>
        <w:tc>
          <w:tcPr>
            <w:cnfStyle w:evenVBand="false" w:oddVBand="true" w:firstColumn="false"/>
            <w:tcW w:w="33.333333%" w:type="pct"/>
          </w:tcPr>
          <w:p>
            <w:pPr>
              <w:ind w:leftChars="0" w:left="0" w:right="0"/>
            </w:pPr>
            <w:r>
              <w:t>NODAL EXCHANGE</w:t>
            </w:r>
          </w:p>
        </w:tc>
      </w:tr>
      <w:tr>
        <w:trPr>
          <w:cnfStyle w:evenHBand="true" w:oddHBand="false" w:firstRow="false"/>
        </w:trPr>
        <w:tc>
          <w:tcPr>
            <w:cnfStyle w:evenVBand="false" w:oddVBand="true" w:firstColumn="false"/>
            <w:tcW w:w="33.333333%" w:type="pct"/>
          </w:tcPr>
          <w:p>
            <w:pPr>
              <w:ind w:leftChars="0" w:left="0" w:right="0"/>
            </w:pPr>
            <w:r>
              <w:t>NOED</w:t>
            </w:r>
          </w:p>
        </w:tc>
        <w:tc>
          <w:tcPr>
            <w:cnfStyle w:evenVBand="true" w:oddVBand="false" w:firstColumn="false"/>
            <w:tcW w:w="33.333333%" w:type="pct"/>
          </w:tcPr>
          <w:p>
            <w:pPr>
              <w:ind w:leftChars="0" w:left="0" w:right="0"/>
            </w:pPr>
            <w:r>
              <w:t>NOED</w:t>
            </w:r>
          </w:p>
        </w:tc>
        <w:tc>
          <w:tcPr>
            <w:cnfStyle w:evenVBand="false" w:oddVBand="true" w:firstColumn="false"/>
            <w:tcW w:w="33.333333%" w:type="pct"/>
          </w:tcPr>
          <w:p>
            <w:pPr>
              <w:ind w:leftChars="0" w:left="0" w:right="0"/>
            </w:pPr>
            <w:r>
              <w:t>NASDAQ STOCKHOLM AB - NORWEGIAN EQ DERIVATIVES</w:t>
            </w:r>
          </w:p>
        </w:tc>
      </w:tr>
      <w:tr>
        <w:trPr>
          <w:cnfStyle w:evenHBand="false" w:oddHBand="true" w:firstRow="false"/>
        </w:trPr>
        <w:tc>
          <w:tcPr>
            <w:cnfStyle w:evenVBand="false" w:oddVBand="true" w:firstColumn="false"/>
            <w:tcW w:w="33.333333%" w:type="pct"/>
          </w:tcPr>
          <w:p>
            <w:pPr>
              <w:ind w:leftChars="0" w:left="0" w:right="0"/>
            </w:pPr>
            <w:r>
              <w:t>NOFF</w:t>
            </w:r>
          </w:p>
        </w:tc>
        <w:tc>
          <w:tcPr>
            <w:cnfStyle w:evenVBand="true" w:oddVBand="false" w:firstColumn="false"/>
            <w:tcW w:w="33.333333%" w:type="pct"/>
          </w:tcPr>
          <w:p>
            <w:pPr>
              <w:ind w:leftChars="0" w:left="0" w:right="0"/>
            </w:pPr>
            <w:r>
              <w:t>NOFF</w:t>
            </w:r>
          </w:p>
        </w:tc>
        <w:tc>
          <w:tcPr>
            <w:cnfStyle w:evenVBand="false" w:oddVBand="true" w:firstColumn="false"/>
            <w:tcW w:w="33.333333%" w:type="pct"/>
          </w:tcPr>
          <w:p>
            <w:pPr>
              <w:ind w:leftChars="0" w:left="0" w:right="0"/>
            </w:pPr>
            <w:r>
              <w:t>NOMURA OTC TRADES</w:t>
            </w:r>
          </w:p>
        </w:tc>
      </w:tr>
      <w:tr>
        <w:trPr>
          <w:cnfStyle w:evenHBand="true" w:oddHBand="false" w:firstRow="false"/>
        </w:trPr>
        <w:tc>
          <w:tcPr>
            <w:cnfStyle w:evenVBand="false" w:oddVBand="true" w:firstColumn="false"/>
            <w:tcW w:w="33.333333%" w:type="pct"/>
          </w:tcPr>
          <w:p>
            <w:pPr>
              <w:ind w:leftChars="0" w:left="0" w:right="0"/>
            </w:pPr>
            <w:r>
              <w:t>NOFI</w:t>
            </w:r>
          </w:p>
        </w:tc>
        <w:tc>
          <w:tcPr>
            <w:cnfStyle w:evenVBand="true" w:oddVBand="false" w:firstColumn="false"/>
            <w:tcW w:w="33.333333%" w:type="pct"/>
          </w:tcPr>
          <w:p>
            <w:pPr>
              <w:ind w:leftChars="0" w:left="0" w:right="0"/>
            </w:pPr>
            <w:r>
              <w:t>NOFI</w:t>
            </w:r>
          </w:p>
        </w:tc>
        <w:tc>
          <w:tcPr>
            <w:cnfStyle w:evenVBand="false" w:oddVBand="true" w:firstColumn="false"/>
            <w:tcW w:w="33.333333%" w:type="pct"/>
          </w:tcPr>
          <w:p>
            <w:pPr>
              <w:ind w:leftChars="0" w:left="0" w:right="0"/>
            </w:pPr>
            <w:r>
              <w:t>NASDAQ STOCKHOLM AB - NORWEGIAN FI DERIVATIVES</w:t>
            </w:r>
          </w:p>
        </w:tc>
      </w:tr>
      <w:tr>
        <w:trPr>
          <w:cnfStyle w:evenHBand="false" w:oddHBand="true" w:firstRow="false"/>
        </w:trPr>
        <w:tc>
          <w:tcPr>
            <w:cnfStyle w:evenVBand="false" w:oddVBand="true" w:firstColumn="false"/>
            <w:tcW w:w="33.333333%" w:type="pct"/>
          </w:tcPr>
          <w:p>
            <w:pPr>
              <w:ind w:leftChars="0" w:left="0" w:right="0"/>
            </w:pPr>
            <w:r>
              <w:t>NOME</w:t>
            </w:r>
          </w:p>
        </w:tc>
        <w:tc>
          <w:tcPr>
            <w:cnfStyle w:evenVBand="true" w:oddVBand="false" w:firstColumn="false"/>
            <w:tcW w:w="33.333333%" w:type="pct"/>
          </w:tcPr>
          <w:p>
            <w:pPr>
              <w:ind w:leftChars="0" w:left="0" w:right="0"/>
            </w:pPr>
            <w:r>
              <w:t>NOME</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NOOB</w:t>
            </w:r>
          </w:p>
        </w:tc>
        <w:tc>
          <w:tcPr>
            <w:cnfStyle w:evenVBand="true" w:oddVBand="false" w:firstColumn="false"/>
            <w:tcW w:w="33.333333%" w:type="pct"/>
          </w:tcPr>
          <w:p>
            <w:pPr>
              <w:ind w:leftChars="0" w:left="0" w:right="0"/>
            </w:pPr>
            <w:r>
              <w:t>NOOB</w:t>
            </w:r>
          </w:p>
        </w:tc>
        <w:tc>
          <w:tcPr>
            <w:cnfStyle w:evenVBand="false" w:oddVBand="true" w:firstColumn="false"/>
            <w:tcW w:w="33.333333%" w:type="pct"/>
          </w:tcPr>
          <w:p>
            <w:pPr>
              <w:ind w:leftChars="0" w:left="0" w:right="0"/>
            </w:pPr>
            <w:r>
              <w:t>NASDAQ STOCKHOLM AB - OTC NOK WB EQ DERIVATIVES</w:t>
            </w:r>
          </w:p>
        </w:tc>
      </w:tr>
      <w:tr>
        <w:trPr>
          <w:cnfStyle w:evenHBand="false" w:oddHBand="true" w:firstRow="false"/>
        </w:trPr>
        <w:tc>
          <w:tcPr>
            <w:cnfStyle w:evenVBand="false" w:oddVBand="true" w:firstColumn="false"/>
            <w:tcW w:w="33.333333%" w:type="pct"/>
          </w:tcPr>
          <w:p>
            <w:pPr>
              <w:ind w:leftChars="0" w:left="0" w:right="0"/>
            </w:pPr>
            <w:r>
              <w:t>NOPS</w:t>
            </w:r>
          </w:p>
        </w:tc>
        <w:tc>
          <w:tcPr>
            <w:cnfStyle w:evenVBand="true" w:oddVBand="false" w:firstColumn="false"/>
            <w:tcW w:w="33.333333%" w:type="pct"/>
          </w:tcPr>
          <w:p>
            <w:pPr>
              <w:ind w:leftChars="0" w:left="0" w:right="0"/>
            </w:pPr>
            <w:r>
              <w:t>NOPS</w:t>
            </w:r>
          </w:p>
        </w:tc>
        <w:tc>
          <w:tcPr>
            <w:cnfStyle w:evenVBand="false" w:oddVBand="true" w:firstColumn="false"/>
            <w:tcW w:w="33.333333%" w:type="pct"/>
          </w:tcPr>
          <w:p>
            <w:pPr>
              <w:ind w:leftChars="0" w:left="0" w:right="0"/>
            </w:pPr>
            <w:r>
              <w:t>NORD POOL SPOT AS</w:t>
            </w:r>
          </w:p>
        </w:tc>
      </w:tr>
      <w:tr>
        <w:trPr>
          <w:cnfStyle w:evenHBand="true" w:oddHBand="false" w:firstRow="false"/>
        </w:trPr>
        <w:tc>
          <w:tcPr>
            <w:cnfStyle w:evenVBand="false" w:oddVBand="true" w:firstColumn="false"/>
            <w:tcW w:w="33.333333%" w:type="pct"/>
          </w:tcPr>
          <w:p>
            <w:pPr>
              <w:ind w:leftChars="0" w:left="0" w:right="0"/>
            </w:pPr>
            <w:r>
              <w:t>NORD</w:t>
            </w:r>
          </w:p>
        </w:tc>
        <w:tc>
          <w:tcPr>
            <w:cnfStyle w:evenVBand="true" w:oddVBand="false" w:firstColumn="false"/>
            <w:tcW w:w="33.333333%" w:type="pct"/>
          </w:tcPr>
          <w:p>
            <w:pPr>
              <w:ind w:leftChars="0" w:left="0" w:right="0"/>
            </w:pPr>
            <w:r>
              <w:t>NORD</w:t>
            </w:r>
          </w:p>
        </w:tc>
        <w:tc>
          <w:tcPr>
            <w:cnfStyle w:evenVBand="false" w:oddVBand="true" w:firstColumn="false"/>
            <w:tcW w:w="33.333333%" w:type="pct"/>
          </w:tcPr>
          <w:p>
            <w:pPr>
              <w:ind w:leftChars="0" w:left="0" w:right="0"/>
            </w:pPr>
            <w:r>
              <w:t>HSH NORDBANK - SYSTEMATIC INTERNALISER</w:t>
            </w:r>
          </w:p>
        </w:tc>
      </w:tr>
      <w:tr>
        <w:trPr>
          <w:cnfStyle w:evenHBand="false" w:oddHBand="true" w:firstRow="false"/>
        </w:trPr>
        <w:tc>
          <w:tcPr>
            <w:cnfStyle w:evenVBand="false" w:oddVBand="true" w:firstColumn="false"/>
            <w:tcW w:w="33.333333%" w:type="pct"/>
          </w:tcPr>
          <w:p>
            <w:pPr>
              <w:ind w:leftChars="0" w:left="0" w:right="0"/>
            </w:pPr>
            <w:r>
              <w:t>NORX</w:t>
            </w:r>
          </w:p>
        </w:tc>
        <w:tc>
          <w:tcPr>
            <w:cnfStyle w:evenVBand="true" w:oddVBand="false" w:firstColumn="false"/>
            <w:tcW w:w="33.333333%" w:type="pct"/>
          </w:tcPr>
          <w:p>
            <w:pPr>
              <w:ind w:leftChars="0" w:left="0" w:right="0"/>
            </w:pPr>
            <w:r>
              <w:t>NORX</w:t>
            </w:r>
          </w:p>
        </w:tc>
        <w:tc>
          <w:tcPr>
            <w:cnfStyle w:evenVBand="false" w:oddVBand="true" w:firstColumn="false"/>
            <w:tcW w:w="33.333333%" w:type="pct"/>
          </w:tcPr>
          <w:p>
            <w:pPr>
              <w:ind w:leftChars="0" w:left="0" w:right="0"/>
            </w:pPr>
            <w:r>
              <w:t>NASDAQ OSLO ASA</w:t>
            </w:r>
          </w:p>
        </w:tc>
      </w:tr>
      <w:tr>
        <w:trPr>
          <w:cnfStyle w:evenHBand="true" w:oddHBand="false" w:firstRow="false"/>
        </w:trPr>
        <w:tc>
          <w:tcPr>
            <w:cnfStyle w:evenVBand="false" w:oddVBand="true" w:firstColumn="false"/>
            <w:tcW w:w="33.333333%" w:type="pct"/>
          </w:tcPr>
          <w:p>
            <w:pPr>
              <w:ind w:leftChars="0" w:left="0" w:right="0"/>
            </w:pPr>
            <w:r>
              <w:t>NOSC</w:t>
            </w:r>
          </w:p>
        </w:tc>
        <w:tc>
          <w:tcPr>
            <w:cnfStyle w:evenVBand="true" w:oddVBand="false" w:firstColumn="false"/>
            <w:tcW w:w="33.333333%" w:type="pct"/>
          </w:tcPr>
          <w:p>
            <w:pPr>
              <w:ind w:leftChars="0" w:left="0" w:right="0"/>
            </w:pPr>
            <w:r>
              <w:t>NOSC</w:t>
            </w:r>
          </w:p>
        </w:tc>
        <w:tc>
          <w:tcPr>
            <w:cnfStyle w:evenVBand="false" w:oddVBand="true" w:firstColumn="false"/>
            <w:tcW w:w="33.333333%" w:type="pct"/>
          </w:tcPr>
          <w:p>
            <w:pPr>
              <w:ind w:leftChars="0" w:left="0" w:right="0"/>
            </w:pPr>
            <w:r>
              <w:t>NOS CLEARING ASA</w:t>
            </w:r>
          </w:p>
        </w:tc>
      </w:tr>
      <w:tr>
        <w:trPr>
          <w:cnfStyle w:evenHBand="false" w:oddHBand="true" w:firstRow="false"/>
        </w:trPr>
        <w:tc>
          <w:tcPr>
            <w:cnfStyle w:evenVBand="false" w:oddVBand="true" w:firstColumn="false"/>
            <w:tcW w:w="33.333333%" w:type="pct"/>
          </w:tcPr>
          <w:p>
            <w:pPr>
              <w:ind w:leftChars="0" w:left="0" w:right="0"/>
            </w:pPr>
            <w:r>
              <w:t>NOSI</w:t>
            </w:r>
          </w:p>
        </w:tc>
        <w:tc>
          <w:tcPr>
            <w:cnfStyle w:evenVBand="true" w:oddVBand="false" w:firstColumn="false"/>
            <w:tcW w:w="33.333333%" w:type="pct"/>
          </w:tcPr>
          <w:p>
            <w:pPr>
              <w:ind w:leftChars="0" w:left="0" w:right="0"/>
            </w:pPr>
            <w:r>
              <w:t>NOSI</w:t>
            </w:r>
          </w:p>
        </w:tc>
        <w:tc>
          <w:tcPr>
            <w:cnfStyle w:evenVBand="false" w:oddVBand="true" w:firstColumn="false"/>
            <w:tcW w:w="33.333333%" w:type="pct"/>
          </w:tcPr>
          <w:p>
            <w:pPr>
              <w:ind w:leftChars="0" w:left="0" w:right="0"/>
            </w:pPr>
            <w:r>
              <w:t>NOMURA - SYSTEMATIC INTERNALISER</w:t>
            </w:r>
          </w:p>
        </w:tc>
      </w:tr>
      <w:tr>
        <w:trPr>
          <w:cnfStyle w:evenHBand="true" w:oddHBand="false" w:firstRow="false"/>
        </w:trPr>
        <w:tc>
          <w:tcPr>
            <w:cnfStyle w:evenVBand="false" w:oddVBand="true" w:firstColumn="false"/>
            <w:tcW w:w="33.333333%" w:type="pct"/>
          </w:tcPr>
          <w:p>
            <w:pPr>
              <w:ind w:leftChars="0" w:left="0" w:right="0"/>
            </w:pPr>
            <w:r>
              <w:t>NOTC</w:t>
            </w:r>
          </w:p>
        </w:tc>
        <w:tc>
          <w:tcPr>
            <w:cnfStyle w:evenVBand="true" w:oddVBand="false" w:firstColumn="false"/>
            <w:tcW w:w="33.333333%" w:type="pct"/>
          </w:tcPr>
          <w:p>
            <w:pPr>
              <w:ind w:leftChars="0" w:left="0" w:right="0"/>
            </w:pPr>
            <w:r>
              <w:t>NOTC</w:t>
            </w:r>
          </w:p>
        </w:tc>
        <w:tc>
          <w:tcPr>
            <w:cnfStyle w:evenVBand="false" w:oddVBand="true" w:firstColumn="false"/>
            <w:tcW w:w="33.333333%" w:type="pct"/>
          </w:tcPr>
          <w:p>
            <w:pPr>
              <w:ind w:leftChars="0" w:left="0" w:right="0"/>
            </w:pPr>
            <w:r>
              <w:t>NORWEGIAN OVER THE COUNTER MARKET</w:t>
            </w:r>
          </w:p>
        </w:tc>
      </w:tr>
      <w:tr>
        <w:trPr>
          <w:cnfStyle w:evenHBand="false" w:oddHBand="true" w:firstRow="false"/>
        </w:trPr>
        <w:tc>
          <w:tcPr>
            <w:cnfStyle w:evenVBand="false" w:oddVBand="true" w:firstColumn="false"/>
            <w:tcW w:w="33.333333%" w:type="pct"/>
          </w:tcPr>
          <w:p>
            <w:pPr>
              <w:ind w:leftChars="0" w:left="0" w:right="0"/>
            </w:pPr>
            <w:r>
              <w:t>NOWB</w:t>
            </w:r>
          </w:p>
        </w:tc>
        <w:tc>
          <w:tcPr>
            <w:cnfStyle w:evenVBand="true" w:oddVBand="false" w:firstColumn="false"/>
            <w:tcW w:w="33.333333%" w:type="pct"/>
          </w:tcPr>
          <w:p>
            <w:pPr>
              <w:ind w:leftChars="0" w:left="0" w:right="0"/>
            </w:pPr>
            <w:r>
              <w:t>NOWB</w:t>
            </w:r>
          </w:p>
        </w:tc>
        <w:tc>
          <w:tcPr>
            <w:cnfStyle w:evenVBand="false" w:oddVBand="true" w:firstColumn="false"/>
            <w:tcW w:w="33.333333%" w:type="pct"/>
          </w:tcPr>
          <w:p>
            <w:pPr>
              <w:ind w:leftChars="0" w:left="0" w:right="0"/>
            </w:pPr>
            <w:r>
              <w:t>NASDAQ STOCKHOLM AB - NOK WB EQ DERIVATIVES</w:t>
            </w:r>
          </w:p>
        </w:tc>
      </w:tr>
      <w:tr>
        <w:trPr>
          <w:cnfStyle w:evenHBand="true" w:oddHBand="false" w:firstRow="false"/>
        </w:trPr>
        <w:tc>
          <w:tcPr>
            <w:cnfStyle w:evenVBand="false" w:oddVBand="true" w:firstColumn="false"/>
            <w:tcW w:w="33.333333%" w:type="pct"/>
          </w:tcPr>
          <w:p>
            <w:pPr>
              <w:ind w:leftChars="0" w:left="0" w:right="0"/>
            </w:pPr>
            <w:r>
              <w:t>NOWX</w:t>
            </w:r>
          </w:p>
        </w:tc>
        <w:tc>
          <w:tcPr>
            <w:cnfStyle w:evenVBand="true" w:oddVBand="false" w:firstColumn="false"/>
            <w:tcW w:w="33.333333%" w:type="pct"/>
          </w:tcPr>
          <w:p>
            <w:pPr>
              <w:ind w:leftChars="0" w:left="0" w:right="0"/>
            </w:pPr>
            <w:r>
              <w:t>NOWX</w:t>
            </w:r>
          </w:p>
        </w:tc>
        <w:tc>
          <w:tcPr>
            <w:cnfStyle w:evenVBand="false" w:oddVBand="true" w:firstColumn="false"/>
            <w:tcW w:w="33.333333%" w:type="pct"/>
          </w:tcPr>
          <w:p>
            <w:pPr>
              <w:ind w:leftChars="0" w:left="0" w:right="0"/>
            </w:pPr>
            <w:r>
              <w:t>NOW CP - NEU CP</w:t>
            </w:r>
          </w:p>
        </w:tc>
      </w:tr>
      <w:tr>
        <w:trPr>
          <w:cnfStyle w:evenHBand="false" w:oddHBand="true" w:firstRow="false"/>
        </w:trPr>
        <w:tc>
          <w:tcPr>
            <w:cnfStyle w:evenVBand="false" w:oddVBand="true" w:firstColumn="false"/>
            <w:tcW w:w="33.333333%" w:type="pct"/>
          </w:tcPr>
          <w:p>
            <w:pPr>
              <w:ind w:leftChars="0" w:left="0" w:right="0"/>
            </w:pPr>
            <w:r>
              <w:t>NPEX</w:t>
            </w:r>
          </w:p>
        </w:tc>
        <w:tc>
          <w:tcPr>
            <w:cnfStyle w:evenVBand="true" w:oddVBand="false" w:firstColumn="false"/>
            <w:tcW w:w="33.333333%" w:type="pct"/>
          </w:tcPr>
          <w:p>
            <w:pPr>
              <w:ind w:leftChars="0" w:left="0" w:right="0"/>
            </w:pPr>
            <w:r>
              <w:t>NPEX</w:t>
            </w:r>
          </w:p>
        </w:tc>
        <w:tc>
          <w:tcPr>
            <w:cnfStyle w:evenVBand="false" w:oddVBand="true" w:firstColumn="false"/>
            <w:tcW w:w="33.333333%" w:type="pct"/>
          </w:tcPr>
          <w:p>
            <w:pPr>
              <w:ind w:leftChars="0" w:left="0" w:right="0"/>
            </w:pPr>
            <w:r>
              <w:t>NPEX</w:t>
            </w:r>
          </w:p>
        </w:tc>
      </w:tr>
      <w:tr>
        <w:trPr>
          <w:cnfStyle w:evenHBand="true" w:oddHBand="false" w:firstRow="false"/>
        </w:trPr>
        <w:tc>
          <w:tcPr>
            <w:cnfStyle w:evenVBand="false" w:oddVBand="true" w:firstColumn="false"/>
            <w:tcW w:w="33.333333%" w:type="pct"/>
          </w:tcPr>
          <w:p>
            <w:pPr>
              <w:ind w:leftChars="0" w:left="0" w:right="0"/>
            </w:pPr>
            <w:r>
              <w:t>NPGA</w:t>
            </w:r>
          </w:p>
        </w:tc>
        <w:tc>
          <w:tcPr>
            <w:cnfStyle w:evenVBand="true" w:oddVBand="false" w:firstColumn="false"/>
            <w:tcW w:w="33.333333%" w:type="pct"/>
          </w:tcPr>
          <w:p>
            <w:pPr>
              <w:ind w:leftChars="0" w:left="0" w:right="0"/>
            </w:pPr>
            <w:r>
              <w:t>NPGA</w:t>
            </w:r>
          </w:p>
        </w:tc>
        <w:tc>
          <w:tcPr>
            <w:cnfStyle w:evenVBand="false" w:oddVBand="true" w:firstColumn="false"/>
            <w:tcW w:w="33.333333%" w:type="pct"/>
          </w:tcPr>
          <w:p>
            <w:pPr>
              <w:ind w:leftChars="0" w:left="0" w:right="0"/>
            </w:pPr>
            <w:r>
              <w:t>GASPOINT NORDIC A/S</w:t>
            </w:r>
          </w:p>
        </w:tc>
      </w:tr>
      <w:tr>
        <w:trPr>
          <w:cnfStyle w:evenHBand="false" w:oddHBand="true" w:firstRow="false"/>
        </w:trPr>
        <w:tc>
          <w:tcPr>
            <w:cnfStyle w:evenVBand="false" w:oddVBand="true" w:firstColumn="false"/>
            <w:tcW w:w="33.333333%" w:type="pct"/>
          </w:tcPr>
          <w:p>
            <w:pPr>
              <w:ind w:leftChars="0" w:left="0" w:right="0"/>
            </w:pPr>
            <w:r>
              <w:t>NSME</w:t>
            </w:r>
          </w:p>
        </w:tc>
        <w:tc>
          <w:tcPr>
            <w:cnfStyle w:evenVBand="true" w:oddVBand="false" w:firstColumn="false"/>
            <w:tcW w:w="33.333333%" w:type="pct"/>
          </w:tcPr>
          <w:p>
            <w:pPr>
              <w:ind w:leftChars="0" w:left="0" w:right="0"/>
            </w:pPr>
            <w:r>
              <w:t>NSME</w:t>
            </w:r>
          </w:p>
        </w:tc>
        <w:tc>
          <w:tcPr>
            <w:cnfStyle w:evenVBand="false" w:oddVBand="true" w:firstColumn="false"/>
            <w:tcW w:w="33.333333%" w:type="pct"/>
          </w:tcPr>
          <w:p>
            <w:pPr>
              <w:ind w:leftChars="0" w:left="0" w:right="0"/>
            </w:pPr>
            <w:r>
              <w:t>NORDIC SME</w:t>
            </w:r>
          </w:p>
        </w:tc>
      </w:tr>
      <w:tr>
        <w:trPr>
          <w:cnfStyle w:evenHBand="true" w:oddHBand="false" w:firstRow="false"/>
        </w:trPr>
        <w:tc>
          <w:tcPr>
            <w:cnfStyle w:evenVBand="false" w:oddVBand="true" w:firstColumn="false"/>
            <w:tcW w:w="33.333333%" w:type="pct"/>
          </w:tcPr>
          <w:p>
            <w:pPr>
              <w:ind w:leftChars="0" w:left="0" w:right="0"/>
            </w:pPr>
            <w:r>
              <w:t>NSPO</w:t>
            </w:r>
          </w:p>
        </w:tc>
        <w:tc>
          <w:tcPr>
            <w:cnfStyle w:evenVBand="true" w:oddVBand="false" w:firstColumn="false"/>
            <w:tcW w:w="33.333333%" w:type="pct"/>
          </w:tcPr>
          <w:p>
            <w:pPr>
              <w:ind w:leftChars="0" w:left="0" w:right="0"/>
            </w:pPr>
            <w:r>
              <w:t>NSPO</w:t>
            </w:r>
          </w:p>
        </w:tc>
        <w:tc>
          <w:tcPr>
            <w:cnfStyle w:evenVBand="false" w:oddVBand="true" w:firstColumn="false"/>
            <w:tcW w:w="33.333333%" w:type="pct"/>
          </w:tcPr>
          <w:p>
            <w:pPr>
              <w:ind w:leftChars="0" w:left="0" w:right="0"/>
            </w:pPr>
            <w:r>
              <w:t>NASDAQ SPOT AB</w:t>
            </w:r>
          </w:p>
        </w:tc>
      </w:tr>
      <w:tr>
        <w:trPr>
          <w:cnfStyle w:evenHBand="false" w:oddHBand="true" w:firstRow="false"/>
        </w:trPr>
        <w:tc>
          <w:tcPr>
            <w:cnfStyle w:evenVBand="false" w:oddVBand="true" w:firstColumn="false"/>
            <w:tcW w:w="33.333333%" w:type="pct"/>
          </w:tcPr>
          <w:p>
            <w:pPr>
              <w:ind w:leftChars="0" w:left="0" w:right="0"/>
            </w:pPr>
            <w:r>
              <w:t>NSSA</w:t>
            </w:r>
          </w:p>
        </w:tc>
        <w:tc>
          <w:tcPr>
            <w:cnfStyle w:evenVBand="true" w:oddVBand="false" w:firstColumn="false"/>
            <w:tcW w:w="33.333333%" w:type="pct"/>
          </w:tcPr>
          <w:p>
            <w:pPr>
              <w:ind w:leftChars="0" w:left="0" w:right="0"/>
            </w:pPr>
            <w:r>
              <w:t>NSSA</w:t>
            </w:r>
          </w:p>
        </w:tc>
        <w:tc>
          <w:tcPr>
            <w:cnfStyle w:evenVBand="false" w:oddVBand="true" w:firstColumn="false"/>
            <w:tcW w:w="33.333333%" w:type="pct"/>
          </w:tcPr>
          <w:p>
            <w:pPr>
              <w:ind w:leftChars="0" w:left="0" w:right="0"/>
            </w:pPr>
            <w:r>
              <w:t>NOBLE SECURITIES S.A.</w:t>
            </w:r>
          </w:p>
        </w:tc>
      </w:tr>
      <w:tr>
        <w:trPr>
          <w:cnfStyle w:evenHBand="true" w:oddHBand="false" w:firstRow="false"/>
        </w:trPr>
        <w:tc>
          <w:tcPr>
            <w:cnfStyle w:evenVBand="false" w:oddVBand="true" w:firstColumn="false"/>
            <w:tcW w:w="33.333333%" w:type="pct"/>
          </w:tcPr>
          <w:p>
            <w:pPr>
              <w:ind w:leftChars="0" w:left="0" w:right="0"/>
            </w:pPr>
            <w:r>
              <w:t>NSXB</w:t>
            </w:r>
          </w:p>
        </w:tc>
        <w:tc>
          <w:tcPr>
            <w:cnfStyle w:evenVBand="true" w:oddVBand="false" w:firstColumn="false"/>
            <w:tcW w:w="33.333333%" w:type="pct"/>
          </w:tcPr>
          <w:p>
            <w:pPr>
              <w:ind w:leftChars="0" w:left="0" w:right="0"/>
            </w:pPr>
            <w:r>
              <w:t>NSXB</w:t>
            </w:r>
          </w:p>
        </w:tc>
        <w:tc>
          <w:tcPr>
            <w:cnfStyle w:evenVBand="false" w:oddVBand="true" w:firstColumn="false"/>
            <w:tcW w:w="33.333333%" w:type="pct"/>
          </w:tcPr>
          <w:p>
            <w:pPr>
              <w:ind w:leftChars="0" w:left="0" w:right="0"/>
            </w:pPr>
            <w:r>
              <w:t>BENDIGO STOCK EXCHANGE LIMITED</w:t>
            </w:r>
          </w:p>
        </w:tc>
      </w:tr>
      <w:tr>
        <w:trPr>
          <w:cnfStyle w:evenHBand="false" w:oddHBand="true" w:firstRow="false"/>
        </w:trPr>
        <w:tc>
          <w:tcPr>
            <w:cnfStyle w:evenVBand="false" w:oddVBand="true" w:firstColumn="false"/>
            <w:tcW w:w="33.333333%" w:type="pct"/>
          </w:tcPr>
          <w:p>
            <w:pPr>
              <w:ind w:leftChars="0" w:left="0" w:right="0"/>
            </w:pPr>
            <w:r>
              <w:t>NTUK</w:t>
            </w:r>
          </w:p>
        </w:tc>
        <w:tc>
          <w:tcPr>
            <w:cnfStyle w:evenVBand="true" w:oddVBand="false" w:firstColumn="false"/>
            <w:tcW w:w="33.333333%" w:type="pct"/>
          </w:tcPr>
          <w:p>
            <w:pPr>
              <w:ind w:leftChars="0" w:left="0" w:right="0"/>
            </w:pPr>
            <w:r>
              <w:t>NTUK</w:t>
            </w:r>
          </w:p>
        </w:tc>
        <w:tc>
          <w:tcPr>
            <w:cnfStyle w:evenVBand="false" w:oddVBand="true" w:firstColumn="false"/>
            <w:tcW w:w="33.333333%" w:type="pct"/>
          </w:tcPr>
          <w:p>
            <w:pPr>
              <w:ind w:leftChars="0" w:left="0" w:right="0"/>
            </w:pPr>
            <w:r>
              <w:t>NATIXIS LONDON BRANCH</w:t>
            </w:r>
          </w:p>
        </w:tc>
      </w:tr>
      <w:tr>
        <w:trPr>
          <w:cnfStyle w:evenHBand="true" w:oddHBand="false" w:firstRow="false"/>
        </w:trPr>
        <w:tc>
          <w:tcPr>
            <w:cnfStyle w:evenVBand="false" w:oddVBand="true" w:firstColumn="false"/>
            <w:tcW w:w="33.333333%" w:type="pct"/>
          </w:tcPr>
          <w:p>
            <w:pPr>
              <w:ind w:leftChars="0" w:left="0" w:right="0"/>
            </w:pPr>
            <w:r>
              <w:t>NURD</w:t>
            </w:r>
          </w:p>
        </w:tc>
        <w:tc>
          <w:tcPr>
            <w:cnfStyle w:evenVBand="true" w:oddVBand="false" w:firstColumn="false"/>
            <w:tcW w:w="33.333333%" w:type="pct"/>
          </w:tcPr>
          <w:p>
            <w:pPr>
              <w:ind w:leftChars="0" w:left="0" w:right="0"/>
            </w:pPr>
            <w:r>
              <w:t>NURD</w:t>
            </w:r>
          </w:p>
        </w:tc>
        <w:tc>
          <w:tcPr>
            <w:cnfStyle w:evenVBand="false" w:oddVBand="true" w:firstColumn="false"/>
            <w:tcW w:w="33.333333%" w:type="pct"/>
          </w:tcPr>
          <w:p>
            <w:pPr>
              <w:ind w:leftChars="0" w:left="0" w:right="0"/>
            </w:pPr>
            <w:r>
              <w:t>NASDAQ EUROPE (NURO) DARK</w:t>
            </w:r>
          </w:p>
        </w:tc>
      </w:tr>
      <w:tr>
        <w:trPr>
          <w:cnfStyle w:evenHBand="false" w:oddHBand="true" w:firstRow="false"/>
        </w:trPr>
        <w:tc>
          <w:tcPr>
            <w:cnfStyle w:evenVBand="false" w:oddVBand="true" w:firstColumn="false"/>
            <w:tcW w:w="33.333333%" w:type="pct"/>
          </w:tcPr>
          <w:p>
            <w:pPr>
              <w:ind w:leftChars="0" w:left="0" w:right="0"/>
            </w:pPr>
            <w:r>
              <w:t>NURO</w:t>
            </w:r>
          </w:p>
        </w:tc>
        <w:tc>
          <w:tcPr>
            <w:cnfStyle w:evenVBand="true" w:oddVBand="false" w:firstColumn="false"/>
            <w:tcW w:w="33.333333%" w:type="pct"/>
          </w:tcPr>
          <w:p>
            <w:pPr>
              <w:ind w:leftChars="0" w:left="0" w:right="0"/>
            </w:pPr>
            <w:r>
              <w:t>NURO</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NWMS</w:t>
            </w:r>
          </w:p>
        </w:tc>
        <w:tc>
          <w:tcPr>
            <w:cnfStyle w:evenVBand="true" w:oddVBand="false" w:firstColumn="false"/>
            <w:tcW w:w="33.333333%" w:type="pct"/>
          </w:tcPr>
          <w:p>
            <w:pPr>
              <w:ind w:leftChars="0" w:left="0" w:right="0"/>
            </w:pPr>
            <w:r>
              <w:t>NWMS</w:t>
            </w:r>
          </w:p>
        </w:tc>
        <w:tc>
          <w:tcPr>
            <w:cnfStyle w:evenVBand="false" w:oddVBand="true" w:firstColumn="false"/>
            <w:tcW w:w="33.333333%" w:type="pct"/>
          </w:tcPr>
          <w:p>
            <w:pPr>
              <w:ind w:leftChars="0" w:left="0" w:right="0"/>
            </w:pPr>
            <w:r>
              <w:t>ROYAL BANK OF SCOTLAND - SYSTEMATIC INTERNALISER</w:t>
            </w:r>
          </w:p>
        </w:tc>
      </w:tr>
      <w:tr>
        <w:trPr>
          <w:cnfStyle w:evenHBand="false" w:oddHBand="true" w:firstRow="false"/>
        </w:trPr>
        <w:tc>
          <w:tcPr>
            <w:cnfStyle w:evenVBand="false" w:oddVBand="true" w:firstColumn="false"/>
            <w:tcW w:w="33.333333%" w:type="pct"/>
          </w:tcPr>
          <w:p>
            <w:pPr>
              <w:ind w:leftChars="0" w:left="0" w:right="0"/>
            </w:pPr>
            <w:r>
              <w:t>NWNV</w:t>
            </w:r>
          </w:p>
        </w:tc>
        <w:tc>
          <w:tcPr>
            <w:cnfStyle w:evenVBand="true" w:oddVBand="false" w:firstColumn="false"/>
            <w:tcW w:w="33.333333%" w:type="pct"/>
          </w:tcPr>
          <w:p>
            <w:pPr>
              <w:ind w:leftChars="0" w:left="0" w:right="0"/>
            </w:pPr>
            <w:r>
              <w:t>NWNV</w:t>
            </w:r>
          </w:p>
        </w:tc>
        <w:tc>
          <w:tcPr>
            <w:cnfStyle w:evenVBand="false" w:oddVBand="true" w:firstColumn="false"/>
            <w:tcW w:w="33.333333%" w:type="pct"/>
          </w:tcPr>
          <w:p>
            <w:pPr>
              <w:ind w:leftChars="0" w:left="0" w:right="0"/>
            </w:pPr>
            <w:r>
              <w:t>NATWEST MARKETS NV</w:t>
            </w:r>
          </w:p>
        </w:tc>
      </w:tr>
      <w:tr>
        <w:trPr>
          <w:cnfStyle w:evenHBand="true" w:oddHBand="false" w:firstRow="false"/>
        </w:trPr>
        <w:tc>
          <w:tcPr>
            <w:cnfStyle w:evenVBand="false" w:oddVBand="true" w:firstColumn="false"/>
            <w:tcW w:w="33.333333%" w:type="pct"/>
          </w:tcPr>
          <w:p>
            <w:pPr>
              <w:ind w:leftChars="0" w:left="0" w:right="0"/>
            </w:pPr>
            <w:r>
              <w:t>NXEU</w:t>
            </w:r>
          </w:p>
        </w:tc>
        <w:tc>
          <w:tcPr>
            <w:cnfStyle w:evenVBand="true" w:oddVBand="false" w:firstColumn="false"/>
            <w:tcW w:w="33.333333%" w:type="pct"/>
          </w:tcPr>
          <w:p>
            <w:pPr>
              <w:ind w:leftChars="0" w:left="0" w:right="0"/>
            </w:pPr>
            <w:r>
              <w:t>NXEU</w:t>
            </w:r>
          </w:p>
        </w:tc>
        <w:tc>
          <w:tcPr>
            <w:cnfStyle w:evenVBand="false" w:oddVBand="true" w:firstColumn="false"/>
            <w:tcW w:w="33.333333%" w:type="pct"/>
          </w:tcPr>
          <w:p>
            <w:pPr>
              <w:ind w:leftChars="0" w:left="0" w:right="0"/>
            </w:pPr>
            <w:r>
              <w:t>NX</w:t>
            </w:r>
          </w:p>
        </w:tc>
      </w:tr>
      <w:tr>
        <w:trPr>
          <w:cnfStyle w:evenHBand="false" w:oddHBand="true" w:firstRow="false"/>
        </w:trPr>
        <w:tc>
          <w:tcPr>
            <w:cnfStyle w:evenVBand="false" w:oddVBand="true" w:firstColumn="false"/>
            <w:tcW w:w="33.333333%" w:type="pct"/>
          </w:tcPr>
          <w:p>
            <w:pPr>
              <w:ind w:leftChars="0" w:left="0" w:right="0"/>
            </w:pPr>
            <w:r>
              <w:t>NXJP</w:t>
            </w:r>
          </w:p>
        </w:tc>
        <w:tc>
          <w:tcPr>
            <w:cnfStyle w:evenVBand="true" w:oddVBand="false" w:firstColumn="false"/>
            <w:tcW w:w="33.333333%" w:type="pct"/>
          </w:tcPr>
          <w:p>
            <w:pPr>
              <w:ind w:leftChars="0" w:left="0" w:right="0"/>
            </w:pPr>
            <w:r>
              <w:t>NXJP</w:t>
            </w:r>
          </w:p>
        </w:tc>
        <w:tc>
          <w:tcPr>
            <w:cnfStyle w:evenVBand="false" w:oddVBand="true" w:firstColumn="false"/>
            <w:tcW w:w="33.333333%" w:type="pct"/>
          </w:tcPr>
          <w:p>
            <w:pPr>
              <w:ind w:leftChars="0" w:left="0" w:right="0"/>
            </w:pPr>
            <w:r>
              <w:t>NX JAPAN</w:t>
            </w:r>
          </w:p>
        </w:tc>
      </w:tr>
      <w:tr>
        <w:trPr>
          <w:cnfStyle w:evenHBand="true" w:oddHBand="false" w:firstRow="false"/>
        </w:trPr>
        <w:tc>
          <w:tcPr>
            <w:cnfStyle w:evenVBand="false" w:oddVBand="true" w:firstColumn="false"/>
            <w:tcW w:w="33.333333%" w:type="pct"/>
          </w:tcPr>
          <w:p>
            <w:pPr>
              <w:ind w:leftChars="0" w:left="0" w:right="0"/>
            </w:pPr>
            <w:r>
              <w:t>NXSE</w:t>
            </w:r>
          </w:p>
        </w:tc>
        <w:tc>
          <w:tcPr>
            <w:cnfStyle w:evenVBand="true" w:oddVBand="false" w:firstColumn="false"/>
            <w:tcW w:w="33.333333%" w:type="pct"/>
          </w:tcPr>
          <w:p>
            <w:pPr>
              <w:ind w:leftChars="0" w:left="0" w:right="0"/>
            </w:pPr>
            <w:r>
              <w:t>NXSE</w:t>
            </w:r>
          </w:p>
        </w:tc>
        <w:tc>
          <w:tcPr>
            <w:cnfStyle w:evenVBand="false" w:oddVBand="true" w:firstColumn="false"/>
            <w:tcW w:w="33.333333%" w:type="pct"/>
          </w:tcPr>
          <w:p>
            <w:pPr>
              <w:ind w:leftChars="0" w:left="0" w:right="0"/>
            </w:pPr>
            <w:r>
              <w:t>NX SELECT JAPAN</w:t>
            </w:r>
          </w:p>
        </w:tc>
      </w:tr>
      <w:tr>
        <w:trPr>
          <w:cnfStyle w:evenHBand="false" w:oddHBand="true" w:firstRow="false"/>
        </w:trPr>
        <w:tc>
          <w:tcPr>
            <w:cnfStyle w:evenVBand="false" w:oddVBand="true" w:firstColumn="false"/>
            <w:tcW w:w="33.333333%" w:type="pct"/>
          </w:tcPr>
          <w:p>
            <w:pPr>
              <w:ind w:leftChars="0" w:left="0" w:right="0"/>
            </w:pPr>
            <w:r>
              <w:t>NXUS</w:t>
            </w:r>
          </w:p>
        </w:tc>
        <w:tc>
          <w:tcPr>
            <w:cnfStyle w:evenVBand="true" w:oddVBand="false" w:firstColumn="false"/>
            <w:tcW w:w="33.333333%" w:type="pct"/>
          </w:tcPr>
          <w:p>
            <w:pPr>
              <w:ind w:leftChars="0" w:left="0" w:right="0"/>
            </w:pPr>
            <w:r>
              <w:t>NXUS</w:t>
            </w:r>
          </w:p>
        </w:tc>
        <w:tc>
          <w:tcPr>
            <w:cnfStyle w:evenVBand="false" w:oddVBand="true" w:firstColumn="false"/>
            <w:tcW w:w="33.333333%" w:type="pct"/>
          </w:tcPr>
          <w:p>
            <w:pPr>
              <w:ind w:leftChars="0" w:left="0" w:right="0"/>
            </w:pPr>
            <w:r>
              <w:t>NX ATS - CROSSING PLATFORM</w:t>
            </w:r>
          </w:p>
        </w:tc>
      </w:tr>
      <w:tr>
        <w:trPr>
          <w:cnfStyle w:evenHBand="true" w:oddHBand="false" w:firstRow="false"/>
        </w:trPr>
        <w:tc>
          <w:tcPr>
            <w:cnfStyle w:evenVBand="false" w:oddVBand="true" w:firstColumn="false"/>
            <w:tcW w:w="33.333333%" w:type="pct"/>
          </w:tcPr>
          <w:p>
            <w:pPr>
              <w:ind w:leftChars="0" w:left="0" w:right="0"/>
            </w:pPr>
            <w:r>
              <w:t>NXVW</w:t>
            </w:r>
          </w:p>
        </w:tc>
        <w:tc>
          <w:tcPr>
            <w:cnfStyle w:evenVBand="true" w:oddVBand="false" w:firstColumn="false"/>
            <w:tcW w:w="33.333333%" w:type="pct"/>
          </w:tcPr>
          <w:p>
            <w:pPr>
              <w:ind w:leftChars="0" w:left="0" w:right="0"/>
            </w:pPr>
            <w:r>
              <w:t>NXVW</w:t>
            </w:r>
          </w:p>
        </w:tc>
        <w:tc>
          <w:tcPr>
            <w:cnfStyle w:evenVBand="false" w:oddVBand="true" w:firstColumn="false"/>
            <w:tcW w:w="33.333333%" w:type="pct"/>
          </w:tcPr>
          <w:p>
            <w:pPr>
              <w:ind w:leftChars="0" w:left="0" w:right="0"/>
            </w:pPr>
            <w:r>
              <w:t>NX VWAP</w:t>
            </w:r>
          </w:p>
        </w:tc>
      </w:tr>
      <w:tr>
        <w:trPr>
          <w:cnfStyle w:evenHBand="false" w:oddHBand="true" w:firstRow="false"/>
        </w:trPr>
        <w:tc>
          <w:tcPr>
            <w:cnfStyle w:evenVBand="false" w:oddVBand="true" w:firstColumn="false"/>
            <w:tcW w:w="33.333333%" w:type="pct"/>
          </w:tcPr>
          <w:p>
            <w:pPr>
              <w:ind w:leftChars="0" w:left="0" w:right="0"/>
            </w:pPr>
            <w:r>
              <w:t>NYFX</w:t>
            </w:r>
          </w:p>
        </w:tc>
        <w:tc>
          <w:tcPr>
            <w:cnfStyle w:evenVBand="true" w:oddVBand="false" w:firstColumn="false"/>
            <w:tcW w:w="33.333333%" w:type="pct"/>
          </w:tcPr>
          <w:p>
            <w:pPr>
              <w:ind w:leftChars="0" w:left="0" w:right="0"/>
            </w:pPr>
            <w:r>
              <w:t>NYFX</w:t>
            </w:r>
          </w:p>
        </w:tc>
        <w:tc>
          <w:tcPr>
            <w:cnfStyle w:evenVBand="false" w:oddVBand="true" w:firstColumn="false"/>
            <w:tcW w:w="33.333333%" w:type="pct"/>
          </w:tcPr>
          <w:p>
            <w:pPr>
              <w:ind w:leftChars="0" w:left="0" w:right="0"/>
            </w:pPr>
            <w:r>
              <w:t>MILLENNIUM</w:t>
            </w:r>
          </w:p>
        </w:tc>
      </w:tr>
      <w:tr>
        <w:trPr>
          <w:cnfStyle w:evenHBand="true" w:oddHBand="false" w:firstRow="false"/>
        </w:trPr>
        <w:tc>
          <w:tcPr>
            <w:cnfStyle w:evenVBand="false" w:oddVBand="true" w:firstColumn="false"/>
            <w:tcW w:w="33.333333%" w:type="pct"/>
          </w:tcPr>
          <w:p>
            <w:pPr>
              <w:ind w:leftChars="0" w:left="0" w:right="0"/>
            </w:pPr>
            <w:r>
              <w:t>NYMS</w:t>
            </w:r>
          </w:p>
        </w:tc>
        <w:tc>
          <w:tcPr>
            <w:cnfStyle w:evenVBand="true" w:oddVBand="false" w:firstColumn="false"/>
            <w:tcW w:w="33.333333%" w:type="pct"/>
          </w:tcPr>
          <w:p>
            <w:pPr>
              <w:ind w:leftChars="0" w:left="0" w:right="0"/>
            </w:pPr>
            <w:r>
              <w:t>NYMS</w:t>
            </w:r>
          </w:p>
        </w:tc>
        <w:tc>
          <w:tcPr>
            <w:cnfStyle w:evenVBand="false" w:oddVBand="true" w:firstColumn="false"/>
            <w:tcW w:w="33.333333%" w:type="pct"/>
          </w:tcPr>
          <w:p>
            <w:pPr>
              <w:ind w:leftChars="0" w:left="0" w:right="0"/>
            </w:pPr>
            <w:r>
              <w:t>CME SWAPS MARKETS (NYMEX)</w:t>
            </w:r>
          </w:p>
        </w:tc>
      </w:tr>
      <w:tr>
        <w:trPr>
          <w:cnfStyle w:evenHBand="false" w:oddHBand="true" w:firstRow="false"/>
        </w:trPr>
        <w:tc>
          <w:tcPr>
            <w:cnfStyle w:evenVBand="false" w:oddVBand="true" w:firstColumn="false"/>
            <w:tcW w:w="33.333333%" w:type="pct"/>
          </w:tcPr>
          <w:p>
            <w:pPr>
              <w:ind w:leftChars="0" w:left="0" w:right="0"/>
            </w:pPr>
            <w:r>
              <w:t>NYMX</w:t>
            </w:r>
          </w:p>
        </w:tc>
        <w:tc>
          <w:tcPr>
            <w:cnfStyle w:evenVBand="true" w:oddVBand="false" w:firstColumn="false"/>
            <w:tcW w:w="33.333333%" w:type="pct"/>
          </w:tcPr>
          <w:p>
            <w:pPr>
              <w:ind w:leftChars="0" w:left="0" w:right="0"/>
            </w:pPr>
            <w:r>
              <w:t>NYMX</w:t>
            </w:r>
          </w:p>
        </w:tc>
        <w:tc>
          <w:tcPr>
            <w:cnfStyle w:evenVBand="false" w:oddVBand="true" w:firstColumn="false"/>
            <w:tcW w:w="33.333333%" w:type="pct"/>
          </w:tcPr>
          <w:p>
            <w:pPr>
              <w:ind w:leftChars="0" w:left="0" w:right="0"/>
            </w:pPr>
            <w:r>
              <w:t>NYMEX EUROPE LTD.</w:t>
            </w:r>
          </w:p>
        </w:tc>
      </w:tr>
      <w:tr>
        <w:trPr>
          <w:cnfStyle w:evenHBand="true" w:oddHBand="false" w:firstRow="false"/>
        </w:trPr>
        <w:tc>
          <w:tcPr>
            <w:cnfStyle w:evenVBand="false" w:oddVBand="true" w:firstColumn="false"/>
            <w:tcW w:w="33.333333%" w:type="pct"/>
          </w:tcPr>
          <w:p>
            <w:pPr>
              <w:ind w:leftChars="0" w:left="0" w:right="0"/>
            </w:pPr>
            <w:r>
              <w:t>NYPC</w:t>
            </w:r>
          </w:p>
        </w:tc>
        <w:tc>
          <w:tcPr>
            <w:cnfStyle w:evenVBand="true" w:oddVBand="false" w:firstColumn="false"/>
            <w:tcW w:w="33.333333%" w:type="pct"/>
          </w:tcPr>
          <w:p>
            <w:pPr>
              <w:ind w:leftChars="0" w:left="0" w:right="0"/>
            </w:pPr>
            <w:r>
              <w:t>NYPC</w:t>
            </w:r>
          </w:p>
        </w:tc>
        <w:tc>
          <w:tcPr>
            <w:cnfStyle w:evenVBand="false" w:oddVBand="true" w:firstColumn="false"/>
            <w:tcW w:w="33.333333%" w:type="pct"/>
          </w:tcPr>
          <w:p>
            <w:pPr>
              <w:ind w:leftChars="0" w:left="0" w:right="0"/>
            </w:pPr>
            <w:r>
              <w:t>NEW YORK PORTFOLIO CLEARING</w:t>
            </w:r>
          </w:p>
        </w:tc>
      </w:tr>
      <w:tr>
        <w:trPr>
          <w:cnfStyle w:evenHBand="false" w:oddHBand="true" w:firstRow="false"/>
        </w:trPr>
        <w:tc>
          <w:tcPr>
            <w:cnfStyle w:evenVBand="false" w:oddVBand="true" w:firstColumn="false"/>
            <w:tcW w:w="33.333333%" w:type="pct"/>
          </w:tcPr>
          <w:p>
            <w:pPr>
              <w:ind w:leftChars="0" w:left="0" w:right="0"/>
            </w:pPr>
            <w:r>
              <w:t>NYSD</w:t>
            </w:r>
          </w:p>
        </w:tc>
        <w:tc>
          <w:tcPr>
            <w:cnfStyle w:evenVBand="true" w:oddVBand="false" w:firstColumn="false"/>
            <w:tcW w:w="33.333333%" w:type="pct"/>
          </w:tcPr>
          <w:p>
            <w:pPr>
              <w:ind w:leftChars="0" w:left="0" w:right="0"/>
            </w:pPr>
            <w:r>
              <w:t>NYSD</w:t>
            </w:r>
          </w:p>
        </w:tc>
        <w:tc>
          <w:tcPr>
            <w:cnfStyle w:evenVBand="false" w:oddVBand="true" w:firstColumn="false"/>
            <w:tcW w:w="33.333333%" w:type="pct"/>
          </w:tcPr>
          <w:p>
            <w:pPr>
              <w:ind w:leftChars="0" w:left="0" w:right="0"/>
            </w:pPr>
            <w:r>
              <w:t>NYSE DARK</w:t>
            </w:r>
          </w:p>
        </w:tc>
      </w:tr>
      <w:tr>
        <w:trPr>
          <w:cnfStyle w:evenHBand="true" w:oddHBand="false" w:firstRow="false"/>
        </w:trPr>
        <w:tc>
          <w:tcPr>
            <w:cnfStyle w:evenVBand="false" w:oddVBand="true" w:firstColumn="false"/>
            <w:tcW w:w="33.333333%" w:type="pct"/>
          </w:tcPr>
          <w:p>
            <w:pPr>
              <w:ind w:leftChars="0" w:left="0" w:right="0"/>
            </w:pPr>
            <w:r>
              <w:t>NYSI</w:t>
            </w:r>
          </w:p>
        </w:tc>
        <w:tc>
          <w:tcPr>
            <w:cnfStyle w:evenVBand="true" w:oddVBand="false" w:firstColumn="false"/>
            <w:tcW w:w="33.333333%" w:type="pct"/>
          </w:tcPr>
          <w:p>
            <w:pPr>
              <w:ind w:leftChars="0" w:left="0" w:right="0"/>
            </w:pPr>
            <w:r>
              <w:t>NYSI</w:t>
            </w:r>
          </w:p>
        </w:tc>
        <w:tc>
          <w:tcPr>
            <w:cnfStyle w:evenVBand="false" w:oddVBand="true" w:firstColumn="false"/>
            <w:tcW w:w="33.333333%" w:type="pct"/>
          </w:tcPr>
          <w:p>
            <w:pPr>
              <w:ind w:leftChars="0" w:left="0" w:right="0"/>
            </w:pPr>
            <w:r>
              <w:t>NYKREDIT BANK - SYSTEMATIC INTERNALISER</w:t>
            </w:r>
          </w:p>
        </w:tc>
      </w:tr>
      <w:tr>
        <w:trPr>
          <w:cnfStyle w:evenHBand="false" w:oddHBand="true" w:firstRow="false"/>
        </w:trPr>
        <w:tc>
          <w:tcPr>
            <w:cnfStyle w:evenVBand="false" w:oddVBand="true" w:firstColumn="false"/>
            <w:tcW w:w="33.333333%" w:type="pct"/>
          </w:tcPr>
          <w:p>
            <w:pPr>
              <w:ind w:leftChars="0" w:left="0" w:right="0"/>
            </w:pPr>
            <w:r>
              <w:t>NZFX</w:t>
            </w:r>
          </w:p>
        </w:tc>
        <w:tc>
          <w:tcPr>
            <w:cnfStyle w:evenVBand="true" w:oddVBand="false" w:firstColumn="false"/>
            <w:tcW w:w="33.333333%" w:type="pct"/>
          </w:tcPr>
          <w:p>
            <w:pPr>
              <w:ind w:leftChars="0" w:left="0" w:right="0"/>
            </w:pPr>
            <w:r>
              <w:t>NZFX</w:t>
            </w:r>
          </w:p>
        </w:tc>
        <w:tc>
          <w:tcPr>
            <w:cnfStyle w:evenVBand="false" w:oddVBand="true" w:firstColumn="false"/>
            <w:tcW w:w="33.333333%" w:type="pct"/>
          </w:tcPr>
          <w:p>
            <w:pPr>
              <w:ind w:leftChars="0" w:left="0" w:right="0"/>
            </w:pPr>
            <w:r>
              <w:t>ASX - NEW ZEALAND FUTURES &amp; OPTIONS</w:t>
            </w:r>
          </w:p>
        </w:tc>
      </w:tr>
      <w:tr>
        <w:trPr>
          <w:cnfStyle w:evenHBand="true" w:oddHBand="false" w:firstRow="false"/>
        </w:trPr>
        <w:tc>
          <w:tcPr>
            <w:cnfStyle w:evenVBand="false" w:oddVBand="true" w:firstColumn="false"/>
            <w:tcW w:w="33.333333%" w:type="pct"/>
          </w:tcPr>
          <w:p>
            <w:pPr>
              <w:ind w:leftChars="0" w:left="0" w:right="0"/>
            </w:pPr>
            <w:r>
              <w:t>OAPA</w:t>
            </w:r>
          </w:p>
        </w:tc>
        <w:tc>
          <w:tcPr>
            <w:cnfStyle w:evenVBand="true" w:oddVBand="false" w:firstColumn="false"/>
            <w:tcW w:w="33.333333%" w:type="pct"/>
          </w:tcPr>
          <w:p>
            <w:pPr>
              <w:ind w:leftChars="0" w:left="0" w:right="0"/>
            </w:pPr>
            <w:r>
              <w:t>OAPA</w:t>
            </w:r>
          </w:p>
        </w:tc>
        <w:tc>
          <w:tcPr>
            <w:cnfStyle w:evenVBand="false" w:oddVBand="true" w:firstColumn="false"/>
            <w:tcW w:w="33.333333%" w:type="pct"/>
          </w:tcPr>
          <w:p>
            <w:pPr>
              <w:ind w:leftChars="0" w:left="0" w:right="0"/>
            </w:pPr>
            <w:r>
              <w:t>OSLO BORS - APA</w:t>
            </w:r>
          </w:p>
        </w:tc>
      </w:tr>
      <w:tr>
        <w:trPr>
          <w:cnfStyle w:evenHBand="false" w:oddHBand="true" w:firstRow="false"/>
        </w:trPr>
        <w:tc>
          <w:tcPr>
            <w:cnfStyle w:evenVBand="false" w:oddVBand="true" w:firstColumn="false"/>
            <w:tcW w:w="33.333333%" w:type="pct"/>
          </w:tcPr>
          <w:p>
            <w:pPr>
              <w:ind w:leftChars="0" w:left="0" w:right="0"/>
            </w:pPr>
            <w:r>
              <w:t>OBKL</w:t>
            </w:r>
          </w:p>
        </w:tc>
        <w:tc>
          <w:tcPr>
            <w:cnfStyle w:evenVBand="true" w:oddVBand="false" w:firstColumn="false"/>
            <w:tcW w:w="33.333333%" w:type="pct"/>
          </w:tcPr>
          <w:p>
            <w:pPr>
              <w:ind w:leftChars="0" w:left="0" w:right="0"/>
            </w:pPr>
            <w:r>
              <w:t>OBKL</w:t>
            </w:r>
          </w:p>
        </w:tc>
        <w:tc>
          <w:tcPr>
            <w:cnfStyle w:evenVBand="false" w:oddVBand="true" w:firstColumn="false"/>
            <w:tcW w:w="33.333333%" w:type="pct"/>
          </w:tcPr>
          <w:p>
            <w:pPr>
              <w:ind w:leftChars="0" w:left="0" w:right="0"/>
            </w:pPr>
            <w:r>
              <w:t>OBERBANK AG - SYSTEMATIC INTERNALISER</w:t>
            </w:r>
          </w:p>
        </w:tc>
      </w:tr>
      <w:tr>
        <w:trPr>
          <w:cnfStyle w:evenHBand="true" w:oddHBand="false" w:firstRow="false"/>
        </w:trPr>
        <w:tc>
          <w:tcPr>
            <w:cnfStyle w:evenVBand="false" w:oddVBand="true" w:firstColumn="false"/>
            <w:tcW w:w="33.333333%" w:type="pct"/>
          </w:tcPr>
          <w:p>
            <w:pPr>
              <w:ind w:leftChars="0" w:left="0" w:right="0"/>
            </w:pPr>
            <w:r>
              <w:t>OCEA</w:t>
            </w:r>
          </w:p>
        </w:tc>
        <w:tc>
          <w:tcPr>
            <w:cnfStyle w:evenVBand="true" w:oddVBand="false" w:firstColumn="false"/>
            <w:tcW w:w="33.333333%" w:type="pct"/>
          </w:tcPr>
          <w:p>
            <w:pPr>
              <w:ind w:leftChars="0" w:left="0" w:right="0"/>
            </w:pPr>
            <w:r>
              <w:t>OCEA</w:t>
            </w:r>
          </w:p>
        </w:tc>
        <w:tc>
          <w:tcPr>
            <w:cnfStyle w:evenVBand="false" w:oddVBand="true" w:firstColumn="false"/>
            <w:tcW w:w="33.333333%" w:type="pct"/>
          </w:tcPr>
          <w:p>
            <w:pPr>
              <w:ind w:leftChars="0" w:left="0" w:right="0"/>
            </w:pPr>
            <w:r>
              <w:t>BLUE OCEAN ALTERNATIVE TRADING SYSTEM</w:t>
            </w:r>
          </w:p>
        </w:tc>
      </w:tr>
      <w:tr>
        <w:trPr>
          <w:cnfStyle w:evenHBand="false" w:oddHBand="true" w:firstRow="false"/>
        </w:trPr>
        <w:tc>
          <w:tcPr>
            <w:cnfStyle w:evenVBand="false" w:oddVBand="true" w:firstColumn="false"/>
            <w:tcW w:w="33.333333%" w:type="pct"/>
          </w:tcPr>
          <w:p>
            <w:pPr>
              <w:ind w:leftChars="0" w:left="0" w:right="0"/>
            </w:pPr>
            <w:r>
              <w:t>OCSI</w:t>
            </w:r>
          </w:p>
        </w:tc>
        <w:tc>
          <w:tcPr>
            <w:cnfStyle w:evenVBand="true" w:oddVBand="false" w:firstColumn="false"/>
            <w:tcW w:w="33.333333%" w:type="pct"/>
          </w:tcPr>
          <w:p>
            <w:pPr>
              <w:ind w:leftChars="0" w:left="0" w:right="0"/>
            </w:pPr>
            <w:r>
              <w:t>OCSI</w:t>
            </w:r>
          </w:p>
        </w:tc>
        <w:tc>
          <w:tcPr>
            <w:cnfStyle w:evenVBand="false" w:oddVBand="true" w:firstColumn="false"/>
            <w:tcW w:w="33.333333%" w:type="pct"/>
          </w:tcPr>
          <w:p>
            <w:pPr>
              <w:ind w:leftChars="0" w:left="0" w:right="0"/>
            </w:pPr>
            <w:r>
              <w:t>SOVA CAPITAL - SYSTEMATIC INTERNALISER</w:t>
            </w:r>
          </w:p>
        </w:tc>
      </w:tr>
      <w:tr>
        <w:trPr>
          <w:cnfStyle w:evenHBand="true" w:oddHBand="false" w:firstRow="false"/>
        </w:trPr>
        <w:tc>
          <w:tcPr>
            <w:cnfStyle w:evenVBand="false" w:oddVBand="true" w:firstColumn="false"/>
            <w:tcW w:w="33.333333%" w:type="pct"/>
          </w:tcPr>
          <w:p>
            <w:pPr>
              <w:ind w:leftChars="0" w:left="0" w:right="0"/>
            </w:pPr>
            <w:r>
              <w:t>ODDO</w:t>
            </w:r>
          </w:p>
        </w:tc>
        <w:tc>
          <w:tcPr>
            <w:cnfStyle w:evenVBand="true" w:oddVBand="false" w:firstColumn="false"/>
            <w:tcW w:w="33.333333%" w:type="pct"/>
          </w:tcPr>
          <w:p>
            <w:pPr>
              <w:ind w:leftChars="0" w:left="0" w:right="0"/>
            </w:pPr>
            <w:r>
              <w:t>ODDO</w:t>
            </w:r>
          </w:p>
        </w:tc>
        <w:tc>
          <w:tcPr>
            <w:cnfStyle w:evenVBand="false" w:oddVBand="true" w:firstColumn="false"/>
            <w:tcW w:w="33.333333%" w:type="pct"/>
          </w:tcPr>
          <w:p>
            <w:pPr>
              <w:ind w:leftChars="0" w:left="0" w:right="0"/>
            </w:pPr>
            <w:r>
              <w:t>ODDO BHF</w:t>
            </w:r>
          </w:p>
        </w:tc>
      </w:tr>
      <w:tr>
        <w:trPr>
          <w:cnfStyle w:evenHBand="false" w:oddHBand="true" w:firstRow="false"/>
        </w:trPr>
        <w:tc>
          <w:tcPr>
            <w:cnfStyle w:evenVBand="false" w:oddVBand="true" w:firstColumn="false"/>
            <w:tcW w:w="33.333333%" w:type="pct"/>
          </w:tcPr>
          <w:p>
            <w:pPr>
              <w:ind w:leftChars="0" w:left="0" w:right="0"/>
            </w:pPr>
            <w:r>
              <w:t>ODOC</w:t>
            </w:r>
          </w:p>
        </w:tc>
        <w:tc>
          <w:tcPr>
            <w:cnfStyle w:evenVBand="true" w:oddVBand="false" w:firstColumn="false"/>
            <w:tcW w:w="33.333333%" w:type="pct"/>
          </w:tcPr>
          <w:p>
            <w:pPr>
              <w:ind w:leftChars="0" w:left="0" w:right="0"/>
            </w:pPr>
            <w:r>
              <w:t>ODOC</w:t>
            </w:r>
          </w:p>
        </w:tc>
        <w:tc>
          <w:tcPr>
            <w:cnfStyle w:evenVBand="false" w:oddVBand="true" w:firstColumn="false"/>
            <w:tcW w:w="33.333333%" w:type="pct"/>
          </w:tcPr>
          <w:p>
            <w:pPr>
              <w:ind w:leftChars="0" w:left="0" w:right="0"/>
            </w:pPr>
            <w:r>
              <w:t>ODDO CONTREPARTIE</w:t>
            </w:r>
          </w:p>
        </w:tc>
      </w:tr>
      <w:tr>
        <w:trPr>
          <w:cnfStyle w:evenHBand="true" w:oddHBand="false" w:firstRow="false"/>
        </w:trPr>
        <w:tc>
          <w:tcPr>
            <w:cnfStyle w:evenVBand="false" w:oddVBand="true" w:firstColumn="false"/>
            <w:tcW w:w="33.333333%" w:type="pct"/>
          </w:tcPr>
          <w:p>
            <w:pPr>
              <w:ind w:leftChars="0" w:left="0" w:right="0"/>
            </w:pPr>
            <w:r>
              <w:t>ODXE</w:t>
            </w:r>
          </w:p>
        </w:tc>
        <w:tc>
          <w:tcPr>
            <w:cnfStyle w:evenVBand="true" w:oddVBand="false" w:firstColumn="false"/>
            <w:tcW w:w="33.333333%" w:type="pct"/>
          </w:tcPr>
          <w:p>
            <w:pPr>
              <w:ind w:leftChars="0" w:left="0" w:right="0"/>
            </w:pPr>
            <w:r>
              <w:t>ODXE</w:t>
            </w:r>
          </w:p>
        </w:tc>
        <w:tc>
          <w:tcPr>
            <w:cnfStyle w:evenVBand="false" w:oddVBand="true" w:firstColumn="false"/>
            <w:tcW w:w="33.333333%" w:type="pct"/>
          </w:tcPr>
          <w:p>
            <w:pPr>
              <w:ind w:leftChars="0" w:left="0" w:right="0"/>
            </w:pPr>
            <w:r>
              <w:t>ODX - OSAKA DIGITAL EXCHANGE</w:t>
            </w:r>
          </w:p>
        </w:tc>
      </w:tr>
      <w:tr>
        <w:trPr>
          <w:cnfStyle w:evenHBand="false" w:oddHBand="true" w:firstRow="false"/>
        </w:trPr>
        <w:tc>
          <w:tcPr>
            <w:cnfStyle w:evenVBand="false" w:oddVBand="true" w:firstColumn="false"/>
            <w:tcW w:w="33.333333%" w:type="pct"/>
          </w:tcPr>
          <w:p>
            <w:pPr>
              <w:ind w:leftChars="0" w:left="0" w:right="0"/>
            </w:pPr>
            <w:r>
              <w:t>OFEX</w:t>
            </w:r>
          </w:p>
        </w:tc>
        <w:tc>
          <w:tcPr>
            <w:cnfStyle w:evenVBand="true" w:oddVBand="false" w:firstColumn="false"/>
            <w:tcW w:w="33.333333%" w:type="pct"/>
          </w:tcPr>
          <w:p>
            <w:pPr>
              <w:ind w:leftChars="0" w:left="0" w:right="0"/>
            </w:pPr>
            <w:r>
              <w:t>OFEX</w:t>
            </w:r>
          </w:p>
        </w:tc>
        <w:tc>
          <w:tcPr>
            <w:cnfStyle w:evenVBand="false" w:oddVBand="true" w:firstColumn="false"/>
            <w:tcW w:w="33.333333%" w:type="pct"/>
          </w:tcPr>
          <w:p>
            <w:pPr>
              <w:ind w:leftChars="0" w:left="0" w:right="0"/>
            </w:pPr>
            <w:r>
              <w:t>OFEX</w:t>
            </w:r>
          </w:p>
        </w:tc>
      </w:tr>
      <w:tr>
        <w:trPr>
          <w:cnfStyle w:evenHBand="true" w:oddHBand="false" w:firstRow="false"/>
        </w:trPr>
        <w:tc>
          <w:tcPr>
            <w:cnfStyle w:evenVBand="false" w:oddVBand="true" w:firstColumn="false"/>
            <w:tcW w:w="33.333333%" w:type="pct"/>
          </w:tcPr>
          <w:p>
            <w:pPr>
              <w:ind w:leftChars="0" w:left="0" w:right="0"/>
            </w:pPr>
            <w:r>
              <w:t>OHVO</w:t>
            </w:r>
          </w:p>
        </w:tc>
        <w:tc>
          <w:tcPr>
            <w:cnfStyle w:evenVBand="true" w:oddVBand="false" w:firstColumn="false"/>
            <w:tcW w:w="33.333333%" w:type="pct"/>
          </w:tcPr>
          <w:p>
            <w:pPr>
              <w:ind w:leftChars="0" w:left="0" w:right="0"/>
            </w:pPr>
            <w:r>
              <w:t>OHVO</w:t>
            </w:r>
          </w:p>
        </w:tc>
        <w:tc>
          <w:tcPr>
            <w:cnfStyle w:evenVBand="false" w:oddVBand="true" w:firstColumn="false"/>
            <w:tcW w:w="33.333333%" w:type="pct"/>
          </w:tcPr>
          <w:p>
            <w:pPr>
              <w:ind w:leftChars="0" w:left="0" w:right="0"/>
            </w:pPr>
            <w:r>
              <w:t>OHV OTF</w:t>
            </w:r>
          </w:p>
        </w:tc>
      </w:tr>
      <w:tr>
        <w:trPr>
          <w:cnfStyle w:evenHBand="false" w:oddHBand="true" w:firstRow="false"/>
        </w:trPr>
        <w:tc>
          <w:tcPr>
            <w:cnfStyle w:evenVBand="false" w:oddVBand="true" w:firstColumn="false"/>
            <w:tcW w:w="33.333333%" w:type="pct"/>
          </w:tcPr>
          <w:p>
            <w:pPr>
              <w:ind w:leftChars="0" w:left="0" w:right="0"/>
            </w:pPr>
            <w:r>
              <w:t>OILX</w:t>
            </w:r>
          </w:p>
        </w:tc>
        <w:tc>
          <w:tcPr>
            <w:cnfStyle w:evenVBand="true" w:oddVBand="false" w:firstColumn="false"/>
            <w:tcW w:w="33.333333%" w:type="pct"/>
          </w:tcPr>
          <w:p>
            <w:pPr>
              <w:ind w:leftChars="0" w:left="0" w:right="0"/>
            </w:pPr>
            <w:r>
              <w:t>OILX</w:t>
            </w:r>
          </w:p>
        </w:tc>
        <w:tc>
          <w:tcPr>
            <w:cnfStyle w:evenVBand="false" w:oddVBand="true" w:firstColumn="false"/>
            <w:tcW w:w="33.333333%" w:type="pct"/>
          </w:tcPr>
          <w:p>
            <w:pPr>
              <w:ind w:leftChars="0" w:left="0" w:right="0"/>
            </w:pPr>
            <w:r>
              <w:t>OILX</w:t>
            </w:r>
          </w:p>
        </w:tc>
      </w:tr>
      <w:tr>
        <w:trPr>
          <w:cnfStyle w:evenHBand="true" w:oddHBand="false" w:firstRow="false"/>
        </w:trPr>
        <w:tc>
          <w:tcPr>
            <w:cnfStyle w:evenVBand="false" w:oddVBand="true" w:firstColumn="false"/>
            <w:tcW w:w="33.333333%" w:type="pct"/>
          </w:tcPr>
          <w:p>
            <w:pPr>
              <w:ind w:leftChars="0" w:left="0" w:right="0"/>
            </w:pPr>
            <w:r>
              <w:t>OLBB</w:t>
            </w:r>
          </w:p>
        </w:tc>
        <w:tc>
          <w:tcPr>
            <w:cnfStyle w:evenVBand="true" w:oddVBand="false" w:firstColumn="false"/>
            <w:tcW w:w="33.333333%" w:type="pct"/>
          </w:tcPr>
          <w:p>
            <w:pPr>
              <w:ind w:leftChars="0" w:left="0" w:right="0"/>
            </w:pPr>
            <w:r>
              <w:t>OLBB</w:t>
            </w:r>
          </w:p>
        </w:tc>
        <w:tc>
          <w:tcPr>
            <w:cnfStyle w:evenVBand="false" w:oddVBand="true" w:firstColumn="false"/>
            <w:tcW w:w="33.333333%" w:type="pct"/>
          </w:tcPr>
          <w:p>
            <w:pPr>
              <w:ind w:leftChars="0" w:left="0" w:right="0"/>
            </w:pPr>
            <w:r>
              <w:t>OLDENBURGISCHE LANDESBANK AG FX  HANDEL - SYSTEMATIC INTERNALISER</w:t>
            </w:r>
          </w:p>
        </w:tc>
      </w:tr>
      <w:tr>
        <w:trPr>
          <w:cnfStyle w:evenHBand="false" w:oddHBand="true" w:firstRow="false"/>
        </w:trPr>
        <w:tc>
          <w:tcPr>
            <w:cnfStyle w:evenVBand="false" w:oddVBand="true" w:firstColumn="false"/>
            <w:tcW w:w="33.333333%" w:type="pct"/>
          </w:tcPr>
          <w:p>
            <w:pPr>
              <w:ind w:leftChars="0" w:left="0" w:right="0"/>
            </w:pPr>
            <w:r>
              <w:t>OLLC</w:t>
            </w:r>
          </w:p>
        </w:tc>
        <w:tc>
          <w:tcPr>
            <w:cnfStyle w:evenVBand="true" w:oddVBand="false" w:firstColumn="false"/>
            <w:tcW w:w="33.333333%" w:type="pct"/>
          </w:tcPr>
          <w:p>
            <w:pPr>
              <w:ind w:leftChars="0" w:left="0" w:right="0"/>
            </w:pPr>
            <w:r>
              <w:t>OLLC</w:t>
            </w:r>
          </w:p>
        </w:tc>
        <w:tc>
          <w:tcPr>
            <w:cnfStyle w:evenVBand="false" w:oddVBand="true" w:firstColumn="false"/>
            <w:tcW w:w="33.333333%" w:type="pct"/>
          </w:tcPr>
          <w:p>
            <w:pPr>
              <w:ind w:leftChars="0" w:left="0" w:right="0"/>
            </w:pPr>
            <w:r>
              <w:t>OTCEX LLC</w:t>
            </w:r>
          </w:p>
        </w:tc>
      </w:tr>
      <w:tr>
        <w:trPr>
          <w:cnfStyle w:evenHBand="true" w:oddHBand="false" w:firstRow="false"/>
        </w:trPr>
        <w:tc>
          <w:tcPr>
            <w:cnfStyle w:evenVBand="false" w:oddVBand="true" w:firstColumn="false"/>
            <w:tcW w:w="33.333333%" w:type="pct"/>
          </w:tcPr>
          <w:p>
            <w:pPr>
              <w:ind w:leftChars="0" w:left="0" w:right="0"/>
            </w:pPr>
            <w:r>
              <w:t>OMEL</w:t>
            </w:r>
          </w:p>
        </w:tc>
        <w:tc>
          <w:tcPr>
            <w:cnfStyle w:evenVBand="true" w:oddVBand="false" w:firstColumn="false"/>
            <w:tcW w:w="33.333333%" w:type="pct"/>
          </w:tcPr>
          <w:p>
            <w:pPr>
              <w:ind w:leftChars="0" w:left="0" w:right="0"/>
            </w:pPr>
            <w:r>
              <w:t>OMEL</w:t>
            </w:r>
          </w:p>
        </w:tc>
        <w:tc>
          <w:tcPr>
            <w:cnfStyle w:evenVBand="false" w:oddVBand="true" w:firstColumn="false"/>
            <w:tcW w:w="33.333333%" w:type="pct"/>
          </w:tcPr>
          <w:p>
            <w:pPr>
              <w:ind w:leftChars="0" w:left="0" w:right="0"/>
            </w:pPr>
            <w:r>
              <w:t>OMI POLO ESPANOL S.A. (OMIE)</w:t>
            </w:r>
          </w:p>
        </w:tc>
      </w:tr>
      <w:tr>
        <w:trPr>
          <w:cnfStyle w:evenHBand="false" w:oddHBand="true" w:firstRow="false"/>
        </w:trPr>
        <w:tc>
          <w:tcPr>
            <w:cnfStyle w:evenVBand="false" w:oddVBand="true" w:firstColumn="false"/>
            <w:tcW w:w="33.333333%" w:type="pct"/>
          </w:tcPr>
          <w:p>
            <w:pPr>
              <w:ind w:leftChars="0" w:left="0" w:right="0"/>
            </w:pPr>
            <w:r>
              <w:t>OMGA</w:t>
            </w:r>
          </w:p>
        </w:tc>
        <w:tc>
          <w:tcPr>
            <w:cnfStyle w:evenVBand="true" w:oddVBand="false" w:firstColumn="false"/>
            <w:tcW w:w="33.333333%" w:type="pct"/>
          </w:tcPr>
          <w:p>
            <w:pPr>
              <w:ind w:leftChars="0" w:left="0" w:right="0"/>
            </w:pPr>
            <w:r>
              <w:t>OMGA</w:t>
            </w:r>
          </w:p>
        </w:tc>
        <w:tc>
          <w:tcPr>
            <w:cnfStyle w:evenVBand="false" w:oddVBand="true" w:firstColumn="false"/>
            <w:tcW w:w="33.333333%" w:type="pct"/>
          </w:tcPr>
          <w:p>
            <w:pPr>
              <w:ind w:leftChars="0" w:left="0" w:right="0"/>
            </w:pPr>
            <w:r>
              <w:t>OMEGA ATS</w:t>
            </w:r>
          </w:p>
        </w:tc>
      </w:tr>
      <w:tr>
        <w:trPr>
          <w:cnfStyle w:evenHBand="true" w:oddHBand="false" w:firstRow="false"/>
        </w:trPr>
        <w:tc>
          <w:tcPr>
            <w:cnfStyle w:evenVBand="false" w:oddVBand="true" w:firstColumn="false"/>
            <w:tcW w:w="33.333333%" w:type="pct"/>
          </w:tcPr>
          <w:p>
            <w:pPr>
              <w:ind w:leftChars="0" w:left="0" w:right="0"/>
            </w:pPr>
            <w:r>
              <w:t>OMIC</w:t>
            </w:r>
          </w:p>
        </w:tc>
        <w:tc>
          <w:tcPr>
            <w:cnfStyle w:evenVBand="true" w:oddVBand="false" w:firstColumn="false"/>
            <w:tcW w:w="33.333333%" w:type="pct"/>
          </w:tcPr>
          <w:p>
            <w:pPr>
              <w:ind w:leftChars="0" w:left="0" w:right="0"/>
            </w:pPr>
            <w:r>
              <w:t>OMIC</w:t>
            </w:r>
          </w:p>
        </w:tc>
        <w:tc>
          <w:tcPr>
            <w:cnfStyle w:evenVBand="false" w:oddVBand="true" w:firstColumn="false"/>
            <w:tcW w:w="33.333333%" w:type="pct"/>
          </w:tcPr>
          <w:p>
            <w:pPr>
              <w:ind w:leftChars="0" w:left="0" w:right="0"/>
            </w:pPr>
            <w:r>
              <w:t>THE IBERIAN ENERGY CLEARING HOUSE</w:t>
            </w:r>
          </w:p>
        </w:tc>
      </w:tr>
      <w:tr>
        <w:trPr>
          <w:cnfStyle w:evenHBand="false" w:oddHBand="true" w:firstRow="false"/>
        </w:trPr>
        <w:tc>
          <w:tcPr>
            <w:cnfStyle w:evenVBand="false" w:oddVBand="true" w:firstColumn="false"/>
            <w:tcW w:w="33.333333%" w:type="pct"/>
          </w:tcPr>
          <w:p>
            <w:pPr>
              <w:ind w:leftChars="0" w:left="0" w:right="0"/>
            </w:pPr>
            <w:r>
              <w:t>OMIP</w:t>
            </w:r>
          </w:p>
        </w:tc>
        <w:tc>
          <w:tcPr>
            <w:cnfStyle w:evenVBand="true" w:oddVBand="false" w:firstColumn="false"/>
            <w:tcW w:w="33.333333%" w:type="pct"/>
          </w:tcPr>
          <w:p>
            <w:pPr>
              <w:ind w:leftChars="0" w:left="0" w:right="0"/>
            </w:pPr>
            <w:r>
              <w:t>OMIP</w:t>
            </w:r>
          </w:p>
        </w:tc>
        <w:tc>
          <w:tcPr>
            <w:cnfStyle w:evenVBand="false" w:oddVBand="true" w:firstColumn="false"/>
            <w:tcW w:w="33.333333%" w:type="pct"/>
          </w:tcPr>
          <w:p>
            <w:pPr>
              <w:ind w:leftChars="0" w:left="0" w:right="0"/>
            </w:pPr>
            <w:r>
              <w:t>OMIP - POLO PORTUGUES, S.G.M.R., S.A. / OMIP DERIVATIVES MARKET</w:t>
            </w:r>
          </w:p>
        </w:tc>
      </w:tr>
      <w:tr>
        <w:trPr>
          <w:cnfStyle w:evenHBand="true" w:oddHBand="false" w:firstRow="false"/>
        </w:trPr>
        <w:tc>
          <w:tcPr>
            <w:cnfStyle w:evenVBand="false" w:oddVBand="true" w:firstColumn="false"/>
            <w:tcW w:w="33.333333%" w:type="pct"/>
          </w:tcPr>
          <w:p>
            <w:pPr>
              <w:ind w:leftChars="0" w:left="0" w:right="0"/>
            </w:pPr>
            <w:r>
              <w:t>ONEC</w:t>
            </w:r>
          </w:p>
        </w:tc>
        <w:tc>
          <w:tcPr>
            <w:cnfStyle w:evenVBand="true" w:oddVBand="false" w:firstColumn="false"/>
            <w:tcW w:w="33.333333%" w:type="pct"/>
          </w:tcPr>
          <w:p>
            <w:pPr>
              <w:ind w:leftChars="0" w:left="0" w:right="0"/>
            </w:pPr>
            <w:r>
              <w:t>ONEC</w:t>
            </w:r>
          </w:p>
        </w:tc>
        <w:tc>
          <w:tcPr>
            <w:cnfStyle w:evenVBand="false" w:oddVBand="true" w:firstColumn="false"/>
            <w:tcW w:w="33.333333%" w:type="pct"/>
          </w:tcPr>
          <w:p>
            <w:pPr>
              <w:ind w:leftChars="0" w:left="0" w:right="0"/>
            </w:pPr>
            <w:r>
              <w:t>CITI-ONE</w:t>
            </w:r>
          </w:p>
        </w:tc>
      </w:tr>
      <w:tr>
        <w:trPr>
          <w:cnfStyle w:evenHBand="false" w:oddHBand="true" w:firstRow="false"/>
        </w:trPr>
        <w:tc>
          <w:tcPr>
            <w:cnfStyle w:evenVBand="false" w:oddVBand="true" w:firstColumn="false"/>
            <w:tcW w:w="33.333333%" w:type="pct"/>
          </w:tcPr>
          <w:p>
            <w:pPr>
              <w:ind w:leftChars="0" w:left="0" w:right="0"/>
            </w:pPr>
            <w:r>
              <w:t>ONSE</w:t>
            </w:r>
          </w:p>
        </w:tc>
        <w:tc>
          <w:tcPr>
            <w:cnfStyle w:evenVBand="true" w:oddVBand="false" w:firstColumn="false"/>
            <w:tcW w:w="33.333333%" w:type="pct"/>
          </w:tcPr>
          <w:p>
            <w:pPr>
              <w:ind w:leftChars="0" w:left="0" w:right="0"/>
            </w:pPr>
            <w:r>
              <w:t>ONSE</w:t>
            </w:r>
          </w:p>
        </w:tc>
        <w:tc>
          <w:tcPr>
            <w:cnfStyle w:evenVBand="false" w:oddVBand="true" w:firstColumn="false"/>
            <w:tcW w:w="33.333333%" w:type="pct"/>
          </w:tcPr>
          <w:p>
            <w:pPr>
              <w:ind w:leftChars="0" w:left="0" w:right="0"/>
            </w:pPr>
            <w:r>
              <w:t>FIRST NORTH SWEDEN - NORWAY</w:t>
            </w:r>
          </w:p>
        </w:tc>
      </w:tr>
      <w:tr>
        <w:trPr>
          <w:cnfStyle w:evenHBand="true" w:oddHBand="false" w:firstRow="false"/>
        </w:trPr>
        <w:tc>
          <w:tcPr>
            <w:cnfStyle w:evenVBand="false" w:oddVBand="true" w:firstColumn="false"/>
            <w:tcW w:w="33.333333%" w:type="pct"/>
          </w:tcPr>
          <w:p>
            <w:pPr>
              <w:ind w:leftChars="0" w:left="0" w:right="0"/>
            </w:pPr>
            <w:r>
              <w:t>OOTC</w:t>
            </w:r>
          </w:p>
        </w:tc>
        <w:tc>
          <w:tcPr>
            <w:cnfStyle w:evenVBand="true" w:oddVBand="false" w:firstColumn="false"/>
            <w:tcW w:w="33.333333%" w:type="pct"/>
          </w:tcPr>
          <w:p>
            <w:pPr>
              <w:ind w:leftChars="0" w:left="0" w:right="0"/>
            </w:pPr>
            <w:r>
              <w:t>OOTC</w:t>
            </w:r>
          </w:p>
        </w:tc>
        <w:tc>
          <w:tcPr>
            <w:cnfStyle w:evenVBand="false" w:oddVBand="true" w:firstColumn="false"/>
            <w:tcW w:w="33.333333%" w:type="pct"/>
          </w:tcPr>
          <w:p>
            <w:pPr>
              <w:ind w:leftChars="0" w:left="0" w:right="0"/>
            </w:pPr>
            <w:r>
              <w:t>OTHER OTC</w:t>
            </w:r>
          </w:p>
        </w:tc>
      </w:tr>
      <w:tr>
        <w:trPr>
          <w:cnfStyle w:evenHBand="false" w:oddHBand="true" w:firstRow="false"/>
        </w:trPr>
        <w:tc>
          <w:tcPr>
            <w:cnfStyle w:evenVBand="false" w:oddVBand="true" w:firstColumn="false"/>
            <w:tcW w:w="33.333333%" w:type="pct"/>
          </w:tcPr>
          <w:p>
            <w:pPr>
              <w:ind w:leftChars="0" w:left="0" w:right="0"/>
            </w:pPr>
            <w:r>
              <w:t>OPCO</w:t>
            </w:r>
          </w:p>
        </w:tc>
        <w:tc>
          <w:tcPr>
            <w:cnfStyle w:evenVBand="true" w:oddVBand="false" w:firstColumn="false"/>
            <w:tcW w:w="33.333333%" w:type="pct"/>
          </w:tcPr>
          <w:p>
            <w:pPr>
              <w:ind w:leftChars="0" w:left="0" w:right="0"/>
            </w:pPr>
            <w:r>
              <w:t>OPCO</w:t>
            </w:r>
          </w:p>
        </w:tc>
        <w:tc>
          <w:tcPr>
            <w:cnfStyle w:evenVBand="false" w:oddVBand="true" w:firstColumn="false"/>
            <w:tcW w:w="33.333333%" w:type="pct"/>
          </w:tcPr>
          <w:p>
            <w:pPr>
              <w:ind w:leftChars="0" w:left="0" w:right="0"/>
            </w:pPr>
            <w:r>
              <w:t>OP CORPORATE BANK PLC - SYSTEMATIC INTERNALISER</w:t>
            </w:r>
          </w:p>
        </w:tc>
      </w:tr>
      <w:tr>
        <w:trPr>
          <w:cnfStyle w:evenHBand="true" w:oddHBand="false" w:firstRow="false"/>
        </w:trPr>
        <w:tc>
          <w:tcPr>
            <w:cnfStyle w:evenVBand="false" w:oddVBand="true" w:firstColumn="false"/>
            <w:tcW w:w="33.333333%" w:type="pct"/>
          </w:tcPr>
          <w:p>
            <w:pPr>
              <w:ind w:leftChars="0" w:left="0" w:right="0"/>
            </w:pPr>
            <w:r>
              <w:t>OPEX</w:t>
            </w:r>
          </w:p>
        </w:tc>
        <w:tc>
          <w:tcPr>
            <w:cnfStyle w:evenVBand="true" w:oddVBand="false" w:firstColumn="false"/>
            <w:tcW w:w="33.333333%" w:type="pct"/>
          </w:tcPr>
          <w:p>
            <w:pPr>
              <w:ind w:leftChars="0" w:left="0" w:right="0"/>
            </w:pPr>
            <w:r>
              <w:t>OPEX</w:t>
            </w:r>
          </w:p>
        </w:tc>
        <w:tc>
          <w:tcPr>
            <w:cnfStyle w:evenVBand="false" w:oddVBand="true" w:firstColumn="false"/>
            <w:tcW w:w="33.333333%" w:type="pct"/>
          </w:tcPr>
          <w:p>
            <w:pPr>
              <w:ind w:leftChars="0" w:left="0" w:right="0"/>
            </w:pPr>
            <w:r>
              <w:t>PEX-PRIVATE EXCHANGE</w:t>
            </w:r>
          </w:p>
        </w:tc>
      </w:tr>
      <w:tr>
        <w:trPr>
          <w:cnfStyle w:evenHBand="false" w:oddHBand="true" w:firstRow="false"/>
        </w:trPr>
        <w:tc>
          <w:tcPr>
            <w:cnfStyle w:evenVBand="false" w:oddVBand="true" w:firstColumn="false"/>
            <w:tcW w:w="33.333333%" w:type="pct"/>
          </w:tcPr>
          <w:p>
            <w:pPr>
              <w:ind w:leftChars="0" w:left="0" w:right="0"/>
            </w:pPr>
            <w:r>
              <w:t>OPRA</w:t>
            </w:r>
          </w:p>
        </w:tc>
        <w:tc>
          <w:tcPr>
            <w:cnfStyle w:evenVBand="true" w:oddVBand="false" w:firstColumn="false"/>
            <w:tcW w:w="33.333333%" w:type="pct"/>
          </w:tcPr>
          <w:p>
            <w:pPr>
              <w:ind w:leftChars="0" w:left="0" w:right="0"/>
            </w:pPr>
            <w:r>
              <w:t>OPRA</w:t>
            </w:r>
          </w:p>
        </w:tc>
        <w:tc>
          <w:tcPr>
            <w:cnfStyle w:evenVBand="false" w:oddVBand="true" w:firstColumn="false"/>
            <w:tcW w:w="33.333333%" w:type="pct"/>
          </w:tcPr>
          <w:p>
            <w:pPr>
              <w:ind w:leftChars="0" w:left="0" w:right="0"/>
            </w:pPr>
            <w:r>
              <w:t>OPTIONS PRICE REPORTING AUTHORITY</w:t>
            </w:r>
          </w:p>
        </w:tc>
      </w:tr>
      <w:tr>
        <w:trPr>
          <w:cnfStyle w:evenHBand="true" w:oddHBand="false" w:firstRow="false"/>
        </w:trPr>
        <w:tc>
          <w:tcPr>
            <w:cnfStyle w:evenVBand="false" w:oddVBand="true" w:firstColumn="false"/>
            <w:tcW w:w="33.333333%" w:type="pct"/>
          </w:tcPr>
          <w:p>
            <w:pPr>
              <w:ind w:leftChars="0" w:left="0" w:right="0"/>
            </w:pPr>
            <w:r>
              <w:t>OSDS</w:t>
            </w:r>
          </w:p>
        </w:tc>
        <w:tc>
          <w:tcPr>
            <w:cnfStyle w:evenVBand="true" w:oddVBand="false" w:firstColumn="false"/>
            <w:tcW w:w="33.333333%" w:type="pct"/>
          </w:tcPr>
          <w:p>
            <w:pPr>
              <w:ind w:leftChars="0" w:left="0" w:right="0"/>
            </w:pPr>
            <w:r>
              <w:t>OSDS</w:t>
            </w:r>
          </w:p>
        </w:tc>
        <w:tc>
          <w:tcPr>
            <w:cnfStyle w:evenVBand="false" w:oddVBand="true" w:firstColumn="false"/>
            <w:tcW w:w="33.333333%" w:type="pct"/>
          </w:tcPr>
          <w:p>
            <w:pPr>
              <w:ind w:leftChars="0" w:left="0" w:right="0"/>
            </w:pPr>
            <w:r>
              <w:t>OSL DIGITAL SECURITIES EXCHANGE</w:t>
            </w:r>
          </w:p>
        </w:tc>
      </w:tr>
      <w:tr>
        <w:trPr>
          <w:cnfStyle w:evenHBand="false" w:oddHBand="true" w:firstRow="false"/>
        </w:trPr>
        <w:tc>
          <w:tcPr>
            <w:cnfStyle w:evenVBand="false" w:oddVBand="true" w:firstColumn="false"/>
            <w:tcW w:w="33.333333%" w:type="pct"/>
          </w:tcPr>
          <w:p>
            <w:pPr>
              <w:ind w:leftChars="0" w:left="0" w:right="0"/>
            </w:pPr>
            <w:r>
              <w:t>OSLC</w:t>
            </w:r>
          </w:p>
        </w:tc>
        <w:tc>
          <w:tcPr>
            <w:cnfStyle w:evenVBand="true" w:oddVBand="false" w:firstColumn="false"/>
            <w:tcW w:w="33.333333%" w:type="pct"/>
          </w:tcPr>
          <w:p>
            <w:pPr>
              <w:ind w:leftChars="0" w:left="0" w:right="0"/>
            </w:pPr>
            <w:r>
              <w:t>OSLC</w:t>
            </w:r>
          </w:p>
        </w:tc>
        <w:tc>
          <w:tcPr>
            <w:cnfStyle w:evenVBand="false" w:oddVBand="true" w:firstColumn="false"/>
            <w:tcW w:w="33.333333%" w:type="pct"/>
          </w:tcPr>
          <w:p>
            <w:pPr>
              <w:ind w:leftChars="0" w:left="0" w:right="0"/>
            </w:pPr>
            <w:r>
              <w:t>SIX X-CLEAR AG</w:t>
            </w:r>
          </w:p>
        </w:tc>
      </w:tr>
      <w:tr>
        <w:trPr>
          <w:cnfStyle w:evenHBand="true" w:oddHBand="false" w:firstRow="false"/>
        </w:trPr>
        <w:tc>
          <w:tcPr>
            <w:cnfStyle w:evenVBand="false" w:oddVBand="true" w:firstColumn="false"/>
            <w:tcW w:w="33.333333%" w:type="pct"/>
          </w:tcPr>
          <w:p>
            <w:pPr>
              <w:ind w:leftChars="0" w:left="0" w:right="0"/>
            </w:pPr>
            <w:r>
              <w:t>OSSG</w:t>
            </w:r>
          </w:p>
        </w:tc>
        <w:tc>
          <w:tcPr>
            <w:cnfStyle w:evenVBand="true" w:oddVBand="false" w:firstColumn="false"/>
            <w:tcW w:w="33.333333%" w:type="pct"/>
          </w:tcPr>
          <w:p>
            <w:pPr>
              <w:ind w:leftChars="0" w:left="0" w:right="0"/>
            </w:pPr>
            <w:r>
              <w:t>OSSG</w:t>
            </w:r>
          </w:p>
        </w:tc>
        <w:tc>
          <w:tcPr>
            <w:cnfStyle w:evenVBand="false" w:oddVBand="true" w:firstColumn="false"/>
            <w:tcW w:w="33.333333%" w:type="pct"/>
          </w:tcPr>
          <w:p>
            <w:pPr>
              <w:ind w:leftChars="0" w:left="0" w:right="0"/>
            </w:pPr>
            <w:r>
              <w:t>OSL SG EXCHANGES</w:t>
            </w:r>
          </w:p>
        </w:tc>
      </w:tr>
      <w:tr>
        <w:trPr>
          <w:cnfStyle w:evenHBand="false" w:oddHBand="true" w:firstRow="false"/>
        </w:trPr>
        <w:tc>
          <w:tcPr>
            <w:cnfStyle w:evenVBand="false" w:oddVBand="true" w:firstColumn="false"/>
            <w:tcW w:w="33.333333%" w:type="pct"/>
          </w:tcPr>
          <w:p>
            <w:pPr>
              <w:ind w:leftChars="0" w:left="0" w:right="0"/>
            </w:pPr>
            <w:r>
              <w:t>OTCB</w:t>
            </w:r>
          </w:p>
        </w:tc>
        <w:tc>
          <w:tcPr>
            <w:cnfStyle w:evenVBand="true" w:oddVBand="false" w:firstColumn="false"/>
            <w:tcW w:w="33.333333%" w:type="pct"/>
          </w:tcPr>
          <w:p>
            <w:pPr>
              <w:ind w:leftChars="0" w:left="0" w:right="0"/>
            </w:pPr>
            <w:r>
              <w:t>OTCB</w:t>
            </w:r>
          </w:p>
        </w:tc>
        <w:tc>
          <w:tcPr>
            <w:cnfStyle w:evenVBand="false" w:oddVBand="true" w:firstColumn="false"/>
            <w:tcW w:w="33.333333%" w:type="pct"/>
          </w:tcPr>
          <w:p>
            <w:pPr>
              <w:ind w:leftChars="0" w:left="0" w:right="0"/>
            </w:pPr>
            <w:r>
              <w:t>OTCQB MARKETPLACE</w:t>
            </w:r>
          </w:p>
        </w:tc>
      </w:tr>
      <w:tr>
        <w:trPr>
          <w:cnfStyle w:evenHBand="true" w:oddHBand="false" w:firstRow="false"/>
        </w:trPr>
        <w:tc>
          <w:tcPr>
            <w:cnfStyle w:evenVBand="false" w:oddVBand="true" w:firstColumn="false"/>
            <w:tcW w:w="33.333333%" w:type="pct"/>
          </w:tcPr>
          <w:p>
            <w:pPr>
              <w:ind w:leftChars="0" w:left="0" w:right="0"/>
            </w:pPr>
            <w:r>
              <w:t>OTCE</w:t>
            </w:r>
          </w:p>
        </w:tc>
        <w:tc>
          <w:tcPr>
            <w:cnfStyle w:evenVBand="true" w:oddVBand="false" w:firstColumn="false"/>
            <w:tcW w:w="33.333333%" w:type="pct"/>
          </w:tcPr>
          <w:p>
            <w:pPr>
              <w:ind w:leftChars="0" w:left="0" w:right="0"/>
            </w:pPr>
            <w:r>
              <w:t>OTCE</w:t>
            </w:r>
          </w:p>
        </w:tc>
        <w:tc>
          <w:tcPr>
            <w:cnfStyle w:evenVBand="false" w:oddVBand="true" w:firstColumn="false"/>
            <w:tcW w:w="33.333333%" w:type="pct"/>
          </w:tcPr>
          <w:p>
            <w:pPr>
              <w:ind w:leftChars="0" w:left="0" w:right="0"/>
            </w:pPr>
            <w:r>
              <w:t>OTCEX</w:t>
            </w:r>
          </w:p>
        </w:tc>
      </w:tr>
      <w:tr>
        <w:trPr>
          <w:cnfStyle w:evenHBand="false" w:oddHBand="true" w:firstRow="false"/>
        </w:trPr>
        <w:tc>
          <w:tcPr>
            <w:cnfStyle w:evenVBand="false" w:oddVBand="true" w:firstColumn="false"/>
            <w:tcW w:w="33.333333%" w:type="pct"/>
          </w:tcPr>
          <w:p>
            <w:pPr>
              <w:ind w:leftChars="0" w:left="0" w:right="0"/>
            </w:pPr>
            <w:r>
              <w:t>OTCI</w:t>
            </w:r>
          </w:p>
        </w:tc>
        <w:tc>
          <w:tcPr>
            <w:cnfStyle w:evenVBand="true" w:oddVBand="false" w:firstColumn="false"/>
            <w:tcW w:w="33.333333%" w:type="pct"/>
          </w:tcPr>
          <w:p>
            <w:pPr>
              <w:ind w:leftChars="0" w:left="0" w:right="0"/>
            </w:pPr>
            <w:r>
              <w:t>OTCI</w:t>
            </w:r>
          </w:p>
        </w:tc>
        <w:tc>
          <w:tcPr>
            <w:cnfStyle w:evenVBand="false" w:oddVBand="true" w:firstColumn="false"/>
            <w:tcW w:w="33.333333%" w:type="pct"/>
          </w:tcPr>
          <w:p>
            <w:pPr>
              <w:ind w:leftChars="0" w:left="0" w:right="0"/>
            </w:pPr>
            <w:r>
              <w:t>OTC LINK NQB IDQS (INTER-DEALER QUOTATION SYSTEM)</w:t>
            </w:r>
          </w:p>
        </w:tc>
      </w:tr>
      <w:tr>
        <w:trPr>
          <w:cnfStyle w:evenHBand="true" w:oddHBand="false" w:firstRow="false"/>
        </w:trPr>
        <w:tc>
          <w:tcPr>
            <w:cnfStyle w:evenVBand="false" w:oddVBand="true" w:firstColumn="false"/>
            <w:tcW w:w="33.333333%" w:type="pct"/>
          </w:tcPr>
          <w:p>
            <w:pPr>
              <w:ind w:leftChars="0" w:left="0" w:right="0"/>
            </w:pPr>
            <w:r>
              <w:t>OTCM</w:t>
            </w:r>
          </w:p>
        </w:tc>
        <w:tc>
          <w:tcPr>
            <w:cnfStyle w:evenVBand="true" w:oddVBand="false" w:firstColumn="false"/>
            <w:tcW w:w="33.333333%" w:type="pct"/>
          </w:tcPr>
          <w:p>
            <w:pPr>
              <w:ind w:leftChars="0" w:left="0" w:right="0"/>
            </w:pPr>
            <w:r>
              <w:t>OTCM</w:t>
            </w:r>
          </w:p>
        </w:tc>
        <w:tc>
          <w:tcPr>
            <w:cnfStyle w:evenVBand="false" w:oddVBand="true" w:firstColumn="false"/>
            <w:tcW w:w="33.333333%" w:type="pct"/>
          </w:tcPr>
          <w:p>
            <w:pPr>
              <w:ind w:leftChars="0" w:left="0" w:right="0"/>
            </w:pPr>
            <w:r>
              <w:t>OTC LINK ATS - OTC MARKETS</w:t>
            </w:r>
          </w:p>
        </w:tc>
      </w:tr>
      <w:tr>
        <w:trPr>
          <w:cnfStyle w:evenHBand="false" w:oddHBand="true" w:firstRow="false"/>
        </w:trPr>
        <w:tc>
          <w:tcPr>
            <w:cnfStyle w:evenVBand="false" w:oddVBand="true" w:firstColumn="false"/>
            <w:tcW w:w="33.333333%" w:type="pct"/>
          </w:tcPr>
          <w:p>
            <w:pPr>
              <w:ind w:leftChars="0" w:left="0" w:right="0"/>
            </w:pPr>
            <w:r>
              <w:t>OTCN</w:t>
            </w:r>
          </w:p>
        </w:tc>
        <w:tc>
          <w:tcPr>
            <w:cnfStyle w:evenVBand="true" w:oddVBand="false" w:firstColumn="false"/>
            <w:tcW w:w="33.333333%" w:type="pct"/>
          </w:tcPr>
          <w:p>
            <w:pPr>
              <w:ind w:leftChars="0" w:left="0" w:right="0"/>
            </w:pPr>
            <w:r>
              <w:t>OTCN</w:t>
            </w:r>
          </w:p>
        </w:tc>
        <w:tc>
          <w:tcPr>
            <w:cnfStyle w:evenVBand="false" w:oddVBand="true" w:firstColumn="false"/>
            <w:tcW w:w="33.333333%" w:type="pct"/>
          </w:tcPr>
          <w:p>
            <w:pPr>
              <w:ind w:leftChars="0" w:left="0" w:right="0"/>
            </w:pPr>
            <w:r>
              <w:t>OTC LINK ECN</w:t>
            </w:r>
          </w:p>
        </w:tc>
      </w:tr>
      <w:tr>
        <w:trPr>
          <w:cnfStyle w:evenHBand="true" w:oddHBand="false" w:firstRow="false"/>
        </w:trPr>
        <w:tc>
          <w:tcPr>
            <w:cnfStyle w:evenVBand="false" w:oddVBand="true" w:firstColumn="false"/>
            <w:tcW w:w="33.333333%" w:type="pct"/>
          </w:tcPr>
          <w:p>
            <w:pPr>
              <w:ind w:leftChars="0" w:left="0" w:right="0"/>
            </w:pPr>
            <w:r>
              <w:t>OTCQ</w:t>
            </w:r>
          </w:p>
        </w:tc>
        <w:tc>
          <w:tcPr>
            <w:cnfStyle w:evenVBand="true" w:oddVBand="false" w:firstColumn="false"/>
            <w:tcW w:w="33.333333%" w:type="pct"/>
          </w:tcPr>
          <w:p>
            <w:pPr>
              <w:ind w:leftChars="0" w:left="0" w:right="0"/>
            </w:pPr>
            <w:r>
              <w:t>OTCQ</w:t>
            </w:r>
          </w:p>
        </w:tc>
        <w:tc>
          <w:tcPr>
            <w:cnfStyle w:evenVBand="false" w:oddVBand="true" w:firstColumn="false"/>
            <w:tcW w:w="33.333333%" w:type="pct"/>
          </w:tcPr>
          <w:p>
            <w:pPr>
              <w:ind w:leftChars="0" w:left="0" w:right="0"/>
            </w:pPr>
            <w:r>
              <w:t>OTCQX MARKETPLACE</w:t>
            </w:r>
          </w:p>
        </w:tc>
      </w:tr>
      <w:tr>
        <w:trPr>
          <w:cnfStyle w:evenHBand="false" w:oddHBand="true" w:firstRow="false"/>
        </w:trPr>
        <w:tc>
          <w:tcPr>
            <w:cnfStyle w:evenVBand="false" w:oddVBand="true" w:firstColumn="false"/>
            <w:tcW w:w="33.333333%" w:type="pct"/>
          </w:tcPr>
          <w:p>
            <w:pPr>
              <w:ind w:leftChars="0" w:left="0" w:right="0"/>
            </w:pPr>
            <w:r>
              <w:t>OTCX</w:t>
            </w:r>
          </w:p>
        </w:tc>
        <w:tc>
          <w:tcPr>
            <w:cnfStyle w:evenVBand="true" w:oddVBand="false" w:firstColumn="false"/>
            <w:tcW w:w="33.333333%" w:type="pct"/>
          </w:tcPr>
          <w:p>
            <w:pPr>
              <w:ind w:leftChars="0" w:left="0" w:right="0"/>
            </w:pPr>
            <w:r>
              <w:t>OTCX</w:t>
            </w:r>
          </w:p>
        </w:tc>
        <w:tc>
          <w:tcPr>
            <w:cnfStyle w:evenVBand="false" w:oddVBand="true" w:firstColumn="false"/>
            <w:tcW w:w="33.333333%" w:type="pct"/>
          </w:tcPr>
          <w:p>
            <w:pPr>
              <w:ind w:leftChars="0" w:left="0" w:right="0"/>
            </w:pPr>
            <w:r>
              <w:t>OTC EXCHANGE OF INDIA</w:t>
            </w:r>
          </w:p>
        </w:tc>
      </w:tr>
      <w:tr>
        <w:trPr>
          <w:cnfStyle w:evenHBand="true" w:oddHBand="false" w:firstRow="false"/>
        </w:trPr>
        <w:tc>
          <w:tcPr>
            <w:cnfStyle w:evenVBand="false" w:oddVBand="true" w:firstColumn="false"/>
            <w:tcW w:w="33.333333%" w:type="pct"/>
          </w:tcPr>
          <w:p>
            <w:pPr>
              <w:ind w:leftChars="0" w:left="0" w:right="0"/>
            </w:pPr>
            <w:r>
              <w:t>OTPB</w:t>
            </w:r>
          </w:p>
        </w:tc>
        <w:tc>
          <w:tcPr>
            <w:cnfStyle w:evenVBand="true" w:oddVBand="false" w:firstColumn="false"/>
            <w:tcW w:w="33.333333%" w:type="pct"/>
          </w:tcPr>
          <w:p>
            <w:pPr>
              <w:ind w:leftChars="0" w:left="0" w:right="0"/>
            </w:pPr>
            <w:r>
              <w:t>OTPB</w:t>
            </w:r>
          </w:p>
        </w:tc>
        <w:tc>
          <w:tcPr>
            <w:cnfStyle w:evenVBand="false" w:oddVBand="true" w:firstColumn="false"/>
            <w:tcW w:w="33.333333%" w:type="pct"/>
          </w:tcPr>
          <w:p>
            <w:pPr>
              <w:ind w:leftChars="0" w:left="0" w:right="0"/>
            </w:pPr>
            <w:r>
              <w:t>OTP BANK NYRT - SYSTEMATIC INTERNALISER</w:t>
            </w:r>
          </w:p>
        </w:tc>
      </w:tr>
      <w:tr>
        <w:trPr>
          <w:cnfStyle w:evenHBand="false" w:oddHBand="true" w:firstRow="false"/>
        </w:trPr>
        <w:tc>
          <w:tcPr>
            <w:cnfStyle w:evenVBand="false" w:oddVBand="true" w:firstColumn="false"/>
            <w:tcW w:w="33.333333%" w:type="pct"/>
          </w:tcPr>
          <w:p>
            <w:pPr>
              <w:ind w:leftChars="0" w:left="0" w:right="0"/>
            </w:pPr>
            <w:r>
              <w:t>OTPR</w:t>
            </w:r>
          </w:p>
        </w:tc>
        <w:tc>
          <w:tcPr>
            <w:cnfStyle w:evenVBand="true" w:oddVBand="false" w:firstColumn="false"/>
            <w:tcW w:w="33.333333%" w:type="pct"/>
          </w:tcPr>
          <w:p>
            <w:pPr>
              <w:ind w:leftChars="0" w:left="0" w:right="0"/>
            </w:pPr>
            <w:r>
              <w:t>OTPR</w:t>
            </w:r>
          </w:p>
        </w:tc>
        <w:tc>
          <w:tcPr>
            <w:cnfStyle w:evenVBand="false" w:oddVBand="true" w:firstColumn="false"/>
            <w:tcW w:w="33.333333%" w:type="pct"/>
          </w:tcPr>
          <w:p>
            <w:pPr>
              <w:ind w:leftChars="0" w:left="0" w:right="0"/>
            </w:pPr>
            <w:r>
              <w:t>OTP BANK ROMANIA SA</w:t>
            </w:r>
          </w:p>
        </w:tc>
      </w:tr>
      <w:tr>
        <w:trPr>
          <w:cnfStyle w:evenHBand="true" w:oddHBand="false" w:firstRow="false"/>
        </w:trPr>
        <w:tc>
          <w:tcPr>
            <w:cnfStyle w:evenVBand="false" w:oddVBand="true" w:firstColumn="false"/>
            <w:tcW w:w="33.333333%" w:type="pct"/>
          </w:tcPr>
          <w:p>
            <w:pPr>
              <w:ind w:leftChars="0" w:left="0" w:right="0"/>
            </w:pPr>
            <w:r>
              <w:t>OTXB</w:t>
            </w:r>
          </w:p>
        </w:tc>
        <w:tc>
          <w:tcPr>
            <w:cnfStyle w:evenVBand="true" w:oddVBand="false" w:firstColumn="false"/>
            <w:tcW w:w="33.333333%" w:type="pct"/>
          </w:tcPr>
          <w:p>
            <w:pPr>
              <w:ind w:leftChars="0" w:left="0" w:right="0"/>
            </w:pPr>
            <w:r>
              <w:t>OTXB</w:t>
            </w:r>
          </w:p>
        </w:tc>
        <w:tc>
          <w:tcPr>
            <w:cnfStyle w:evenVBand="false" w:oddVBand="true" w:firstColumn="false"/>
            <w:tcW w:w="33.333333%" w:type="pct"/>
          </w:tcPr>
          <w:p>
            <w:pPr>
              <w:ind w:leftChars="0" w:left="0" w:right="0"/>
            </w:pPr>
            <w:r>
              <w:t>BERNER KANTONALBANK OTC-X</w:t>
            </w:r>
          </w:p>
        </w:tc>
      </w:tr>
      <w:tr>
        <w:trPr>
          <w:cnfStyle w:evenHBand="false" w:oddHBand="true" w:firstRow="false"/>
        </w:trPr>
        <w:tc>
          <w:tcPr>
            <w:cnfStyle w:evenVBand="false" w:oddVBand="true" w:firstColumn="false"/>
            <w:tcW w:w="33.333333%" w:type="pct"/>
          </w:tcPr>
          <w:p>
            <w:pPr>
              <w:ind w:leftChars="0" w:left="0" w:right="0"/>
            </w:pPr>
            <w:r>
              <w:t>OTXT</w:t>
            </w:r>
          </w:p>
        </w:tc>
        <w:tc>
          <w:tcPr>
            <w:cnfStyle w:evenVBand="true" w:oddVBand="false" w:firstColumn="false"/>
            <w:tcW w:w="33.333333%" w:type="pct"/>
          </w:tcPr>
          <w:p>
            <w:pPr>
              <w:ind w:leftChars="0" w:left="0" w:right="0"/>
            </w:pPr>
            <w:r>
              <w:t>OTXT</w:t>
            </w:r>
          </w:p>
        </w:tc>
        <w:tc>
          <w:tcPr>
            <w:cnfStyle w:evenVBand="false" w:oddVBand="true" w:firstColumn="false"/>
            <w:tcW w:w="33.333333%" w:type="pct"/>
          </w:tcPr>
          <w:p>
            <w:pPr>
              <w:ind w:leftChars="0" w:left="0" w:right="0"/>
            </w:pPr>
            <w:r>
              <w:t>OTCX TRADING LIMITED UK MTF</w:t>
            </w:r>
          </w:p>
        </w:tc>
      </w:tr>
      <w:tr>
        <w:trPr>
          <w:cnfStyle w:evenHBand="true" w:oddHBand="false" w:firstRow="false"/>
        </w:trPr>
        <w:tc>
          <w:tcPr>
            <w:cnfStyle w:evenVBand="false" w:oddVBand="true" w:firstColumn="false"/>
            <w:tcW w:w="33.333333%" w:type="pct"/>
          </w:tcPr>
          <w:p>
            <w:pPr>
              <w:ind w:leftChars="0" w:left="0" w:right="0"/>
            </w:pPr>
            <w:r>
              <w:t>PARK</w:t>
            </w:r>
          </w:p>
        </w:tc>
        <w:tc>
          <w:tcPr>
            <w:cnfStyle w:evenVBand="true" w:oddVBand="false" w:firstColumn="false"/>
            <w:tcW w:w="33.333333%" w:type="pct"/>
          </w:tcPr>
          <w:p>
            <w:pPr>
              <w:ind w:leftChars="0" w:left="0" w:right="0"/>
            </w:pPr>
            <w:r>
              <w:t>PARK</w:t>
            </w:r>
          </w:p>
        </w:tc>
        <w:tc>
          <w:tcPr>
            <w:cnfStyle w:evenVBand="false" w:oddVBand="true" w:firstColumn="false"/>
            <w:tcW w:w="33.333333%" w:type="pct"/>
          </w:tcPr>
          <w:p>
            <w:pPr>
              <w:ind w:leftChars="0" w:left="0" w:right="0"/>
            </w:pPr>
            <w:r>
              <w:t>PARKER POLAND SP. ZO.O.</w:t>
            </w:r>
          </w:p>
        </w:tc>
      </w:tr>
      <w:tr>
        <w:trPr>
          <w:cnfStyle w:evenHBand="false" w:oddHBand="true" w:firstRow="false"/>
        </w:trPr>
        <w:tc>
          <w:tcPr>
            <w:cnfStyle w:evenVBand="false" w:oddVBand="true" w:firstColumn="false"/>
            <w:tcW w:w="33.333333%" w:type="pct"/>
          </w:tcPr>
          <w:p>
            <w:pPr>
              <w:ind w:leftChars="0" w:left="0" w:right="0"/>
            </w:pPr>
            <w:r>
              <w:t>PARX</w:t>
            </w:r>
          </w:p>
        </w:tc>
        <w:tc>
          <w:tcPr>
            <w:cnfStyle w:evenVBand="true" w:oddVBand="false" w:firstColumn="false"/>
            <w:tcW w:w="33.333333%" w:type="pct"/>
          </w:tcPr>
          <w:p>
            <w:pPr>
              <w:ind w:leftChars="0" w:left="0" w:right="0"/>
            </w:pPr>
            <w:r>
              <w:t>PARX</w:t>
            </w:r>
          </w:p>
        </w:tc>
        <w:tc>
          <w:tcPr>
            <w:cnfStyle w:evenVBand="false" w:oddVBand="true" w:firstColumn="false"/>
            <w:tcW w:w="33.333333%" w:type="pct"/>
          </w:tcPr>
          <w:p>
            <w:pPr>
              <w:ind w:leftChars="0" w:left="0" w:right="0"/>
            </w:pPr>
            <w:r>
              <w:t>PARFX</w:t>
            </w:r>
          </w:p>
        </w:tc>
      </w:tr>
      <w:tr>
        <w:trPr>
          <w:cnfStyle w:evenHBand="true" w:oddHBand="false" w:firstRow="false"/>
        </w:trPr>
        <w:tc>
          <w:tcPr>
            <w:cnfStyle w:evenVBand="false" w:oddVBand="true" w:firstColumn="false"/>
            <w:tcW w:w="33.333333%" w:type="pct"/>
          </w:tcPr>
          <w:p>
            <w:pPr>
              <w:ind w:leftChars="0" w:left="0" w:right="0"/>
            </w:pPr>
            <w:r>
              <w:t>PATF</w:t>
            </w:r>
          </w:p>
        </w:tc>
        <w:tc>
          <w:tcPr>
            <w:cnfStyle w:evenVBand="true" w:oddVBand="false" w:firstColumn="false"/>
            <w:tcW w:w="33.333333%" w:type="pct"/>
          </w:tcPr>
          <w:p>
            <w:pPr>
              <w:ind w:leftChars="0" w:left="0" w:right="0"/>
            </w:pPr>
            <w:r>
              <w:t>PATF</w:t>
            </w:r>
          </w:p>
        </w:tc>
        <w:tc>
          <w:tcPr>
            <w:cnfStyle w:evenVBand="false" w:oddVBand="true" w:firstColumn="false"/>
            <w:tcW w:w="33.333333%" w:type="pct"/>
          </w:tcPr>
          <w:p>
            <w:pPr>
              <w:ind w:leftChars="0" w:left="0" w:right="0"/>
            </w:pPr>
            <w:r>
              <w:t>PATRIA FINANCE A.S.</w:t>
            </w:r>
          </w:p>
        </w:tc>
      </w:tr>
      <w:tr>
        <w:trPr>
          <w:cnfStyle w:evenHBand="false" w:oddHBand="true" w:firstRow="false"/>
        </w:trPr>
        <w:tc>
          <w:tcPr>
            <w:cnfStyle w:evenVBand="false" w:oddVBand="true" w:firstColumn="false"/>
            <w:tcW w:w="33.333333%" w:type="pct"/>
          </w:tcPr>
          <w:p>
            <w:pPr>
              <w:ind w:leftChars="0" w:left="0" w:right="0"/>
            </w:pPr>
            <w:r>
              <w:t>PAVE</w:t>
            </w:r>
          </w:p>
        </w:tc>
        <w:tc>
          <w:tcPr>
            <w:cnfStyle w:evenVBand="true" w:oddVBand="false" w:firstColumn="false"/>
            <w:tcW w:w="33.333333%" w:type="pct"/>
          </w:tcPr>
          <w:p>
            <w:pPr>
              <w:ind w:leftChars="0" w:left="0" w:right="0"/>
            </w:pPr>
            <w:r>
              <w:t>PAVE</w:t>
            </w:r>
          </w:p>
        </w:tc>
        <w:tc>
          <w:tcPr>
            <w:cnfStyle w:evenVBand="false" w:oddVBand="true" w:firstColumn="false"/>
            <w:tcW w:w="33.333333%" w:type="pct"/>
          </w:tcPr>
          <w:p>
            <w:pPr>
              <w:ind w:leftChars="0" w:left="0" w:right="0"/>
            </w:pPr>
            <w:r>
              <w:t>ALTERNATIVE PLATFORM FOR SPANISH SECURITIES</w:t>
            </w:r>
          </w:p>
        </w:tc>
      </w:tr>
      <w:tr>
        <w:trPr>
          <w:cnfStyle w:evenHBand="true" w:oddHBand="false" w:firstRow="false"/>
        </w:trPr>
        <w:tc>
          <w:tcPr>
            <w:cnfStyle w:evenVBand="false" w:oddVBand="true" w:firstColumn="false"/>
            <w:tcW w:w="33.333333%" w:type="pct"/>
          </w:tcPr>
          <w:p>
            <w:pPr>
              <w:ind w:leftChars="0" w:left="0" w:right="0"/>
            </w:pPr>
            <w:r>
              <w:t>PBGR</w:t>
            </w:r>
          </w:p>
        </w:tc>
        <w:tc>
          <w:tcPr>
            <w:cnfStyle w:evenVBand="true" w:oddVBand="false" w:firstColumn="false"/>
            <w:tcW w:w="33.333333%" w:type="pct"/>
          </w:tcPr>
          <w:p>
            <w:pPr>
              <w:ind w:leftChars="0" w:left="0" w:right="0"/>
            </w:pPr>
            <w:r>
              <w:t>PBGR</w:t>
            </w:r>
          </w:p>
        </w:tc>
        <w:tc>
          <w:tcPr>
            <w:cnfStyle w:evenVBand="false" w:oddVBand="true" w:firstColumn="false"/>
            <w:tcW w:w="33.333333%" w:type="pct"/>
          </w:tcPr>
          <w:p>
            <w:pPr>
              <w:ind w:leftChars="0" w:left="0" w:right="0"/>
            </w:pPr>
            <w:r>
              <w:t>PIRAEUS BANK - SYSTEMATIC INTERNALISER</w:t>
            </w:r>
          </w:p>
        </w:tc>
      </w:tr>
      <w:tr>
        <w:trPr>
          <w:cnfStyle w:evenHBand="false" w:oddHBand="true" w:firstRow="false"/>
        </w:trPr>
        <w:tc>
          <w:tcPr>
            <w:cnfStyle w:evenVBand="false" w:oddVBand="true" w:firstColumn="false"/>
            <w:tcW w:w="33.333333%" w:type="pct"/>
          </w:tcPr>
          <w:p>
            <w:pPr>
              <w:ind w:leftChars="0" w:left="0" w:right="0"/>
            </w:pPr>
            <w:r>
              <w:t>PBUL</w:t>
            </w:r>
          </w:p>
        </w:tc>
        <w:tc>
          <w:tcPr>
            <w:cnfStyle w:evenVBand="true" w:oddVBand="false" w:firstColumn="false"/>
            <w:tcW w:w="33.333333%" w:type="pct"/>
          </w:tcPr>
          <w:p>
            <w:pPr>
              <w:ind w:leftChars="0" w:left="0" w:right="0"/>
            </w:pPr>
            <w:r>
              <w:t>PBUL</w:t>
            </w:r>
          </w:p>
        </w:tc>
        <w:tc>
          <w:tcPr>
            <w:cnfStyle w:evenVBand="false" w:oddVBand="true" w:firstColumn="false"/>
            <w:tcW w:w="33.333333%" w:type="pct"/>
          </w:tcPr>
          <w:p>
            <w:pPr>
              <w:ind w:leftChars="0" w:left="0" w:right="0"/>
            </w:pPr>
            <w:r>
              <w:t>BULGARIAN STOCK EXCHANGE - APA</w:t>
            </w:r>
          </w:p>
        </w:tc>
      </w:tr>
      <w:tr>
        <w:trPr>
          <w:cnfStyle w:evenHBand="true" w:oddHBand="false" w:firstRow="false"/>
        </w:trPr>
        <w:tc>
          <w:tcPr>
            <w:cnfStyle w:evenVBand="false" w:oddVBand="true" w:firstColumn="false"/>
            <w:tcW w:w="33.333333%" w:type="pct"/>
          </w:tcPr>
          <w:p>
            <w:pPr>
              <w:ind w:leftChars="0" w:left="0" w:right="0"/>
            </w:pPr>
            <w:r>
              <w:t>PCDS</w:t>
            </w:r>
          </w:p>
        </w:tc>
        <w:tc>
          <w:tcPr>
            <w:cnfStyle w:evenVBand="true" w:oddVBand="false" w:firstColumn="false"/>
            <w:tcW w:w="33.333333%" w:type="pct"/>
          </w:tcPr>
          <w:p>
            <w:pPr>
              <w:ind w:leftChars="0" w:left="0" w:right="0"/>
            </w:pPr>
            <w:r>
              <w:t>PCDS</w:t>
            </w:r>
          </w:p>
        </w:tc>
        <w:tc>
          <w:tcPr>
            <w:cnfStyle w:evenVBand="false" w:oddVBand="true" w:firstColumn="false"/>
            <w:tcW w:w="33.333333%" w:type="pct"/>
          </w:tcPr>
          <w:p>
            <w:pPr>
              <w:ind w:leftChars="0" w:left="0" w:right="0"/>
            </w:pPr>
            <w:r>
              <w:t>TULLETT PREBON PLC - PREBON CDS</w:t>
            </w:r>
          </w:p>
        </w:tc>
      </w:tr>
      <w:tr>
        <w:trPr>
          <w:cnfStyle w:evenHBand="false" w:oddHBand="true" w:firstRow="false"/>
        </w:trPr>
        <w:tc>
          <w:tcPr>
            <w:cnfStyle w:evenVBand="false" w:oddVBand="true" w:firstColumn="false"/>
            <w:tcW w:w="33.333333%" w:type="pct"/>
          </w:tcPr>
          <w:p>
            <w:pPr>
              <w:ind w:leftChars="0" w:left="0" w:right="0"/>
            </w:pPr>
            <w:r>
              <w:t>PDEX</w:t>
            </w:r>
          </w:p>
        </w:tc>
        <w:tc>
          <w:tcPr>
            <w:cnfStyle w:evenVBand="true" w:oddVBand="false" w:firstColumn="false"/>
            <w:tcW w:w="33.333333%" w:type="pct"/>
          </w:tcPr>
          <w:p>
            <w:pPr>
              <w:ind w:leftChars="0" w:left="0" w:right="0"/>
            </w:pPr>
            <w:r>
              <w:t>PDEX</w:t>
            </w:r>
          </w:p>
        </w:tc>
        <w:tc>
          <w:tcPr>
            <w:cnfStyle w:evenVBand="false" w:oddVBand="true" w:firstColumn="false"/>
            <w:tcW w:w="33.333333%" w:type="pct"/>
          </w:tcPr>
          <w:p>
            <w:pPr>
              <w:ind w:leftChars="0" w:left="0" w:right="0"/>
            </w:pPr>
            <w:r>
              <w:t>PHILIPPINE DEALING AND EXCHANGE CORP</w:t>
            </w:r>
          </w:p>
        </w:tc>
      </w:tr>
      <w:tr>
        <w:trPr>
          <w:cnfStyle w:evenHBand="true" w:oddHBand="false" w:firstRow="false"/>
        </w:trPr>
        <w:tc>
          <w:tcPr>
            <w:cnfStyle w:evenVBand="false" w:oddVBand="true" w:firstColumn="false"/>
            <w:tcW w:w="33.333333%" w:type="pct"/>
          </w:tcPr>
          <w:p>
            <w:pPr>
              <w:ind w:leftChars="0" w:left="0" w:right="0"/>
            </w:pPr>
            <w:r>
              <w:t>PDQD</w:t>
            </w:r>
          </w:p>
        </w:tc>
        <w:tc>
          <w:tcPr>
            <w:cnfStyle w:evenVBand="true" w:oddVBand="false" w:firstColumn="false"/>
            <w:tcW w:w="33.333333%" w:type="pct"/>
          </w:tcPr>
          <w:p>
            <w:pPr>
              <w:ind w:leftChars="0" w:left="0" w:right="0"/>
            </w:pPr>
            <w:r>
              <w:t>PDQD</w:t>
            </w:r>
          </w:p>
        </w:tc>
        <w:tc>
          <w:tcPr>
            <w:cnfStyle w:evenVBand="false" w:oddVBand="true" w:firstColumn="false"/>
            <w:tcW w:w="33.333333%" w:type="pct"/>
          </w:tcPr>
          <w:p>
            <w:pPr>
              <w:ind w:leftChars="0" w:left="0" w:right="0"/>
            </w:pPr>
            <w:r>
              <w:t>CODA MARKETS ATS DARK</w:t>
            </w:r>
          </w:p>
        </w:tc>
      </w:tr>
      <w:tr>
        <w:trPr>
          <w:cnfStyle w:evenHBand="false" w:oddHBand="true" w:firstRow="false"/>
        </w:trPr>
        <w:tc>
          <w:tcPr>
            <w:cnfStyle w:evenVBand="false" w:oddVBand="true" w:firstColumn="false"/>
            <w:tcW w:w="33.333333%" w:type="pct"/>
          </w:tcPr>
          <w:p>
            <w:pPr>
              <w:ind w:leftChars="0" w:left="0" w:right="0"/>
            </w:pPr>
            <w:r>
              <w:t>PDQX</w:t>
            </w:r>
          </w:p>
        </w:tc>
        <w:tc>
          <w:tcPr>
            <w:cnfStyle w:evenVBand="true" w:oddVBand="false" w:firstColumn="false"/>
            <w:tcW w:w="33.333333%" w:type="pct"/>
          </w:tcPr>
          <w:p>
            <w:pPr>
              <w:ind w:leftChars="0" w:left="0" w:right="0"/>
            </w:pPr>
            <w:r>
              <w:t>PDQX</w:t>
            </w:r>
          </w:p>
        </w:tc>
        <w:tc>
          <w:tcPr>
            <w:cnfStyle w:evenVBand="false" w:oddVBand="true" w:firstColumn="false"/>
            <w:tcW w:w="33.333333%" w:type="pct"/>
          </w:tcPr>
          <w:p>
            <w:pPr>
              <w:ind w:leftChars="0" w:left="0" w:right="0"/>
            </w:pPr>
            <w:r>
              <w:t>CODA MARKETS</w:t>
            </w:r>
          </w:p>
        </w:tc>
      </w:tr>
      <w:tr>
        <w:trPr>
          <w:cnfStyle w:evenHBand="true" w:oddHBand="false" w:firstRow="false"/>
        </w:trPr>
        <w:tc>
          <w:tcPr>
            <w:cnfStyle w:evenVBand="false" w:oddVBand="true" w:firstColumn="false"/>
            <w:tcW w:w="33.333333%" w:type="pct"/>
          </w:tcPr>
          <w:p>
            <w:pPr>
              <w:ind w:leftChars="0" w:left="0" w:right="0"/>
            </w:pPr>
            <w:r>
              <w:t>PEEL</w:t>
            </w:r>
          </w:p>
        </w:tc>
        <w:tc>
          <w:tcPr>
            <w:cnfStyle w:evenVBand="true" w:oddVBand="false" w:firstColumn="false"/>
            <w:tcW w:w="33.333333%" w:type="pct"/>
          </w:tcPr>
          <w:p>
            <w:pPr>
              <w:ind w:leftChars="0" w:left="0" w:right="0"/>
            </w:pPr>
            <w:r>
              <w:t>PEEL</w:t>
            </w:r>
          </w:p>
        </w:tc>
        <w:tc>
          <w:tcPr>
            <w:cnfStyle w:evenVBand="false" w:oddVBand="true" w:firstColumn="false"/>
            <w:tcW w:w="33.333333%" w:type="pct"/>
          </w:tcPr>
          <w:p>
            <w:pPr>
              <w:ind w:leftChars="0" w:left="0" w:right="0"/>
            </w:pPr>
            <w:r>
              <w:t>PEEL HUNT LLP UK</w:t>
            </w:r>
          </w:p>
        </w:tc>
      </w:tr>
      <w:tr>
        <w:trPr>
          <w:cnfStyle w:evenHBand="false" w:oddHBand="true" w:firstRow="false"/>
        </w:trPr>
        <w:tc>
          <w:tcPr>
            <w:cnfStyle w:evenVBand="false" w:oddVBand="true" w:firstColumn="false"/>
            <w:tcW w:w="33.333333%" w:type="pct"/>
          </w:tcPr>
          <w:p>
            <w:pPr>
              <w:ind w:leftChars="0" w:left="0" w:right="0"/>
            </w:pPr>
            <w:r>
              <w:t>PEPH</w:t>
            </w:r>
          </w:p>
        </w:tc>
        <w:tc>
          <w:tcPr>
            <w:cnfStyle w:evenVBand="true" w:oddVBand="false" w:firstColumn="false"/>
            <w:tcW w:w="33.333333%" w:type="pct"/>
          </w:tcPr>
          <w:p>
            <w:pPr>
              <w:ind w:leftChars="0" w:left="0" w:right="0"/>
            </w:pPr>
            <w:r>
              <w:t>PEPH</w:t>
            </w:r>
          </w:p>
        </w:tc>
        <w:tc>
          <w:tcPr>
            <w:cnfStyle w:evenVBand="false" w:oddVBand="true" w:firstColumn="false"/>
            <w:tcW w:w="33.333333%" w:type="pct"/>
          </w:tcPr>
          <w:p>
            <w:pPr>
              <w:ind w:leftChars="0" w:left="0" w:right="0"/>
            </w:pPr>
            <w:r>
              <w:t>PEPINS - MTF - HALF-YEAR</w:t>
            </w:r>
          </w:p>
        </w:tc>
      </w:tr>
      <w:tr>
        <w:trPr>
          <w:cnfStyle w:evenHBand="true" w:oddHBand="false" w:firstRow="false"/>
        </w:trPr>
        <w:tc>
          <w:tcPr>
            <w:cnfStyle w:evenVBand="false" w:oddVBand="true" w:firstColumn="false"/>
            <w:tcW w:w="33.333333%" w:type="pct"/>
          </w:tcPr>
          <w:p>
            <w:pPr>
              <w:ind w:leftChars="0" w:left="0" w:right="0"/>
            </w:pPr>
            <w:r>
              <w:t>PEPM</w:t>
            </w:r>
          </w:p>
        </w:tc>
        <w:tc>
          <w:tcPr>
            <w:cnfStyle w:evenVBand="true" w:oddVBand="false" w:firstColumn="false"/>
            <w:tcW w:w="33.333333%" w:type="pct"/>
          </w:tcPr>
          <w:p>
            <w:pPr>
              <w:ind w:leftChars="0" w:left="0" w:right="0"/>
            </w:pPr>
            <w:r>
              <w:t>PEPM</w:t>
            </w:r>
          </w:p>
        </w:tc>
        <w:tc>
          <w:tcPr>
            <w:cnfStyle w:evenVBand="false" w:oddVBand="true" w:firstColumn="false"/>
            <w:tcW w:w="33.333333%" w:type="pct"/>
          </w:tcPr>
          <w:p>
            <w:pPr>
              <w:ind w:leftChars="0" w:left="0" w:right="0"/>
            </w:pPr>
            <w:r>
              <w:t>PEPINS - MTF - MONTH</w:t>
            </w:r>
          </w:p>
        </w:tc>
      </w:tr>
      <w:tr>
        <w:trPr>
          <w:cnfStyle w:evenHBand="false" w:oddHBand="true" w:firstRow="false"/>
        </w:trPr>
        <w:tc>
          <w:tcPr>
            <w:cnfStyle w:evenVBand="false" w:oddVBand="true" w:firstColumn="false"/>
            <w:tcW w:w="33.333333%" w:type="pct"/>
          </w:tcPr>
          <w:p>
            <w:pPr>
              <w:ind w:leftChars="0" w:left="0" w:right="0"/>
            </w:pPr>
            <w:r>
              <w:t>PEPQ</w:t>
            </w:r>
          </w:p>
        </w:tc>
        <w:tc>
          <w:tcPr>
            <w:cnfStyle w:evenVBand="true" w:oddVBand="false" w:firstColumn="false"/>
            <w:tcW w:w="33.333333%" w:type="pct"/>
          </w:tcPr>
          <w:p>
            <w:pPr>
              <w:ind w:leftChars="0" w:left="0" w:right="0"/>
            </w:pPr>
            <w:r>
              <w:t>PEPQ</w:t>
            </w:r>
          </w:p>
        </w:tc>
        <w:tc>
          <w:tcPr>
            <w:cnfStyle w:evenVBand="false" w:oddVBand="true" w:firstColumn="false"/>
            <w:tcW w:w="33.333333%" w:type="pct"/>
          </w:tcPr>
          <w:p>
            <w:pPr>
              <w:ind w:leftChars="0" w:left="0" w:right="0"/>
            </w:pPr>
            <w:r>
              <w:t>PEPINS - MTF - QUARTER</w:t>
            </w:r>
          </w:p>
        </w:tc>
      </w:tr>
      <w:tr>
        <w:trPr>
          <w:cnfStyle w:evenHBand="true" w:oddHBand="false" w:firstRow="false"/>
        </w:trPr>
        <w:tc>
          <w:tcPr>
            <w:cnfStyle w:evenVBand="false" w:oddVBand="true" w:firstColumn="false"/>
            <w:tcW w:w="33.333333%" w:type="pct"/>
          </w:tcPr>
          <w:p>
            <w:pPr>
              <w:ind w:leftChars="0" w:left="0" w:right="0"/>
            </w:pPr>
            <w:r>
              <w:t>PEPW</w:t>
            </w:r>
          </w:p>
        </w:tc>
        <w:tc>
          <w:tcPr>
            <w:cnfStyle w:evenVBand="true" w:oddVBand="false" w:firstColumn="false"/>
            <w:tcW w:w="33.333333%" w:type="pct"/>
          </w:tcPr>
          <w:p>
            <w:pPr>
              <w:ind w:leftChars="0" w:left="0" w:right="0"/>
            </w:pPr>
            <w:r>
              <w:t>PEPW</w:t>
            </w:r>
          </w:p>
        </w:tc>
        <w:tc>
          <w:tcPr>
            <w:cnfStyle w:evenVBand="false" w:oddVBand="true" w:firstColumn="false"/>
            <w:tcW w:w="33.333333%" w:type="pct"/>
          </w:tcPr>
          <w:p>
            <w:pPr>
              <w:ind w:leftChars="0" w:left="0" w:right="0"/>
            </w:pPr>
            <w:r>
              <w:t>PEPINS - MTF</w:t>
            </w:r>
          </w:p>
        </w:tc>
      </w:tr>
      <w:tr>
        <w:trPr>
          <w:cnfStyle w:evenHBand="false" w:oddHBand="true" w:firstRow="false"/>
        </w:trPr>
        <w:tc>
          <w:tcPr>
            <w:cnfStyle w:evenVBand="false" w:oddVBand="true" w:firstColumn="false"/>
            <w:tcW w:w="33.333333%" w:type="pct"/>
          </w:tcPr>
          <w:p>
            <w:pPr>
              <w:ind w:leftChars="0" w:left="0" w:right="0"/>
            </w:pPr>
            <w:r>
              <w:t>PEPY</w:t>
            </w:r>
          </w:p>
        </w:tc>
        <w:tc>
          <w:tcPr>
            <w:cnfStyle w:evenVBand="true" w:oddVBand="false" w:firstColumn="false"/>
            <w:tcW w:w="33.333333%" w:type="pct"/>
          </w:tcPr>
          <w:p>
            <w:pPr>
              <w:ind w:leftChars="0" w:left="0" w:right="0"/>
            </w:pPr>
            <w:r>
              <w:t>PEPY</w:t>
            </w:r>
          </w:p>
        </w:tc>
        <w:tc>
          <w:tcPr>
            <w:cnfStyle w:evenVBand="false" w:oddVBand="true" w:firstColumn="false"/>
            <w:tcW w:w="33.333333%" w:type="pct"/>
          </w:tcPr>
          <w:p>
            <w:pPr>
              <w:ind w:leftChars="0" w:left="0" w:right="0"/>
            </w:pPr>
            <w:r>
              <w:t>PEPINS - MTF - YEAR</w:t>
            </w:r>
          </w:p>
        </w:tc>
      </w:tr>
      <w:tr>
        <w:trPr>
          <w:cnfStyle w:evenHBand="true" w:oddHBand="false" w:firstRow="false"/>
        </w:trPr>
        <w:tc>
          <w:tcPr>
            <w:cnfStyle w:evenVBand="false" w:oddVBand="true" w:firstColumn="false"/>
            <w:tcW w:w="33.333333%" w:type="pct"/>
          </w:tcPr>
          <w:p>
            <w:pPr>
              <w:ind w:leftChars="0" w:left="0" w:right="0"/>
            </w:pPr>
            <w:r>
              <w:t>PFTQ</w:t>
            </w:r>
          </w:p>
        </w:tc>
        <w:tc>
          <w:tcPr>
            <w:cnfStyle w:evenVBand="true" w:oddVBand="false" w:firstColumn="false"/>
            <w:tcW w:w="33.333333%" w:type="pct"/>
          </w:tcPr>
          <w:p>
            <w:pPr>
              <w:ind w:leftChars="0" w:left="0" w:right="0"/>
            </w:pPr>
            <w:r>
              <w:t>PFTQ</w:t>
            </w:r>
          </w:p>
        </w:tc>
        <w:tc>
          <w:tcPr>
            <w:cnfStyle w:evenVBand="false" w:oddVBand="true" w:firstColumn="false"/>
            <w:tcW w:w="33.333333%" w:type="pct"/>
          </w:tcPr>
          <w:p>
            <w:pPr>
              <w:ind w:leftChars="0" w:left="0" w:right="0"/>
            </w:pPr>
            <w:r>
              <w:t>PFTS QUOTE DRIVEN</w:t>
            </w:r>
          </w:p>
        </w:tc>
      </w:tr>
      <w:tr>
        <w:trPr>
          <w:cnfStyle w:evenHBand="false" w:oddHBand="true" w:firstRow="false"/>
        </w:trPr>
        <w:tc>
          <w:tcPr>
            <w:cnfStyle w:evenVBand="false" w:oddVBand="true" w:firstColumn="false"/>
            <w:tcW w:w="33.333333%" w:type="pct"/>
          </w:tcPr>
          <w:p>
            <w:pPr>
              <w:ind w:leftChars="0" w:left="0" w:right="0"/>
            </w:pPr>
            <w:r>
              <w:t>PFTS</w:t>
            </w:r>
          </w:p>
        </w:tc>
        <w:tc>
          <w:tcPr>
            <w:cnfStyle w:evenVBand="true" w:oddVBand="false" w:firstColumn="false"/>
            <w:tcW w:w="33.333333%" w:type="pct"/>
          </w:tcPr>
          <w:p>
            <w:pPr>
              <w:ind w:leftChars="0" w:left="0" w:right="0"/>
            </w:pPr>
            <w:r>
              <w:t>PFTS</w:t>
            </w:r>
          </w:p>
        </w:tc>
        <w:tc>
          <w:tcPr>
            <w:cnfStyle w:evenVBand="false" w:oddVBand="true" w:firstColumn="false"/>
            <w:tcW w:w="33.333333%" w:type="pct"/>
          </w:tcPr>
          <w:p>
            <w:pPr>
              <w:ind w:leftChars="0" w:left="0" w:right="0"/>
            </w:pPr>
            <w:r>
              <w:t>PFTS STOCK EXCHANGE</w:t>
            </w:r>
          </w:p>
        </w:tc>
      </w:tr>
      <w:tr>
        <w:trPr>
          <w:cnfStyle w:evenHBand="true" w:oddHBand="false" w:firstRow="false"/>
        </w:trPr>
        <w:tc>
          <w:tcPr>
            <w:cnfStyle w:evenVBand="false" w:oddVBand="true" w:firstColumn="false"/>
            <w:tcW w:w="33.333333%" w:type="pct"/>
          </w:tcPr>
          <w:p>
            <w:pPr>
              <w:ind w:leftChars="0" w:left="0" w:right="0"/>
            </w:pPr>
            <w:r>
              <w:t>PFXD</w:t>
            </w:r>
          </w:p>
        </w:tc>
        <w:tc>
          <w:tcPr>
            <w:cnfStyle w:evenVBand="true" w:oddVBand="false" w:firstColumn="false"/>
            <w:tcW w:w="33.333333%" w:type="pct"/>
          </w:tcPr>
          <w:p>
            <w:pPr>
              <w:ind w:leftChars="0" w:left="0" w:right="0"/>
            </w:pPr>
            <w:r>
              <w:t>PFXD</w:t>
            </w:r>
          </w:p>
        </w:tc>
        <w:tc>
          <w:tcPr>
            <w:cnfStyle w:evenVBand="false" w:oddVBand="true" w:firstColumn="false"/>
            <w:tcW w:w="33.333333%" w:type="pct"/>
          </w:tcPr>
          <w:p>
            <w:pPr>
              <w:ind w:leftChars="0" w:left="0" w:right="0"/>
            </w:pPr>
            <w:r>
              <w:t>PARNDF</w:t>
            </w:r>
          </w:p>
        </w:tc>
      </w:tr>
      <w:tr>
        <w:trPr>
          <w:cnfStyle w:evenHBand="false" w:oddHBand="true" w:firstRow="false"/>
        </w:trPr>
        <w:tc>
          <w:tcPr>
            <w:cnfStyle w:evenVBand="false" w:oddVBand="true" w:firstColumn="false"/>
            <w:tcW w:w="33.333333%" w:type="pct"/>
          </w:tcPr>
          <w:p>
            <w:pPr>
              <w:ind w:leftChars="0" w:left="0" w:right="0"/>
            </w:pPr>
            <w:r>
              <w:t>PIEU</w:t>
            </w:r>
          </w:p>
        </w:tc>
        <w:tc>
          <w:tcPr>
            <w:cnfStyle w:evenVBand="true" w:oddVBand="false" w:firstColumn="false"/>
            <w:tcW w:w="33.333333%" w:type="pct"/>
          </w:tcPr>
          <w:p>
            <w:pPr>
              <w:ind w:leftChars="0" w:left="0" w:right="0"/>
            </w:pPr>
            <w:r>
              <w:t>PIEU</w:t>
            </w:r>
          </w:p>
        </w:tc>
        <w:tc>
          <w:tcPr>
            <w:cnfStyle w:evenVBand="false" w:oddVBand="true" w:firstColumn="false"/>
            <w:tcW w:w="33.333333%" w:type="pct"/>
          </w:tcPr>
          <w:p>
            <w:pPr>
              <w:ind w:leftChars="0" w:left="0" w:right="0"/>
            </w:pPr>
            <w:r>
              <w:t>ARITAS FINANCIAL LTD</w:t>
            </w:r>
          </w:p>
        </w:tc>
      </w:tr>
      <w:tr>
        <w:trPr>
          <w:cnfStyle w:evenHBand="true" w:oddHBand="false" w:firstRow="false"/>
        </w:trPr>
        <w:tc>
          <w:tcPr>
            <w:cnfStyle w:evenVBand="false" w:oddVBand="true" w:firstColumn="false"/>
            <w:tcW w:w="33.333333%" w:type="pct"/>
          </w:tcPr>
          <w:p>
            <w:pPr>
              <w:ind w:leftChars="0" w:left="0" w:right="0"/>
            </w:pPr>
            <w:r>
              <w:t>PINC</w:t>
            </w:r>
          </w:p>
        </w:tc>
        <w:tc>
          <w:tcPr>
            <w:cnfStyle w:evenVBand="true" w:oddVBand="false" w:firstColumn="false"/>
            <w:tcW w:w="33.333333%" w:type="pct"/>
          </w:tcPr>
          <w:p>
            <w:pPr>
              <w:ind w:leftChars="0" w:left="0" w:right="0"/>
            </w:pPr>
            <w:r>
              <w:t>PINC</w:t>
            </w:r>
          </w:p>
        </w:tc>
        <w:tc>
          <w:tcPr>
            <w:cnfStyle w:evenVBand="false" w:oddVBand="true" w:firstColumn="false"/>
            <w:tcW w:w="33.333333%" w:type="pct"/>
          </w:tcPr>
          <w:p>
            <w:pPr>
              <w:ind w:leftChars="0" w:left="0" w:right="0"/>
            </w:pPr>
            <w:r>
              <w:t>OTC PINK CURRENT</w:t>
            </w:r>
          </w:p>
        </w:tc>
      </w:tr>
      <w:tr>
        <w:trPr>
          <w:cnfStyle w:evenHBand="false" w:oddHBand="true" w:firstRow="false"/>
        </w:trPr>
        <w:tc>
          <w:tcPr>
            <w:cnfStyle w:evenVBand="false" w:oddVBand="true" w:firstColumn="false"/>
            <w:tcW w:w="33.333333%" w:type="pct"/>
          </w:tcPr>
          <w:p>
            <w:pPr>
              <w:ind w:leftChars="0" w:left="0" w:right="0"/>
            </w:pPr>
            <w:r>
              <w:t>PINI</w:t>
            </w:r>
          </w:p>
        </w:tc>
        <w:tc>
          <w:tcPr>
            <w:cnfStyle w:evenVBand="true" w:oddVBand="false" w:firstColumn="false"/>
            <w:tcW w:w="33.333333%" w:type="pct"/>
          </w:tcPr>
          <w:p>
            <w:pPr>
              <w:ind w:leftChars="0" w:left="0" w:right="0"/>
            </w:pPr>
            <w:r>
              <w:t>PINI</w:t>
            </w:r>
          </w:p>
        </w:tc>
        <w:tc>
          <w:tcPr>
            <w:cnfStyle w:evenVBand="false" w:oddVBand="true" w:firstColumn="false"/>
            <w:tcW w:w="33.333333%" w:type="pct"/>
          </w:tcPr>
          <w:p>
            <w:pPr>
              <w:ind w:leftChars="0" w:left="0" w:right="0"/>
            </w:pPr>
            <w:r>
              <w:t>OTC PINK NO INFORMATION</w:t>
            </w:r>
          </w:p>
        </w:tc>
      </w:tr>
      <w:tr>
        <w:trPr>
          <w:cnfStyle w:evenHBand="true" w:oddHBand="false" w:firstRow="false"/>
        </w:trPr>
        <w:tc>
          <w:tcPr>
            <w:cnfStyle w:evenVBand="false" w:oddVBand="true" w:firstColumn="false"/>
            <w:tcW w:w="33.333333%" w:type="pct"/>
          </w:tcPr>
          <w:p>
            <w:pPr>
              <w:ind w:leftChars="0" w:left="0" w:right="0"/>
            </w:pPr>
            <w:r>
              <w:t>PINL</w:t>
            </w:r>
          </w:p>
        </w:tc>
        <w:tc>
          <w:tcPr>
            <w:cnfStyle w:evenVBand="true" w:oddVBand="false" w:firstColumn="false"/>
            <w:tcW w:w="33.333333%" w:type="pct"/>
          </w:tcPr>
          <w:p>
            <w:pPr>
              <w:ind w:leftChars="0" w:left="0" w:right="0"/>
            </w:pPr>
            <w:r>
              <w:t>PINL</w:t>
            </w:r>
          </w:p>
        </w:tc>
        <w:tc>
          <w:tcPr>
            <w:cnfStyle w:evenVBand="false" w:oddVBand="true" w:firstColumn="false"/>
            <w:tcW w:w="33.333333%" w:type="pct"/>
          </w:tcPr>
          <w:p>
            <w:pPr>
              <w:ind w:leftChars="0" w:left="0" w:right="0"/>
            </w:pPr>
            <w:r>
              <w:t>OTC PINK LIMITED</w:t>
            </w:r>
          </w:p>
        </w:tc>
      </w:tr>
      <w:tr>
        <w:trPr>
          <w:cnfStyle w:evenHBand="false" w:oddHBand="true" w:firstRow="false"/>
        </w:trPr>
        <w:tc>
          <w:tcPr>
            <w:cnfStyle w:evenVBand="false" w:oddVBand="true" w:firstColumn="false"/>
            <w:tcW w:w="33.333333%" w:type="pct"/>
          </w:tcPr>
          <w:p>
            <w:pPr>
              <w:ind w:leftChars="0" w:left="0" w:right="0"/>
            </w:pPr>
            <w:r>
              <w:t>PINX</w:t>
            </w:r>
          </w:p>
        </w:tc>
        <w:tc>
          <w:tcPr>
            <w:cnfStyle w:evenVBand="true" w:oddVBand="false" w:firstColumn="false"/>
            <w:tcW w:w="33.333333%" w:type="pct"/>
          </w:tcPr>
          <w:p>
            <w:pPr>
              <w:ind w:leftChars="0" w:left="0" w:right="0"/>
            </w:pPr>
            <w:r>
              <w:t>PINX</w:t>
            </w:r>
          </w:p>
        </w:tc>
        <w:tc>
          <w:tcPr>
            <w:cnfStyle w:evenVBand="false" w:oddVBand="true" w:firstColumn="false"/>
            <w:tcW w:w="33.333333%" w:type="pct"/>
          </w:tcPr>
          <w:p>
            <w:pPr>
              <w:ind w:leftChars="0" w:left="0" w:right="0"/>
            </w:pPr>
            <w:r>
              <w:t>OTC PINK MARKETPLACE</w:t>
            </w:r>
          </w:p>
        </w:tc>
      </w:tr>
      <w:tr>
        <w:trPr>
          <w:cnfStyle w:evenHBand="true" w:oddHBand="false" w:firstRow="false"/>
        </w:trPr>
        <w:tc>
          <w:tcPr>
            <w:cnfStyle w:evenVBand="false" w:oddVBand="true" w:firstColumn="false"/>
            <w:tcW w:w="33.333333%" w:type="pct"/>
          </w:tcPr>
          <w:p>
            <w:pPr>
              <w:ind w:leftChars="0" w:left="0" w:right="0"/>
            </w:pPr>
            <w:r>
              <w:t>PIPE</w:t>
            </w:r>
          </w:p>
        </w:tc>
        <w:tc>
          <w:tcPr>
            <w:cnfStyle w:evenVBand="true" w:oddVBand="false" w:firstColumn="false"/>
            <w:tcW w:w="33.333333%" w:type="pct"/>
          </w:tcPr>
          <w:p>
            <w:pPr>
              <w:ind w:leftChars="0" w:left="0" w:right="0"/>
            </w:pPr>
            <w:r>
              <w:t>PIPE</w:t>
            </w:r>
          </w:p>
        </w:tc>
        <w:tc>
          <w:tcPr>
            <w:cnfStyle w:evenVBand="false" w:oddVBand="true" w:firstColumn="false"/>
            <w:tcW w:w="33.333333%" w:type="pct"/>
          </w:tcPr>
          <w:p>
            <w:pPr>
              <w:ind w:leftChars="0" w:left="0" w:right="0"/>
            </w:pPr>
            <w:r>
              <w:t>ARITAS SECURITIES LLC</w:t>
            </w:r>
          </w:p>
        </w:tc>
      </w:tr>
      <w:tr>
        <w:trPr>
          <w:cnfStyle w:evenHBand="false" w:oddHBand="true" w:firstRow="false"/>
        </w:trPr>
        <w:tc>
          <w:tcPr>
            <w:cnfStyle w:evenVBand="false" w:oddVBand="true" w:firstColumn="false"/>
            <w:tcW w:w="33.333333%" w:type="pct"/>
          </w:tcPr>
          <w:p>
            <w:pPr>
              <w:ind w:leftChars="0" w:left="0" w:right="0"/>
            </w:pPr>
            <w:r>
              <w:t>PIPR</w:t>
            </w:r>
          </w:p>
        </w:tc>
        <w:tc>
          <w:tcPr>
            <w:cnfStyle w:evenVBand="true" w:oddVBand="false" w:firstColumn="false"/>
            <w:tcW w:w="33.333333%" w:type="pct"/>
          </w:tcPr>
          <w:p>
            <w:pPr>
              <w:ind w:leftChars="0" w:left="0" w:right="0"/>
            </w:pPr>
            <w:r>
              <w:t>PIPR</w:t>
            </w:r>
          </w:p>
        </w:tc>
        <w:tc>
          <w:tcPr>
            <w:cnfStyle w:evenVBand="false" w:oddVBand="true" w:firstColumn="false"/>
            <w:tcW w:w="33.333333%" w:type="pct"/>
          </w:tcPr>
          <w:p>
            <w:pPr>
              <w:ind w:leftChars="0" w:left="0" w:right="0"/>
            </w:pPr>
            <w:r>
              <w:t>PIPER SANDLER AND CO.</w:t>
            </w:r>
          </w:p>
        </w:tc>
      </w:tr>
      <w:tr>
        <w:trPr>
          <w:cnfStyle w:evenHBand="true" w:oddHBand="false" w:firstRow="false"/>
        </w:trPr>
        <w:tc>
          <w:tcPr>
            <w:cnfStyle w:evenVBand="false" w:oddVBand="true" w:firstColumn="false"/>
            <w:tcW w:w="33.333333%" w:type="pct"/>
          </w:tcPr>
          <w:p>
            <w:pPr>
              <w:ind w:leftChars="0" w:left="0" w:right="0"/>
            </w:pPr>
            <w:r>
              <w:t>PIRM</w:t>
            </w:r>
          </w:p>
        </w:tc>
        <w:tc>
          <w:tcPr>
            <w:cnfStyle w:evenVBand="true" w:oddVBand="false" w:firstColumn="false"/>
            <w:tcW w:w="33.333333%" w:type="pct"/>
          </w:tcPr>
          <w:p>
            <w:pPr>
              <w:ind w:leftChars="0" w:left="0" w:right="0"/>
            </w:pPr>
            <w:r>
              <w:t>PIRM</w:t>
            </w:r>
          </w:p>
        </w:tc>
        <w:tc>
          <w:tcPr>
            <w:cnfStyle w:evenVBand="false" w:oddVBand="true" w:firstColumn="false"/>
            <w:tcW w:w="33.333333%" w:type="pct"/>
          </w:tcPr>
          <w:p>
            <w:pPr>
              <w:ind w:leftChars="0" w:left="0" w:right="0"/>
            </w:pPr>
            <w:r>
              <w:t>PIRUM</w:t>
            </w:r>
          </w:p>
        </w:tc>
      </w:tr>
      <w:tr>
        <w:trPr>
          <w:cnfStyle w:evenHBand="false" w:oddHBand="true" w:firstRow="false"/>
        </w:trPr>
        <w:tc>
          <w:tcPr>
            <w:cnfStyle w:evenVBand="false" w:oddVBand="true" w:firstColumn="false"/>
            <w:tcW w:w="33.333333%" w:type="pct"/>
          </w:tcPr>
          <w:p>
            <w:pPr>
              <w:ind w:leftChars="0" w:left="0" w:right="0"/>
            </w:pPr>
            <w:r>
              <w:t>PJCX</w:t>
            </w:r>
          </w:p>
        </w:tc>
        <w:tc>
          <w:tcPr>
            <w:cnfStyle w:evenVBand="true" w:oddVBand="false" w:firstColumn="false"/>
            <w:tcW w:w="33.333333%" w:type="pct"/>
          </w:tcPr>
          <w:p>
            <w:pPr>
              <w:ind w:leftChars="0" w:left="0" w:right="0"/>
            </w:pPr>
            <w:r>
              <w:t>PJCX</w:t>
            </w:r>
          </w:p>
        </w:tc>
        <w:tc>
          <w:tcPr>
            <w:cnfStyle w:evenVBand="false" w:oddVBand="true" w:firstColumn="false"/>
            <w:tcW w:w="33.333333%" w:type="pct"/>
          </w:tcPr>
          <w:p>
            <w:pPr>
              <w:ind w:leftChars="0" w:left="0" w:right="0"/>
            </w:pPr>
            <w:r>
              <w:t>PIPER SANDLER AND CO. - ATS</w:t>
            </w:r>
          </w:p>
        </w:tc>
      </w:tr>
      <w:tr>
        <w:trPr>
          <w:cnfStyle w:evenHBand="true" w:oddHBand="false" w:firstRow="false"/>
        </w:trPr>
        <w:tc>
          <w:tcPr>
            <w:cnfStyle w:evenVBand="false" w:oddVBand="true" w:firstColumn="false"/>
            <w:tcW w:w="33.333333%" w:type="pct"/>
          </w:tcPr>
          <w:p>
            <w:pPr>
              <w:ind w:leftChars="0" w:left="0" w:right="0"/>
            </w:pPr>
            <w:r>
              <w:t>PKOP</w:t>
            </w:r>
          </w:p>
        </w:tc>
        <w:tc>
          <w:tcPr>
            <w:cnfStyle w:evenVBand="true" w:oddVBand="false" w:firstColumn="false"/>
            <w:tcW w:w="33.333333%" w:type="pct"/>
          </w:tcPr>
          <w:p>
            <w:pPr>
              <w:ind w:leftChars="0" w:left="0" w:right="0"/>
            </w:pPr>
            <w:r>
              <w:t>PKOP</w:t>
            </w:r>
          </w:p>
        </w:tc>
        <w:tc>
          <w:tcPr>
            <w:cnfStyle w:evenVBand="false" w:oddVBand="true" w:firstColumn="false"/>
            <w:tcW w:w="33.333333%" w:type="pct"/>
          </w:tcPr>
          <w:p>
            <w:pPr>
              <w:ind w:leftChars="0" w:left="0" w:right="0"/>
            </w:pPr>
            <w:r>
              <w:t>BANK POLSKA KASA OPIEKI S.A. - SYSTEMATIC INTERNALISER</w:t>
            </w:r>
          </w:p>
        </w:tc>
      </w:tr>
      <w:tr>
        <w:trPr>
          <w:cnfStyle w:evenHBand="false" w:oddHBand="true" w:firstRow="false"/>
        </w:trPr>
        <w:tc>
          <w:tcPr>
            <w:cnfStyle w:evenVBand="false" w:oddVBand="true" w:firstColumn="false"/>
            <w:tcW w:w="33.333333%" w:type="pct"/>
          </w:tcPr>
          <w:p>
            <w:pPr>
              <w:ind w:leftChars="0" w:left="0" w:right="0"/>
            </w:pPr>
            <w:r>
              <w:t>PLDX</w:t>
            </w:r>
          </w:p>
        </w:tc>
        <w:tc>
          <w:tcPr>
            <w:cnfStyle w:evenVBand="true" w:oddVBand="false" w:firstColumn="false"/>
            <w:tcW w:w="33.333333%" w:type="pct"/>
          </w:tcPr>
          <w:p>
            <w:pPr>
              <w:ind w:leftChars="0" w:left="0" w:right="0"/>
            </w:pPr>
            <w:r>
              <w:t>PLDX</w:t>
            </w:r>
          </w:p>
        </w:tc>
        <w:tc>
          <w:tcPr>
            <w:cnfStyle w:evenVBand="false" w:oddVBand="true" w:firstColumn="false"/>
            <w:tcW w:w="33.333333%" w:type="pct"/>
          </w:tcPr>
          <w:p>
            <w:pPr>
              <w:ind w:leftChars="0" w:left="0" w:right="0"/>
            </w:pPr>
            <w:r>
              <w:t>PLUS DERIVATIVES EXCHANGE</w:t>
            </w:r>
          </w:p>
        </w:tc>
      </w:tr>
      <w:tr>
        <w:trPr>
          <w:cnfStyle w:evenHBand="true" w:oddHBand="false" w:firstRow="false"/>
        </w:trPr>
        <w:tc>
          <w:tcPr>
            <w:cnfStyle w:evenVBand="false" w:oddVBand="true" w:firstColumn="false"/>
            <w:tcW w:w="33.333333%" w:type="pct"/>
          </w:tcPr>
          <w:p>
            <w:pPr>
              <w:ind w:leftChars="0" w:left="0" w:right="0"/>
            </w:pPr>
            <w:r>
              <w:t>PLPD</w:t>
            </w:r>
          </w:p>
        </w:tc>
        <w:tc>
          <w:tcPr>
            <w:cnfStyle w:evenVBand="true" w:oddVBand="false" w:firstColumn="false"/>
            <w:tcW w:w="33.333333%" w:type="pct"/>
          </w:tcPr>
          <w:p>
            <w:pPr>
              <w:ind w:leftChars="0" w:left="0" w:right="0"/>
            </w:pPr>
            <w:r>
              <w:t>PLPD</w:t>
            </w:r>
          </w:p>
        </w:tc>
        <w:tc>
          <w:tcPr>
            <w:cnfStyle w:evenVBand="false" w:oddVBand="true" w:firstColumn="false"/>
            <w:tcW w:w="33.333333%" w:type="pct"/>
          </w:tcPr>
          <w:p>
            <w:pPr>
              <w:ind w:leftChars="0" w:left="0" w:right="0"/>
            </w:pPr>
            <w:r>
              <w:t>WARSAW STOCK EXCHANGE/POLISH POWER EXCHANGE/REGULATED MARKET</w:t>
            </w:r>
          </w:p>
        </w:tc>
      </w:tr>
      <w:tr>
        <w:trPr>
          <w:cnfStyle w:evenHBand="false" w:oddHBand="true" w:firstRow="false"/>
        </w:trPr>
        <w:tc>
          <w:tcPr>
            <w:cnfStyle w:evenVBand="false" w:oddVBand="true" w:firstColumn="false"/>
            <w:tcW w:w="33.333333%" w:type="pct"/>
          </w:tcPr>
          <w:p>
            <w:pPr>
              <w:ind w:leftChars="0" w:left="0" w:right="0"/>
            </w:pPr>
            <w:r>
              <w:t>PLPO</w:t>
            </w:r>
          </w:p>
        </w:tc>
        <w:tc>
          <w:tcPr>
            <w:cnfStyle w:evenVBand="true" w:oddVBand="false" w:firstColumn="false"/>
            <w:tcW w:w="33.333333%" w:type="pct"/>
          </w:tcPr>
          <w:p>
            <w:pPr>
              <w:ind w:leftChars="0" w:left="0" w:right="0"/>
            </w:pPr>
            <w:r>
              <w:t>PLPO</w:t>
            </w:r>
          </w:p>
        </w:tc>
        <w:tc>
          <w:tcPr>
            <w:cnfStyle w:evenVBand="false" w:oddVBand="true" w:firstColumn="false"/>
            <w:tcW w:w="33.333333%" w:type="pct"/>
          </w:tcPr>
          <w:p>
            <w:pPr>
              <w:ind w:leftChars="0" w:left="0" w:right="0"/>
            </w:pPr>
            <w:r>
              <w:t>WARSAW STOCK EXCHANGE/COMMODITIES/POLISH POWER - EXCHANGE/ORGANIZED TRADING FACILITIES</w:t>
            </w:r>
          </w:p>
        </w:tc>
      </w:tr>
      <w:tr>
        <w:trPr>
          <w:cnfStyle w:evenHBand="true" w:oddHBand="false" w:firstRow="false"/>
        </w:trPr>
        <w:tc>
          <w:tcPr>
            <w:cnfStyle w:evenVBand="false" w:oddVBand="true" w:firstColumn="false"/>
            <w:tcW w:w="33.333333%" w:type="pct"/>
          </w:tcPr>
          <w:p>
            <w:pPr>
              <w:ind w:leftChars="0" w:left="0" w:right="0"/>
            </w:pPr>
            <w:r>
              <w:t>PLPS</w:t>
            </w:r>
          </w:p>
        </w:tc>
        <w:tc>
          <w:tcPr>
            <w:cnfStyle w:evenVBand="true" w:oddVBand="false" w:firstColumn="false"/>
            <w:tcW w:w="33.333333%" w:type="pct"/>
          </w:tcPr>
          <w:p>
            <w:pPr>
              <w:ind w:leftChars="0" w:left="0" w:right="0"/>
            </w:pPr>
            <w:r>
              <w:t>PLPS</w:t>
            </w:r>
          </w:p>
        </w:tc>
        <w:tc>
          <w:tcPr>
            <w:cnfStyle w:evenVBand="false" w:oddVBand="true" w:firstColumn="false"/>
            <w:tcW w:w="33.333333%" w:type="pct"/>
          </w:tcPr>
          <w:p>
            <w:pPr>
              <w:ind w:leftChars="0" w:left="0" w:right="0"/>
            </w:pPr>
            <w:r>
              <w:t>WARSAW STOCK EXCHANGE/COMMODITIES/POLISH POWER EXCHANGE/SPOT</w:t>
            </w:r>
          </w:p>
        </w:tc>
      </w:tr>
      <w:tr>
        <w:trPr>
          <w:cnfStyle w:evenHBand="false" w:oddHBand="true" w:firstRow="false"/>
        </w:trPr>
        <w:tc>
          <w:tcPr>
            <w:cnfStyle w:evenVBand="false" w:oddVBand="true" w:firstColumn="false"/>
            <w:tcW w:w="33.333333%" w:type="pct"/>
          </w:tcPr>
          <w:p>
            <w:pPr>
              <w:ind w:leftChars="0" w:left="0" w:right="0"/>
            </w:pPr>
            <w:r>
              <w:t>PLPX</w:t>
            </w:r>
          </w:p>
        </w:tc>
        <w:tc>
          <w:tcPr>
            <w:cnfStyle w:evenVBand="true" w:oddVBand="false" w:firstColumn="false"/>
            <w:tcW w:w="33.333333%" w:type="pct"/>
          </w:tcPr>
          <w:p>
            <w:pPr>
              <w:ind w:leftChars="0" w:left="0" w:right="0"/>
            </w:pPr>
            <w:r>
              <w:t>PLPX</w:t>
            </w:r>
          </w:p>
        </w:tc>
        <w:tc>
          <w:tcPr>
            <w:cnfStyle w:evenVBand="false" w:oddVBand="true" w:firstColumn="false"/>
            <w:tcW w:w="33.333333%" w:type="pct"/>
          </w:tcPr>
          <w:p>
            <w:pPr>
              <w:ind w:leftChars="0" w:left="0" w:right="0"/>
            </w:pPr>
            <w:r>
              <w:t>WARSAW STOCK EXCHANGE/COMMODITIES/POLISH POWER EXCHANGE/ENERGY MARKET</w:t>
            </w:r>
          </w:p>
        </w:tc>
      </w:tr>
      <w:tr>
        <w:trPr>
          <w:cnfStyle w:evenHBand="true" w:oddHBand="false" w:firstRow="false"/>
        </w:trPr>
        <w:tc>
          <w:tcPr>
            <w:cnfStyle w:evenVBand="false" w:oddVBand="true" w:firstColumn="false"/>
            <w:tcW w:w="33.333333%" w:type="pct"/>
          </w:tcPr>
          <w:p>
            <w:pPr>
              <w:ind w:leftChars="0" w:left="0" w:right="0"/>
            </w:pPr>
            <w:r>
              <w:t>PLSX</w:t>
            </w:r>
          </w:p>
        </w:tc>
        <w:tc>
          <w:tcPr>
            <w:cnfStyle w:evenVBand="true" w:oddVBand="false" w:firstColumn="false"/>
            <w:tcW w:w="33.333333%" w:type="pct"/>
          </w:tcPr>
          <w:p>
            <w:pPr>
              <w:ind w:leftChars="0" w:left="0" w:right="0"/>
            </w:pPr>
            <w:r>
              <w:t>PLSX</w:t>
            </w:r>
          </w:p>
        </w:tc>
        <w:tc>
          <w:tcPr>
            <w:cnfStyle w:evenVBand="false" w:oddVBand="true" w:firstColumn="false"/>
            <w:tcW w:w="33.333333%" w:type="pct"/>
          </w:tcPr>
          <w:p>
            <w:pPr>
              <w:ind w:leftChars="0" w:left="0" w:right="0"/>
            </w:pPr>
            <w:r>
              <w:t>PLUS STOCK EXCHANGE</w:t>
            </w:r>
          </w:p>
        </w:tc>
      </w:tr>
      <w:tr>
        <w:trPr>
          <w:cnfStyle w:evenHBand="false" w:oddHBand="true" w:firstRow="false"/>
        </w:trPr>
        <w:tc>
          <w:tcPr>
            <w:cnfStyle w:evenVBand="false" w:oddVBand="true" w:firstColumn="false"/>
            <w:tcW w:w="33.333333%" w:type="pct"/>
          </w:tcPr>
          <w:p>
            <w:pPr>
              <w:ind w:leftChars="0" w:left="0" w:right="0"/>
            </w:pPr>
            <w:r>
              <w:t>PLUS</w:t>
            </w:r>
          </w:p>
        </w:tc>
        <w:tc>
          <w:tcPr>
            <w:cnfStyle w:evenVBand="true" w:oddVBand="false" w:firstColumn="false"/>
            <w:tcW w:w="33.333333%" w:type="pct"/>
          </w:tcPr>
          <w:p>
            <w:pPr>
              <w:ind w:leftChars="0" w:left="0" w:right="0"/>
            </w:pPr>
            <w:r>
              <w:t>PLUS</w:t>
            </w:r>
          </w:p>
        </w:tc>
        <w:tc>
          <w:tcPr>
            <w:cnfStyle w:evenVBand="false" w:oddVBand="true" w:firstColumn="false"/>
            <w:tcW w:w="33.333333%" w:type="pct"/>
          </w:tcPr>
          <w:p>
            <w:pPr>
              <w:ind w:leftChars="0" w:left="0" w:right="0"/>
            </w:pPr>
            <w:r>
              <w:t>BOERSE MUENCHEN - FREIVERKHER - PLUS - EUROPE</w:t>
            </w:r>
          </w:p>
        </w:tc>
      </w:tr>
      <w:tr>
        <w:trPr>
          <w:cnfStyle w:evenHBand="true" w:oddHBand="false" w:firstRow="false"/>
        </w:trPr>
        <w:tc>
          <w:tcPr>
            <w:cnfStyle w:evenVBand="false" w:oddVBand="true" w:firstColumn="false"/>
            <w:tcW w:w="33.333333%" w:type="pct"/>
          </w:tcPr>
          <w:p>
            <w:pPr>
              <w:ind w:leftChars="0" w:left="0" w:right="0"/>
            </w:pPr>
            <w:r>
              <w:t>PMTS</w:t>
            </w:r>
          </w:p>
        </w:tc>
        <w:tc>
          <w:tcPr>
            <w:cnfStyle w:evenVBand="true" w:oddVBand="false" w:firstColumn="false"/>
            <w:tcW w:w="33.333333%" w:type="pct"/>
          </w:tcPr>
          <w:p>
            <w:pPr>
              <w:ind w:leftChars="0" w:left="0" w:right="0"/>
            </w:pPr>
            <w:r>
              <w:t>PMTS</w:t>
            </w:r>
          </w:p>
        </w:tc>
        <w:tc>
          <w:tcPr>
            <w:cnfStyle w:evenVBand="false" w:oddVBand="true" w:firstColumn="false"/>
            <w:tcW w:w="33.333333%" w:type="pct"/>
          </w:tcPr>
          <w:p>
            <w:pPr>
              <w:ind w:leftChars="0" w:left="0" w:right="0"/>
            </w:pPr>
            <w:r>
              <w:t>MTS PORTUGAL SGMR, SA</w:t>
            </w:r>
          </w:p>
        </w:tc>
      </w:tr>
      <w:tr>
        <w:trPr>
          <w:cnfStyle w:evenHBand="false" w:oddHBand="true" w:firstRow="false"/>
        </w:trPr>
        <w:tc>
          <w:tcPr>
            <w:cnfStyle w:evenVBand="false" w:oddVBand="true" w:firstColumn="false"/>
            <w:tcW w:w="33.333333%" w:type="pct"/>
          </w:tcPr>
          <w:p>
            <w:pPr>
              <w:ind w:leftChars="0" w:left="0" w:right="0"/>
            </w:pPr>
            <w:r>
              <w:t>PNED</w:t>
            </w:r>
          </w:p>
        </w:tc>
        <w:tc>
          <w:tcPr>
            <w:cnfStyle w:evenVBand="true" w:oddVBand="false" w:firstColumn="false"/>
            <w:tcW w:w="33.333333%" w:type="pct"/>
          </w:tcPr>
          <w:p>
            <w:pPr>
              <w:ind w:leftChars="0" w:left="0" w:right="0"/>
            </w:pPr>
            <w:r>
              <w:t>PNED</w:t>
            </w:r>
          </w:p>
        </w:tc>
        <w:tc>
          <w:tcPr>
            <w:cnfStyle w:evenVBand="false" w:oddVBand="true" w:firstColumn="false"/>
            <w:tcW w:w="33.333333%" w:type="pct"/>
          </w:tcPr>
          <w:p>
            <w:pPr>
              <w:ind w:leftChars="0" w:left="0" w:right="0"/>
            </w:pPr>
            <w:r>
              <w:t>NASDAQ STOCKHOLM AB - PAN-NORDIC EQ DERIVATIVES</w:t>
            </w:r>
          </w:p>
        </w:tc>
      </w:tr>
      <w:tr>
        <w:trPr>
          <w:cnfStyle w:evenHBand="true" w:oddHBand="false" w:firstRow="false"/>
        </w:trPr>
        <w:tc>
          <w:tcPr>
            <w:cnfStyle w:evenVBand="false" w:oddVBand="true" w:firstColumn="false"/>
            <w:tcW w:w="33.333333%" w:type="pct"/>
          </w:tcPr>
          <w:p>
            <w:pPr>
              <w:ind w:leftChars="0" w:left="0" w:right="0"/>
            </w:pPr>
            <w:r>
              <w:t>POEE</w:t>
            </w:r>
          </w:p>
        </w:tc>
        <w:tc>
          <w:tcPr>
            <w:cnfStyle w:evenVBand="true" w:oddVBand="false" w:firstColumn="false"/>
            <w:tcW w:w="33.333333%" w:type="pct"/>
          </w:tcPr>
          <w:p>
            <w:pPr>
              <w:ind w:leftChars="0" w:left="0" w:right="0"/>
            </w:pPr>
            <w:r>
              <w:t>POEE</w:t>
            </w:r>
          </w:p>
        </w:tc>
        <w:tc>
          <w:tcPr>
            <w:cnfStyle w:evenVBand="false" w:oddVBand="true" w:firstColumn="false"/>
            <w:tcW w:w="33.333333%" w:type="pct"/>
          </w:tcPr>
          <w:p>
            <w:pPr>
              <w:ind w:leftChars="0" w:left="0" w:right="0"/>
            </w:pPr>
            <w:r>
              <w:t>WARSAW STOCK EXCHANGE/ENERGY MARKET/POEE</w:t>
            </w:r>
          </w:p>
        </w:tc>
      </w:tr>
      <w:tr>
        <w:trPr>
          <w:cnfStyle w:evenHBand="false" w:oddHBand="true" w:firstRow="false"/>
        </w:trPr>
        <w:tc>
          <w:tcPr>
            <w:cnfStyle w:evenVBand="false" w:oddVBand="true" w:firstColumn="false"/>
            <w:tcW w:w="33.333333%" w:type="pct"/>
          </w:tcPr>
          <w:p>
            <w:pPr>
              <w:ind w:leftChars="0" w:left="0" w:right="0"/>
            </w:pPr>
            <w:r>
              <w:t>PORT</w:t>
            </w:r>
          </w:p>
        </w:tc>
        <w:tc>
          <w:tcPr>
            <w:cnfStyle w:evenVBand="true" w:oddVBand="false" w:firstColumn="false"/>
            <w:tcW w:w="33.333333%" w:type="pct"/>
          </w:tcPr>
          <w:p>
            <w:pPr>
              <w:ind w:leftChars="0" w:left="0" w:right="0"/>
            </w:pPr>
            <w:r>
              <w:t>PORT</w:t>
            </w:r>
          </w:p>
        </w:tc>
        <w:tc>
          <w:tcPr>
            <w:cnfStyle w:evenVBand="false" w:oddVBand="true" w:firstColumn="false"/>
            <w:tcW w:w="33.333333%" w:type="pct"/>
          </w:tcPr>
          <w:p>
            <w:pPr>
              <w:ind w:leftChars="0" w:left="0" w:right="0"/>
            </w:pPr>
            <w:r>
              <w:t>MTS PORTUGAL</w:t>
            </w:r>
          </w:p>
        </w:tc>
      </w:tr>
      <w:tr>
        <w:trPr>
          <w:cnfStyle w:evenHBand="true" w:oddHBand="false" w:firstRow="false"/>
        </w:trPr>
        <w:tc>
          <w:tcPr>
            <w:cnfStyle w:evenVBand="false" w:oddVBand="true" w:firstColumn="false"/>
            <w:tcW w:w="33.333333%" w:type="pct"/>
          </w:tcPr>
          <w:p>
            <w:pPr>
              <w:ind w:leftChars="0" w:left="0" w:right="0"/>
            </w:pPr>
            <w:r>
              <w:t>POSE</w:t>
            </w:r>
          </w:p>
        </w:tc>
        <w:tc>
          <w:tcPr>
            <w:cnfStyle w:evenVBand="true" w:oddVBand="false" w:firstColumn="false"/>
            <w:tcW w:w="33.333333%" w:type="pct"/>
          </w:tcPr>
          <w:p>
            <w:pPr>
              <w:ind w:leftChars="0" w:left="0" w:right="0"/>
            </w:pPr>
            <w:r>
              <w:t>POSE</w:t>
            </w:r>
          </w:p>
        </w:tc>
        <w:tc>
          <w:tcPr>
            <w:cnfStyle w:evenVBand="false" w:oddVBand="true" w:firstColumn="false"/>
            <w:tcW w:w="33.333333%" w:type="pct"/>
          </w:tcPr>
          <w:p>
            <w:pPr>
              <w:ind w:leftChars="0" w:left="0" w:right="0"/>
            </w:pPr>
            <w:r>
              <w:t>PORTFOLIO STOCK EXCHANGE</w:t>
            </w:r>
          </w:p>
        </w:tc>
      </w:tr>
      <w:tr>
        <w:trPr>
          <w:cnfStyle w:evenHBand="false" w:oddHBand="true" w:firstRow="false"/>
        </w:trPr>
        <w:tc>
          <w:tcPr>
            <w:cnfStyle w:evenVBand="false" w:oddVBand="true" w:firstColumn="false"/>
            <w:tcW w:w="33.333333%" w:type="pct"/>
          </w:tcPr>
          <w:p>
            <w:pPr>
              <w:ind w:leftChars="0" w:left="0" w:right="0"/>
            </w:pPr>
            <w:r>
              <w:t>POTC</w:t>
            </w:r>
          </w:p>
        </w:tc>
        <w:tc>
          <w:tcPr>
            <w:cnfStyle w:evenVBand="true" w:oddVBand="false" w:firstColumn="false"/>
            <w:tcW w:w="33.333333%" w:type="pct"/>
          </w:tcPr>
          <w:p>
            <w:pPr>
              <w:ind w:leftChars="0" w:left="0" w:right="0"/>
            </w:pPr>
            <w:r>
              <w:t>POTC</w:t>
            </w:r>
          </w:p>
        </w:tc>
        <w:tc>
          <w:tcPr>
            <w:cnfStyle w:evenVBand="false" w:oddVBand="true" w:firstColumn="false"/>
            <w:tcW w:w="33.333333%" w:type="pct"/>
          </w:tcPr>
          <w:p>
            <w:pPr>
              <w:ind w:leftChars="0" w:left="0" w:right="0"/>
            </w:pPr>
            <w:r>
              <w:t>PACIFIC OTC</w:t>
            </w:r>
          </w:p>
        </w:tc>
      </w:tr>
      <w:tr>
        <w:trPr>
          <w:cnfStyle w:evenHBand="true" w:oddHBand="false" w:firstRow="false"/>
        </w:trPr>
        <w:tc>
          <w:tcPr>
            <w:cnfStyle w:evenVBand="false" w:oddVBand="true" w:firstColumn="false"/>
            <w:tcW w:w="33.333333%" w:type="pct"/>
          </w:tcPr>
          <w:p>
            <w:pPr>
              <w:ind w:leftChars="0" w:left="0" w:right="0"/>
            </w:pPr>
            <w:r>
              <w:t>PPEX</w:t>
            </w:r>
          </w:p>
        </w:tc>
        <w:tc>
          <w:tcPr>
            <w:cnfStyle w:evenVBand="true" w:oddVBand="false" w:firstColumn="false"/>
            <w:tcW w:w="33.333333%" w:type="pct"/>
          </w:tcPr>
          <w:p>
            <w:pPr>
              <w:ind w:leftChars="0" w:left="0" w:right="0"/>
            </w:pPr>
            <w:r>
              <w:t>PPEX</w:t>
            </w:r>
          </w:p>
        </w:tc>
        <w:tc>
          <w:tcPr>
            <w:cnfStyle w:evenVBand="false" w:oddVBand="true" w:firstColumn="false"/>
            <w:tcW w:w="33.333333%" w:type="pct"/>
          </w:tcPr>
          <w:p>
            <w:pPr>
              <w:ind w:leftChars="0" w:left="0" w:right="0"/>
            </w:pPr>
            <w:r>
              <w:t>PROPERTY PARTNER EXCHANGE</w:t>
            </w:r>
          </w:p>
        </w:tc>
      </w:tr>
      <w:tr>
        <w:trPr>
          <w:cnfStyle w:evenHBand="false" w:oddHBand="true" w:firstRow="false"/>
        </w:trPr>
        <w:tc>
          <w:tcPr>
            <w:cnfStyle w:evenVBand="false" w:oddVBand="true" w:firstColumn="false"/>
            <w:tcW w:w="33.333333%" w:type="pct"/>
          </w:tcPr>
          <w:p>
            <w:pPr>
              <w:ind w:leftChars="0" w:left="0" w:right="0"/>
            </w:pPr>
            <w:r>
              <w:t>PRME</w:t>
            </w:r>
          </w:p>
        </w:tc>
        <w:tc>
          <w:tcPr>
            <w:cnfStyle w:evenVBand="true" w:oddVBand="false" w:firstColumn="false"/>
            <w:tcW w:w="33.333333%" w:type="pct"/>
          </w:tcPr>
          <w:p>
            <w:pPr>
              <w:ind w:leftChars="0" w:left="0" w:right="0"/>
            </w:pPr>
            <w:r>
              <w:t>PRME</w:t>
            </w:r>
          </w:p>
        </w:tc>
        <w:tc>
          <w:tcPr>
            <w:cnfStyle w:evenVBand="false" w:oddVBand="true" w:firstColumn="false"/>
            <w:tcW w:w="33.333333%" w:type="pct"/>
          </w:tcPr>
          <w:p>
            <w:pPr>
              <w:ind w:leftChars="0" w:left="0" w:right="0"/>
            </w:pPr>
            <w:r>
              <w:t>MTS PRIME</w:t>
            </w:r>
          </w:p>
        </w:tc>
      </w:tr>
      <w:tr>
        <w:trPr>
          <w:cnfStyle w:evenHBand="true" w:oddHBand="false" w:firstRow="false"/>
        </w:trPr>
        <w:tc>
          <w:tcPr>
            <w:cnfStyle w:evenVBand="false" w:oddVBand="true" w:firstColumn="false"/>
            <w:tcW w:w="33.333333%" w:type="pct"/>
          </w:tcPr>
          <w:p>
            <w:pPr>
              <w:ind w:leftChars="0" w:left="0" w:right="0"/>
            </w:pPr>
            <w:r>
              <w:t>PROS</w:t>
            </w:r>
          </w:p>
        </w:tc>
        <w:tc>
          <w:tcPr>
            <w:cnfStyle w:evenVBand="true" w:oddVBand="false" w:firstColumn="false"/>
            <w:tcW w:w="33.333333%" w:type="pct"/>
          </w:tcPr>
          <w:p>
            <w:pPr>
              <w:ind w:leftChars="0" w:left="0" w:right="0"/>
            </w:pPr>
            <w:r>
              <w:t>PROS</w:t>
            </w:r>
          </w:p>
        </w:tc>
        <w:tc>
          <w:tcPr>
            <w:cnfStyle w:evenVBand="false" w:oddVBand="true" w:firstColumn="false"/>
            <w:tcW w:w="33.333333%" w:type="pct"/>
          </w:tcPr>
          <w:p>
            <w:pPr>
              <w:ind w:leftChars="0" w:left="0" w:right="0"/>
            </w:pPr>
            <w:r>
              <w:t>PROSPECTS</w:t>
            </w:r>
          </w:p>
        </w:tc>
      </w:tr>
      <w:tr>
        <w:trPr>
          <w:cnfStyle w:evenHBand="false" w:oddHBand="true" w:firstRow="false"/>
        </w:trPr>
        <w:tc>
          <w:tcPr>
            <w:cnfStyle w:evenVBand="false" w:oddVBand="true" w:firstColumn="false"/>
            <w:tcW w:w="33.333333%" w:type="pct"/>
          </w:tcPr>
          <w:p>
            <w:pPr>
              <w:ind w:leftChars="0" w:left="0" w:right="0"/>
            </w:pPr>
            <w:r>
              <w:t>PRSE</w:t>
            </w:r>
          </w:p>
        </w:tc>
        <w:tc>
          <w:tcPr>
            <w:cnfStyle w:evenVBand="true" w:oddVBand="false" w:firstColumn="false"/>
            <w:tcW w:w="33.333333%" w:type="pct"/>
          </w:tcPr>
          <w:p>
            <w:pPr>
              <w:ind w:leftChars="0" w:left="0" w:right="0"/>
            </w:pPr>
            <w:r>
              <w:t>PRSE</w:t>
            </w:r>
          </w:p>
        </w:tc>
        <w:tc>
          <w:tcPr>
            <w:cnfStyle w:evenVBand="false" w:oddVBand="true" w:firstColumn="false"/>
            <w:tcW w:w="33.333333%" w:type="pct"/>
          </w:tcPr>
          <w:p>
            <w:pPr>
              <w:ind w:leftChars="0" w:left="0" w:right="0"/>
            </w:pPr>
            <w:r>
              <w:t>PRAGMA ATS</w:t>
            </w:r>
          </w:p>
        </w:tc>
      </w:tr>
      <w:tr>
        <w:trPr>
          <w:cnfStyle w:evenHBand="true" w:oddHBand="false" w:firstRow="false"/>
        </w:trPr>
        <w:tc>
          <w:tcPr>
            <w:cnfStyle w:evenVBand="false" w:oddVBand="true" w:firstColumn="false"/>
            <w:tcW w:w="33.333333%" w:type="pct"/>
          </w:tcPr>
          <w:p>
            <w:pPr>
              <w:ind w:leftChars="0" w:left="0" w:right="0"/>
            </w:pPr>
            <w:r>
              <w:t>PSGM</w:t>
            </w:r>
          </w:p>
        </w:tc>
        <w:tc>
          <w:tcPr>
            <w:cnfStyle w:evenVBand="true" w:oddVBand="false" w:firstColumn="false"/>
            <w:tcW w:w="33.333333%" w:type="pct"/>
          </w:tcPr>
          <w:p>
            <w:pPr>
              <w:ind w:leftChars="0" w:left="0" w:right="0"/>
            </w:pPr>
            <w:r>
              <w:t>PSGM</w:t>
            </w:r>
          </w:p>
        </w:tc>
        <w:tc>
          <w:tcPr>
            <w:cnfStyle w:evenVBand="false" w:oddVBand="true" w:firstColumn="false"/>
            <w:tcW w:w="33.333333%" w:type="pct"/>
          </w:tcPr>
          <w:p>
            <w:pPr>
              <w:ind w:leftChars="0" w:left="0" w:right="0"/>
            </w:pPr>
            <w:r>
              <w:t>OTC GREY MARKET</w:t>
            </w:r>
          </w:p>
        </w:tc>
      </w:tr>
      <w:tr>
        <w:trPr>
          <w:cnfStyle w:evenHBand="false" w:oddHBand="true" w:firstRow="false"/>
        </w:trPr>
        <w:tc>
          <w:tcPr>
            <w:cnfStyle w:evenVBand="false" w:oddVBand="true" w:firstColumn="false"/>
            <w:tcW w:w="33.333333%" w:type="pct"/>
          </w:tcPr>
          <w:p>
            <w:pPr>
              <w:ind w:leftChars="0" w:left="0" w:right="0"/>
            </w:pPr>
            <w:r>
              <w:t>PSXD</w:t>
            </w:r>
          </w:p>
        </w:tc>
        <w:tc>
          <w:tcPr>
            <w:cnfStyle w:evenVBand="true" w:oddVBand="false" w:firstColumn="false"/>
            <w:tcW w:w="33.333333%" w:type="pct"/>
          </w:tcPr>
          <w:p>
            <w:pPr>
              <w:ind w:leftChars="0" w:left="0" w:right="0"/>
            </w:pPr>
            <w:r>
              <w:t>PSXD</w:t>
            </w:r>
          </w:p>
        </w:tc>
        <w:tc>
          <w:tcPr>
            <w:cnfStyle w:evenVBand="false" w:oddVBand="true" w:firstColumn="false"/>
            <w:tcW w:w="33.333333%" w:type="pct"/>
          </w:tcPr>
          <w:p>
            <w:pPr>
              <w:ind w:leftChars="0" w:left="0" w:right="0"/>
            </w:pPr>
            <w:r>
              <w:t>NASDAQ PSX</w:t>
            </w:r>
          </w:p>
        </w:tc>
      </w:tr>
      <w:tr>
        <w:trPr>
          <w:cnfStyle w:evenHBand="true" w:oddHBand="false" w:firstRow="false"/>
        </w:trPr>
        <w:tc>
          <w:tcPr>
            <w:cnfStyle w:evenVBand="false" w:oddVBand="true" w:firstColumn="false"/>
            <w:tcW w:w="33.333333%" w:type="pct"/>
          </w:tcPr>
          <w:p>
            <w:pPr>
              <w:ind w:leftChars="0" w:left="0" w:right="0"/>
            </w:pPr>
            <w:r>
              <w:t>PTPG</w:t>
            </w:r>
          </w:p>
        </w:tc>
        <w:tc>
          <w:tcPr>
            <w:cnfStyle w:evenVBand="true" w:oddVBand="false" w:firstColumn="false"/>
            <w:tcW w:w="33.333333%" w:type="pct"/>
          </w:tcPr>
          <w:p>
            <w:pPr>
              <w:ind w:leftChars="0" w:left="0" w:right="0"/>
            </w:pPr>
            <w:r>
              <w:t>PTPG</w:t>
            </w:r>
          </w:p>
        </w:tc>
        <w:tc>
          <w:tcPr>
            <w:cnfStyle w:evenVBand="false" w:oddVBand="true" w:firstColumn="false"/>
            <w:tcW w:w="33.333333%" w:type="pct"/>
          </w:tcPr>
          <w:p>
            <w:pPr>
              <w:ind w:leftChars="0" w:left="0" w:right="0"/>
            </w:pPr>
            <w:r>
              <w:t>POLISH TRADING POINT</w:t>
            </w:r>
          </w:p>
        </w:tc>
      </w:tr>
      <w:tr>
        <w:trPr>
          <w:cnfStyle w:evenHBand="false" w:oddHBand="true" w:firstRow="false"/>
        </w:trPr>
        <w:tc>
          <w:tcPr>
            <w:cnfStyle w:evenVBand="false" w:oddVBand="true" w:firstColumn="false"/>
            <w:tcW w:w="33.333333%" w:type="pct"/>
          </w:tcPr>
          <w:p>
            <w:pPr>
              <w:ind w:leftChars="0" w:left="0" w:right="0"/>
            </w:pPr>
            <w:r>
              <w:t>PULX</w:t>
            </w:r>
          </w:p>
        </w:tc>
        <w:tc>
          <w:tcPr>
            <w:cnfStyle w:evenVBand="true" w:oddVBand="false" w:firstColumn="false"/>
            <w:tcW w:w="33.333333%" w:type="pct"/>
          </w:tcPr>
          <w:p>
            <w:pPr>
              <w:ind w:leftChars="0" w:left="0" w:right="0"/>
            </w:pPr>
            <w:r>
              <w:t>PULX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PUMA</w:t>
            </w:r>
          </w:p>
        </w:tc>
        <w:tc>
          <w:tcPr>
            <w:cnfStyle w:evenVBand="true" w:oddVBand="false" w:firstColumn="false"/>
            <w:tcW w:w="33.333333%" w:type="pct"/>
          </w:tcPr>
          <w:p>
            <w:pPr>
              <w:ind w:leftChars="0" w:left="0" w:right="0"/>
            </w:pPr>
            <w:r>
              <w:t>PUMA</w:t>
            </w:r>
          </w:p>
        </w:tc>
        <w:tc>
          <w:tcPr>
            <w:cnfStyle w:evenVBand="false" w:oddVBand="true" w:firstColumn="false"/>
            <w:tcW w:w="33.333333%" w:type="pct"/>
          </w:tcPr>
          <w:p>
            <w:pPr>
              <w:ind w:leftChars="0" w:left="0" w:right="0"/>
            </w:pPr>
            <w:r>
              <w:t>PUMA CAPITAL, LLC</w:t>
            </w:r>
          </w:p>
        </w:tc>
      </w:tr>
      <w:tr>
        <w:trPr>
          <w:cnfStyle w:evenHBand="false" w:oddHBand="true" w:firstRow="false"/>
        </w:trPr>
        <w:tc>
          <w:tcPr>
            <w:cnfStyle w:evenVBand="false" w:oddVBand="true" w:firstColumn="false"/>
            <w:tcW w:w="33.333333%" w:type="pct"/>
          </w:tcPr>
          <w:p>
            <w:pPr>
              <w:ind w:leftChars="0" w:left="0" w:right="0"/>
            </w:pPr>
            <w:r>
              <w:t>PUMX</w:t>
            </w:r>
          </w:p>
        </w:tc>
        <w:tc>
          <w:tcPr>
            <w:cnfStyle w:evenVBand="true" w:oddVBand="false" w:firstColumn="false"/>
            <w:tcW w:w="33.333333%" w:type="pct"/>
          </w:tcPr>
          <w:p>
            <w:pPr>
              <w:ind w:leftChars="0" w:left="0" w:right="0"/>
            </w:pPr>
            <w:r>
              <w:t>PUMX</w:t>
            </w:r>
          </w:p>
        </w:tc>
        <w:tc>
          <w:tcPr>
            <w:cnfStyle w:evenVBand="false" w:oddVBand="true" w:firstColumn="false"/>
            <w:tcW w:w="33.333333%" w:type="pct"/>
          </w:tcPr>
          <w:p>
            <w:pPr>
              <w:ind w:leftChars="0" w:left="0" w:right="0"/>
            </w:pPr>
            <w:r>
              <w:t>PUMA CAPITAL, LLC - OPTIONS</w:t>
            </w:r>
          </w:p>
        </w:tc>
      </w:tr>
      <w:tr>
        <w:trPr>
          <w:cnfStyle w:evenHBand="true" w:oddHBand="false" w:firstRow="false"/>
        </w:trPr>
        <w:tc>
          <w:tcPr>
            <w:cnfStyle w:evenVBand="false" w:oddVBand="true" w:firstColumn="false"/>
            <w:tcW w:w="33.333333%" w:type="pct"/>
          </w:tcPr>
          <w:p>
            <w:pPr>
              <w:ind w:leftChars="0" w:left="0" w:right="0"/>
            </w:pPr>
            <w:r>
              <w:t>PUND</w:t>
            </w:r>
          </w:p>
        </w:tc>
        <w:tc>
          <w:tcPr>
            <w:cnfStyle w:evenVBand="true" w:oddVBand="false" w:firstColumn="false"/>
            <w:tcW w:w="33.333333%" w:type="pct"/>
          </w:tcPr>
          <w:p>
            <w:pPr>
              <w:ind w:leftChars="0" w:left="0" w:right="0"/>
            </w:pPr>
            <w:r>
              <w:t>PUND</w:t>
            </w:r>
          </w:p>
        </w:tc>
        <w:tc>
          <w:tcPr>
            <w:cnfStyle w:evenVBand="false" w:oddVBand="true" w:firstColumn="false"/>
            <w:tcW w:w="33.333333%" w:type="pct"/>
          </w:tcPr>
          <w:p>
            <w:pPr>
              <w:ind w:leftChars="0" w:left="0" w:right="0"/>
            </w:pPr>
            <w:r>
              <w:t>PUNDION LLC</w:t>
            </w:r>
          </w:p>
        </w:tc>
      </w:tr>
      <w:tr>
        <w:trPr>
          <w:cnfStyle w:evenHBand="false" w:oddHBand="true" w:firstRow="false"/>
        </w:trPr>
        <w:tc>
          <w:tcPr>
            <w:cnfStyle w:evenVBand="false" w:oddVBand="true" w:firstColumn="false"/>
            <w:tcW w:w="33.333333%" w:type="pct"/>
          </w:tcPr>
          <w:p>
            <w:pPr>
              <w:ind w:leftChars="0" w:left="0" w:right="0"/>
            </w:pPr>
            <w:r>
              <w:t>PURE</w:t>
            </w:r>
          </w:p>
        </w:tc>
        <w:tc>
          <w:tcPr>
            <w:cnfStyle w:evenVBand="true" w:oddVBand="false" w:firstColumn="false"/>
            <w:tcW w:w="33.333333%" w:type="pct"/>
          </w:tcPr>
          <w:p>
            <w:pPr>
              <w:ind w:leftChars="0" w:left="0" w:right="0"/>
            </w:pPr>
            <w:r>
              <w:t>PURE</w:t>
            </w:r>
          </w:p>
        </w:tc>
        <w:tc>
          <w:tcPr>
            <w:cnfStyle w:evenVBand="false" w:oddVBand="true" w:firstColumn="false"/>
            <w:tcW w:w="33.333333%" w:type="pct"/>
          </w:tcPr>
          <w:p>
            <w:pPr>
              <w:ind w:leftChars="0" w:left="0" w:right="0"/>
            </w:pPr>
            <w:r>
              <w:t>CANADIAN SECURITIES EXCHANGE - PURE</w:t>
            </w:r>
          </w:p>
        </w:tc>
      </w:tr>
      <w:tr>
        <w:trPr>
          <w:cnfStyle w:evenHBand="true" w:oddHBand="false" w:firstRow="false"/>
        </w:trPr>
        <w:tc>
          <w:tcPr>
            <w:cnfStyle w:evenVBand="false" w:oddVBand="true" w:firstColumn="false"/>
            <w:tcW w:w="33.333333%" w:type="pct"/>
          </w:tcPr>
          <w:p>
            <w:pPr>
              <w:ind w:leftChars="0" w:left="0" w:right="0"/>
            </w:pPr>
            <w:r>
              <w:t>PVMF</w:t>
            </w:r>
          </w:p>
        </w:tc>
        <w:tc>
          <w:tcPr>
            <w:cnfStyle w:evenVBand="true" w:oddVBand="false" w:firstColumn="false"/>
            <w:tcW w:w="33.333333%" w:type="pct"/>
          </w:tcPr>
          <w:p>
            <w:pPr>
              <w:ind w:leftChars="0" w:left="0" w:right="0"/>
            </w:pPr>
            <w:r>
              <w:t>PVMF</w:t>
            </w:r>
          </w:p>
        </w:tc>
        <w:tc>
          <w:tcPr>
            <w:cnfStyle w:evenVBand="false" w:oddVBand="true" w:firstColumn="false"/>
            <w:tcW w:w="33.333333%" w:type="pct"/>
          </w:tcPr>
          <w:p>
            <w:pPr>
              <w:ind w:leftChars="0" w:left="0" w:right="0"/>
            </w:pPr>
            <w:r>
              <w:t>PVM OTF</w:t>
            </w:r>
          </w:p>
        </w:tc>
      </w:tr>
      <w:tr>
        <w:trPr>
          <w:cnfStyle w:evenHBand="false" w:oddHBand="true" w:firstRow="false"/>
        </w:trPr>
        <w:tc>
          <w:tcPr>
            <w:cnfStyle w:evenVBand="false" w:oddVBand="true" w:firstColumn="false"/>
            <w:tcW w:w="33.333333%" w:type="pct"/>
          </w:tcPr>
          <w:p>
            <w:pPr>
              <w:ind w:leftChars="0" w:left="0" w:right="0"/>
            </w:pPr>
            <w:r>
              <w:t>PXIL</w:t>
            </w:r>
          </w:p>
        </w:tc>
        <w:tc>
          <w:tcPr>
            <w:cnfStyle w:evenVBand="true" w:oddVBand="false" w:firstColumn="false"/>
            <w:tcW w:w="33.333333%" w:type="pct"/>
          </w:tcPr>
          <w:p>
            <w:pPr>
              <w:ind w:leftChars="0" w:left="0" w:right="0"/>
            </w:pPr>
            <w:r>
              <w:t>PXIL</w:t>
            </w:r>
          </w:p>
        </w:tc>
        <w:tc>
          <w:tcPr>
            <w:cnfStyle w:evenVBand="false" w:oddVBand="true" w:firstColumn="false"/>
            <w:tcW w:w="33.333333%" w:type="pct"/>
          </w:tcPr>
          <w:p>
            <w:pPr>
              <w:ind w:leftChars="0" w:left="0" w:right="0"/>
            </w:pPr>
            <w:r>
              <w:t>POWER EXCHANGE INDIA LTD.</w:t>
            </w:r>
          </w:p>
        </w:tc>
      </w:tr>
      <w:tr>
        <w:trPr>
          <w:cnfStyle w:evenHBand="true" w:oddHBand="false" w:firstRow="false"/>
        </w:trPr>
        <w:tc>
          <w:tcPr>
            <w:cnfStyle w:evenVBand="false" w:oddVBand="true" w:firstColumn="false"/>
            <w:tcW w:w="33.333333%" w:type="pct"/>
          </w:tcPr>
          <w:p>
            <w:pPr>
              <w:ind w:leftChars="0" w:left="0" w:right="0"/>
            </w:pPr>
            <w:r>
              <w:t>QMTF</w:t>
            </w:r>
          </w:p>
        </w:tc>
        <w:tc>
          <w:tcPr>
            <w:cnfStyle w:evenVBand="true" w:oddVBand="false" w:firstColumn="false"/>
            <w:tcW w:w="33.333333%" w:type="pct"/>
          </w:tcPr>
          <w:p>
            <w:pPr>
              <w:ind w:leftChars="0" w:left="0" w:right="0"/>
            </w:pPr>
            <w:r>
              <w:t>QMTF</w:t>
            </w:r>
          </w:p>
        </w:tc>
        <w:tc>
          <w:tcPr>
            <w:cnfStyle w:evenVBand="false" w:oddVBand="true" w:firstColumn="false"/>
            <w:tcW w:w="33.333333%" w:type="pct"/>
          </w:tcPr>
          <w:p>
            <w:pPr>
              <w:ind w:leftChars="0" w:left="0" w:right="0"/>
            </w:pPr>
            <w:r>
              <w:t>QUOTE MTF</w:t>
            </w:r>
          </w:p>
        </w:tc>
      </w:tr>
      <w:tr>
        <w:trPr>
          <w:cnfStyle w:evenHBand="false" w:oddHBand="true" w:firstRow="false"/>
        </w:trPr>
        <w:tc>
          <w:tcPr>
            <w:cnfStyle w:evenVBand="false" w:oddVBand="true" w:firstColumn="false"/>
            <w:tcW w:w="33.333333%" w:type="pct"/>
          </w:tcPr>
          <w:p>
            <w:pPr>
              <w:ind w:leftChars="0" w:left="0" w:right="0"/>
            </w:pPr>
            <w:r>
              <w:t>QMTS</w:t>
            </w:r>
          </w:p>
        </w:tc>
        <w:tc>
          <w:tcPr>
            <w:cnfStyle w:evenVBand="true" w:oddVBand="false" w:firstColumn="false"/>
            <w:tcW w:w="33.333333%" w:type="pct"/>
          </w:tcPr>
          <w:p>
            <w:pPr>
              <w:ind w:leftChars="0" w:left="0" w:right="0"/>
            </w:pPr>
            <w:r>
              <w:t>QMTS</w:t>
            </w:r>
          </w:p>
        </w:tc>
        <w:tc>
          <w:tcPr>
            <w:cnfStyle w:evenVBand="false" w:oddVBand="true" w:firstColumn="false"/>
            <w:tcW w:w="33.333333%" w:type="pct"/>
          </w:tcPr>
          <w:p>
            <w:pPr>
              <w:ind w:leftChars="0" w:left="0" w:right="0"/>
            </w:pPr>
            <w:r>
              <w:t>MTS QUASI GOVERNMENT</w:t>
            </w:r>
          </w:p>
        </w:tc>
      </w:tr>
      <w:tr>
        <w:trPr>
          <w:cnfStyle w:evenHBand="true" w:oddHBand="false" w:firstRow="false"/>
        </w:trPr>
        <w:tc>
          <w:tcPr>
            <w:cnfStyle w:evenVBand="false" w:oddVBand="true" w:firstColumn="false"/>
            <w:tcW w:w="33.333333%" w:type="pct"/>
          </w:tcPr>
          <w:p>
            <w:pPr>
              <w:ind w:leftChars="0" w:left="0" w:right="0"/>
            </w:pPr>
            <w:r>
              <w:t>QWIX</w:t>
            </w:r>
          </w:p>
        </w:tc>
        <w:tc>
          <w:tcPr>
            <w:cnfStyle w:evenVBand="true" w:oddVBand="false" w:firstColumn="false"/>
            <w:tcW w:w="33.333333%" w:type="pct"/>
          </w:tcPr>
          <w:p>
            <w:pPr>
              <w:ind w:leftChars="0" w:left="0" w:right="0"/>
            </w:pPr>
            <w:r>
              <w:t>QWIX</w:t>
            </w:r>
          </w:p>
        </w:tc>
        <w:tc>
          <w:tcPr>
            <w:cnfStyle w:evenVBand="false" w:oddVBand="true" w:firstColumn="false"/>
            <w:tcW w:w="33.333333%" w:type="pct"/>
          </w:tcPr>
          <w:p>
            <w:pPr>
              <w:ind w:leftChars="0" w:left="0" w:right="0"/>
            </w:pPr>
            <w:r>
              <w:t>Q-WIXX PLATFORM</w:t>
            </w:r>
          </w:p>
        </w:tc>
      </w:tr>
      <w:tr>
        <w:trPr>
          <w:cnfStyle w:evenHBand="false" w:oddHBand="true" w:firstRow="false"/>
        </w:trPr>
        <w:tc>
          <w:tcPr>
            <w:cnfStyle w:evenVBand="false" w:oddVBand="true" w:firstColumn="false"/>
            <w:tcW w:w="33.333333%" w:type="pct"/>
          </w:tcPr>
          <w:p>
            <w:pPr>
              <w:ind w:leftChars="0" w:left="0" w:right="0"/>
            </w:pPr>
            <w:r>
              <w:t>R5FX</w:t>
            </w:r>
          </w:p>
        </w:tc>
        <w:tc>
          <w:tcPr>
            <w:cnfStyle w:evenVBand="true" w:oddVBand="false" w:firstColumn="false"/>
            <w:tcW w:w="33.333333%" w:type="pct"/>
          </w:tcPr>
          <w:p>
            <w:pPr>
              <w:ind w:leftChars="0" w:left="0" w:right="0"/>
            </w:pPr>
            <w:r>
              <w:t>R5FX</w:t>
            </w:r>
          </w:p>
        </w:tc>
        <w:tc>
          <w:tcPr>
            <w:cnfStyle w:evenVBand="false" w:oddVBand="true" w:firstColumn="false"/>
            <w:tcW w:w="33.333333%" w:type="pct"/>
          </w:tcPr>
          <w:p>
            <w:pPr>
              <w:ind w:leftChars="0" w:left="0" w:right="0"/>
            </w:pPr>
            <w:r>
              <w:t>R5FX LIMITED</w:t>
            </w:r>
          </w:p>
        </w:tc>
      </w:tr>
      <w:tr>
        <w:trPr>
          <w:cnfStyle w:evenHBand="true" w:oddHBand="false" w:firstRow="false"/>
        </w:trPr>
        <w:tc>
          <w:tcPr>
            <w:cnfStyle w:evenVBand="false" w:oddVBand="true" w:firstColumn="false"/>
            <w:tcW w:w="33.333333%" w:type="pct"/>
          </w:tcPr>
          <w:p>
            <w:pPr>
              <w:ind w:leftChars="0" w:left="0" w:right="0"/>
            </w:pPr>
            <w:r>
              <w:t>RABL</w:t>
            </w:r>
          </w:p>
        </w:tc>
        <w:tc>
          <w:tcPr>
            <w:cnfStyle w:evenVBand="true" w:oddVBand="false" w:firstColumn="false"/>
            <w:tcW w:w="33.333333%" w:type="pct"/>
          </w:tcPr>
          <w:p>
            <w:pPr>
              <w:ind w:leftChars="0" w:left="0" w:right="0"/>
            </w:pPr>
            <w:r>
              <w:t>RABL</w:t>
            </w:r>
          </w:p>
        </w:tc>
        <w:tc>
          <w:tcPr>
            <w:cnfStyle w:evenVBand="false" w:oddVBand="true" w:firstColumn="false"/>
            <w:tcW w:w="33.333333%" w:type="pct"/>
          </w:tcPr>
          <w:p>
            <w:pPr>
              <w:ind w:leftChars="0" w:left="0" w:right="0"/>
            </w:pPr>
            <w:r>
              <w:t>RABOBANK INTERNATIONAL UK - SYSTEMATIC INTERNALISER</w:t>
            </w:r>
          </w:p>
        </w:tc>
      </w:tr>
      <w:tr>
        <w:trPr>
          <w:cnfStyle w:evenHBand="false" w:oddHBand="true" w:firstRow="false"/>
        </w:trPr>
        <w:tc>
          <w:tcPr>
            <w:cnfStyle w:evenVBand="false" w:oddVBand="true" w:firstColumn="false"/>
            <w:tcW w:w="33.333333%" w:type="pct"/>
          </w:tcPr>
          <w:p>
            <w:pPr>
              <w:ind w:leftChars="0" w:left="0" w:right="0"/>
            </w:pPr>
            <w:r>
              <w:t>RABO</w:t>
            </w:r>
          </w:p>
        </w:tc>
        <w:tc>
          <w:tcPr>
            <w:cnfStyle w:evenVBand="true" w:oddVBand="false" w:firstColumn="false"/>
            <w:tcW w:w="33.333333%" w:type="pct"/>
          </w:tcPr>
          <w:p>
            <w:pPr>
              <w:ind w:leftChars="0" w:left="0" w:right="0"/>
            </w:pPr>
            <w:r>
              <w:t>RABO</w:t>
            </w:r>
          </w:p>
        </w:tc>
        <w:tc>
          <w:tcPr>
            <w:cnfStyle w:evenVBand="false" w:oddVBand="true" w:firstColumn="false"/>
            <w:tcW w:w="33.333333%" w:type="pct"/>
          </w:tcPr>
          <w:p>
            <w:pPr>
              <w:ind w:leftChars="0" w:left="0" w:right="0"/>
            </w:pPr>
            <w:r>
              <w:t>RABOBANK - SYSTEMATIC INTERNALISER</w:t>
            </w:r>
          </w:p>
        </w:tc>
      </w:tr>
      <w:tr>
        <w:trPr>
          <w:cnfStyle w:evenHBand="true" w:oddHBand="false" w:firstRow="false"/>
        </w:trPr>
        <w:tc>
          <w:tcPr>
            <w:cnfStyle w:evenVBand="false" w:oddVBand="true" w:firstColumn="false"/>
            <w:tcW w:w="33.333333%" w:type="pct"/>
          </w:tcPr>
          <w:p>
            <w:pPr>
              <w:ind w:leftChars="0" w:left="0" w:right="0"/>
            </w:pPr>
            <w:r>
              <w:t>RAJA</w:t>
            </w:r>
          </w:p>
        </w:tc>
        <w:tc>
          <w:tcPr>
            <w:cnfStyle w:evenVBand="true" w:oddVBand="false" w:firstColumn="false"/>
            <w:tcW w:w="33.333333%" w:type="pct"/>
          </w:tcPr>
          <w:p>
            <w:pPr>
              <w:ind w:leftChars="0" w:left="0" w:right="0"/>
            </w:pPr>
            <w:r>
              <w:t>RAJA</w:t>
            </w:r>
          </w:p>
        </w:tc>
        <w:tc>
          <w:tcPr>
            <w:cnfStyle w:evenVBand="false" w:oddVBand="true" w:firstColumn="false"/>
            <w:tcW w:w="33.333333%" w:type="pct"/>
          </w:tcPr>
          <w:p>
            <w:pPr>
              <w:ind w:leftChars="0" w:left="0" w:right="0"/>
            </w:pPr>
            <w:r>
              <w:t>RAYMOND JAMES</w:t>
            </w:r>
          </w:p>
        </w:tc>
      </w:tr>
      <w:tr>
        <w:trPr>
          <w:cnfStyle w:evenHBand="false" w:oddHBand="true" w:firstRow="false"/>
        </w:trPr>
        <w:tc>
          <w:tcPr>
            <w:cnfStyle w:evenVBand="false" w:oddVBand="true" w:firstColumn="false"/>
            <w:tcW w:w="33.333333%" w:type="pct"/>
          </w:tcPr>
          <w:p>
            <w:pPr>
              <w:ind w:leftChars="0" w:left="0" w:right="0"/>
            </w:pPr>
            <w:r>
              <w:t>RBCB</w:t>
            </w:r>
          </w:p>
        </w:tc>
        <w:tc>
          <w:tcPr>
            <w:cnfStyle w:evenVBand="true" w:oddVBand="false" w:firstColumn="false"/>
            <w:tcW w:w="33.333333%" w:type="pct"/>
          </w:tcPr>
          <w:p>
            <w:pPr>
              <w:ind w:leftChars="0" w:left="0" w:right="0"/>
            </w:pPr>
            <w:r>
              <w:t>RBCB</w:t>
            </w:r>
          </w:p>
        </w:tc>
        <w:tc>
          <w:tcPr>
            <w:cnfStyle w:evenVBand="false" w:oddVBand="true" w:firstColumn="false"/>
            <w:tcW w:w="33.333333%" w:type="pct"/>
          </w:tcPr>
          <w:p>
            <w:pPr>
              <w:ind w:leftChars="0" w:left="0" w:right="0"/>
            </w:pPr>
            <w:r>
              <w:t>RBC INVESTOR SERVICES BANK S.A.</w:t>
            </w:r>
          </w:p>
        </w:tc>
      </w:tr>
      <w:tr>
        <w:trPr>
          <w:cnfStyle w:evenHBand="true" w:oddHBand="false" w:firstRow="false"/>
        </w:trPr>
        <w:tc>
          <w:tcPr>
            <w:cnfStyle w:evenVBand="false" w:oddVBand="true" w:firstColumn="false"/>
            <w:tcW w:w="33.333333%" w:type="pct"/>
          </w:tcPr>
          <w:p>
            <w:pPr>
              <w:ind w:leftChars="0" w:left="0" w:right="0"/>
            </w:pPr>
            <w:r>
              <w:t>RBCC</w:t>
            </w:r>
          </w:p>
        </w:tc>
        <w:tc>
          <w:tcPr>
            <w:cnfStyle w:evenVBand="true" w:oddVBand="false" w:firstColumn="false"/>
            <w:tcW w:w="33.333333%" w:type="pct"/>
          </w:tcPr>
          <w:p>
            <w:pPr>
              <w:ind w:leftChars="0" w:left="0" w:right="0"/>
            </w:pPr>
            <w:r>
              <w:t>RBCC</w:t>
            </w:r>
          </w:p>
        </w:tc>
        <w:tc>
          <w:tcPr>
            <w:cnfStyle w:evenVBand="false" w:oddVBand="true" w:firstColumn="false"/>
            <w:tcW w:w="33.333333%" w:type="pct"/>
          </w:tcPr>
          <w:p>
            <w:pPr>
              <w:ind w:leftChars="0" w:left="0" w:right="0"/>
            </w:pPr>
            <w:r>
              <w:t>RBC - PARIS BRANCH - SYSTEMATIC INTERNALISER</w:t>
            </w:r>
          </w:p>
        </w:tc>
      </w:tr>
      <w:tr>
        <w:trPr>
          <w:cnfStyle w:evenHBand="false" w:oddHBand="true" w:firstRow="false"/>
        </w:trPr>
        <w:tc>
          <w:tcPr>
            <w:cnfStyle w:evenVBand="false" w:oddVBand="true" w:firstColumn="false"/>
            <w:tcW w:w="33.333333%" w:type="pct"/>
          </w:tcPr>
          <w:p>
            <w:pPr>
              <w:ind w:leftChars="0" w:left="0" w:right="0"/>
            </w:pPr>
            <w:r>
              <w:t>RBCE</w:t>
            </w:r>
          </w:p>
        </w:tc>
        <w:tc>
          <w:tcPr>
            <w:cnfStyle w:evenVBand="true" w:oddVBand="false" w:firstColumn="false"/>
            <w:tcW w:w="33.333333%" w:type="pct"/>
          </w:tcPr>
          <w:p>
            <w:pPr>
              <w:ind w:leftChars="0" w:left="0" w:right="0"/>
            </w:pPr>
            <w:r>
              <w:t>RBCE</w:t>
            </w:r>
          </w:p>
        </w:tc>
        <w:tc>
          <w:tcPr>
            <w:cnfStyle w:evenVBand="false" w:oddVBand="true" w:firstColumn="false"/>
            <w:tcW w:w="33.333333%" w:type="pct"/>
          </w:tcPr>
          <w:p>
            <w:pPr>
              <w:ind w:leftChars="0" w:left="0" w:right="0"/>
            </w:pPr>
            <w:r>
              <w:t>RBC EUROPE LIMITED</w:t>
            </w:r>
          </w:p>
        </w:tc>
      </w:tr>
      <w:tr>
        <w:trPr>
          <w:cnfStyle w:evenHBand="true" w:oddHBand="false" w:firstRow="false"/>
        </w:trPr>
        <w:tc>
          <w:tcPr>
            <w:cnfStyle w:evenVBand="false" w:oddVBand="true" w:firstColumn="false"/>
            <w:tcW w:w="33.333333%" w:type="pct"/>
          </w:tcPr>
          <w:p>
            <w:pPr>
              <w:ind w:leftChars="0" w:left="0" w:right="0"/>
            </w:pPr>
            <w:r>
              <w:t>RBCG</w:t>
            </w:r>
          </w:p>
        </w:tc>
        <w:tc>
          <w:tcPr>
            <w:cnfStyle w:evenVBand="true" w:oddVBand="false" w:firstColumn="false"/>
            <w:tcW w:w="33.333333%" w:type="pct"/>
          </w:tcPr>
          <w:p>
            <w:pPr>
              <w:ind w:leftChars="0" w:left="0" w:right="0"/>
            </w:pPr>
            <w:r>
              <w:t>RBCG</w:t>
            </w:r>
          </w:p>
        </w:tc>
        <w:tc>
          <w:tcPr>
            <w:cnfStyle w:evenVBand="false" w:oddVBand="true" w:firstColumn="false"/>
            <w:tcW w:w="33.333333%" w:type="pct"/>
          </w:tcPr>
          <w:p>
            <w:pPr>
              <w:ind w:leftChars="0" w:left="0" w:right="0"/>
            </w:pPr>
            <w:r>
              <w:t>RBC CAPITAL MARKETS (EUROPE) GMBH</w:t>
            </w:r>
          </w:p>
        </w:tc>
      </w:tr>
      <w:tr>
        <w:trPr>
          <w:cnfStyle w:evenHBand="false" w:oddHBand="true" w:firstRow="false"/>
        </w:trPr>
        <w:tc>
          <w:tcPr>
            <w:cnfStyle w:evenVBand="false" w:oddVBand="true" w:firstColumn="false"/>
            <w:tcW w:w="33.333333%" w:type="pct"/>
          </w:tcPr>
          <w:p>
            <w:pPr>
              <w:ind w:leftChars="0" w:left="0" w:right="0"/>
            </w:pPr>
            <w:r>
              <w:t>RBCM</w:t>
            </w:r>
          </w:p>
        </w:tc>
        <w:tc>
          <w:tcPr>
            <w:cnfStyle w:evenVBand="true" w:oddVBand="false" w:firstColumn="false"/>
            <w:tcW w:w="33.333333%" w:type="pct"/>
          </w:tcPr>
          <w:p>
            <w:pPr>
              <w:ind w:leftChars="0" w:left="0" w:right="0"/>
            </w:pPr>
            <w:r>
              <w:t>RBCM</w:t>
            </w:r>
          </w:p>
        </w:tc>
        <w:tc>
          <w:tcPr>
            <w:cnfStyle w:evenVBand="false" w:oddVBand="true" w:firstColumn="false"/>
            <w:tcW w:w="33.333333%" w:type="pct"/>
          </w:tcPr>
          <w:p>
            <w:pPr>
              <w:ind w:leftChars="0" w:left="0" w:right="0"/>
            </w:pPr>
            <w:r>
              <w:t>RBC - ROYAL BANK OF CANADA</w:t>
            </w:r>
          </w:p>
        </w:tc>
      </w:tr>
      <w:tr>
        <w:trPr>
          <w:cnfStyle w:evenHBand="true" w:oddHBand="false" w:firstRow="false"/>
        </w:trPr>
        <w:tc>
          <w:tcPr>
            <w:cnfStyle w:evenVBand="false" w:oddVBand="true" w:firstColumn="false"/>
            <w:tcW w:w="33.333333%" w:type="pct"/>
          </w:tcPr>
          <w:p>
            <w:pPr>
              <w:ind w:leftChars="0" w:left="0" w:right="0"/>
            </w:pPr>
            <w:r>
              <w:t>RBCT</w:t>
            </w:r>
          </w:p>
        </w:tc>
        <w:tc>
          <w:tcPr>
            <w:cnfStyle w:evenVBand="true" w:oddVBand="false" w:firstColumn="false"/>
            <w:tcW w:w="33.333333%" w:type="pct"/>
          </w:tcPr>
          <w:p>
            <w:pPr>
              <w:ind w:leftChars="0" w:left="0" w:right="0"/>
            </w:pPr>
            <w:r>
              <w:t>RBCT</w:t>
            </w:r>
          </w:p>
        </w:tc>
        <w:tc>
          <w:tcPr>
            <w:cnfStyle w:evenVBand="false" w:oddVBand="true" w:firstColumn="false"/>
            <w:tcW w:w="33.333333%" w:type="pct"/>
          </w:tcPr>
          <w:p>
            <w:pPr>
              <w:ind w:leftChars="0" w:left="0" w:right="0"/>
            </w:pPr>
            <w:r>
              <w:t>RBC INVESTOR SERVICES TRUST</w:t>
            </w:r>
          </w:p>
        </w:tc>
      </w:tr>
      <w:tr>
        <w:trPr>
          <w:cnfStyle w:evenHBand="false" w:oddHBand="true" w:firstRow="false"/>
        </w:trPr>
        <w:tc>
          <w:tcPr>
            <w:cnfStyle w:evenVBand="false" w:oddVBand="true" w:firstColumn="false"/>
            <w:tcW w:w="33.333333%" w:type="pct"/>
          </w:tcPr>
          <w:p>
            <w:pPr>
              <w:ind w:leftChars="0" w:left="0" w:right="0"/>
            </w:pPr>
            <w:r>
              <w:t>RBHU</w:t>
            </w:r>
          </w:p>
        </w:tc>
        <w:tc>
          <w:tcPr>
            <w:cnfStyle w:evenVBand="true" w:oddVBand="false" w:firstColumn="false"/>
            <w:tcW w:w="33.333333%" w:type="pct"/>
          </w:tcPr>
          <w:p>
            <w:pPr>
              <w:ind w:leftChars="0" w:left="0" w:right="0"/>
            </w:pPr>
            <w:r>
              <w:t>RBHU</w:t>
            </w:r>
          </w:p>
        </w:tc>
        <w:tc>
          <w:tcPr>
            <w:cnfStyle w:evenVBand="false" w:oddVBand="true" w:firstColumn="false"/>
            <w:tcW w:w="33.333333%" w:type="pct"/>
          </w:tcPr>
          <w:p>
            <w:pPr>
              <w:ind w:leftChars="0" w:left="0" w:right="0"/>
            </w:pPr>
            <w:r>
              <w:t>RAIFFEISEN BANK (HUNGARY) - SYSTEMATIC INTERNALISER</w:t>
            </w:r>
          </w:p>
        </w:tc>
      </w:tr>
      <w:tr>
        <w:trPr>
          <w:cnfStyle w:evenHBand="true" w:oddHBand="false" w:firstRow="false"/>
        </w:trPr>
        <w:tc>
          <w:tcPr>
            <w:cnfStyle w:evenVBand="false" w:oddVBand="true" w:firstColumn="false"/>
            <w:tcW w:w="33.333333%" w:type="pct"/>
          </w:tcPr>
          <w:p>
            <w:pPr>
              <w:ind w:leftChars="0" w:left="0" w:right="0"/>
            </w:pPr>
            <w:r>
              <w:t>RBIV</w:t>
            </w:r>
          </w:p>
        </w:tc>
        <w:tc>
          <w:tcPr>
            <w:cnfStyle w:evenVBand="true" w:oddVBand="false" w:firstColumn="false"/>
            <w:tcW w:w="33.333333%" w:type="pct"/>
          </w:tcPr>
          <w:p>
            <w:pPr>
              <w:ind w:leftChars="0" w:left="0" w:right="0"/>
            </w:pPr>
            <w:r>
              <w:t>RBIV</w:t>
            </w:r>
          </w:p>
        </w:tc>
        <w:tc>
          <w:tcPr>
            <w:cnfStyle w:evenVBand="false" w:oddVBand="true" w:firstColumn="false"/>
            <w:tcW w:w="33.333333%" w:type="pct"/>
          </w:tcPr>
          <w:p>
            <w:pPr>
              <w:ind w:leftChars="0" w:left="0" w:right="0"/>
            </w:pPr>
            <w:r>
              <w:t>RAIFFEISEN BANK INTERNATIONAL AG - SYSTEMATIC INTERNALISER</w:t>
            </w:r>
          </w:p>
        </w:tc>
      </w:tr>
      <w:tr>
        <w:trPr>
          <w:cnfStyle w:evenHBand="false" w:oddHBand="true" w:firstRow="false"/>
        </w:trPr>
        <w:tc>
          <w:tcPr>
            <w:cnfStyle w:evenVBand="false" w:oddVBand="true" w:firstColumn="false"/>
            <w:tcW w:w="33.333333%" w:type="pct"/>
          </w:tcPr>
          <w:p>
            <w:pPr>
              <w:ind w:leftChars="0" w:left="0" w:right="0"/>
            </w:pPr>
            <w:r>
              <w:t>RBSI</w:t>
            </w:r>
          </w:p>
        </w:tc>
        <w:tc>
          <w:tcPr>
            <w:cnfStyle w:evenVBand="true" w:oddVBand="false" w:firstColumn="false"/>
            <w:tcW w:w="33.333333%" w:type="pct"/>
          </w:tcPr>
          <w:p>
            <w:pPr>
              <w:ind w:leftChars="0" w:left="0" w:right="0"/>
            </w:pPr>
            <w:r>
              <w:t>RBSI</w:t>
            </w:r>
          </w:p>
        </w:tc>
        <w:tc>
          <w:tcPr>
            <w:cnfStyle w:evenVBand="false" w:oddVBand="true" w:firstColumn="false"/>
            <w:tcW w:w="33.333333%" w:type="pct"/>
          </w:tcPr>
          <w:p>
            <w:pPr>
              <w:ind w:leftChars="0" w:left="0" w:right="0"/>
            </w:pPr>
            <w:r>
              <w:t>RBC INVESTOR SERVICES BANK S.A. - SYSTEMATIC INTERNALISER</w:t>
            </w:r>
          </w:p>
        </w:tc>
      </w:tr>
      <w:tr>
        <w:trPr>
          <w:cnfStyle w:evenHBand="true" w:oddHBand="false" w:firstRow="false"/>
        </w:trPr>
        <w:tc>
          <w:tcPr>
            <w:cnfStyle w:evenVBand="false" w:oddVBand="true" w:firstColumn="false"/>
            <w:tcW w:w="33.333333%" w:type="pct"/>
          </w:tcPr>
          <w:p>
            <w:pPr>
              <w:ind w:leftChars="0" w:left="0" w:right="0"/>
            </w:pPr>
            <w:r>
              <w:t>RBSX</w:t>
            </w:r>
          </w:p>
        </w:tc>
        <w:tc>
          <w:tcPr>
            <w:cnfStyle w:evenVBand="true" w:oddVBand="false" w:firstColumn="false"/>
            <w:tcW w:w="33.333333%" w:type="pct"/>
          </w:tcPr>
          <w:p>
            <w:pPr>
              <w:ind w:leftChars="0" w:left="0" w:right="0"/>
            </w:pPr>
            <w:r>
              <w:t>RBSX</w:t>
            </w:r>
          </w:p>
        </w:tc>
        <w:tc>
          <w:tcPr>
            <w:cnfStyle w:evenVBand="false" w:oddVBand="true" w:firstColumn="false"/>
            <w:tcW w:w="33.333333%" w:type="pct"/>
          </w:tcPr>
          <w:p>
            <w:pPr>
              <w:ind w:leftChars="0" w:left="0" w:right="0"/>
            </w:pPr>
            <w:r>
              <w:t>RBS CROSS</w:t>
            </w:r>
          </w:p>
        </w:tc>
      </w:tr>
      <w:tr>
        <w:trPr>
          <w:cnfStyle w:evenHBand="false" w:oddHBand="true" w:firstRow="false"/>
        </w:trPr>
        <w:tc>
          <w:tcPr>
            <w:cnfStyle w:evenVBand="false" w:oddVBand="true" w:firstColumn="false"/>
            <w:tcW w:w="33.333333%" w:type="pct"/>
          </w:tcPr>
          <w:p>
            <w:pPr>
              <w:ind w:leftChars="0" w:left="0" w:right="0"/>
            </w:pPr>
            <w:r>
              <w:t>RCBX</w:t>
            </w:r>
          </w:p>
        </w:tc>
        <w:tc>
          <w:tcPr>
            <w:cnfStyle w:evenVBand="true" w:oddVBand="false" w:firstColumn="false"/>
            <w:tcW w:w="33.333333%" w:type="pct"/>
          </w:tcPr>
          <w:p>
            <w:pPr>
              <w:ind w:leftChars="0" w:left="0" w:right="0"/>
            </w:pPr>
            <w:r>
              <w:t>RCBX</w:t>
            </w:r>
          </w:p>
        </w:tc>
        <w:tc>
          <w:tcPr>
            <w:cnfStyle w:evenVBand="false" w:oddVBand="true" w:firstColumn="false"/>
            <w:tcW w:w="33.333333%" w:type="pct"/>
          </w:tcPr>
          <w:p>
            <w:pPr>
              <w:ind w:leftChars="0" w:left="0" w:right="0"/>
            </w:pPr>
            <w:r>
              <w:t>INSTINET RETAIL CBX</w:t>
            </w:r>
          </w:p>
        </w:tc>
      </w:tr>
      <w:tr>
        <w:trPr>
          <w:cnfStyle w:evenHBand="true" w:oddHBand="false" w:firstRow="false"/>
        </w:trPr>
        <w:tc>
          <w:tcPr>
            <w:cnfStyle w:evenVBand="false" w:oddVBand="true" w:firstColumn="false"/>
            <w:tcW w:w="33.333333%" w:type="pct"/>
          </w:tcPr>
          <w:p>
            <w:pPr>
              <w:ind w:leftChars="0" w:left="0" w:right="0"/>
            </w:pPr>
            <w:r>
              <w:t>RCMA</w:t>
            </w:r>
          </w:p>
        </w:tc>
        <w:tc>
          <w:tcPr>
            <w:cnfStyle w:evenVBand="true" w:oddVBand="false" w:firstColumn="false"/>
            <w:tcW w:w="33.333333%" w:type="pct"/>
          </w:tcPr>
          <w:p>
            <w:pPr>
              <w:ind w:leftChars="0" w:left="0" w:right="0"/>
            </w:pPr>
            <w:r>
              <w:t>RCMA</w:t>
            </w:r>
          </w:p>
        </w:tc>
        <w:tc>
          <w:tcPr>
            <w:cnfStyle w:evenVBand="false" w:oddVBand="true" w:firstColumn="false"/>
            <w:tcW w:w="33.333333%" w:type="pct"/>
          </w:tcPr>
          <w:p>
            <w:pPr>
              <w:ind w:leftChars="0" w:left="0" w:right="0"/>
            </w:pPr>
            <w:r>
              <w:t>RBC CAPITAL MARKETS ARBITRAGE S.A.</w:t>
            </w:r>
          </w:p>
        </w:tc>
      </w:tr>
      <w:tr>
        <w:trPr>
          <w:cnfStyle w:evenHBand="false" w:oddHBand="true" w:firstRow="false"/>
        </w:trPr>
        <w:tc>
          <w:tcPr>
            <w:cnfStyle w:evenVBand="false" w:oddVBand="true" w:firstColumn="false"/>
            <w:tcW w:w="33.333333%" w:type="pct"/>
          </w:tcPr>
          <w:p>
            <w:pPr>
              <w:ind w:leftChars="0" w:left="0" w:right="0"/>
            </w:pPr>
            <w:r>
              <w:t>RENC</w:t>
            </w:r>
          </w:p>
        </w:tc>
        <w:tc>
          <w:tcPr>
            <w:cnfStyle w:evenVBand="true" w:oddVBand="false" w:firstColumn="false"/>
            <w:tcW w:w="33.333333%" w:type="pct"/>
          </w:tcPr>
          <w:p>
            <w:pPr>
              <w:ind w:leftChars="0" w:left="0" w:right="0"/>
            </w:pPr>
            <w:r>
              <w:t>RENC</w:t>
            </w:r>
          </w:p>
        </w:tc>
        <w:tc>
          <w:tcPr>
            <w:cnfStyle w:evenVBand="false" w:oddVBand="true" w:firstColumn="false"/>
            <w:tcW w:w="33.333333%" w:type="pct"/>
          </w:tcPr>
          <w:p>
            <w:pPr>
              <w:ind w:leftChars="0" w:left="0" w:right="0"/>
            </w:pPr>
            <w:r>
              <w:t>RENAISSANCE SECURITIES (CYPRUS) LIMITED</w:t>
            </w:r>
          </w:p>
        </w:tc>
      </w:tr>
      <w:tr>
        <w:trPr>
          <w:cnfStyle w:evenHBand="true" w:oddHBand="false" w:firstRow="false"/>
        </w:trPr>
        <w:tc>
          <w:tcPr>
            <w:cnfStyle w:evenVBand="false" w:oddVBand="true" w:firstColumn="false"/>
            <w:tcW w:w="33.333333%" w:type="pct"/>
          </w:tcPr>
          <w:p>
            <w:pPr>
              <w:ind w:leftChars="0" w:left="0" w:right="0"/>
            </w:pPr>
            <w:r>
              <w:t>RESE</w:t>
            </w:r>
          </w:p>
        </w:tc>
        <w:tc>
          <w:tcPr>
            <w:cnfStyle w:evenVBand="true" w:oddVBand="false" w:firstColumn="false"/>
            <w:tcW w:w="33.333333%" w:type="pct"/>
          </w:tcPr>
          <w:p>
            <w:pPr>
              <w:ind w:leftChars="0" w:left="0" w:right="0"/>
            </w:pPr>
            <w:r>
              <w:t>RESE</w:t>
            </w:r>
          </w:p>
        </w:tc>
        <w:tc>
          <w:tcPr>
            <w:cnfStyle w:evenVBand="false" w:oddVBand="true" w:firstColumn="false"/>
            <w:tcW w:w="33.333333%" w:type="pct"/>
          </w:tcPr>
          <w:p>
            <w:pPr>
              <w:ind w:leftChars="0" w:left="0" w:right="0"/>
            </w:pPr>
            <w:r>
              <w:t>EBS MTF - RESET</w:t>
            </w:r>
          </w:p>
        </w:tc>
      </w:tr>
      <w:tr>
        <w:trPr>
          <w:cnfStyle w:evenHBand="false" w:oddHBand="true" w:firstRow="false"/>
        </w:trPr>
        <w:tc>
          <w:tcPr>
            <w:cnfStyle w:evenVBand="false" w:oddVBand="true" w:firstColumn="false"/>
            <w:tcW w:w="33.333333%" w:type="pct"/>
          </w:tcPr>
          <w:p>
            <w:pPr>
              <w:ind w:leftChars="0" w:left="0" w:right="0"/>
            </w:pPr>
            <w:r>
              <w:t>RESF</w:t>
            </w:r>
          </w:p>
        </w:tc>
        <w:tc>
          <w:tcPr>
            <w:cnfStyle w:evenVBand="true" w:oddVBand="false" w:firstColumn="false"/>
            <w:tcW w:w="33.333333%" w:type="pct"/>
          </w:tcPr>
          <w:p>
            <w:pPr>
              <w:ind w:leftChars="0" w:left="0" w:right="0"/>
            </w:pPr>
            <w:r>
              <w:t>RESF</w:t>
            </w:r>
          </w:p>
        </w:tc>
        <w:tc>
          <w:tcPr>
            <w:cnfStyle w:evenVBand="false" w:oddVBand="true" w:firstColumn="false"/>
            <w:tcW w:w="33.333333%" w:type="pct"/>
          </w:tcPr>
          <w:p>
            <w:pPr>
              <w:ind w:leftChars="0" w:left="0" w:right="0"/>
            </w:pPr>
            <w:r>
              <w:t>EBS MTF - RESET SEGMENT</w:t>
            </w:r>
          </w:p>
        </w:tc>
      </w:tr>
      <w:tr>
        <w:trPr>
          <w:cnfStyle w:evenHBand="true" w:oddHBand="false" w:firstRow="false"/>
        </w:trPr>
        <w:tc>
          <w:tcPr>
            <w:cnfStyle w:evenVBand="false" w:oddVBand="true" w:firstColumn="false"/>
            <w:tcW w:w="33.333333%" w:type="pct"/>
          </w:tcPr>
          <w:p>
            <w:pPr>
              <w:ind w:leftChars="0" w:left="0" w:right="0"/>
            </w:pPr>
            <w:r>
              <w:t>REST</w:t>
            </w:r>
          </w:p>
        </w:tc>
        <w:tc>
          <w:tcPr>
            <w:cnfStyle w:evenVBand="true" w:oddVBand="false" w:firstColumn="false"/>
            <w:tcW w:w="33.333333%" w:type="pct"/>
          </w:tcPr>
          <w:p>
            <w:pPr>
              <w:ind w:leftChars="0" w:left="0" w:right="0"/>
            </w:pPr>
            <w:r>
              <w:t>REST</w:t>
            </w:r>
          </w:p>
        </w:tc>
        <w:tc>
          <w:tcPr>
            <w:cnfStyle w:evenVBand="false" w:oddVBand="true" w:firstColumn="false"/>
            <w:tcW w:w="33.333333%" w:type="pct"/>
          </w:tcPr>
          <w:p>
            <w:pPr>
              <w:ind w:leftChars="0" w:left="0" w:right="0"/>
            </w:pPr>
            <w:r>
              <w:t>NEX SEF MTF - RESET - RISK MITIGATION SERVICES</w:t>
            </w:r>
          </w:p>
        </w:tc>
      </w:tr>
      <w:tr>
        <w:trPr>
          <w:cnfStyle w:evenHBand="false" w:oddHBand="true" w:firstRow="false"/>
        </w:trPr>
        <w:tc>
          <w:tcPr>
            <w:cnfStyle w:evenVBand="false" w:oddVBand="true" w:firstColumn="false"/>
            <w:tcW w:w="33.333333%" w:type="pct"/>
          </w:tcPr>
          <w:p>
            <w:pPr>
              <w:ind w:leftChars="0" w:left="0" w:right="0"/>
            </w:pPr>
            <w:r>
              <w:t>RFBK</w:t>
            </w:r>
          </w:p>
        </w:tc>
        <w:tc>
          <w:tcPr>
            <w:cnfStyle w:evenVBand="true" w:oddVBand="false" w:firstColumn="false"/>
            <w:tcW w:w="33.333333%" w:type="pct"/>
          </w:tcPr>
          <w:p>
            <w:pPr>
              <w:ind w:leftChars="0" w:left="0" w:right="0"/>
            </w:pPr>
            <w:r>
              <w:t>RFBK</w:t>
            </w:r>
          </w:p>
        </w:tc>
        <w:tc>
          <w:tcPr>
            <w:cnfStyle w:evenVBand="false" w:oddVBand="true" w:firstColumn="false"/>
            <w:tcW w:w="33.333333%" w:type="pct"/>
          </w:tcPr>
          <w:p>
            <w:pPr>
              <w:ind w:leftChars="0" w:left="0" w:right="0"/>
            </w:pPr>
            <w:r>
              <w:t>RAIFFEISENBANK, AS.  - SYSTEMATIC INTERNALISER</w:t>
            </w:r>
          </w:p>
        </w:tc>
      </w:tr>
      <w:tr>
        <w:trPr>
          <w:cnfStyle w:evenHBand="true" w:oddHBand="false" w:firstRow="false"/>
        </w:trPr>
        <w:tc>
          <w:tcPr>
            <w:cnfStyle w:evenVBand="false" w:oddVBand="true" w:firstColumn="false"/>
            <w:tcW w:w="33.333333%" w:type="pct"/>
          </w:tcPr>
          <w:p>
            <w:pPr>
              <w:ind w:leftChars="0" w:left="0" w:right="0"/>
            </w:pPr>
            <w:r>
              <w:t>RICD</w:t>
            </w:r>
          </w:p>
        </w:tc>
        <w:tc>
          <w:tcPr>
            <w:cnfStyle w:evenVBand="true" w:oddVBand="false" w:firstColumn="false"/>
            <w:tcW w:w="33.333333%" w:type="pct"/>
          </w:tcPr>
          <w:p>
            <w:pPr>
              <w:ind w:leftChars="0" w:left="0" w:right="0"/>
            </w:pPr>
            <w:r>
              <w:t>RICD</w:t>
            </w:r>
          </w:p>
        </w:tc>
        <w:tc>
          <w:tcPr>
            <w:cnfStyle w:evenVBand="false" w:oddVBand="true" w:firstColumn="false"/>
            <w:tcW w:w="33.333333%" w:type="pct"/>
          </w:tcPr>
          <w:p>
            <w:pPr>
              <w:ind w:leftChars="0" w:left="0" w:right="0"/>
            </w:pPr>
            <w:r>
              <w:t>RIVERCROSS DARK</w:t>
            </w:r>
          </w:p>
        </w:tc>
      </w:tr>
      <w:tr>
        <w:trPr>
          <w:cnfStyle w:evenHBand="false" w:oddHBand="true" w:firstRow="false"/>
        </w:trPr>
        <w:tc>
          <w:tcPr>
            <w:cnfStyle w:evenVBand="false" w:oddVBand="true" w:firstColumn="false"/>
            <w:tcW w:w="33.333333%" w:type="pct"/>
          </w:tcPr>
          <w:p>
            <w:pPr>
              <w:ind w:leftChars="0" w:left="0" w:right="0"/>
            </w:pPr>
            <w:r>
              <w:t>RICX</w:t>
            </w:r>
          </w:p>
        </w:tc>
        <w:tc>
          <w:tcPr>
            <w:cnfStyle w:evenVBand="true" w:oddVBand="false" w:firstColumn="false"/>
            <w:tcW w:w="33.333333%" w:type="pct"/>
          </w:tcPr>
          <w:p>
            <w:pPr>
              <w:ind w:leftChars="0" w:left="0" w:right="0"/>
            </w:pPr>
            <w:r>
              <w:t>RICX</w:t>
            </w:r>
          </w:p>
        </w:tc>
        <w:tc>
          <w:tcPr>
            <w:cnfStyle w:evenVBand="false" w:oddVBand="true" w:firstColumn="false"/>
            <w:tcW w:w="33.333333%" w:type="pct"/>
          </w:tcPr>
          <w:p>
            <w:pPr>
              <w:ind w:leftChars="0" w:left="0" w:right="0"/>
            </w:pPr>
            <w:r>
              <w:t>RIVERCROSS</w:t>
            </w:r>
          </w:p>
        </w:tc>
      </w:tr>
      <w:tr>
        <w:trPr>
          <w:cnfStyle w:evenHBand="true" w:oddHBand="false" w:firstRow="false"/>
        </w:trPr>
        <w:tc>
          <w:tcPr>
            <w:cnfStyle w:evenVBand="false" w:oddVBand="true" w:firstColumn="false"/>
            <w:tcW w:w="33.333333%" w:type="pct"/>
          </w:tcPr>
          <w:p>
            <w:pPr>
              <w:ind w:leftChars="0" w:left="0" w:right="0"/>
            </w:pPr>
            <w:r>
              <w:t>RITS</w:t>
            </w:r>
          </w:p>
        </w:tc>
        <w:tc>
          <w:tcPr>
            <w:cnfStyle w:evenVBand="true" w:oddVBand="false" w:firstColumn="false"/>
            <w:tcW w:w="33.333333%" w:type="pct"/>
          </w:tcPr>
          <w:p>
            <w:pPr>
              <w:ind w:leftChars="0" w:left="0" w:right="0"/>
            </w:pPr>
            <w:r>
              <w:t>RITS</w:t>
            </w:r>
          </w:p>
        </w:tc>
        <w:tc>
          <w:tcPr>
            <w:cnfStyle w:evenVBand="false" w:oddVBand="true" w:firstColumn="false"/>
            <w:tcW w:w="33.333333%" w:type="pct"/>
          </w:tcPr>
          <w:p>
            <w:pPr>
              <w:ind w:leftChars="0" w:left="0" w:right="0"/>
            </w:pPr>
            <w:r>
              <w:t>REFINITIV - FORWARDS MATCHING</w:t>
            </w:r>
          </w:p>
        </w:tc>
      </w:tr>
      <w:tr>
        <w:trPr>
          <w:cnfStyle w:evenHBand="false" w:oddHBand="true" w:firstRow="false"/>
        </w:trPr>
        <w:tc>
          <w:tcPr>
            <w:cnfStyle w:evenVBand="false" w:oddVBand="true" w:firstColumn="false"/>
            <w:tcW w:w="33.333333%" w:type="pct"/>
          </w:tcPr>
          <w:p>
            <w:pPr>
              <w:ind w:leftChars="0" w:left="0" w:right="0"/>
            </w:pPr>
            <w:r>
              <w:t>RLBO</w:t>
            </w:r>
          </w:p>
        </w:tc>
        <w:tc>
          <w:tcPr>
            <w:cnfStyle w:evenVBand="true" w:oddVBand="false" w:firstColumn="false"/>
            <w:tcW w:w="33.333333%" w:type="pct"/>
          </w:tcPr>
          <w:p>
            <w:pPr>
              <w:ind w:leftChars="0" w:left="0" w:right="0"/>
            </w:pPr>
            <w:r>
              <w:t>RLBO</w:t>
            </w:r>
          </w:p>
        </w:tc>
        <w:tc>
          <w:tcPr>
            <w:cnfStyle w:evenVBand="false" w:oddVBand="true" w:firstColumn="false"/>
            <w:tcW w:w="33.333333%" w:type="pct"/>
          </w:tcPr>
          <w:p>
            <w:pPr>
              <w:ind w:leftChars="0" w:left="0" w:right="0"/>
            </w:pPr>
            <w:r>
              <w:t>RAIFFEISENLANDESBANK OBERÖSTERREICH - SYSTEMATIC INTERNALISER</w:t>
            </w:r>
          </w:p>
        </w:tc>
      </w:tr>
      <w:tr>
        <w:trPr>
          <w:cnfStyle w:evenHBand="true" w:oddHBand="false" w:firstRow="false"/>
        </w:trPr>
        <w:tc>
          <w:tcPr>
            <w:cnfStyle w:evenVBand="false" w:oddVBand="true" w:firstColumn="false"/>
            <w:tcW w:w="33.333333%" w:type="pct"/>
          </w:tcPr>
          <w:p>
            <w:pPr>
              <w:ind w:leftChars="0" w:left="0" w:right="0"/>
            </w:pPr>
            <w:r>
              <w:t>RMMS</w:t>
            </w:r>
          </w:p>
        </w:tc>
        <w:tc>
          <w:tcPr>
            <w:cnfStyle w:evenVBand="true" w:oddVBand="false" w:firstColumn="false"/>
            <w:tcW w:w="33.333333%" w:type="pct"/>
          </w:tcPr>
          <w:p>
            <w:pPr>
              <w:ind w:leftChars="0" w:left="0" w:right="0"/>
            </w:pPr>
            <w:r>
              <w:t>RMMS</w:t>
            </w:r>
          </w:p>
        </w:tc>
        <w:tc>
          <w:tcPr>
            <w:cnfStyle w:evenVBand="false" w:oddVBand="true" w:firstColumn="false"/>
            <w:tcW w:w="33.333333%" w:type="pct"/>
          </w:tcPr>
          <w:p>
            <w:pPr>
              <w:ind w:leftChars="0" w:left="0" w:right="0"/>
            </w:pPr>
            <w:r>
              <w:t>RMB MORGAN STANLEY</w:t>
            </w:r>
          </w:p>
        </w:tc>
      </w:tr>
      <w:tr>
        <w:trPr>
          <w:cnfStyle w:evenHBand="false" w:oddHBand="true" w:firstRow="false"/>
        </w:trPr>
        <w:tc>
          <w:tcPr>
            <w:cnfStyle w:evenVBand="false" w:oddVBand="true" w:firstColumn="false"/>
            <w:tcW w:w="33.333333%" w:type="pct"/>
          </w:tcPr>
          <w:p>
            <w:pPr>
              <w:ind w:leftChars="0" w:left="0" w:right="0"/>
            </w:pPr>
            <w:r>
              <w:t>RMMX</w:t>
            </w:r>
          </w:p>
        </w:tc>
        <w:tc>
          <w:tcPr>
            <w:cnfStyle w:evenVBand="true" w:oddVBand="false" w:firstColumn="false"/>
            <w:tcW w:w="33.333333%" w:type="pct"/>
          </w:tcPr>
          <w:p>
            <w:pPr>
              <w:ind w:leftChars="0" w:left="0" w:right="0"/>
            </w:pPr>
            <w:r>
              <w:t>RMMX</w:t>
            </w:r>
          </w:p>
        </w:tc>
        <w:tc>
          <w:tcPr>
            <w:cnfStyle w:evenVBand="false" w:oddVBand="true" w:firstColumn="false"/>
            <w:tcW w:w="33.333333%" w:type="pct"/>
          </w:tcPr>
          <w:p>
            <w:pPr>
              <w:ind w:leftChars="0" w:left="0" w:right="0"/>
            </w:pPr>
            <w:r>
              <w:t>RMB MORGAN STANLEY - INVENTORY MANAGER</w:t>
            </w:r>
          </w:p>
        </w:tc>
      </w:tr>
      <w:tr>
        <w:trPr>
          <w:cnfStyle w:evenHBand="true" w:oddHBand="false" w:firstRow="false"/>
        </w:trPr>
        <w:tc>
          <w:tcPr>
            <w:cnfStyle w:evenVBand="false" w:oddVBand="true" w:firstColumn="false"/>
            <w:tcW w:w="33.333333%" w:type="pct"/>
          </w:tcPr>
          <w:p>
            <w:pPr>
              <w:ind w:leftChars="0" w:left="0" w:right="0"/>
            </w:pPr>
            <w:r>
              <w:t>RMTF</w:t>
            </w:r>
          </w:p>
        </w:tc>
        <w:tc>
          <w:tcPr>
            <w:cnfStyle w:evenVBand="true" w:oddVBand="false" w:firstColumn="false"/>
            <w:tcW w:w="33.333333%" w:type="pct"/>
          </w:tcPr>
          <w:p>
            <w:pPr>
              <w:ind w:leftChars="0" w:left="0" w:right="0"/>
            </w:pPr>
            <w:r>
              <w:t>RMTF</w:t>
            </w:r>
          </w:p>
        </w:tc>
        <w:tc>
          <w:tcPr>
            <w:cnfStyle w:evenVBand="false" w:oddVBand="true" w:firstColumn="false"/>
            <w:tcW w:w="33.333333%" w:type="pct"/>
          </w:tcPr>
          <w:p>
            <w:pPr>
              <w:ind w:leftChars="0" w:left="0" w:right="0"/>
            </w:pPr>
            <w:r>
              <w:t>REFINITIV MTF</w:t>
            </w:r>
          </w:p>
        </w:tc>
      </w:tr>
      <w:tr>
        <w:trPr>
          <w:cnfStyle w:evenHBand="false" w:oddHBand="true" w:firstRow="false"/>
        </w:trPr>
        <w:tc>
          <w:tcPr>
            <w:cnfStyle w:evenVBand="false" w:oddVBand="true" w:firstColumn="false"/>
            <w:tcW w:w="33.333333%" w:type="pct"/>
          </w:tcPr>
          <w:p>
            <w:pPr>
              <w:ind w:leftChars="0" w:left="0" w:right="0"/>
            </w:pPr>
            <w:r>
              <w:t>RMTS</w:t>
            </w:r>
          </w:p>
        </w:tc>
        <w:tc>
          <w:tcPr>
            <w:cnfStyle w:evenVBand="true" w:oddVBand="false" w:firstColumn="false"/>
            <w:tcW w:w="33.333333%" w:type="pct"/>
          </w:tcPr>
          <w:p>
            <w:pPr>
              <w:ind w:leftChars="0" w:left="0" w:right="0"/>
            </w:pPr>
            <w:r>
              <w:t>RMTS</w:t>
            </w:r>
          </w:p>
        </w:tc>
        <w:tc>
          <w:tcPr>
            <w:cnfStyle w:evenVBand="false" w:oddVBand="true" w:firstColumn="false"/>
            <w:tcW w:w="33.333333%" w:type="pct"/>
          </w:tcPr>
          <w:p>
            <w:pPr>
              <w:ind w:leftChars="0" w:left="0" w:right="0"/>
            </w:pPr>
            <w:r>
              <w:t>MTS ISRAEL</w:t>
            </w:r>
          </w:p>
        </w:tc>
      </w:tr>
      <w:tr>
        <w:trPr>
          <w:cnfStyle w:evenHBand="true" w:oddHBand="false" w:firstRow="false"/>
        </w:trPr>
        <w:tc>
          <w:tcPr>
            <w:cnfStyle w:evenVBand="false" w:oddVBand="true" w:firstColumn="false"/>
            <w:tcW w:w="33.333333%" w:type="pct"/>
          </w:tcPr>
          <w:p>
            <w:pPr>
              <w:ind w:leftChars="0" w:left="0" w:right="0"/>
            </w:pPr>
            <w:r>
              <w:t>ROCO</w:t>
            </w:r>
          </w:p>
        </w:tc>
        <w:tc>
          <w:tcPr>
            <w:cnfStyle w:evenVBand="true" w:oddVBand="false" w:firstColumn="false"/>
            <w:tcW w:w="33.333333%" w:type="pct"/>
          </w:tcPr>
          <w:p>
            <w:pPr>
              <w:ind w:leftChars="0" w:left="0" w:right="0"/>
            </w:pPr>
            <w:r>
              <w:t>ROCO</w:t>
            </w:r>
          </w:p>
        </w:tc>
        <w:tc>
          <w:tcPr>
            <w:cnfStyle w:evenVBand="false" w:oddVBand="true" w:firstColumn="false"/>
            <w:tcW w:w="33.333333%" w:type="pct"/>
          </w:tcPr>
          <w:p>
            <w:pPr>
              <w:ind w:leftChars="0" w:left="0" w:right="0"/>
            </w:pPr>
            <w:r>
              <w:t>TAIPEI EXCHANGE</w:t>
            </w:r>
          </w:p>
        </w:tc>
      </w:tr>
      <w:tr>
        <w:trPr>
          <w:cnfStyle w:evenHBand="false" w:oddHBand="true" w:firstRow="false"/>
        </w:trPr>
        <w:tc>
          <w:tcPr>
            <w:cnfStyle w:evenVBand="false" w:oddVBand="true" w:firstColumn="false"/>
            <w:tcW w:w="33.333333%" w:type="pct"/>
          </w:tcPr>
          <w:p>
            <w:pPr>
              <w:ind w:leftChars="0" w:left="0" w:right="0"/>
            </w:pPr>
            <w:r>
              <w:t>ROFX</w:t>
            </w:r>
          </w:p>
        </w:tc>
        <w:tc>
          <w:tcPr>
            <w:cnfStyle w:evenVBand="true" w:oddVBand="false" w:firstColumn="false"/>
            <w:tcW w:w="33.333333%" w:type="pct"/>
          </w:tcPr>
          <w:p>
            <w:pPr>
              <w:ind w:leftChars="0" w:left="0" w:right="0"/>
            </w:pPr>
            <w:r>
              <w:t>ROFX</w:t>
            </w:r>
          </w:p>
        </w:tc>
        <w:tc>
          <w:tcPr>
            <w:cnfStyle w:evenVBand="false" w:oddVBand="true" w:firstColumn="false"/>
            <w:tcW w:w="33.333333%" w:type="pct"/>
          </w:tcPr>
          <w:p>
            <w:pPr>
              <w:ind w:leftChars="0" w:left="0" w:right="0"/>
            </w:pPr>
            <w:r>
              <w:t>ROSARIO FUTURE EXCHANGE</w:t>
            </w:r>
          </w:p>
        </w:tc>
      </w:tr>
      <w:tr>
        <w:trPr>
          <w:cnfStyle w:evenHBand="true" w:oddHBand="false" w:firstRow="false"/>
        </w:trPr>
        <w:tc>
          <w:tcPr>
            <w:cnfStyle w:evenVBand="false" w:oddVBand="true" w:firstColumn="false"/>
            <w:tcW w:w="33.333333%" w:type="pct"/>
          </w:tcPr>
          <w:p>
            <w:pPr>
              <w:ind w:leftChars="0" w:left="0" w:right="0"/>
            </w:pPr>
            <w:r>
              <w:t>ROSR</w:t>
            </w:r>
          </w:p>
        </w:tc>
        <w:tc>
          <w:tcPr>
            <w:cnfStyle w:evenVBand="true" w:oddVBand="false" w:firstColumn="false"/>
            <w:tcW w:w="33.333333%" w:type="pct"/>
          </w:tcPr>
          <w:p>
            <w:pPr>
              <w:ind w:leftChars="0" w:left="0" w:right="0"/>
            </w:pPr>
            <w:r>
              <w:t>ROSR</w:t>
            </w:r>
          </w:p>
        </w:tc>
        <w:tc>
          <w:tcPr>
            <w:cnfStyle w:evenVBand="false" w:oddVBand="true" w:firstColumn="false"/>
            <w:tcW w:w="33.333333%" w:type="pct"/>
          </w:tcPr>
          <w:p>
            <w:pPr>
              <w:ind w:leftChars="0" w:left="0" w:right="0"/>
            </w:pPr>
            <w:r>
              <w:t>SIX REPO AG</w:t>
            </w:r>
          </w:p>
        </w:tc>
      </w:tr>
      <w:tr>
        <w:trPr>
          <w:cnfStyle w:evenHBand="false" w:oddHBand="true" w:firstRow="false"/>
        </w:trPr>
        <w:tc>
          <w:tcPr>
            <w:cnfStyle w:evenVBand="false" w:oddVBand="true" w:firstColumn="false"/>
            <w:tcW w:w="33.333333%" w:type="pct"/>
          </w:tcPr>
          <w:p>
            <w:pPr>
              <w:ind w:leftChars="0" w:left="0" w:right="0"/>
            </w:pPr>
            <w:r>
              <w:t>ROTC</w:t>
            </w:r>
          </w:p>
        </w:tc>
        <w:tc>
          <w:tcPr>
            <w:cnfStyle w:evenVBand="true" w:oddVBand="false" w:firstColumn="false"/>
            <w:tcW w:w="33.333333%" w:type="pct"/>
          </w:tcPr>
          <w:p>
            <w:pPr>
              <w:ind w:leftChars="0" w:left="0" w:right="0"/>
            </w:pPr>
            <w:r>
              <w:t>ROTC</w:t>
            </w:r>
          </w:p>
        </w:tc>
        <w:tc>
          <w:tcPr>
            <w:cnfStyle w:evenVBand="false" w:oddVBand="true" w:firstColumn="false"/>
            <w:tcW w:w="33.333333%" w:type="pct"/>
          </w:tcPr>
          <w:p>
            <w:pPr>
              <w:ind w:leftChars="0" w:left="0" w:right="0"/>
            </w:pPr>
            <w:r>
              <w:t>RWANDA OTC MARKET</w:t>
            </w:r>
          </w:p>
        </w:tc>
      </w:tr>
      <w:tr>
        <w:trPr>
          <w:cnfStyle w:evenHBand="true" w:oddHBand="false" w:firstRow="false"/>
        </w:trPr>
        <w:tc>
          <w:tcPr>
            <w:cnfStyle w:evenVBand="false" w:oddVBand="true" w:firstColumn="false"/>
            <w:tcW w:w="33.333333%" w:type="pct"/>
          </w:tcPr>
          <w:p>
            <w:pPr>
              <w:ind w:leftChars="0" w:left="0" w:right="0"/>
            </w:pPr>
            <w:r>
              <w:t>RPDX</w:t>
            </w:r>
          </w:p>
        </w:tc>
        <w:tc>
          <w:tcPr>
            <w:cnfStyle w:evenVBand="true" w:oddVBand="false" w:firstColumn="false"/>
            <w:tcW w:w="33.333333%" w:type="pct"/>
          </w:tcPr>
          <w:p>
            <w:pPr>
              <w:ind w:leftChars="0" w:left="0" w:right="0"/>
            </w:pPr>
            <w:r>
              <w:t>RPDX</w:t>
            </w:r>
          </w:p>
        </w:tc>
        <w:tc>
          <w:tcPr>
            <w:cnfStyle w:evenVBand="false" w:oddVBand="true" w:firstColumn="false"/>
            <w:tcW w:w="33.333333%" w:type="pct"/>
          </w:tcPr>
          <w:p>
            <w:pPr>
              <w:ind w:leftChars="0" w:left="0" w:right="0"/>
            </w:pPr>
            <w:r>
              <w:t>MOSCOW ENERGY EXCHANGE</w:t>
            </w:r>
          </w:p>
        </w:tc>
      </w:tr>
      <w:tr>
        <w:trPr>
          <w:cnfStyle w:evenHBand="false" w:oddHBand="true" w:firstRow="false"/>
        </w:trPr>
        <w:tc>
          <w:tcPr>
            <w:cnfStyle w:evenVBand="false" w:oddVBand="true" w:firstColumn="false"/>
            <w:tcW w:w="33.333333%" w:type="pct"/>
          </w:tcPr>
          <w:p>
            <w:pPr>
              <w:ind w:leftChars="0" w:left="0" w:right="0"/>
            </w:pPr>
            <w:r>
              <w:t>RPWC</w:t>
            </w:r>
          </w:p>
        </w:tc>
        <w:tc>
          <w:tcPr>
            <w:cnfStyle w:evenVBand="true" w:oddVBand="false" w:firstColumn="false"/>
            <w:tcW w:w="33.333333%" w:type="pct"/>
          </w:tcPr>
          <w:p>
            <w:pPr>
              <w:ind w:leftChars="0" w:left="0" w:right="0"/>
            </w:pPr>
            <w:r>
              <w:t>RPWC</w:t>
            </w:r>
          </w:p>
        </w:tc>
        <w:tc>
          <w:tcPr>
            <w:cnfStyle w:evenVBand="false" w:oddVBand="true" w:firstColumn="false"/>
            <w:tcW w:w="33.333333%" w:type="pct"/>
          </w:tcPr>
          <w:p>
            <w:pPr>
              <w:ind w:leftChars="0" w:left="0" w:right="0"/>
            </w:pPr>
            <w:r>
              <w:t>WARSAW STOCK EXCHANGE/BONDS/CATALYST/BONDSPOT/REGULATED MARKET</w:t>
            </w:r>
          </w:p>
        </w:tc>
      </w:tr>
      <w:tr>
        <w:trPr>
          <w:cnfStyle w:evenHBand="true" w:oddHBand="false" w:firstRow="false"/>
        </w:trPr>
        <w:tc>
          <w:tcPr>
            <w:cnfStyle w:evenVBand="false" w:oddVBand="true" w:firstColumn="false"/>
            <w:tcW w:w="33.333333%" w:type="pct"/>
          </w:tcPr>
          <w:p>
            <w:pPr>
              <w:ind w:leftChars="0" w:left="0" w:right="0"/>
            </w:pPr>
            <w:r>
              <w:t>RR4G</w:t>
            </w:r>
          </w:p>
        </w:tc>
        <w:tc>
          <w:tcPr>
            <w:cnfStyle w:evenVBand="true" w:oddVBand="false" w:firstColumn="false"/>
            <w:tcW w:w="33.333333%" w:type="pct"/>
          </w:tcPr>
          <w:p>
            <w:pPr>
              <w:ind w:leftChars="0" w:left="0" w:right="0"/>
            </w:pPr>
            <w:r>
              <w:t>RR4G</w:t>
            </w:r>
          </w:p>
        </w:tc>
        <w:tc>
          <w:tcPr>
            <w:cnfStyle w:evenVBand="false" w:oddVBand="true" w:firstColumn="false"/>
            <w:tcW w:w="33.333333%" w:type="pct"/>
          </w:tcPr>
          <w:p>
            <w:pPr>
              <w:ind w:leftChars="0" w:left="0" w:right="0"/>
            </w:pPr>
            <w:r>
              <w:t>ROUTE4GAS</w:t>
            </w:r>
          </w:p>
        </w:tc>
      </w:tr>
      <w:tr>
        <w:trPr>
          <w:cnfStyle w:evenHBand="false" w:oddHBand="true" w:firstRow="false"/>
        </w:trPr>
        <w:tc>
          <w:tcPr>
            <w:cnfStyle w:evenVBand="false" w:oddVBand="true" w:firstColumn="false"/>
            <w:tcW w:w="33.333333%" w:type="pct"/>
          </w:tcPr>
          <w:p>
            <w:pPr>
              <w:ind w:leftChars="0" w:left="0" w:right="0"/>
            </w:pPr>
            <w:r>
              <w:t>RSEX</w:t>
            </w:r>
          </w:p>
        </w:tc>
        <w:tc>
          <w:tcPr>
            <w:cnfStyle w:evenVBand="true" w:oddVBand="false" w:firstColumn="false"/>
            <w:tcW w:w="33.333333%" w:type="pct"/>
          </w:tcPr>
          <w:p>
            <w:pPr>
              <w:ind w:leftChars="0" w:left="0" w:right="0"/>
            </w:pPr>
            <w:r>
              <w:t>RSEX</w:t>
            </w:r>
          </w:p>
        </w:tc>
        <w:tc>
          <w:tcPr>
            <w:cnfStyle w:evenVBand="false" w:oddVBand="true" w:firstColumn="false"/>
            <w:tcW w:w="33.333333%" w:type="pct"/>
          </w:tcPr>
          <w:p>
            <w:pPr>
              <w:ind w:leftChars="0" w:left="0" w:right="0"/>
            </w:pPr>
            <w:r>
              <w:t>RWANDA STOCK EXCHANGE</w:t>
            </w:r>
          </w:p>
        </w:tc>
      </w:tr>
      <w:tr>
        <w:trPr>
          <w:cnfStyle w:evenHBand="true" w:oddHBand="false" w:firstRow="false"/>
        </w:trPr>
        <w:tc>
          <w:tcPr>
            <w:cnfStyle w:evenVBand="false" w:oddVBand="true" w:firstColumn="false"/>
            <w:tcW w:w="33.333333%" w:type="pct"/>
          </w:tcPr>
          <w:p>
            <w:pPr>
              <w:ind w:leftChars="0" w:left="0" w:right="0"/>
            </w:pPr>
            <w:r>
              <w:t>RTSI</w:t>
            </w:r>
          </w:p>
        </w:tc>
        <w:tc>
          <w:tcPr>
            <w:cnfStyle w:evenVBand="true" w:oddVBand="false" w:firstColumn="false"/>
            <w:tcW w:w="33.333333%" w:type="pct"/>
          </w:tcPr>
          <w:p>
            <w:pPr>
              <w:ind w:leftChars="0" w:left="0" w:right="0"/>
            </w:pPr>
            <w:r>
              <w:t>RTSI</w:t>
            </w:r>
          </w:p>
        </w:tc>
        <w:tc>
          <w:tcPr>
            <w:cnfStyle w:evenVBand="false" w:oddVBand="true" w:firstColumn="false"/>
            <w:tcW w:w="33.333333%" w:type="pct"/>
          </w:tcPr>
          <w:p>
            <w:pPr>
              <w:ind w:leftChars="0" w:left="0" w:right="0"/>
            </w:pPr>
            <w:r>
              <w:t>RBC INVESTOR SERVICES TRUST - SYSTEMATIC INTERNALISER</w:t>
            </w:r>
          </w:p>
        </w:tc>
      </w:tr>
      <w:tr>
        <w:trPr>
          <w:cnfStyle w:evenHBand="false" w:oddHBand="true" w:firstRow="false"/>
        </w:trPr>
        <w:tc>
          <w:tcPr>
            <w:cnfStyle w:evenVBand="false" w:oddVBand="true" w:firstColumn="false"/>
            <w:tcW w:w="33.333333%" w:type="pct"/>
          </w:tcPr>
          <w:p>
            <w:pPr>
              <w:ind w:leftChars="0" w:left="0" w:right="0"/>
            </w:pPr>
            <w:r>
              <w:t>RTSL</w:t>
            </w:r>
          </w:p>
        </w:tc>
        <w:tc>
          <w:tcPr>
            <w:cnfStyle w:evenVBand="true" w:oddVBand="false" w:firstColumn="false"/>
            <w:tcW w:w="33.333333%" w:type="pct"/>
          </w:tcPr>
          <w:p>
            <w:pPr>
              <w:ind w:leftChars="0" w:left="0" w:right="0"/>
            </w:pPr>
            <w:r>
              <w:t>RTSL</w:t>
            </w:r>
          </w:p>
        </w:tc>
        <w:tc>
          <w:tcPr>
            <w:cnfStyle w:evenVBand="false" w:oddVBand="true" w:firstColumn="false"/>
            <w:tcW w:w="33.333333%" w:type="pct"/>
          </w:tcPr>
          <w:p>
            <w:pPr>
              <w:ind w:leftChars="0" w:left="0" w:right="0"/>
            </w:pPr>
            <w:r>
              <w:t>REFINITIV TRANSACTIONS SERVICES LIMITED</w:t>
            </w:r>
          </w:p>
        </w:tc>
      </w:tr>
      <w:tr>
        <w:trPr>
          <w:cnfStyle w:evenHBand="true" w:oddHBand="false" w:firstRow="false"/>
        </w:trPr>
        <w:tc>
          <w:tcPr>
            <w:cnfStyle w:evenVBand="false" w:oddVBand="true" w:firstColumn="false"/>
            <w:tcW w:w="33.333333%" w:type="pct"/>
          </w:tcPr>
          <w:p>
            <w:pPr>
              <w:ind w:leftChars="0" w:left="0" w:right="0"/>
            </w:pPr>
            <w:r>
              <w:t>RTSP</w:t>
            </w:r>
          </w:p>
        </w:tc>
        <w:tc>
          <w:tcPr>
            <w:cnfStyle w:evenVBand="true" w:oddVBand="false" w:firstColumn="false"/>
            <w:tcW w:w="33.333333%" w:type="pct"/>
          </w:tcPr>
          <w:p>
            <w:pPr>
              <w:ind w:leftChars="0" w:left="0" w:right="0"/>
            </w:pPr>
            <w:r>
              <w:t>RTSP</w:t>
            </w:r>
          </w:p>
        </w:tc>
        <w:tc>
          <w:tcPr>
            <w:cnfStyle w:evenVBand="false" w:oddVBand="true" w:firstColumn="false"/>
            <w:tcW w:w="33.333333%" w:type="pct"/>
          </w:tcPr>
          <w:p>
            <w:pPr>
              <w:ind w:leftChars="0" w:left="0" w:right="0"/>
            </w:pPr>
            <w:r>
              <w:t>REFINITIV TRANSACTION SERVICES PTE. LTD</w:t>
            </w:r>
          </w:p>
        </w:tc>
      </w:tr>
      <w:tr>
        <w:trPr>
          <w:cnfStyle w:evenHBand="false" w:oddHBand="true" w:firstRow="false"/>
        </w:trPr>
        <w:tc>
          <w:tcPr>
            <w:cnfStyle w:evenVBand="false" w:oddVBand="true" w:firstColumn="false"/>
            <w:tcW w:w="33.333333%" w:type="pct"/>
          </w:tcPr>
          <w:p>
            <w:pPr>
              <w:ind w:leftChars="0" w:left="0" w:right="0"/>
            </w:pPr>
            <w:r>
              <w:t>RTSX</w:t>
            </w:r>
          </w:p>
        </w:tc>
        <w:tc>
          <w:tcPr>
            <w:cnfStyle w:evenVBand="true" w:oddVBand="false" w:firstColumn="false"/>
            <w:tcW w:w="33.333333%" w:type="pct"/>
          </w:tcPr>
          <w:p>
            <w:pPr>
              <w:ind w:leftChars="0" w:left="0" w:right="0"/>
            </w:pPr>
            <w:r>
              <w:t>RTSX</w:t>
            </w:r>
          </w:p>
        </w:tc>
        <w:tc>
          <w:tcPr>
            <w:cnfStyle w:evenVBand="false" w:oddVBand="true" w:firstColumn="false"/>
            <w:tcW w:w="33.333333%" w:type="pct"/>
          </w:tcPr>
          <w:p>
            <w:pPr>
              <w:ind w:leftChars="0" w:left="0" w:right="0"/>
            </w:pPr>
            <w:r>
              <w:t>MOSCOW EXCHANGE - DERIVATIVES MARKET</w:t>
            </w:r>
          </w:p>
        </w:tc>
      </w:tr>
      <w:tr>
        <w:trPr>
          <w:cnfStyle w:evenHBand="true" w:oddHBand="false" w:firstRow="false"/>
        </w:trPr>
        <w:tc>
          <w:tcPr>
            <w:cnfStyle w:evenVBand="false" w:oddVBand="true" w:firstColumn="false"/>
            <w:tcW w:w="33.333333%" w:type="pct"/>
          </w:tcPr>
          <w:p>
            <w:pPr>
              <w:ind w:leftChars="0" w:left="0" w:right="0"/>
            </w:pPr>
            <w:r>
              <w:t>RUSX</w:t>
            </w:r>
          </w:p>
        </w:tc>
        <w:tc>
          <w:tcPr>
            <w:cnfStyle w:evenVBand="true" w:oddVBand="false" w:firstColumn="false"/>
            <w:tcW w:w="33.333333%" w:type="pct"/>
          </w:tcPr>
          <w:p>
            <w:pPr>
              <w:ind w:leftChars="0" w:left="0" w:right="0"/>
            </w:pPr>
            <w:r>
              <w:t>RUSX</w:t>
            </w:r>
          </w:p>
        </w:tc>
        <w:tc>
          <w:tcPr>
            <w:cnfStyle w:evenVBand="false" w:oddVBand="true" w:firstColumn="false"/>
            <w:tcW w:w="33.333333%" w:type="pct"/>
          </w:tcPr>
          <w:p>
            <w:pPr>
              <w:ind w:leftChars="0" w:left="0" w:right="0"/>
            </w:pPr>
            <w:r>
              <w:t>NON-PROFIT PARTNERSHIP FOR THE DEVELOPMENT OF FINANCIAL MARKET RTS</w:t>
            </w:r>
          </w:p>
        </w:tc>
      </w:tr>
      <w:tr>
        <w:trPr>
          <w:cnfStyle w:evenHBand="false" w:oddHBand="true" w:firstRow="false"/>
        </w:trPr>
        <w:tc>
          <w:tcPr>
            <w:cnfStyle w:evenVBand="false" w:oddVBand="true" w:firstColumn="false"/>
            <w:tcW w:w="33.333333%" w:type="pct"/>
          </w:tcPr>
          <w:p>
            <w:pPr>
              <w:ind w:leftChars="0" w:left="0" w:right="0"/>
            </w:pPr>
            <w:r>
              <w:t>S3FM</w:t>
            </w:r>
          </w:p>
        </w:tc>
        <w:tc>
          <w:tcPr>
            <w:cnfStyle w:evenVBand="true" w:oddVBand="false" w:firstColumn="false"/>
            <w:tcW w:w="33.333333%" w:type="pct"/>
          </w:tcPr>
          <w:p>
            <w:pPr>
              <w:ind w:leftChars="0" w:left="0" w:right="0"/>
            </w:pPr>
            <w:r>
              <w:t>S3FM</w:t>
            </w:r>
          </w:p>
        </w:tc>
        <w:tc>
          <w:tcPr>
            <w:cnfStyle w:evenVBand="false" w:oddVBand="true" w:firstColumn="false"/>
            <w:tcW w:w="33.333333%" w:type="pct"/>
          </w:tcPr>
          <w:p>
            <w:pPr>
              <w:ind w:leftChars="0" w:left="0" w:right="0"/>
            </w:pPr>
            <w:r>
              <w:t>SOCIETY3 FUNDERSMART</w:t>
            </w:r>
          </w:p>
        </w:tc>
      </w:tr>
      <w:tr>
        <w:trPr>
          <w:cnfStyle w:evenHBand="true" w:oddHBand="false" w:firstRow="false"/>
        </w:trPr>
        <w:tc>
          <w:tcPr>
            <w:cnfStyle w:evenVBand="false" w:oddVBand="true" w:firstColumn="false"/>
            <w:tcW w:w="33.333333%" w:type="pct"/>
          </w:tcPr>
          <w:p>
            <w:pPr>
              <w:ind w:leftChars="0" w:left="0" w:right="0"/>
            </w:pPr>
            <w:r>
              <w:t>SAGE</w:t>
            </w:r>
          </w:p>
        </w:tc>
        <w:tc>
          <w:tcPr>
            <w:cnfStyle w:evenVBand="true" w:oddVBand="false" w:firstColumn="false"/>
            <w:tcW w:w="33.333333%" w:type="pct"/>
          </w:tcPr>
          <w:p>
            <w:pPr>
              <w:ind w:leftChars="0" w:left="0" w:right="0"/>
            </w:pPr>
            <w:r>
              <w:t>SAGE</w:t>
            </w:r>
          </w:p>
        </w:tc>
        <w:tc>
          <w:tcPr>
            <w:cnfStyle w:evenVBand="false" w:oddVBand="true" w:firstColumn="false"/>
            <w:tcW w:w="33.333333%" w:type="pct"/>
          </w:tcPr>
          <w:p>
            <w:pPr>
              <w:ind w:leftChars="0" w:left="0" w:right="0"/>
            </w:pPr>
            <w:r>
              <w:t>SAGETRADER</w:t>
            </w:r>
          </w:p>
        </w:tc>
      </w:tr>
      <w:tr>
        <w:trPr>
          <w:cnfStyle w:evenHBand="false" w:oddHBand="true" w:firstRow="false"/>
        </w:trPr>
        <w:tc>
          <w:tcPr>
            <w:cnfStyle w:evenVBand="false" w:oddVBand="true" w:firstColumn="false"/>
            <w:tcW w:w="33.333333%" w:type="pct"/>
          </w:tcPr>
          <w:p>
            <w:pPr>
              <w:ind w:leftChars="0" w:left="0" w:right="0"/>
            </w:pPr>
            <w:r>
              <w:t>SANT</w:t>
            </w:r>
          </w:p>
        </w:tc>
        <w:tc>
          <w:tcPr>
            <w:cnfStyle w:evenVBand="true" w:oddVBand="false" w:firstColumn="false"/>
            <w:tcW w:w="33.333333%" w:type="pct"/>
          </w:tcPr>
          <w:p>
            <w:pPr>
              <w:ind w:leftChars="0" w:left="0" w:right="0"/>
            </w:pPr>
            <w:r>
              <w:t>SANT</w:t>
            </w:r>
          </w:p>
        </w:tc>
        <w:tc>
          <w:tcPr>
            <w:cnfStyle w:evenVBand="false" w:oddVBand="true" w:firstColumn="false"/>
            <w:tcW w:w="33.333333%" w:type="pct"/>
          </w:tcPr>
          <w:p>
            <w:pPr>
              <w:ind w:leftChars="0" w:left="0" w:right="0"/>
            </w:pPr>
            <w:r>
              <w:t>BANCO SANTANDER S.A. - SYSTEMATIC INTERNALISER</w:t>
            </w:r>
          </w:p>
        </w:tc>
      </w:tr>
      <w:tr>
        <w:trPr>
          <w:cnfStyle w:evenHBand="true" w:oddHBand="false" w:firstRow="false"/>
        </w:trPr>
        <w:tc>
          <w:tcPr>
            <w:cnfStyle w:evenVBand="false" w:oddVBand="true" w:firstColumn="false"/>
            <w:tcW w:w="33.333333%" w:type="pct"/>
          </w:tcPr>
          <w:p>
            <w:pPr>
              <w:ind w:leftChars="0" w:left="0" w:right="0"/>
            </w:pPr>
            <w:r>
              <w:t>SB1M</w:t>
            </w:r>
          </w:p>
        </w:tc>
        <w:tc>
          <w:tcPr>
            <w:cnfStyle w:evenVBand="true" w:oddVBand="false" w:firstColumn="false"/>
            <w:tcW w:w="33.333333%" w:type="pct"/>
          </w:tcPr>
          <w:p>
            <w:pPr>
              <w:ind w:leftChars="0" w:left="0" w:right="0"/>
            </w:pPr>
            <w:r>
              <w:t>SB1M</w:t>
            </w:r>
          </w:p>
        </w:tc>
        <w:tc>
          <w:tcPr>
            <w:cnfStyle w:evenVBand="false" w:oddVBand="true" w:firstColumn="false"/>
            <w:tcW w:w="33.333333%" w:type="pct"/>
          </w:tcPr>
          <w:p>
            <w:pPr>
              <w:ind w:leftChars="0" w:left="0" w:right="0"/>
            </w:pPr>
            <w:r>
              <w:t>SPAREBANK 1 MARKETS - SYSTEMATIC INTERNALISER</w:t>
            </w:r>
          </w:p>
        </w:tc>
      </w:tr>
      <w:tr>
        <w:trPr>
          <w:cnfStyle w:evenHBand="false" w:oddHBand="true" w:firstRow="false"/>
        </w:trPr>
        <w:tc>
          <w:tcPr>
            <w:cnfStyle w:evenVBand="false" w:oddVBand="true" w:firstColumn="false"/>
            <w:tcW w:w="33.333333%" w:type="pct"/>
          </w:tcPr>
          <w:p>
            <w:pPr>
              <w:ind w:leftChars="0" w:left="0" w:right="0"/>
            </w:pPr>
            <w:r>
              <w:t>SBAR</w:t>
            </w:r>
          </w:p>
        </w:tc>
        <w:tc>
          <w:tcPr>
            <w:cnfStyle w:evenVBand="true" w:oddVBand="false" w:firstColumn="false"/>
            <w:tcW w:w="33.333333%" w:type="pct"/>
          </w:tcPr>
          <w:p>
            <w:pPr>
              <w:ind w:leftChars="0" w:left="0" w:right="0"/>
            </w:pPr>
            <w:r>
              <w:t>SBAR</w:t>
            </w:r>
          </w:p>
        </w:tc>
        <w:tc>
          <w:tcPr>
            <w:cnfStyle w:evenVBand="false" w:oddVBand="true" w:firstColumn="false"/>
            <w:tcW w:w="33.333333%" w:type="pct"/>
          </w:tcPr>
          <w:p>
            <w:pPr>
              <w:ind w:leftChars="0" w:left="0" w:right="0"/>
            </w:pPr>
            <w:r>
              <w:t>BOLSA DE BARCELONA RENTA FIJA</w:t>
            </w:r>
          </w:p>
        </w:tc>
      </w:tr>
      <w:tr>
        <w:trPr>
          <w:cnfStyle w:evenHBand="true" w:oddHBand="false" w:firstRow="false"/>
        </w:trPr>
        <w:tc>
          <w:tcPr>
            <w:cnfStyle w:evenVBand="false" w:oddVBand="true" w:firstColumn="false"/>
            <w:tcW w:w="33.333333%" w:type="pct"/>
          </w:tcPr>
          <w:p>
            <w:pPr>
              <w:ind w:leftChars="0" w:left="0" w:right="0"/>
            </w:pPr>
            <w:r>
              <w:t>SBEX</w:t>
            </w:r>
          </w:p>
        </w:tc>
        <w:tc>
          <w:tcPr>
            <w:cnfStyle w:evenVBand="true" w:oddVBand="false" w:firstColumn="false"/>
            <w:tcW w:w="33.333333%" w:type="pct"/>
          </w:tcPr>
          <w:p>
            <w:pPr>
              <w:ind w:leftChars="0" w:left="0" w:right="0"/>
            </w:pPr>
            <w:r>
              <w:t>SBEX</w:t>
            </w:r>
          </w:p>
        </w:tc>
        <w:tc>
          <w:tcPr>
            <w:cnfStyle w:evenVBand="false" w:oddVBand="true" w:firstColumn="false"/>
            <w:tcW w:w="33.333333%" w:type="pct"/>
          </w:tcPr>
          <w:p>
            <w:pPr>
              <w:ind w:leftChars="0" w:left="0" w:right="0"/>
            </w:pPr>
            <w:r>
              <w:t>SCOTIABANK - SYSTEMATIC INTERNALISER</w:t>
            </w:r>
          </w:p>
        </w:tc>
      </w:tr>
      <w:tr>
        <w:trPr>
          <w:cnfStyle w:evenHBand="false" w:oddHBand="true" w:firstRow="false"/>
        </w:trPr>
        <w:tc>
          <w:tcPr>
            <w:cnfStyle w:evenVBand="false" w:oddVBand="true" w:firstColumn="false"/>
            <w:tcW w:w="33.333333%" w:type="pct"/>
          </w:tcPr>
          <w:p>
            <w:pPr>
              <w:ind w:leftChars="0" w:left="0" w:right="0"/>
            </w:pPr>
            <w:r>
              <w:t>SBIJ</w:t>
            </w:r>
          </w:p>
        </w:tc>
        <w:tc>
          <w:tcPr>
            <w:cnfStyle w:evenVBand="true" w:oddVBand="false" w:firstColumn="false"/>
            <w:tcW w:w="33.333333%" w:type="pct"/>
          </w:tcPr>
          <w:p>
            <w:pPr>
              <w:ind w:leftChars="0" w:left="0" w:right="0"/>
            </w:pPr>
            <w:r>
              <w:t>SBIJ</w:t>
            </w:r>
          </w:p>
        </w:tc>
        <w:tc>
          <w:tcPr>
            <w:cnfStyle w:evenVBand="false" w:oddVBand="true" w:firstColumn="false"/>
            <w:tcW w:w="33.333333%" w:type="pct"/>
          </w:tcPr>
          <w:p>
            <w:pPr>
              <w:ind w:leftChars="0" w:left="0" w:right="0"/>
            </w:pPr>
            <w:r>
              <w:t>JAPANNEXT - J - MARKET</w:t>
            </w:r>
          </w:p>
        </w:tc>
      </w:tr>
      <w:tr>
        <w:trPr>
          <w:cnfStyle w:evenHBand="true" w:oddHBand="false" w:firstRow="false"/>
        </w:trPr>
        <w:tc>
          <w:tcPr>
            <w:cnfStyle w:evenVBand="false" w:oddVBand="true" w:firstColumn="false"/>
            <w:tcW w:w="33.333333%" w:type="pct"/>
          </w:tcPr>
          <w:p>
            <w:pPr>
              <w:ind w:leftChars="0" w:left="0" w:right="0"/>
            </w:pPr>
            <w:r>
              <w:t>SBIL</w:t>
            </w:r>
          </w:p>
        </w:tc>
        <w:tc>
          <w:tcPr>
            <w:cnfStyle w:evenVBand="true" w:oddVBand="false" w:firstColumn="false"/>
            <w:tcW w:w="33.333333%" w:type="pct"/>
          </w:tcPr>
          <w:p>
            <w:pPr>
              <w:ind w:leftChars="0" w:left="0" w:right="0"/>
            </w:pPr>
            <w:r>
              <w:t>SBIL</w:t>
            </w:r>
          </w:p>
        </w:tc>
        <w:tc>
          <w:tcPr>
            <w:cnfStyle w:evenVBand="false" w:oddVBand="true" w:firstColumn="false"/>
            <w:tcW w:w="33.333333%" w:type="pct"/>
          </w:tcPr>
          <w:p>
            <w:pPr>
              <w:ind w:leftChars="0" w:left="0" w:right="0"/>
            </w:pPr>
            <w:r>
              <w:t>BOLSA DE BILBAO RENTA FIJA</w:t>
            </w:r>
          </w:p>
        </w:tc>
      </w:tr>
      <w:tr>
        <w:trPr>
          <w:cnfStyle w:evenHBand="false" w:oddHBand="true" w:firstRow="false"/>
        </w:trPr>
        <w:tc>
          <w:tcPr>
            <w:cnfStyle w:evenVBand="false" w:oddVBand="true" w:firstColumn="false"/>
            <w:tcW w:w="33.333333%" w:type="pct"/>
          </w:tcPr>
          <w:p>
            <w:pPr>
              <w:ind w:leftChars="0" w:left="0" w:right="0"/>
            </w:pPr>
            <w:r>
              <w:t>SBIU</w:t>
            </w:r>
          </w:p>
        </w:tc>
        <w:tc>
          <w:tcPr>
            <w:cnfStyle w:evenVBand="true" w:oddVBand="false" w:firstColumn="false"/>
            <w:tcW w:w="33.333333%" w:type="pct"/>
          </w:tcPr>
          <w:p>
            <w:pPr>
              <w:ind w:leftChars="0" w:left="0" w:right="0"/>
            </w:pPr>
            <w:r>
              <w:t>SBIU</w:t>
            </w:r>
          </w:p>
        </w:tc>
        <w:tc>
          <w:tcPr>
            <w:cnfStyle w:evenVBand="false" w:oddVBand="true" w:firstColumn="false"/>
            <w:tcW w:w="33.333333%" w:type="pct"/>
          </w:tcPr>
          <w:p>
            <w:pPr>
              <w:ind w:leftChars="0" w:left="0" w:right="0"/>
            </w:pPr>
            <w:r>
              <w:t>JAPANNEXT - U - MARKET</w:t>
            </w:r>
          </w:p>
        </w:tc>
      </w:tr>
      <w:tr>
        <w:trPr>
          <w:cnfStyle w:evenHBand="true" w:oddHBand="false" w:firstRow="false"/>
        </w:trPr>
        <w:tc>
          <w:tcPr>
            <w:cnfStyle w:evenVBand="false" w:oddVBand="true" w:firstColumn="false"/>
            <w:tcW w:w="33.333333%" w:type="pct"/>
          </w:tcPr>
          <w:p>
            <w:pPr>
              <w:ind w:leftChars="0" w:left="0" w:right="0"/>
            </w:pPr>
            <w:r>
              <w:t>SBIV</w:t>
            </w:r>
          </w:p>
        </w:tc>
        <w:tc>
          <w:tcPr>
            <w:cnfStyle w:evenVBand="true" w:oddVBand="false" w:firstColumn="false"/>
            <w:tcW w:w="33.333333%" w:type="pct"/>
          </w:tcPr>
          <w:p>
            <w:pPr>
              <w:ind w:leftChars="0" w:left="0" w:right="0"/>
            </w:pPr>
            <w:r>
              <w:t>SBIV</w:t>
            </w:r>
          </w:p>
        </w:tc>
        <w:tc>
          <w:tcPr>
            <w:cnfStyle w:evenVBand="false" w:oddVBand="true" w:firstColumn="false"/>
            <w:tcW w:w="33.333333%" w:type="pct"/>
          </w:tcPr>
          <w:p>
            <w:pPr>
              <w:ind w:leftChars="0" w:left="0" w:right="0"/>
            </w:pPr>
            <w:r>
              <w:t>JAPANNEXT - VWAP CROSSING</w:t>
            </w:r>
          </w:p>
        </w:tc>
      </w:tr>
      <w:tr>
        <w:trPr>
          <w:cnfStyle w:evenHBand="false" w:oddHBand="true" w:firstRow="false"/>
        </w:trPr>
        <w:tc>
          <w:tcPr>
            <w:cnfStyle w:evenVBand="false" w:oddVBand="true" w:firstColumn="false"/>
            <w:tcW w:w="33.333333%" w:type="pct"/>
          </w:tcPr>
          <w:p>
            <w:pPr>
              <w:ind w:leftChars="0" w:left="0" w:right="0"/>
            </w:pPr>
            <w:r>
              <w:t>SBMF</w:t>
            </w:r>
          </w:p>
        </w:tc>
        <w:tc>
          <w:tcPr>
            <w:cnfStyle w:evenVBand="true" w:oddVBand="false" w:firstColumn="false"/>
            <w:tcW w:w="33.333333%" w:type="pct"/>
          </w:tcPr>
          <w:p>
            <w:pPr>
              <w:ind w:leftChars="0" w:left="0" w:right="0"/>
            </w:pPr>
            <w:r>
              <w:t>SBMF</w:t>
            </w:r>
          </w:p>
        </w:tc>
        <w:tc>
          <w:tcPr>
            <w:cnfStyle w:evenVBand="false" w:oddVBand="true" w:firstColumn="false"/>
            <w:tcW w:w="33.333333%" w:type="pct"/>
          </w:tcPr>
          <w:p>
            <w:pPr>
              <w:ind w:leftChars="0" w:left="0" w:right="0"/>
            </w:pPr>
            <w:r>
              <w:t>SPOT REGULATED MARKET - BMFMS</w:t>
            </w:r>
          </w:p>
        </w:tc>
      </w:tr>
      <w:tr>
        <w:trPr>
          <w:cnfStyle w:evenHBand="true" w:oddHBand="false" w:firstRow="false"/>
        </w:trPr>
        <w:tc>
          <w:tcPr>
            <w:cnfStyle w:evenVBand="false" w:oddVBand="true" w:firstColumn="false"/>
            <w:tcW w:w="33.333333%" w:type="pct"/>
          </w:tcPr>
          <w:p>
            <w:pPr>
              <w:ind w:leftChars="0" w:left="0" w:right="0"/>
            </w:pPr>
            <w:r>
              <w:t>SBSI</w:t>
            </w:r>
          </w:p>
        </w:tc>
        <w:tc>
          <w:tcPr>
            <w:cnfStyle w:evenVBand="true" w:oddVBand="false" w:firstColumn="false"/>
            <w:tcW w:w="33.333333%" w:type="pct"/>
          </w:tcPr>
          <w:p>
            <w:pPr>
              <w:ind w:leftChars="0" w:left="0" w:right="0"/>
            </w:pPr>
            <w:r>
              <w:t>SBSI</w:t>
            </w:r>
          </w:p>
        </w:tc>
        <w:tc>
          <w:tcPr>
            <w:cnfStyle w:evenVBand="false" w:oddVBand="true" w:firstColumn="false"/>
            <w:tcW w:w="33.333333%" w:type="pct"/>
          </w:tcPr>
          <w:p>
            <w:pPr>
              <w:ind w:leftChars="0" w:left="0" w:right="0"/>
            </w:pPr>
            <w:r>
              <w:t>SYDBANK A/S</w:t>
            </w:r>
          </w:p>
        </w:tc>
      </w:tr>
      <w:tr>
        <w:trPr>
          <w:cnfStyle w:evenHBand="false" w:oddHBand="true" w:firstRow="false"/>
        </w:trPr>
        <w:tc>
          <w:tcPr>
            <w:cnfStyle w:evenVBand="false" w:oddVBand="true" w:firstColumn="false"/>
            <w:tcW w:w="33.333333%" w:type="pct"/>
          </w:tcPr>
          <w:p>
            <w:pPr>
              <w:ind w:leftChars="0" w:left="0" w:right="0"/>
            </w:pPr>
            <w:r>
              <w:t>SCAG</w:t>
            </w:r>
          </w:p>
        </w:tc>
        <w:tc>
          <w:tcPr>
            <w:cnfStyle w:evenVBand="true" w:oddVBand="false" w:firstColumn="false"/>
            <w:tcW w:w="33.333333%" w:type="pct"/>
          </w:tcPr>
          <w:p>
            <w:pPr>
              <w:ind w:leftChars="0" w:left="0" w:right="0"/>
            </w:pPr>
            <w:r>
              <w:t>SCAG</w:t>
            </w:r>
          </w:p>
        </w:tc>
        <w:tc>
          <w:tcPr>
            <w:cnfStyle w:evenVBand="false" w:oddVBand="true" w:firstColumn="false"/>
            <w:tcW w:w="33.333333%" w:type="pct"/>
          </w:tcPr>
          <w:p>
            <w:pPr>
              <w:ind w:leftChars="0" w:left="0" w:right="0"/>
            </w:pPr>
            <w:r>
              <w:t>STANDARD CHARTERED BANK AG - SYSTEMATIC INTERNALISER</w:t>
            </w:r>
          </w:p>
        </w:tc>
      </w:tr>
      <w:tr>
        <w:trPr>
          <w:cnfStyle w:evenHBand="true" w:oddHBand="false" w:firstRow="false"/>
        </w:trPr>
        <w:tc>
          <w:tcPr>
            <w:cnfStyle w:evenVBand="false" w:oddVBand="true" w:firstColumn="false"/>
            <w:tcW w:w="33.333333%" w:type="pct"/>
          </w:tcPr>
          <w:p>
            <w:pPr>
              <w:ind w:leftChars="0" w:left="0" w:right="0"/>
            </w:pPr>
            <w:r>
              <w:t>SCOT</w:t>
            </w:r>
          </w:p>
        </w:tc>
        <w:tc>
          <w:tcPr>
            <w:cnfStyle w:evenVBand="true" w:oddVBand="false" w:firstColumn="false"/>
            <w:tcW w:w="33.333333%" w:type="pct"/>
          </w:tcPr>
          <w:p>
            <w:pPr>
              <w:ind w:leftChars="0" w:left="0" w:right="0"/>
            </w:pPr>
            <w:r>
              <w:t>SCOT</w:t>
            </w:r>
          </w:p>
        </w:tc>
        <w:tc>
          <w:tcPr>
            <w:cnfStyle w:evenVBand="false" w:oddVBand="true" w:firstColumn="false"/>
            <w:tcW w:w="33.333333%" w:type="pct"/>
          </w:tcPr>
          <w:p>
            <w:pPr>
              <w:ind w:leftChars="0" w:left="0" w:right="0"/>
            </w:pPr>
            <w:r>
              <w:t>SCOTTISH STOCK EXCHANGE</w:t>
            </w:r>
          </w:p>
        </w:tc>
      </w:tr>
      <w:tr>
        <w:trPr>
          <w:cnfStyle w:evenHBand="false" w:oddHBand="true" w:firstRow="false"/>
        </w:trPr>
        <w:tc>
          <w:tcPr>
            <w:cnfStyle w:evenVBand="false" w:oddVBand="true" w:firstColumn="false"/>
            <w:tcW w:w="33.333333%" w:type="pct"/>
          </w:tcPr>
          <w:p>
            <w:pPr>
              <w:ind w:leftChars="0" w:left="0" w:right="0"/>
            </w:pPr>
            <w:r>
              <w:t>SCXA</w:t>
            </w:r>
          </w:p>
        </w:tc>
        <w:tc>
          <w:tcPr>
            <w:cnfStyle w:evenVBand="true" w:oddVBand="false" w:firstColumn="false"/>
            <w:tcW w:w="33.333333%" w:type="pct"/>
          </w:tcPr>
          <w:p>
            <w:pPr>
              <w:ind w:leftChars="0" w:left="0" w:right="0"/>
            </w:pPr>
            <w:r>
              <w:t>SCXA</w:t>
            </w:r>
          </w:p>
        </w:tc>
        <w:tc>
          <w:tcPr>
            <w:cnfStyle w:evenVBand="false" w:oddVBand="true" w:firstColumn="false"/>
            <w:tcW w:w="33.333333%" w:type="pct"/>
          </w:tcPr>
          <w:p>
            <w:pPr>
              <w:ind w:leftChars="0" w:left="0" w:right="0"/>
            </w:pPr>
            <w:r>
              <w:t>SEED DIGITAL SECURITIES MARKET</w:t>
            </w:r>
          </w:p>
        </w:tc>
      </w:tr>
      <w:tr>
        <w:trPr>
          <w:cnfStyle w:evenHBand="true" w:oddHBand="false" w:firstRow="false"/>
        </w:trPr>
        <w:tc>
          <w:tcPr>
            <w:cnfStyle w:evenVBand="false" w:oddVBand="true" w:firstColumn="false"/>
            <w:tcW w:w="33.333333%" w:type="pct"/>
          </w:tcPr>
          <w:p>
            <w:pPr>
              <w:ind w:leftChars="0" w:left="0" w:right="0"/>
            </w:pPr>
            <w:r>
              <w:t>SCXF</w:t>
            </w:r>
          </w:p>
        </w:tc>
        <w:tc>
          <w:tcPr>
            <w:cnfStyle w:evenVBand="true" w:oddVBand="false" w:firstColumn="false"/>
            <w:tcW w:w="33.333333%" w:type="pct"/>
          </w:tcPr>
          <w:p>
            <w:pPr>
              <w:ind w:leftChars="0" w:left="0" w:right="0"/>
            </w:pPr>
            <w:r>
              <w:t>SCXF</w:t>
            </w:r>
          </w:p>
        </w:tc>
        <w:tc>
          <w:tcPr>
            <w:cnfStyle w:evenVBand="false" w:oddVBand="true" w:firstColumn="false"/>
            <w:tcW w:w="33.333333%" w:type="pct"/>
          </w:tcPr>
          <w:p>
            <w:pPr>
              <w:ind w:leftChars="0" w:left="0" w:right="0"/>
            </w:pPr>
            <w:r>
              <w:t>SEED FUTURES</w:t>
            </w:r>
          </w:p>
        </w:tc>
      </w:tr>
      <w:tr>
        <w:trPr>
          <w:cnfStyle w:evenHBand="false" w:oddHBand="true" w:firstRow="false"/>
        </w:trPr>
        <w:tc>
          <w:tcPr>
            <w:cnfStyle w:evenVBand="false" w:oddVBand="true" w:firstColumn="false"/>
            <w:tcW w:w="33.333333%" w:type="pct"/>
          </w:tcPr>
          <w:p>
            <w:pPr>
              <w:ind w:leftChars="0" w:left="0" w:right="0"/>
            </w:pPr>
            <w:r>
              <w:t>SCXM</w:t>
            </w:r>
          </w:p>
        </w:tc>
        <w:tc>
          <w:tcPr>
            <w:cnfStyle w:evenVBand="true" w:oddVBand="false" w:firstColumn="false"/>
            <w:tcW w:w="33.333333%" w:type="pct"/>
          </w:tcPr>
          <w:p>
            <w:pPr>
              <w:ind w:leftChars="0" w:left="0" w:right="0"/>
            </w:pPr>
            <w:r>
              <w:t>SCXM</w:t>
            </w:r>
          </w:p>
        </w:tc>
        <w:tc>
          <w:tcPr>
            <w:cnfStyle w:evenVBand="false" w:oddVBand="true" w:firstColumn="false"/>
            <w:tcW w:w="33.333333%" w:type="pct"/>
          </w:tcPr>
          <w:p>
            <w:pPr>
              <w:ind w:leftChars="0" w:left="0" w:right="0"/>
            </w:pPr>
            <w:r>
              <w:t>SEED DIGITAL COMMODITIES MARKET</w:t>
            </w:r>
          </w:p>
        </w:tc>
      </w:tr>
      <w:tr>
        <w:trPr>
          <w:cnfStyle w:evenHBand="true" w:oddHBand="false" w:firstRow="false"/>
        </w:trPr>
        <w:tc>
          <w:tcPr>
            <w:cnfStyle w:evenVBand="false" w:oddVBand="true" w:firstColumn="false"/>
            <w:tcW w:w="33.333333%" w:type="pct"/>
          </w:tcPr>
          <w:p>
            <w:pPr>
              <w:ind w:leftChars="0" w:left="0" w:right="0"/>
            </w:pPr>
            <w:r>
              <w:t>SCXO</w:t>
            </w:r>
          </w:p>
        </w:tc>
        <w:tc>
          <w:tcPr>
            <w:cnfStyle w:evenVBand="true" w:oddVBand="false" w:firstColumn="false"/>
            <w:tcW w:w="33.333333%" w:type="pct"/>
          </w:tcPr>
          <w:p>
            <w:pPr>
              <w:ind w:leftChars="0" w:left="0" w:right="0"/>
            </w:pPr>
            <w:r>
              <w:t>SCXO</w:t>
            </w:r>
          </w:p>
        </w:tc>
        <w:tc>
          <w:tcPr>
            <w:cnfStyle w:evenVBand="false" w:oddVBand="true" w:firstColumn="false"/>
            <w:tcW w:w="33.333333%" w:type="pct"/>
          </w:tcPr>
          <w:p>
            <w:pPr>
              <w:ind w:leftChars="0" w:left="0" w:right="0"/>
            </w:pPr>
            <w:r>
              <w:t>SEED CX</w:t>
            </w:r>
          </w:p>
        </w:tc>
      </w:tr>
      <w:tr>
        <w:trPr>
          <w:cnfStyle w:evenHBand="false" w:oddHBand="true" w:firstRow="false"/>
        </w:trPr>
        <w:tc>
          <w:tcPr>
            <w:cnfStyle w:evenVBand="false" w:oddVBand="true" w:firstColumn="false"/>
            <w:tcW w:w="33.333333%" w:type="pct"/>
          </w:tcPr>
          <w:p>
            <w:pPr>
              <w:ind w:leftChars="0" w:left="0" w:right="0"/>
            </w:pPr>
            <w:r>
              <w:t>SCXS</w:t>
            </w:r>
          </w:p>
        </w:tc>
        <w:tc>
          <w:tcPr>
            <w:cnfStyle w:evenVBand="true" w:oddVBand="false" w:firstColumn="false"/>
            <w:tcW w:w="33.333333%" w:type="pct"/>
          </w:tcPr>
          <w:p>
            <w:pPr>
              <w:ind w:leftChars="0" w:left="0" w:right="0"/>
            </w:pPr>
            <w:r>
              <w:t>SCXS</w:t>
            </w:r>
          </w:p>
        </w:tc>
        <w:tc>
          <w:tcPr>
            <w:cnfStyle w:evenVBand="false" w:oddVBand="true" w:firstColumn="false"/>
            <w:tcW w:w="33.333333%" w:type="pct"/>
          </w:tcPr>
          <w:p>
            <w:pPr>
              <w:ind w:leftChars="0" w:left="0" w:right="0"/>
            </w:pPr>
            <w:r>
              <w:t>SEED SEF</w:t>
            </w:r>
          </w:p>
        </w:tc>
      </w:tr>
      <w:tr>
        <w:trPr>
          <w:cnfStyle w:evenHBand="true" w:oddHBand="false" w:firstRow="false"/>
        </w:trPr>
        <w:tc>
          <w:tcPr>
            <w:cnfStyle w:evenVBand="false" w:oddVBand="true" w:firstColumn="false"/>
            <w:tcW w:w="33.333333%" w:type="pct"/>
          </w:tcPr>
          <w:p>
            <w:pPr>
              <w:ind w:leftChars="0" w:left="0" w:right="0"/>
            </w:pPr>
            <w:r>
              <w:t>SEBA</w:t>
            </w:r>
          </w:p>
        </w:tc>
        <w:tc>
          <w:tcPr>
            <w:cnfStyle w:evenVBand="true" w:oddVBand="false" w:firstColumn="false"/>
            <w:tcW w:w="33.333333%" w:type="pct"/>
          </w:tcPr>
          <w:p>
            <w:pPr>
              <w:ind w:leftChars="0" w:left="0" w:right="0"/>
            </w:pPr>
            <w:r>
              <w:t>SEBA</w:t>
            </w:r>
          </w:p>
        </w:tc>
        <w:tc>
          <w:tcPr>
            <w:cnfStyle w:evenVBand="false" w:oddVBand="true" w:firstColumn="false"/>
            <w:tcW w:w="33.333333%" w:type="pct"/>
          </w:tcPr>
          <w:p>
            <w:pPr>
              <w:ind w:leftChars="0" w:left="0" w:right="0"/>
            </w:pPr>
            <w:r>
              <w:t>STIFEL EUROPE BANK AG  - SYSTEMATIC INTERNALISER</w:t>
            </w:r>
          </w:p>
        </w:tc>
      </w:tr>
      <w:tr>
        <w:trPr>
          <w:cnfStyle w:evenHBand="false" w:oddHBand="true" w:firstRow="false"/>
        </w:trPr>
        <w:tc>
          <w:tcPr>
            <w:cnfStyle w:evenVBand="false" w:oddVBand="true" w:firstColumn="false"/>
            <w:tcW w:w="33.333333%" w:type="pct"/>
          </w:tcPr>
          <w:p>
            <w:pPr>
              <w:ind w:leftChars="0" w:left="0" w:right="0"/>
            </w:pPr>
            <w:r>
              <w:t>SEBL</w:t>
            </w:r>
          </w:p>
        </w:tc>
        <w:tc>
          <w:tcPr>
            <w:cnfStyle w:evenVBand="true" w:oddVBand="false" w:firstColumn="false"/>
            <w:tcW w:w="33.333333%" w:type="pct"/>
          </w:tcPr>
          <w:p>
            <w:pPr>
              <w:ind w:leftChars="0" w:left="0" w:right="0"/>
            </w:pPr>
            <w:r>
              <w:t>SEBL</w:t>
            </w:r>
          </w:p>
        </w:tc>
        <w:tc>
          <w:tcPr>
            <w:cnfStyle w:evenVBand="false" w:oddVBand="true" w:firstColumn="false"/>
            <w:tcW w:w="33.333333%" w:type="pct"/>
          </w:tcPr>
          <w:p>
            <w:pPr>
              <w:ind w:leftChars="0" w:left="0" w:right="0"/>
            </w:pPr>
            <w:r>
              <w:t>SEB LITHUANIA - SYSTEMATIC INTERNALISER</w:t>
            </w:r>
          </w:p>
        </w:tc>
      </w:tr>
      <w:tr>
        <w:trPr>
          <w:cnfStyle w:evenHBand="true" w:oddHBand="false" w:firstRow="false"/>
        </w:trPr>
        <w:tc>
          <w:tcPr>
            <w:cnfStyle w:evenVBand="false" w:oddVBand="true" w:firstColumn="false"/>
            <w:tcW w:w="33.333333%" w:type="pct"/>
          </w:tcPr>
          <w:p>
            <w:pPr>
              <w:ind w:leftChars="0" w:left="0" w:right="0"/>
            </w:pPr>
            <w:r>
              <w:t>SEBS</w:t>
            </w:r>
          </w:p>
        </w:tc>
        <w:tc>
          <w:tcPr>
            <w:cnfStyle w:evenVBand="true" w:oddVBand="false" w:firstColumn="false"/>
            <w:tcW w:w="33.333333%" w:type="pct"/>
          </w:tcPr>
          <w:p>
            <w:pPr>
              <w:ind w:leftChars="0" w:left="0" w:right="0"/>
            </w:pPr>
            <w:r>
              <w:t>SEBS</w:t>
            </w:r>
          </w:p>
        </w:tc>
        <w:tc>
          <w:tcPr>
            <w:cnfStyle w:evenVBand="false" w:oddVBand="true" w:firstColumn="false"/>
            <w:tcW w:w="33.333333%" w:type="pct"/>
          </w:tcPr>
          <w:p>
            <w:pPr>
              <w:ind w:leftChars="0" w:left="0" w:right="0"/>
            </w:pPr>
            <w:r>
              <w:t>SEB - SYSTEMATIC INTERNALISER</w:t>
            </w:r>
          </w:p>
        </w:tc>
      </w:tr>
      <w:tr>
        <w:trPr>
          <w:cnfStyle w:evenHBand="false" w:oddHBand="true" w:firstRow="false"/>
        </w:trPr>
        <w:tc>
          <w:tcPr>
            <w:cnfStyle w:evenVBand="false" w:oddVBand="true" w:firstColumn="false"/>
            <w:tcW w:w="33.333333%" w:type="pct"/>
          </w:tcPr>
          <w:p>
            <w:pPr>
              <w:ind w:leftChars="0" w:left="0" w:right="0"/>
            </w:pPr>
            <w:r>
              <w:t>SEBX</w:t>
            </w:r>
          </w:p>
        </w:tc>
        <w:tc>
          <w:tcPr>
            <w:cnfStyle w:evenVBand="true" w:oddVBand="false" w:firstColumn="false"/>
            <w:tcW w:w="33.333333%" w:type="pct"/>
          </w:tcPr>
          <w:p>
            <w:pPr>
              <w:ind w:leftChars="0" w:left="0" w:right="0"/>
            </w:pPr>
            <w:r>
              <w:t>SEBX</w:t>
            </w:r>
          </w:p>
        </w:tc>
        <w:tc>
          <w:tcPr>
            <w:cnfStyle w:evenVBand="false" w:oddVBand="true" w:firstColumn="false"/>
            <w:tcW w:w="33.333333%" w:type="pct"/>
          </w:tcPr>
          <w:p>
            <w:pPr>
              <w:ind w:leftChars="0" w:left="0" w:right="0"/>
            </w:pPr>
            <w:r>
              <w:t>SEB - LIQUIDITY POOL</w:t>
            </w:r>
          </w:p>
        </w:tc>
      </w:tr>
      <w:tr>
        <w:trPr>
          <w:cnfStyle w:evenHBand="true" w:oddHBand="false" w:firstRow="false"/>
        </w:trPr>
        <w:tc>
          <w:tcPr>
            <w:cnfStyle w:evenVBand="false" w:oddVBand="true" w:firstColumn="false"/>
            <w:tcW w:w="33.333333%" w:type="pct"/>
          </w:tcPr>
          <w:p>
            <w:pPr>
              <w:ind w:leftChars="0" w:left="0" w:right="0"/>
            </w:pPr>
            <w:r>
              <w:t>SECC</w:t>
            </w:r>
          </w:p>
        </w:tc>
        <w:tc>
          <w:tcPr>
            <w:cnfStyle w:evenVBand="true" w:oddVBand="false" w:firstColumn="false"/>
            <w:tcW w:w="33.333333%" w:type="pct"/>
          </w:tcPr>
          <w:p>
            <w:pPr>
              <w:ind w:leftChars="0" w:left="0" w:right="0"/>
            </w:pPr>
            <w:r>
              <w:t>SECC</w:t>
            </w:r>
          </w:p>
        </w:tc>
        <w:tc>
          <w:tcPr>
            <w:cnfStyle w:evenVBand="false" w:oddVBand="true" w:firstColumn="false"/>
            <w:tcW w:w="33.333333%" w:type="pct"/>
          </w:tcPr>
          <w:p>
            <w:pPr>
              <w:ind w:leftChars="0" w:left="0" w:right="0"/>
            </w:pPr>
            <w:r>
              <w:t>SECDEX CLEARING LIMITED</w:t>
            </w:r>
          </w:p>
        </w:tc>
      </w:tr>
      <w:tr>
        <w:trPr>
          <w:cnfStyle w:evenHBand="false" w:oddHBand="true" w:firstRow="false"/>
        </w:trPr>
        <w:tc>
          <w:tcPr>
            <w:cnfStyle w:evenVBand="false" w:oddVBand="true" w:firstColumn="false"/>
            <w:tcW w:w="33.333333%" w:type="pct"/>
          </w:tcPr>
          <w:p>
            <w:pPr>
              <w:ind w:leftChars="0" w:left="0" w:right="0"/>
            </w:pPr>
            <w:r>
              <w:t>SECD</w:t>
            </w:r>
          </w:p>
        </w:tc>
        <w:tc>
          <w:tcPr>
            <w:cnfStyle w:evenVBand="true" w:oddVBand="false" w:firstColumn="false"/>
            <w:tcW w:w="33.333333%" w:type="pct"/>
          </w:tcPr>
          <w:p>
            <w:pPr>
              <w:ind w:leftChars="0" w:left="0" w:right="0"/>
            </w:pPr>
            <w:r>
              <w:t>SECD</w:t>
            </w:r>
          </w:p>
        </w:tc>
        <w:tc>
          <w:tcPr>
            <w:cnfStyle w:evenVBand="false" w:oddVBand="true" w:firstColumn="false"/>
            <w:tcW w:w="33.333333%" w:type="pct"/>
          </w:tcPr>
          <w:p>
            <w:pPr>
              <w:ind w:leftChars="0" w:left="0" w:right="0"/>
            </w:pPr>
            <w:r>
              <w:t>SECDEX DEPOSITORY LIMITED</w:t>
            </w:r>
          </w:p>
        </w:tc>
      </w:tr>
      <w:tr>
        <w:trPr>
          <w:cnfStyle w:evenHBand="true" w:oddHBand="false" w:firstRow="false"/>
        </w:trPr>
        <w:tc>
          <w:tcPr>
            <w:cnfStyle w:evenVBand="false" w:oddVBand="true" w:firstColumn="false"/>
            <w:tcW w:w="33.333333%" w:type="pct"/>
          </w:tcPr>
          <w:p>
            <w:pPr>
              <w:ind w:leftChars="0" w:left="0" w:right="0"/>
            </w:pPr>
            <w:r>
              <w:t>SECE</w:t>
            </w:r>
          </w:p>
        </w:tc>
        <w:tc>
          <w:tcPr>
            <w:cnfStyle w:evenVBand="true" w:oddVBand="false" w:firstColumn="false"/>
            <w:tcW w:w="33.333333%" w:type="pct"/>
          </w:tcPr>
          <w:p>
            <w:pPr>
              <w:ind w:leftChars="0" w:left="0" w:right="0"/>
            </w:pPr>
            <w:r>
              <w:t>SECE</w:t>
            </w:r>
          </w:p>
        </w:tc>
        <w:tc>
          <w:tcPr>
            <w:cnfStyle w:evenVBand="false" w:oddVBand="true" w:firstColumn="false"/>
            <w:tcW w:w="33.333333%" w:type="pct"/>
          </w:tcPr>
          <w:p>
            <w:pPr>
              <w:ind w:leftChars="0" w:left="0" w:right="0"/>
            </w:pPr>
            <w:r>
              <w:t>SECDEX EXCHANGE LIMITED</w:t>
            </w:r>
          </w:p>
        </w:tc>
      </w:tr>
      <w:tr>
        <w:trPr>
          <w:cnfStyle w:evenHBand="false" w:oddHBand="true" w:firstRow="false"/>
        </w:trPr>
        <w:tc>
          <w:tcPr>
            <w:cnfStyle w:evenVBand="false" w:oddVBand="true" w:firstColumn="false"/>
            <w:tcW w:w="33.333333%" w:type="pct"/>
          </w:tcPr>
          <w:p>
            <w:pPr>
              <w:ind w:leftChars="0" w:left="0" w:right="0"/>
            </w:pPr>
            <w:r>
              <w:t>SECF</w:t>
            </w:r>
          </w:p>
        </w:tc>
        <w:tc>
          <w:tcPr>
            <w:cnfStyle w:evenVBand="true" w:oddVBand="false" w:firstColumn="false"/>
            <w:tcW w:w="33.333333%" w:type="pct"/>
          </w:tcPr>
          <w:p>
            <w:pPr>
              <w:ind w:leftChars="0" w:left="0" w:right="0"/>
            </w:pPr>
            <w:r>
              <w:t>SECF</w:t>
            </w:r>
          </w:p>
        </w:tc>
        <w:tc>
          <w:tcPr>
            <w:cnfStyle w:evenVBand="false" w:oddVBand="true" w:firstColumn="false"/>
            <w:tcW w:w="33.333333%" w:type="pct"/>
          </w:tcPr>
          <w:p>
            <w:pPr>
              <w:ind w:leftChars="0" w:left="0" w:right="0"/>
            </w:pPr>
            <w:r>
              <w:t>SECFINEX</w:t>
            </w:r>
          </w:p>
        </w:tc>
      </w:tr>
      <w:tr>
        <w:trPr>
          <w:cnfStyle w:evenHBand="true" w:oddHBand="false" w:firstRow="false"/>
        </w:trPr>
        <w:tc>
          <w:tcPr>
            <w:cnfStyle w:evenVBand="false" w:oddVBand="true" w:firstColumn="false"/>
            <w:tcW w:w="33.333333%" w:type="pct"/>
          </w:tcPr>
          <w:p>
            <w:pPr>
              <w:ind w:leftChars="0" w:left="0" w:right="0"/>
            </w:pPr>
            <w:r>
              <w:t>SEDC</w:t>
            </w:r>
          </w:p>
        </w:tc>
        <w:tc>
          <w:tcPr>
            <w:cnfStyle w:evenVBand="true" w:oddVBand="false" w:firstColumn="false"/>
            <w:tcW w:w="33.333333%" w:type="pct"/>
          </w:tcPr>
          <w:p>
            <w:pPr>
              <w:ind w:leftChars="0" w:left="0" w:right="0"/>
            </w:pPr>
            <w:r>
              <w:t>SEDC</w:t>
            </w:r>
          </w:p>
        </w:tc>
        <w:tc>
          <w:tcPr>
            <w:cnfStyle w:evenVBand="false" w:oddVBand="true" w:firstColumn="false"/>
            <w:tcW w:w="33.333333%" w:type="pct"/>
          </w:tcPr>
          <w:p>
            <w:pPr>
              <w:ind w:leftChars="0" w:left="0" w:right="0"/>
            </w:pPr>
            <w:r>
              <w:t>SECDEX DIGITAL CUSTODIAN LIMITED</w:t>
            </w:r>
          </w:p>
        </w:tc>
      </w:tr>
      <w:tr>
        <w:trPr>
          <w:cnfStyle w:evenHBand="false" w:oddHBand="true" w:firstRow="false"/>
        </w:trPr>
        <w:tc>
          <w:tcPr>
            <w:cnfStyle w:evenVBand="false" w:oddVBand="true" w:firstColumn="false"/>
            <w:tcW w:w="33.333333%" w:type="pct"/>
          </w:tcPr>
          <w:p>
            <w:pPr>
              <w:ind w:leftChars="0" w:left="0" w:right="0"/>
            </w:pPr>
            <w:r>
              <w:t>SEDR</w:t>
            </w:r>
          </w:p>
        </w:tc>
        <w:tc>
          <w:tcPr>
            <w:cnfStyle w:evenVBand="true" w:oddVBand="false" w:firstColumn="false"/>
            <w:tcW w:w="33.333333%" w:type="pct"/>
          </w:tcPr>
          <w:p>
            <w:pPr>
              <w:ind w:leftChars="0" w:left="0" w:right="0"/>
            </w:pPr>
            <w:r>
              <w:t>SEDR</w:t>
            </w:r>
          </w:p>
        </w:tc>
        <w:tc>
          <w:tcPr>
            <w:cnfStyle w:evenVBand="false" w:oddVBand="true" w:firstColumn="false"/>
            <w:tcW w:w="33.333333%" w:type="pct"/>
          </w:tcPr>
          <w:p>
            <w:pPr>
              <w:ind w:leftChars="0" w:left="0" w:right="0"/>
            </w:pPr>
            <w:r>
              <w:t>SEEDRS - SECONDARY MARKET</w:t>
            </w:r>
          </w:p>
        </w:tc>
      </w:tr>
      <w:tr>
        <w:trPr>
          <w:cnfStyle w:evenHBand="true" w:oddHBand="false" w:firstRow="false"/>
        </w:trPr>
        <w:tc>
          <w:tcPr>
            <w:cnfStyle w:evenVBand="false" w:oddVBand="true" w:firstColumn="false"/>
            <w:tcW w:w="33.333333%" w:type="pct"/>
          </w:tcPr>
          <w:p>
            <w:pPr>
              <w:ind w:leftChars="0" w:left="0" w:right="0"/>
            </w:pPr>
            <w:r>
              <w:t>SEDX</w:t>
            </w:r>
          </w:p>
        </w:tc>
        <w:tc>
          <w:tcPr>
            <w:cnfStyle w:evenVBand="true" w:oddVBand="false" w:firstColumn="false"/>
            <w:tcW w:w="33.333333%" w:type="pct"/>
          </w:tcPr>
          <w:p>
            <w:pPr>
              <w:ind w:leftChars="0" w:left="0" w:right="0"/>
            </w:pPr>
            <w:r>
              <w:t>SEDX</w:t>
            </w:r>
          </w:p>
        </w:tc>
        <w:tc>
          <w:tcPr>
            <w:cnfStyle w:evenVBand="false" w:oddVBand="true" w:firstColumn="false"/>
            <w:tcW w:w="33.333333%" w:type="pct"/>
          </w:tcPr>
          <w:p>
            <w:pPr>
              <w:ind w:leftChars="0" w:left="0" w:right="0"/>
            </w:pPr>
            <w:r>
              <w:t>SECURITISED DERIVATIVES MARKET</w:t>
            </w:r>
          </w:p>
        </w:tc>
      </w:tr>
      <w:tr>
        <w:trPr>
          <w:cnfStyle w:evenHBand="false" w:oddHBand="true" w:firstRow="false"/>
        </w:trPr>
        <w:tc>
          <w:tcPr>
            <w:cnfStyle w:evenVBand="false" w:oddVBand="true" w:firstColumn="false"/>
            <w:tcW w:w="33.333333%" w:type="pct"/>
          </w:tcPr>
          <w:p>
            <w:pPr>
              <w:ind w:leftChars="0" w:left="0" w:right="0"/>
            </w:pPr>
            <w:r>
              <w:t>SEED</w:t>
            </w:r>
          </w:p>
        </w:tc>
        <w:tc>
          <w:tcPr>
            <w:cnfStyle w:evenVBand="true" w:oddVBand="false" w:firstColumn="false"/>
            <w:tcW w:w="33.333333%" w:type="pct"/>
          </w:tcPr>
          <w:p>
            <w:pPr>
              <w:ind w:leftChars="0" w:left="0" w:right="0"/>
            </w:pPr>
            <w:r>
              <w:t>SEED</w:t>
            </w:r>
          </w:p>
        </w:tc>
        <w:tc>
          <w:tcPr>
            <w:cnfStyle w:evenVBand="false" w:oddVBand="true" w:firstColumn="false"/>
            <w:tcW w:w="33.333333%" w:type="pct"/>
          </w:tcPr>
          <w:p>
            <w:pPr>
              <w:ind w:leftChars="0" w:left="0" w:right="0"/>
            </w:pPr>
            <w:r>
              <w:t>NASDAQ STOCKHOLM AB - SWEDISH EQ DERIVATIVES</w:t>
            </w:r>
          </w:p>
        </w:tc>
      </w:tr>
      <w:tr>
        <w:trPr>
          <w:cnfStyle w:evenHBand="true" w:oddHBand="false" w:firstRow="false"/>
        </w:trPr>
        <w:tc>
          <w:tcPr>
            <w:cnfStyle w:evenVBand="false" w:oddVBand="true" w:firstColumn="false"/>
            <w:tcW w:w="33.333333%" w:type="pct"/>
          </w:tcPr>
          <w:p>
            <w:pPr>
              <w:ind w:leftChars="0" w:left="0" w:right="0"/>
            </w:pPr>
            <w:r>
              <w:t>SELC</w:t>
            </w:r>
          </w:p>
        </w:tc>
        <w:tc>
          <w:tcPr>
            <w:cnfStyle w:evenVBand="true" w:oddVBand="false" w:firstColumn="false"/>
            <w:tcW w:w="33.333333%" w:type="pct"/>
          </w:tcPr>
          <w:p>
            <w:pPr>
              <w:ind w:leftChars="0" w:left="0" w:right="0"/>
            </w:pPr>
            <w:r>
              <w:t>SELC</w:t>
            </w:r>
          </w:p>
        </w:tc>
        <w:tc>
          <w:tcPr>
            <w:cnfStyle w:evenVBand="false" w:oddVBand="true" w:firstColumn="false"/>
            <w:tcW w:w="33.333333%" w:type="pct"/>
          </w:tcPr>
          <w:p>
            <w:pPr>
              <w:ind w:leftChars="0" w:left="0" w:right="0"/>
            </w:pPr>
            <w:r>
              <w:t>SISTEMA ESPECIAL DE LIQUIDACAO E CUSTODIA DE TITULOS PUBLICOS</w:t>
            </w:r>
          </w:p>
        </w:tc>
      </w:tr>
      <w:tr>
        <w:trPr>
          <w:cnfStyle w:evenHBand="false" w:oddHBand="true" w:firstRow="false"/>
        </w:trPr>
        <w:tc>
          <w:tcPr>
            <w:cnfStyle w:evenVBand="false" w:oddVBand="true" w:firstColumn="false"/>
            <w:tcW w:w="33.333333%" w:type="pct"/>
          </w:tcPr>
          <w:p>
            <w:pPr>
              <w:ind w:leftChars="0" w:left="0" w:right="0"/>
            </w:pPr>
            <w:r>
              <w:t>SEMX</w:t>
            </w:r>
          </w:p>
        </w:tc>
        <w:tc>
          <w:tcPr>
            <w:cnfStyle w:evenVBand="true" w:oddVBand="false" w:firstColumn="false"/>
            <w:tcW w:w="33.333333%" w:type="pct"/>
          </w:tcPr>
          <w:p>
            <w:pPr>
              <w:ind w:leftChars="0" w:left="0" w:right="0"/>
            </w:pPr>
            <w:r>
              <w:t>SEMX</w:t>
            </w:r>
          </w:p>
        </w:tc>
        <w:tc>
          <w:tcPr>
            <w:cnfStyle w:evenVBand="false" w:oddVBand="true" w:firstColumn="false"/>
            <w:tcW w:w="33.333333%" w:type="pct"/>
          </w:tcPr>
          <w:p>
            <w:pPr>
              <w:ind w:leftChars="0" w:left="0" w:right="0"/>
            </w:pPr>
            <w:r>
              <w:t>SEMOPX</w:t>
            </w:r>
          </w:p>
        </w:tc>
      </w:tr>
      <w:tr>
        <w:trPr>
          <w:cnfStyle w:evenHBand="true" w:oddHBand="false" w:firstRow="false"/>
        </w:trPr>
        <w:tc>
          <w:tcPr>
            <w:cnfStyle w:evenVBand="false" w:oddVBand="true" w:firstColumn="false"/>
            <w:tcW w:w="33.333333%" w:type="pct"/>
          </w:tcPr>
          <w:p>
            <w:pPr>
              <w:ind w:leftChars="0" w:left="0" w:right="0"/>
            </w:pPr>
            <w:r>
              <w:t>SEND</w:t>
            </w:r>
          </w:p>
        </w:tc>
        <w:tc>
          <w:tcPr>
            <w:cnfStyle w:evenVBand="true" w:oddVBand="false" w:firstColumn="false"/>
            <w:tcW w:w="33.333333%" w:type="pct"/>
          </w:tcPr>
          <w:p>
            <w:pPr>
              <w:ind w:leftChars="0" w:left="0" w:right="0"/>
            </w:pPr>
            <w:r>
              <w:t>SEND</w:t>
            </w:r>
          </w:p>
        </w:tc>
        <w:tc>
          <w:tcPr>
            <w:cnfStyle w:evenVBand="false" w:oddVBand="true" w:firstColumn="false"/>
            <w:tcW w:w="33.333333%" w:type="pct"/>
          </w:tcPr>
          <w:p>
            <w:pPr>
              <w:ind w:leftChars="0" w:left="0" w:right="0"/>
            </w:pPr>
            <w:r>
              <w:t>SEND - SISTEMA ELECTRONICO DE NEGOCIACION DE DEUDA</w:t>
            </w:r>
          </w:p>
        </w:tc>
      </w:tr>
      <w:tr>
        <w:trPr>
          <w:cnfStyle w:evenHBand="false" w:oddHBand="true" w:firstRow="false"/>
        </w:trPr>
        <w:tc>
          <w:tcPr>
            <w:cnfStyle w:evenVBand="false" w:oddVBand="true" w:firstColumn="false"/>
            <w:tcW w:w="33.333333%" w:type="pct"/>
          </w:tcPr>
          <w:p>
            <w:pPr>
              <w:ind w:leftChars="0" w:left="0" w:right="0"/>
            </w:pPr>
            <w:r>
              <w:t>SEOB</w:t>
            </w:r>
          </w:p>
        </w:tc>
        <w:tc>
          <w:tcPr>
            <w:cnfStyle w:evenVBand="true" w:oddVBand="false" w:firstColumn="false"/>
            <w:tcW w:w="33.333333%" w:type="pct"/>
          </w:tcPr>
          <w:p>
            <w:pPr>
              <w:ind w:leftChars="0" w:left="0" w:right="0"/>
            </w:pPr>
            <w:r>
              <w:t>SEOB</w:t>
            </w:r>
          </w:p>
        </w:tc>
        <w:tc>
          <w:tcPr>
            <w:cnfStyle w:evenVBand="false" w:oddVBand="true" w:firstColumn="false"/>
            <w:tcW w:w="33.333333%" w:type="pct"/>
          </w:tcPr>
          <w:p>
            <w:pPr>
              <w:ind w:leftChars="0" w:left="0" w:right="0"/>
            </w:pPr>
            <w:r>
              <w:t>NASDAQ STOCKHOLM AB - OTC SEK WB EQ DERIVATIVES</w:t>
            </w:r>
          </w:p>
        </w:tc>
      </w:tr>
      <w:tr>
        <w:trPr>
          <w:cnfStyle w:evenHBand="true" w:oddHBand="false" w:firstRow="false"/>
        </w:trPr>
        <w:tc>
          <w:tcPr>
            <w:cnfStyle w:evenVBand="false" w:oddVBand="true" w:firstColumn="false"/>
            <w:tcW w:w="33.333333%" w:type="pct"/>
          </w:tcPr>
          <w:p>
            <w:pPr>
              <w:ind w:leftChars="0" w:left="0" w:right="0"/>
            </w:pPr>
            <w:r>
              <w:t>SEPE</w:t>
            </w:r>
          </w:p>
        </w:tc>
        <w:tc>
          <w:tcPr>
            <w:cnfStyle w:evenVBand="true" w:oddVBand="false" w:firstColumn="false"/>
            <w:tcW w:w="33.333333%" w:type="pct"/>
          </w:tcPr>
          <w:p>
            <w:pPr>
              <w:ind w:leftChars="0" w:left="0" w:right="0"/>
            </w:pPr>
            <w:r>
              <w:t>SEPE</w:t>
            </w:r>
          </w:p>
        </w:tc>
        <w:tc>
          <w:tcPr>
            <w:cnfStyle w:evenVBand="false" w:oddVBand="true" w:firstColumn="false"/>
            <w:tcW w:w="33.333333%" w:type="pct"/>
          </w:tcPr>
          <w:p>
            <w:pPr>
              <w:ind w:leftChars="0" w:left="0" w:right="0"/>
            </w:pPr>
            <w:r>
              <w:t>STOCK EXCHANGE PERSPECTIVA</w:t>
            </w:r>
          </w:p>
        </w:tc>
      </w:tr>
      <w:tr>
        <w:trPr>
          <w:cnfStyle w:evenHBand="false" w:oddHBand="true" w:firstRow="false"/>
        </w:trPr>
        <w:tc>
          <w:tcPr>
            <w:cnfStyle w:evenVBand="false" w:oddVBand="true" w:firstColumn="false"/>
            <w:tcW w:w="33.333333%" w:type="pct"/>
          </w:tcPr>
          <w:p>
            <w:pPr>
              <w:ind w:leftChars="0" w:left="0" w:right="0"/>
            </w:pPr>
            <w:r>
              <w:t>SEWB</w:t>
            </w:r>
          </w:p>
        </w:tc>
        <w:tc>
          <w:tcPr>
            <w:cnfStyle w:evenVBand="true" w:oddVBand="false" w:firstColumn="false"/>
            <w:tcW w:w="33.333333%" w:type="pct"/>
          </w:tcPr>
          <w:p>
            <w:pPr>
              <w:ind w:leftChars="0" w:left="0" w:right="0"/>
            </w:pPr>
            <w:r>
              <w:t>SEWB</w:t>
            </w:r>
          </w:p>
        </w:tc>
        <w:tc>
          <w:tcPr>
            <w:cnfStyle w:evenVBand="false" w:oddVBand="true" w:firstColumn="false"/>
            <w:tcW w:w="33.333333%" w:type="pct"/>
          </w:tcPr>
          <w:p>
            <w:pPr>
              <w:ind w:leftChars="0" w:left="0" w:right="0"/>
            </w:pPr>
            <w:r>
              <w:t>NASDAQ STOCKHOLM AB - SEK WB EQ DERIVATIVES</w:t>
            </w:r>
          </w:p>
        </w:tc>
      </w:tr>
      <w:tr>
        <w:trPr>
          <w:cnfStyle w:evenHBand="true" w:oddHBand="false" w:firstRow="false"/>
        </w:trPr>
        <w:tc>
          <w:tcPr>
            <w:cnfStyle w:evenVBand="false" w:oddVBand="true" w:firstColumn="false"/>
            <w:tcW w:w="33.333333%" w:type="pct"/>
          </w:tcPr>
          <w:p>
            <w:pPr>
              <w:ind w:leftChars="0" w:left="0" w:right="0"/>
            </w:pPr>
            <w:r>
              <w:t>SFCL</w:t>
            </w:r>
          </w:p>
        </w:tc>
        <w:tc>
          <w:tcPr>
            <w:cnfStyle w:evenVBand="true" w:oddVBand="false" w:firstColumn="false"/>
            <w:tcW w:w="33.333333%" w:type="pct"/>
          </w:tcPr>
          <w:p>
            <w:pPr>
              <w:ind w:leftChars="0" w:left="0" w:right="0"/>
            </w:pPr>
            <w:r>
              <w:t>SFCL</w:t>
            </w:r>
          </w:p>
        </w:tc>
        <w:tc>
          <w:tcPr>
            <w:cnfStyle w:evenVBand="false" w:oddVBand="true" w:firstColumn="false"/>
            <w:tcW w:w="33.333333%" w:type="pct"/>
          </w:tcPr>
          <w:p>
            <w:pPr>
              <w:ind w:leftChars="0" w:left="0" w:right="0"/>
            </w:pPr>
            <w:r>
              <w:t>SWISSCANTO FUNDS CENTRE LIMITED</w:t>
            </w:r>
          </w:p>
        </w:tc>
      </w:tr>
      <w:tr>
        <w:trPr>
          <w:cnfStyle w:evenHBand="false" w:oddHBand="true" w:firstRow="false"/>
        </w:trPr>
        <w:tc>
          <w:tcPr>
            <w:cnfStyle w:evenVBand="false" w:oddVBand="true" w:firstColumn="false"/>
            <w:tcW w:w="33.333333%" w:type="pct"/>
          </w:tcPr>
          <w:p>
            <w:pPr>
              <w:ind w:leftChars="0" w:left="0" w:right="0"/>
            </w:pPr>
            <w:r>
              <w:t>SFOX</w:t>
            </w:r>
          </w:p>
        </w:tc>
        <w:tc>
          <w:tcPr>
            <w:cnfStyle w:evenVBand="true" w:oddVBand="false" w:firstColumn="false"/>
            <w:tcW w:w="33.333333%" w:type="pct"/>
          </w:tcPr>
          <w:p>
            <w:pPr>
              <w:ind w:leftChars="0" w:left="0" w:right="0"/>
            </w:pPr>
            <w:r>
              <w:t>SFOX</w:t>
            </w:r>
          </w:p>
        </w:tc>
        <w:tc>
          <w:tcPr>
            <w:cnfStyle w:evenVBand="false" w:oddVBand="true" w:firstColumn="false"/>
            <w:tcW w:w="33.333333%" w:type="pct"/>
          </w:tcPr>
          <w:p>
            <w:pPr>
              <w:ind w:leftChars="0" w:left="0" w:right="0"/>
            </w:pPr>
            <w:r>
              <w:t>SFOX</w:t>
            </w:r>
          </w:p>
        </w:tc>
      </w:tr>
      <w:tr>
        <w:trPr>
          <w:cnfStyle w:evenHBand="true" w:oddHBand="false" w:firstRow="false"/>
        </w:trPr>
        <w:tc>
          <w:tcPr>
            <w:cnfStyle w:evenVBand="false" w:oddVBand="true" w:firstColumn="false"/>
            <w:tcW w:w="33.333333%" w:type="pct"/>
          </w:tcPr>
          <w:p>
            <w:pPr>
              <w:ind w:leftChars="0" w:left="0" w:right="0"/>
            </w:pPr>
            <w:r>
              <w:t>SGA2</w:t>
            </w:r>
          </w:p>
        </w:tc>
        <w:tc>
          <w:tcPr>
            <w:cnfStyle w:evenVBand="true" w:oddVBand="false" w:firstColumn="false"/>
            <w:tcW w:w="33.333333%" w:type="pct"/>
          </w:tcPr>
          <w:p>
            <w:pPr>
              <w:ind w:leftChars="0" w:left="0" w:right="0"/>
            </w:pPr>
            <w:r>
              <w:t>SGA2</w:t>
            </w:r>
          </w:p>
        </w:tc>
        <w:tc>
          <w:tcPr>
            <w:cnfStyle w:evenVBand="false" w:oddVBand="true" w:firstColumn="false"/>
            <w:tcW w:w="33.333333%" w:type="pct"/>
          </w:tcPr>
          <w:p>
            <w:pPr>
              <w:ind w:leftChars="0" w:left="0" w:right="0"/>
            </w:pPr>
            <w:r>
              <w:t>SG AMERICAS SECURITIES, LLC - SECOND VENUE</w:t>
            </w:r>
          </w:p>
        </w:tc>
      </w:tr>
      <w:tr>
        <w:trPr>
          <w:cnfStyle w:evenHBand="false" w:oddHBand="true" w:firstRow="false"/>
        </w:trPr>
        <w:tc>
          <w:tcPr>
            <w:cnfStyle w:evenVBand="false" w:oddVBand="true" w:firstColumn="false"/>
            <w:tcW w:w="33.333333%" w:type="pct"/>
          </w:tcPr>
          <w:p>
            <w:pPr>
              <w:ind w:leftChars="0" w:left="0" w:right="0"/>
            </w:pPr>
            <w:r>
              <w:t>SGAS</w:t>
            </w:r>
          </w:p>
        </w:tc>
        <w:tc>
          <w:tcPr>
            <w:cnfStyle w:evenVBand="true" w:oddVBand="false" w:firstColumn="false"/>
            <w:tcW w:w="33.333333%" w:type="pct"/>
          </w:tcPr>
          <w:p>
            <w:pPr>
              <w:ind w:leftChars="0" w:left="0" w:right="0"/>
            </w:pPr>
            <w:r>
              <w:t>SGAS</w:t>
            </w:r>
          </w:p>
        </w:tc>
        <w:tc>
          <w:tcPr>
            <w:cnfStyle w:evenVBand="false" w:oddVBand="true" w:firstColumn="false"/>
            <w:tcW w:w="33.333333%" w:type="pct"/>
          </w:tcPr>
          <w:p>
            <w:pPr>
              <w:ind w:leftChars="0" w:left="0" w:right="0"/>
            </w:pPr>
            <w:r>
              <w:t>SG AMERICAS SECURITIES, LLC</w:t>
            </w:r>
          </w:p>
        </w:tc>
      </w:tr>
      <w:tr>
        <w:trPr>
          <w:cnfStyle w:evenHBand="true" w:oddHBand="false" w:firstRow="false"/>
        </w:trPr>
        <w:tc>
          <w:tcPr>
            <w:cnfStyle w:evenVBand="false" w:oddVBand="true" w:firstColumn="false"/>
            <w:tcW w:w="33.333333%" w:type="pct"/>
          </w:tcPr>
          <w:p>
            <w:pPr>
              <w:ind w:leftChars="0" w:left="0" w:right="0"/>
            </w:pPr>
            <w:r>
              <w:t>SGEX</w:t>
            </w:r>
          </w:p>
        </w:tc>
        <w:tc>
          <w:tcPr>
            <w:cnfStyle w:evenVBand="true" w:oddVBand="false" w:firstColumn="false"/>
            <w:tcW w:w="33.333333%" w:type="pct"/>
          </w:tcPr>
          <w:p>
            <w:pPr>
              <w:ind w:leftChars="0" w:left="0" w:right="0"/>
            </w:pPr>
            <w:r>
              <w:t>SGEX</w:t>
            </w:r>
          </w:p>
        </w:tc>
        <w:tc>
          <w:tcPr>
            <w:cnfStyle w:evenVBand="false" w:oddVBand="true" w:firstColumn="false"/>
            <w:tcW w:w="33.333333%" w:type="pct"/>
          </w:tcPr>
          <w:p>
            <w:pPr>
              <w:ind w:leftChars="0" w:left="0" w:right="0"/>
            </w:pPr>
            <w:r>
              <w:t>SHANGHAI GOLD EXCHANGE</w:t>
            </w:r>
          </w:p>
        </w:tc>
      </w:tr>
      <w:tr>
        <w:trPr>
          <w:cnfStyle w:evenHBand="false" w:oddHBand="true" w:firstRow="false"/>
        </w:trPr>
        <w:tc>
          <w:tcPr>
            <w:cnfStyle w:evenVBand="false" w:oddVBand="true" w:firstColumn="false"/>
            <w:tcW w:w="33.333333%" w:type="pct"/>
          </w:tcPr>
          <w:p>
            <w:pPr>
              <w:ind w:leftChars="0" w:left="0" w:right="0"/>
            </w:pPr>
            <w:r>
              <w:t>SGMA</w:t>
            </w:r>
          </w:p>
        </w:tc>
        <w:tc>
          <w:tcPr>
            <w:cnfStyle w:evenVBand="true" w:oddVBand="false" w:firstColumn="false"/>
            <w:tcW w:w="33.333333%" w:type="pct"/>
          </w:tcPr>
          <w:p>
            <w:pPr>
              <w:ind w:leftChars="0" w:left="0" w:right="0"/>
            </w:pPr>
            <w:r>
              <w:t>SGMA</w:t>
            </w:r>
          </w:p>
        </w:tc>
        <w:tc>
          <w:tcPr>
            <w:cnfStyle w:evenVBand="false" w:oddVBand="true" w:firstColumn="false"/>
            <w:tcW w:w="33.333333%" w:type="pct"/>
          </w:tcPr>
          <w:p>
            <w:pPr>
              <w:ind w:leftChars="0" w:left="0" w:right="0"/>
            </w:pPr>
            <w:r>
              <w:t>GOLDMAN SACH MTF</w:t>
            </w:r>
          </w:p>
        </w:tc>
      </w:tr>
      <w:tr>
        <w:trPr>
          <w:cnfStyle w:evenHBand="true" w:oddHBand="false" w:firstRow="false"/>
        </w:trPr>
        <w:tc>
          <w:tcPr>
            <w:cnfStyle w:evenVBand="false" w:oddVBand="true" w:firstColumn="false"/>
            <w:tcW w:w="33.333333%" w:type="pct"/>
          </w:tcPr>
          <w:p>
            <w:pPr>
              <w:ind w:leftChars="0" w:left="0" w:right="0"/>
            </w:pPr>
            <w:r>
              <w:t>SGMT</w:t>
            </w:r>
          </w:p>
        </w:tc>
        <w:tc>
          <w:tcPr>
            <w:cnfStyle w:evenVBand="true" w:oddVBand="false" w:firstColumn="false"/>
            <w:tcW w:w="33.333333%" w:type="pct"/>
          </w:tcPr>
          <w:p>
            <w:pPr>
              <w:ind w:leftChars="0" w:left="0" w:right="0"/>
            </w:pPr>
            <w:r>
              <w:t>SGMT</w:t>
            </w:r>
          </w:p>
        </w:tc>
        <w:tc>
          <w:tcPr>
            <w:cnfStyle w:evenVBand="false" w:oddVBand="true" w:firstColumn="false"/>
            <w:tcW w:w="33.333333%" w:type="pct"/>
          </w:tcPr>
          <w:p>
            <w:pPr>
              <w:ind w:leftChars="0" w:left="0" w:right="0"/>
            </w:pPr>
            <w:r>
              <w:t>SIGMA X2</w:t>
            </w:r>
          </w:p>
        </w:tc>
      </w:tr>
      <w:tr>
        <w:trPr>
          <w:cnfStyle w:evenHBand="false" w:oddHBand="true" w:firstRow="false"/>
        </w:trPr>
        <w:tc>
          <w:tcPr>
            <w:cnfStyle w:evenVBand="false" w:oddVBand="true" w:firstColumn="false"/>
            <w:tcW w:w="33.333333%" w:type="pct"/>
          </w:tcPr>
          <w:p>
            <w:pPr>
              <w:ind w:leftChars="0" w:left="0" w:right="0"/>
            </w:pPr>
            <w:r>
              <w:t>SGMU</w:t>
            </w:r>
          </w:p>
        </w:tc>
        <w:tc>
          <w:tcPr>
            <w:cnfStyle w:evenVBand="true" w:oddVBand="false" w:firstColumn="false"/>
            <w:tcW w:w="33.333333%" w:type="pct"/>
          </w:tcPr>
          <w:p>
            <w:pPr>
              <w:ind w:leftChars="0" w:left="0" w:right="0"/>
            </w:pPr>
            <w:r>
              <w:t>SGMU</w:t>
            </w:r>
          </w:p>
        </w:tc>
        <w:tc>
          <w:tcPr>
            <w:cnfStyle w:evenVBand="false" w:oddVBand="true" w:firstColumn="false"/>
            <w:tcW w:w="33.333333%" w:type="pct"/>
          </w:tcPr>
          <w:p>
            <w:pPr>
              <w:ind w:leftChars="0" w:left="0" w:right="0"/>
            </w:pPr>
            <w:r>
              <w:t>SIGMA X EUROPE NON-DISPLAYED BOOK</w:t>
            </w:r>
          </w:p>
        </w:tc>
      </w:tr>
      <w:tr>
        <w:trPr>
          <w:cnfStyle w:evenHBand="true" w:oddHBand="false" w:firstRow="false"/>
        </w:trPr>
        <w:tc>
          <w:tcPr>
            <w:cnfStyle w:evenVBand="false" w:oddVBand="true" w:firstColumn="false"/>
            <w:tcW w:w="33.333333%" w:type="pct"/>
          </w:tcPr>
          <w:p>
            <w:pPr>
              <w:ind w:leftChars="0" w:left="0" w:right="0"/>
            </w:pPr>
            <w:r>
              <w:t>SGMV</w:t>
            </w:r>
          </w:p>
        </w:tc>
        <w:tc>
          <w:tcPr>
            <w:cnfStyle w:evenVBand="true" w:oddVBand="false" w:firstColumn="false"/>
            <w:tcW w:w="33.333333%" w:type="pct"/>
          </w:tcPr>
          <w:p>
            <w:pPr>
              <w:ind w:leftChars="0" w:left="0" w:right="0"/>
            </w:pPr>
            <w:r>
              <w:t>SGMV</w:t>
            </w:r>
          </w:p>
        </w:tc>
        <w:tc>
          <w:tcPr>
            <w:cnfStyle w:evenVBand="false" w:oddVBand="true" w:firstColumn="false"/>
            <w:tcW w:w="33.333333%" w:type="pct"/>
          </w:tcPr>
          <w:p>
            <w:pPr>
              <w:ind w:leftChars="0" w:left="0" w:right="0"/>
            </w:pPr>
            <w:r>
              <w:t>SIGMA X EUROPE AUCTION BOOK</w:t>
            </w:r>
          </w:p>
        </w:tc>
      </w:tr>
      <w:tr>
        <w:trPr>
          <w:cnfStyle w:evenHBand="false" w:oddHBand="true" w:firstRow="false"/>
        </w:trPr>
        <w:tc>
          <w:tcPr>
            <w:cnfStyle w:evenVBand="false" w:oddVBand="true" w:firstColumn="false"/>
            <w:tcW w:w="33.333333%" w:type="pct"/>
          </w:tcPr>
          <w:p>
            <w:pPr>
              <w:ind w:leftChars="0" w:left="0" w:right="0"/>
            </w:pPr>
            <w:r>
              <w:t>SGMW</w:t>
            </w:r>
          </w:p>
        </w:tc>
        <w:tc>
          <w:tcPr>
            <w:cnfStyle w:evenVBand="true" w:oddVBand="false" w:firstColumn="false"/>
            <w:tcW w:w="33.333333%" w:type="pct"/>
          </w:tcPr>
          <w:p>
            <w:pPr>
              <w:ind w:leftChars="0" w:left="0" w:right="0"/>
            </w:pPr>
            <w:r>
              <w:t>SGMW</w:t>
            </w:r>
          </w:p>
        </w:tc>
        <w:tc>
          <w:tcPr>
            <w:cnfStyle w:evenVBand="false" w:oddVBand="true" w:firstColumn="false"/>
            <w:tcW w:w="33.333333%" w:type="pct"/>
          </w:tcPr>
          <w:p>
            <w:pPr>
              <w:ind w:leftChars="0" w:left="0" w:right="0"/>
            </w:pPr>
            <w:r>
              <w:t>SIGMA X EUROPE NEGOTIATED TRADE</w:t>
            </w:r>
          </w:p>
        </w:tc>
      </w:tr>
      <w:tr>
        <w:trPr>
          <w:cnfStyle w:evenHBand="true" w:oddHBand="false" w:firstRow="false"/>
        </w:trPr>
        <w:tc>
          <w:tcPr>
            <w:cnfStyle w:evenVBand="false" w:oddVBand="true" w:firstColumn="false"/>
            <w:tcW w:w="33.333333%" w:type="pct"/>
          </w:tcPr>
          <w:p>
            <w:pPr>
              <w:ind w:leftChars="0" w:left="0" w:right="0"/>
            </w:pPr>
            <w:r>
              <w:t>SGMX</w:t>
            </w:r>
          </w:p>
        </w:tc>
        <w:tc>
          <w:tcPr>
            <w:cnfStyle w:evenVBand="true" w:oddVBand="false" w:firstColumn="false"/>
            <w:tcW w:w="33.333333%" w:type="pct"/>
          </w:tcPr>
          <w:p>
            <w:pPr>
              <w:ind w:leftChars="0" w:left="0" w:right="0"/>
            </w:pPr>
            <w:r>
              <w:t>SGMX</w:t>
            </w:r>
          </w:p>
        </w:tc>
        <w:tc>
          <w:tcPr>
            <w:cnfStyle w:evenVBand="false" w:oddVBand="true" w:firstColumn="false"/>
            <w:tcW w:w="33.333333%" w:type="pct"/>
          </w:tcPr>
          <w:p>
            <w:pPr>
              <w:ind w:leftChars="0" w:left="0" w:right="0"/>
            </w:pPr>
            <w:r>
              <w:t>SIGMA X MTF</w:t>
            </w:r>
          </w:p>
        </w:tc>
      </w:tr>
      <w:tr>
        <w:trPr>
          <w:cnfStyle w:evenHBand="false" w:oddHBand="true" w:firstRow="false"/>
        </w:trPr>
        <w:tc>
          <w:tcPr>
            <w:cnfStyle w:evenVBand="false" w:oddVBand="true" w:firstColumn="false"/>
            <w:tcW w:w="33.333333%" w:type="pct"/>
          </w:tcPr>
          <w:p>
            <w:pPr>
              <w:ind w:leftChars="0" w:left="0" w:right="0"/>
            </w:pPr>
            <w:r>
              <w:t>SGMY</w:t>
            </w:r>
          </w:p>
        </w:tc>
        <w:tc>
          <w:tcPr>
            <w:cnfStyle w:evenVBand="true" w:oddVBand="false" w:firstColumn="false"/>
            <w:tcW w:w="33.333333%" w:type="pct"/>
          </w:tcPr>
          <w:p>
            <w:pPr>
              <w:ind w:leftChars="0" w:left="0" w:right="0"/>
            </w:pPr>
            <w:r>
              <w:t>SGMY</w:t>
            </w:r>
          </w:p>
        </w:tc>
        <w:tc>
          <w:tcPr>
            <w:cnfStyle w:evenVBand="false" w:oddVBand="true" w:firstColumn="false"/>
            <w:tcW w:w="33.333333%" w:type="pct"/>
          </w:tcPr>
          <w:p>
            <w:pPr>
              <w:ind w:leftChars="0" w:left="0" w:right="0"/>
            </w:pPr>
            <w:r>
              <w:t>SIGMA X MTF - AUCTION BOOK</w:t>
            </w:r>
          </w:p>
        </w:tc>
      </w:tr>
      <w:tr>
        <w:trPr>
          <w:cnfStyle w:evenHBand="true" w:oddHBand="false" w:firstRow="false"/>
        </w:trPr>
        <w:tc>
          <w:tcPr>
            <w:cnfStyle w:evenVBand="false" w:oddVBand="true" w:firstColumn="false"/>
            <w:tcW w:w="33.333333%" w:type="pct"/>
          </w:tcPr>
          <w:p>
            <w:pPr>
              <w:ind w:leftChars="0" w:left="0" w:right="0"/>
            </w:pPr>
            <w:r>
              <w:t>SGMZ</w:t>
            </w:r>
          </w:p>
        </w:tc>
        <w:tc>
          <w:tcPr>
            <w:cnfStyle w:evenVBand="true" w:oddVBand="false" w:firstColumn="false"/>
            <w:tcW w:w="33.333333%" w:type="pct"/>
          </w:tcPr>
          <w:p>
            <w:pPr>
              <w:ind w:leftChars="0" w:left="0" w:right="0"/>
            </w:pPr>
            <w:r>
              <w:t>SGMZ</w:t>
            </w:r>
          </w:p>
        </w:tc>
        <w:tc>
          <w:tcPr>
            <w:cnfStyle w:evenVBand="false" w:oddVBand="true" w:firstColumn="false"/>
            <w:tcW w:w="33.333333%" w:type="pct"/>
          </w:tcPr>
          <w:p>
            <w:pPr>
              <w:ind w:leftChars="0" w:left="0" w:right="0"/>
            </w:pPr>
            <w:r>
              <w:t>SIGMA X MTF - NEGOTIATED TRADE</w:t>
            </w:r>
          </w:p>
        </w:tc>
      </w:tr>
      <w:tr>
        <w:trPr>
          <w:cnfStyle w:evenHBand="false" w:oddHBand="true" w:firstRow="false"/>
        </w:trPr>
        <w:tc>
          <w:tcPr>
            <w:cnfStyle w:evenVBand="false" w:oddVBand="true" w:firstColumn="false"/>
            <w:tcW w:w="33.333333%" w:type="pct"/>
          </w:tcPr>
          <w:p>
            <w:pPr>
              <w:ind w:leftChars="0" w:left="0" w:right="0"/>
            </w:pPr>
            <w:r>
              <w:t>SGOE</w:t>
            </w:r>
          </w:p>
        </w:tc>
        <w:tc>
          <w:tcPr>
            <w:cnfStyle w:evenVBand="true" w:oddVBand="false" w:firstColumn="false"/>
            <w:tcW w:w="33.333333%" w:type="pct"/>
          </w:tcPr>
          <w:p>
            <w:pPr>
              <w:ind w:leftChars="0" w:left="0" w:right="0"/>
            </w:pPr>
            <w:r>
              <w:t>SGOE</w:t>
            </w:r>
          </w:p>
        </w:tc>
        <w:tc>
          <w:tcPr>
            <w:cnfStyle w:evenVBand="false" w:oddVBand="true" w:firstColumn="false"/>
            <w:tcW w:w="33.333333%" w:type="pct"/>
          </w:tcPr>
          <w:p>
            <w:pPr>
              <w:ind w:leftChars="0" w:left="0" w:right="0"/>
            </w:pPr>
            <w:r>
              <w:t>SG OPTION EUROPE - SYSTEMATIC INTERNALISER</w:t>
            </w:r>
          </w:p>
        </w:tc>
      </w:tr>
      <w:tr>
        <w:trPr>
          <w:cnfStyle w:evenHBand="true" w:oddHBand="false" w:firstRow="false"/>
        </w:trPr>
        <w:tc>
          <w:tcPr>
            <w:cnfStyle w:evenVBand="false" w:oddVBand="true" w:firstColumn="false"/>
            <w:tcW w:w="33.333333%" w:type="pct"/>
          </w:tcPr>
          <w:p>
            <w:pPr>
              <w:ind w:leftChars="0" w:left="0" w:right="0"/>
            </w:pPr>
            <w:r>
              <w:t>SHAD</w:t>
            </w:r>
          </w:p>
        </w:tc>
        <w:tc>
          <w:tcPr>
            <w:cnfStyle w:evenVBand="true" w:oddVBand="false" w:firstColumn="false"/>
            <w:tcW w:w="33.333333%" w:type="pct"/>
          </w:tcPr>
          <w:p>
            <w:pPr>
              <w:ind w:leftChars="0" w:left="0" w:right="0"/>
            </w:pPr>
            <w:r>
              <w:t>SHAD</w:t>
            </w:r>
          </w:p>
        </w:tc>
        <w:tc>
          <w:tcPr>
            <w:cnfStyle w:evenVBand="false" w:oddVBand="true" w:firstColumn="false"/>
            <w:tcW w:w="33.333333%" w:type="pct"/>
          </w:tcPr>
          <w:p>
            <w:pPr>
              <w:ind w:leftChars="0" w:left="0" w:right="0"/>
            </w:pPr>
            <w:r>
              <w:t>D.E. SHAW DARK</w:t>
            </w:r>
          </w:p>
        </w:tc>
      </w:tr>
      <w:tr>
        <w:trPr>
          <w:cnfStyle w:evenHBand="false" w:oddHBand="true" w:firstRow="false"/>
        </w:trPr>
        <w:tc>
          <w:tcPr>
            <w:cnfStyle w:evenVBand="false" w:oddVBand="true" w:firstColumn="false"/>
            <w:tcW w:w="33.333333%" w:type="pct"/>
          </w:tcPr>
          <w:p>
            <w:pPr>
              <w:ind w:leftChars="0" w:left="0" w:right="0"/>
            </w:pPr>
            <w:r>
              <w:t>SHAR</w:t>
            </w:r>
          </w:p>
        </w:tc>
        <w:tc>
          <w:tcPr>
            <w:cnfStyle w:evenVBand="true" w:oddVBand="false" w:firstColumn="false"/>
            <w:tcW w:w="33.333333%" w:type="pct"/>
          </w:tcPr>
          <w:p>
            <w:pPr>
              <w:ind w:leftChars="0" w:left="0" w:right="0"/>
            </w:pPr>
            <w:r>
              <w:t>SHAR</w:t>
            </w:r>
          </w:p>
        </w:tc>
        <w:tc>
          <w:tcPr>
            <w:cnfStyle w:evenVBand="false" w:oddVBand="true" w:firstColumn="false"/>
            <w:tcW w:w="33.333333%" w:type="pct"/>
          </w:tcPr>
          <w:p>
            <w:pPr>
              <w:ind w:leftChars="0" w:left="0" w:right="0"/>
            </w:pPr>
            <w:r>
              <w:t>ASSET MATCH</w:t>
            </w:r>
          </w:p>
        </w:tc>
      </w:tr>
      <w:tr>
        <w:trPr>
          <w:cnfStyle w:evenHBand="true" w:oddHBand="false" w:firstRow="false"/>
        </w:trPr>
        <w:tc>
          <w:tcPr>
            <w:cnfStyle w:evenVBand="false" w:oddVBand="true" w:firstColumn="false"/>
            <w:tcW w:w="33.333333%" w:type="pct"/>
          </w:tcPr>
          <w:p>
            <w:pPr>
              <w:ind w:leftChars="0" w:left="0" w:right="0"/>
            </w:pPr>
            <w:r>
              <w:t>SHAW</w:t>
            </w:r>
          </w:p>
        </w:tc>
        <w:tc>
          <w:tcPr>
            <w:cnfStyle w:evenVBand="true" w:oddVBand="false" w:firstColumn="false"/>
            <w:tcW w:w="33.333333%" w:type="pct"/>
          </w:tcPr>
          <w:p>
            <w:pPr>
              <w:ind w:leftChars="0" w:left="0" w:right="0"/>
            </w:pPr>
            <w:r>
              <w:t>SHAW</w:t>
            </w:r>
          </w:p>
        </w:tc>
        <w:tc>
          <w:tcPr>
            <w:cnfStyle w:evenVBand="false" w:oddVBand="true" w:firstColumn="false"/>
            <w:tcW w:w="33.333333%" w:type="pct"/>
          </w:tcPr>
          <w:p>
            <w:pPr>
              <w:ind w:leftChars="0" w:left="0" w:right="0"/>
            </w:pPr>
            <w:r>
              <w:t>D.E. SHAW</w:t>
            </w:r>
          </w:p>
        </w:tc>
      </w:tr>
      <w:tr>
        <w:trPr>
          <w:cnfStyle w:evenHBand="false" w:oddHBand="true" w:firstRow="false"/>
        </w:trPr>
        <w:tc>
          <w:tcPr>
            <w:cnfStyle w:evenVBand="false" w:oddVBand="true" w:firstColumn="false"/>
            <w:tcW w:w="33.333333%" w:type="pct"/>
          </w:tcPr>
          <w:p>
            <w:pPr>
              <w:ind w:leftChars="0" w:left="0" w:right="0"/>
            </w:pPr>
            <w:r>
              <w:t>SHSC</w:t>
            </w:r>
          </w:p>
        </w:tc>
        <w:tc>
          <w:tcPr>
            <w:cnfStyle w:evenVBand="true" w:oddVBand="false" w:firstColumn="false"/>
            <w:tcW w:w="33.333333%" w:type="pct"/>
          </w:tcPr>
          <w:p>
            <w:pPr>
              <w:ind w:leftChars="0" w:left="0" w:right="0"/>
            </w:pPr>
            <w:r>
              <w:t>SHSC</w:t>
            </w:r>
          </w:p>
        </w:tc>
        <w:tc>
          <w:tcPr>
            <w:cnfStyle w:evenVBand="false" w:oddVBand="true" w:firstColumn="false"/>
            <w:tcW w:w="33.333333%" w:type="pct"/>
          </w:tcPr>
          <w:p>
            <w:pPr>
              <w:ind w:leftChars="0" w:left="0" w:right="0"/>
            </w:pPr>
            <w:r>
              <w:t>STOCK EXCHANGE OF HONG KONG LIMITED - SHANGHAI - HONG KONG STOCK CONNECT</w:t>
            </w:r>
          </w:p>
        </w:tc>
      </w:tr>
      <w:tr>
        <w:trPr>
          <w:cnfStyle w:evenHBand="true" w:oddHBand="false" w:firstRow="false"/>
        </w:trPr>
        <w:tc>
          <w:tcPr>
            <w:cnfStyle w:evenVBand="false" w:oddVBand="true" w:firstColumn="false"/>
            <w:tcW w:w="33.333333%" w:type="pct"/>
          </w:tcPr>
          <w:p>
            <w:pPr>
              <w:ind w:leftChars="0" w:left="0" w:right="0"/>
            </w:pPr>
            <w:r>
              <w:t>SIAB</w:t>
            </w:r>
          </w:p>
        </w:tc>
        <w:tc>
          <w:tcPr>
            <w:cnfStyle w:evenVBand="true" w:oddVBand="false" w:firstColumn="false"/>
            <w:tcW w:w="33.333333%" w:type="pct"/>
          </w:tcPr>
          <w:p>
            <w:pPr>
              <w:ind w:leftChars="0" w:left="0" w:right="0"/>
            </w:pPr>
            <w:r>
              <w:t>SIAB</w:t>
            </w:r>
          </w:p>
        </w:tc>
        <w:tc>
          <w:tcPr>
            <w:cnfStyle w:evenVBand="false" w:oddVBand="true" w:firstColumn="false"/>
            <w:tcW w:w="33.333333%" w:type="pct"/>
          </w:tcPr>
          <w:p>
            <w:pPr>
              <w:ind w:leftChars="0" w:left="0" w:right="0"/>
            </w:pPr>
            <w:r>
              <w:t>ALIOR BANK - SYSTEMATIC INTERNALISER</w:t>
            </w:r>
          </w:p>
        </w:tc>
      </w:tr>
      <w:tr>
        <w:trPr>
          <w:cnfStyle w:evenHBand="false" w:oddHBand="true" w:firstRow="false"/>
        </w:trPr>
        <w:tc>
          <w:tcPr>
            <w:cnfStyle w:evenVBand="false" w:oddVBand="true" w:firstColumn="false"/>
            <w:tcW w:w="33.333333%" w:type="pct"/>
          </w:tcPr>
          <w:p>
            <w:pPr>
              <w:ind w:leftChars="0" w:left="0" w:right="0"/>
            </w:pPr>
            <w:r>
              <w:t>SIBC</w:t>
            </w:r>
          </w:p>
        </w:tc>
        <w:tc>
          <w:tcPr>
            <w:cnfStyle w:evenVBand="true" w:oddVBand="false" w:firstColumn="false"/>
            <w:tcW w:w="33.333333%" w:type="pct"/>
          </w:tcPr>
          <w:p>
            <w:pPr>
              <w:ind w:leftChars="0" w:left="0" w:right="0"/>
            </w:pPr>
            <w:r>
              <w:t>SIBC</w:t>
            </w:r>
          </w:p>
        </w:tc>
        <w:tc>
          <w:tcPr>
            <w:cnfStyle w:evenVBand="false" w:oddVBand="true" w:firstColumn="false"/>
            <w:tcW w:w="33.333333%" w:type="pct"/>
          </w:tcPr>
          <w:p>
            <w:pPr>
              <w:ind w:leftChars="0" w:left="0" w:right="0"/>
            </w:pPr>
            <w:r>
              <w:t>SIB CYPRUS LTD - SYSTEMATIC INTERNALISER</w:t>
            </w:r>
          </w:p>
        </w:tc>
      </w:tr>
      <w:tr>
        <w:trPr>
          <w:cnfStyle w:evenHBand="true" w:oddHBand="false" w:firstRow="false"/>
        </w:trPr>
        <w:tc>
          <w:tcPr>
            <w:cnfStyle w:evenVBand="false" w:oddVBand="true" w:firstColumn="false"/>
            <w:tcW w:w="33.333333%" w:type="pct"/>
          </w:tcPr>
          <w:p>
            <w:pPr>
              <w:ind w:leftChars="0" w:left="0" w:right="0"/>
            </w:pPr>
            <w:r>
              <w:t>SICS</w:t>
            </w:r>
          </w:p>
        </w:tc>
        <w:tc>
          <w:tcPr>
            <w:cnfStyle w:evenVBand="true" w:oddVBand="false" w:firstColumn="false"/>
            <w:tcW w:w="33.333333%" w:type="pct"/>
          </w:tcPr>
          <w:p>
            <w:pPr>
              <w:ind w:leftChars="0" w:left="0" w:right="0"/>
            </w:pPr>
            <w:r>
              <w:t>SICS</w:t>
            </w:r>
          </w:p>
        </w:tc>
        <w:tc>
          <w:tcPr>
            <w:cnfStyle w:evenVBand="false" w:oddVBand="true" w:firstColumn="false"/>
            <w:tcW w:w="33.333333%" w:type="pct"/>
          </w:tcPr>
          <w:p>
            <w:pPr>
              <w:ind w:leftChars="0" w:left="0" w:right="0"/>
            </w:pPr>
            <w:r>
              <w:t>CREDIT SUISSE SECURITIES (EUROPE) LIMITED - SYSTEMATIC INTERNALISER</w:t>
            </w:r>
          </w:p>
        </w:tc>
      </w:tr>
      <w:tr>
        <w:trPr>
          <w:cnfStyle w:evenHBand="false" w:oddHBand="true" w:firstRow="false"/>
        </w:trPr>
        <w:tc>
          <w:tcPr>
            <w:cnfStyle w:evenVBand="false" w:oddVBand="true" w:firstColumn="false"/>
            <w:tcW w:w="33.333333%" w:type="pct"/>
          </w:tcPr>
          <w:p>
            <w:pPr>
              <w:ind w:leftChars="0" w:left="0" w:right="0"/>
            </w:pPr>
            <w:r>
              <w:t>SIDX</w:t>
            </w:r>
          </w:p>
        </w:tc>
        <w:tc>
          <w:tcPr>
            <w:cnfStyle w:evenVBand="true" w:oddVBand="false" w:firstColumn="false"/>
            <w:tcW w:w="33.333333%" w:type="pct"/>
          </w:tcPr>
          <w:p>
            <w:pPr>
              <w:ind w:leftChars="0" w:left="0" w:right="0"/>
            </w:pPr>
            <w:r>
              <w:t>SIDX</w:t>
            </w:r>
          </w:p>
        </w:tc>
        <w:tc>
          <w:tcPr>
            <w:cnfStyle w:evenVBand="false" w:oddVBand="true" w:firstColumn="false"/>
            <w:tcW w:w="33.333333%" w:type="pct"/>
          </w:tcPr>
          <w:p>
            <w:pPr>
              <w:ind w:leftChars="0" w:left="0" w:right="0"/>
            </w:pPr>
            <w:r>
              <w:t>SCOTIABANK (IRELAND)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SIFX</w:t>
            </w:r>
          </w:p>
        </w:tc>
        <w:tc>
          <w:tcPr>
            <w:cnfStyle w:evenVBand="true" w:oddVBand="false" w:firstColumn="false"/>
            <w:tcW w:w="33.333333%" w:type="pct"/>
          </w:tcPr>
          <w:p>
            <w:pPr>
              <w:ind w:leftChars="0" w:left="0" w:right="0"/>
            </w:pPr>
            <w:r>
              <w:t>SIFX</w:t>
            </w:r>
          </w:p>
        </w:tc>
        <w:tc>
          <w:tcPr>
            <w:cnfStyle w:evenVBand="false" w:oddVBand="true" w:firstColumn="false"/>
            <w:tcW w:w="33.333333%" w:type="pct"/>
          </w:tcPr>
          <w:p>
            <w:pPr>
              <w:ind w:leftChars="0" w:left="0" w:right="0"/>
            </w:pPr>
            <w:r>
              <w:t>SIEGE FX LIMITED</w:t>
            </w:r>
          </w:p>
        </w:tc>
      </w:tr>
      <w:tr>
        <w:trPr>
          <w:cnfStyle w:evenHBand="false" w:oddHBand="true" w:firstRow="false"/>
        </w:trPr>
        <w:tc>
          <w:tcPr>
            <w:cnfStyle w:evenVBand="false" w:oddVBand="true" w:firstColumn="false"/>
            <w:tcW w:w="33.333333%" w:type="pct"/>
          </w:tcPr>
          <w:p>
            <w:pPr>
              <w:ind w:leftChars="0" w:left="0" w:right="0"/>
            </w:pPr>
            <w:r>
              <w:t>SIGA</w:t>
            </w:r>
          </w:p>
        </w:tc>
        <w:tc>
          <w:tcPr>
            <w:cnfStyle w:evenVBand="true" w:oddVBand="false" w:firstColumn="false"/>
            <w:tcW w:w="33.333333%" w:type="pct"/>
          </w:tcPr>
          <w:p>
            <w:pPr>
              <w:ind w:leftChars="0" w:left="0" w:right="0"/>
            </w:pPr>
            <w:r>
              <w:t>SIGA</w:t>
            </w:r>
          </w:p>
        </w:tc>
        <w:tc>
          <w:tcPr>
            <w:cnfStyle w:evenVBand="false" w:oddVBand="true" w:firstColumn="false"/>
            <w:tcW w:w="33.333333%" w:type="pct"/>
          </w:tcPr>
          <w:p>
            <w:pPr>
              <w:ind w:leftChars="0" w:left="0" w:right="0"/>
            </w:pPr>
            <w:r>
              <w:t>SIGMA X AUSTRALIA</w:t>
            </w:r>
          </w:p>
        </w:tc>
      </w:tr>
      <w:tr>
        <w:trPr>
          <w:cnfStyle w:evenHBand="true" w:oddHBand="false" w:firstRow="false"/>
        </w:trPr>
        <w:tc>
          <w:tcPr>
            <w:cnfStyle w:evenVBand="false" w:oddVBand="true" w:firstColumn="false"/>
            <w:tcW w:w="33.333333%" w:type="pct"/>
          </w:tcPr>
          <w:p>
            <w:pPr>
              <w:ind w:leftChars="0" w:left="0" w:right="0"/>
            </w:pPr>
            <w:r>
              <w:t>SIGH</w:t>
            </w:r>
          </w:p>
        </w:tc>
        <w:tc>
          <w:tcPr>
            <w:cnfStyle w:evenVBand="true" w:oddVBand="false" w:firstColumn="false"/>
            <w:tcW w:w="33.333333%" w:type="pct"/>
          </w:tcPr>
          <w:p>
            <w:pPr>
              <w:ind w:leftChars="0" w:left="0" w:right="0"/>
            </w:pPr>
            <w:r>
              <w:t>SIGH</w:t>
            </w:r>
          </w:p>
        </w:tc>
        <w:tc>
          <w:tcPr>
            <w:cnfStyle w:evenVBand="false" w:oddVBand="true" w:firstColumn="false"/>
            <w:tcW w:w="33.333333%" w:type="pct"/>
          </w:tcPr>
          <w:p>
            <w:pPr>
              <w:ind w:leftChars="0" w:left="0" w:right="0"/>
            </w:pPr>
            <w:r>
              <w:t>SIGMA X HONG KONG</w:t>
            </w:r>
          </w:p>
        </w:tc>
      </w:tr>
      <w:tr>
        <w:trPr>
          <w:cnfStyle w:evenHBand="false" w:oddHBand="true" w:firstRow="false"/>
        </w:trPr>
        <w:tc>
          <w:tcPr>
            <w:cnfStyle w:evenVBand="false" w:oddVBand="true" w:firstColumn="false"/>
            <w:tcW w:w="33.333333%" w:type="pct"/>
          </w:tcPr>
          <w:p>
            <w:pPr>
              <w:ind w:leftChars="0" w:left="0" w:right="0"/>
            </w:pPr>
            <w:r>
              <w:t>SIGJ</w:t>
            </w:r>
          </w:p>
        </w:tc>
        <w:tc>
          <w:tcPr>
            <w:cnfStyle w:evenVBand="true" w:oddVBand="false" w:firstColumn="false"/>
            <w:tcW w:w="33.333333%" w:type="pct"/>
          </w:tcPr>
          <w:p>
            <w:pPr>
              <w:ind w:leftChars="0" w:left="0" w:right="0"/>
            </w:pPr>
            <w:r>
              <w:t>SIGJ</w:t>
            </w:r>
          </w:p>
        </w:tc>
        <w:tc>
          <w:tcPr>
            <w:cnfStyle w:evenVBand="false" w:oddVBand="true" w:firstColumn="false"/>
            <w:tcW w:w="33.333333%" w:type="pct"/>
          </w:tcPr>
          <w:p>
            <w:pPr>
              <w:ind w:leftChars="0" w:left="0" w:right="0"/>
            </w:pPr>
            <w:r>
              <w:t>SIGMA X JAPAN</w:t>
            </w:r>
          </w:p>
        </w:tc>
      </w:tr>
      <w:tr>
        <w:trPr>
          <w:cnfStyle w:evenHBand="true" w:oddHBand="false" w:firstRow="false"/>
        </w:trPr>
        <w:tc>
          <w:tcPr>
            <w:cnfStyle w:evenVBand="false" w:oddVBand="true" w:firstColumn="false"/>
            <w:tcW w:w="33.333333%" w:type="pct"/>
          </w:tcPr>
          <w:p>
            <w:pPr>
              <w:ind w:leftChars="0" w:left="0" w:right="0"/>
            </w:pPr>
            <w:r>
              <w:t>SIGX</w:t>
            </w:r>
          </w:p>
        </w:tc>
        <w:tc>
          <w:tcPr>
            <w:cnfStyle w:evenVBand="true" w:oddVBand="false" w:firstColumn="false"/>
            <w:tcW w:w="33.333333%" w:type="pct"/>
          </w:tcPr>
          <w:p>
            <w:pPr>
              <w:ind w:leftChars="0" w:left="0" w:right="0"/>
            </w:pPr>
            <w:r>
              <w:t>SIGX</w:t>
            </w:r>
          </w:p>
        </w:tc>
        <w:tc>
          <w:tcPr>
            <w:cnfStyle w:evenVBand="false" w:oddVBand="true" w:firstColumn="false"/>
            <w:tcW w:w="33.333333%" w:type="pct"/>
          </w:tcPr>
          <w:p>
            <w:pPr>
              <w:ind w:leftChars="0" w:left="0" w:right="0"/>
            </w:pPr>
            <w:r>
              <w:t>SIGMA X CANADA</w:t>
            </w:r>
          </w:p>
        </w:tc>
      </w:tr>
      <w:tr>
        <w:trPr>
          <w:cnfStyle w:evenHBand="false" w:oddHBand="true" w:firstRow="false"/>
        </w:trPr>
        <w:tc>
          <w:tcPr>
            <w:cnfStyle w:evenVBand="false" w:oddVBand="true" w:firstColumn="false"/>
            <w:tcW w:w="33.333333%" w:type="pct"/>
          </w:tcPr>
          <w:p>
            <w:pPr>
              <w:ind w:leftChars="0" w:left="0" w:right="0"/>
            </w:pPr>
            <w:r>
              <w:t>SIMD</w:t>
            </w:r>
          </w:p>
        </w:tc>
        <w:tc>
          <w:tcPr>
            <w:cnfStyle w:evenVBand="true" w:oddVBand="false" w:firstColumn="false"/>
            <w:tcW w:w="33.333333%" w:type="pct"/>
          </w:tcPr>
          <w:p>
            <w:pPr>
              <w:ind w:leftChars="0" w:left="0" w:right="0"/>
            </w:pPr>
            <w:r>
              <w:t>SIMD</w:t>
            </w:r>
          </w:p>
        </w:tc>
        <w:tc>
          <w:tcPr>
            <w:cnfStyle w:evenVBand="false" w:oddVBand="true" w:firstColumn="false"/>
            <w:tcW w:w="33.333333%" w:type="pct"/>
          </w:tcPr>
          <w:p>
            <w:pPr>
              <w:ind w:leftChars="0" w:left="0" w:right="0"/>
            </w:pPr>
            <w:r>
              <w:t>CREDIT SUISSE BANK (EUROPE), S.A. - SYSTEMATIC INTERNALISER</w:t>
            </w:r>
          </w:p>
        </w:tc>
      </w:tr>
      <w:tr>
        <w:trPr>
          <w:cnfStyle w:evenHBand="true" w:oddHBand="false" w:firstRow="false"/>
        </w:trPr>
        <w:tc>
          <w:tcPr>
            <w:cnfStyle w:evenVBand="false" w:oddVBand="true" w:firstColumn="false"/>
            <w:tcW w:w="33.333333%" w:type="pct"/>
          </w:tcPr>
          <w:p>
            <w:pPr>
              <w:ind w:leftChars="0" w:left="0" w:right="0"/>
            </w:pPr>
            <w:r>
              <w:t>SIMV</w:t>
            </w:r>
          </w:p>
        </w:tc>
        <w:tc>
          <w:tcPr>
            <w:cnfStyle w:evenVBand="true" w:oddVBand="false" w:firstColumn="false"/>
            <w:tcW w:w="33.333333%" w:type="pct"/>
          </w:tcPr>
          <w:p>
            <w:pPr>
              <w:ind w:leftChars="0" w:left="0" w:right="0"/>
            </w:pPr>
            <w:r>
              <w:t>SIMV</w:t>
            </w:r>
          </w:p>
        </w:tc>
        <w:tc>
          <w:tcPr>
            <w:cnfStyle w:evenVBand="false" w:oddVBand="true" w:firstColumn="false"/>
            <w:tcW w:w="33.333333%" w:type="pct"/>
          </w:tcPr>
          <w:p>
            <w:pPr>
              <w:ind w:leftChars="0" w:left="0" w:right="0"/>
            </w:pPr>
            <w:r>
              <w:t>SIM VENTURE SECURITIES EXCHANGE</w:t>
            </w:r>
          </w:p>
        </w:tc>
      </w:tr>
      <w:tr>
        <w:trPr>
          <w:cnfStyle w:evenHBand="false" w:oddHBand="true" w:firstRow="false"/>
        </w:trPr>
        <w:tc>
          <w:tcPr>
            <w:cnfStyle w:evenVBand="false" w:oddVBand="true" w:firstColumn="false"/>
            <w:tcW w:w="33.333333%" w:type="pct"/>
          </w:tcPr>
          <w:p>
            <w:pPr>
              <w:ind w:leftChars="0" w:left="0" w:right="0"/>
            </w:pPr>
            <w:r>
              <w:t>SISI</w:t>
            </w:r>
          </w:p>
        </w:tc>
        <w:tc>
          <w:tcPr>
            <w:cnfStyle w:evenVBand="true" w:oddVBand="false" w:firstColumn="false"/>
            <w:tcW w:w="33.333333%" w:type="pct"/>
          </w:tcPr>
          <w:p>
            <w:pPr>
              <w:ind w:leftChars="0" w:left="0" w:right="0"/>
            </w:pPr>
            <w:r>
              <w:t>SISI</w:t>
            </w:r>
          </w:p>
        </w:tc>
        <w:tc>
          <w:tcPr>
            <w:cnfStyle w:evenVBand="false" w:oddVBand="true" w:firstColumn="false"/>
            <w:tcW w:w="33.333333%" w:type="pct"/>
          </w:tcPr>
          <w:p>
            <w:pPr>
              <w:ind w:leftChars="0" w:left="0" w:right="0"/>
            </w:pPr>
            <w:r>
              <w:t>SUSQUEHANNA INTERNATIONAL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SISU</w:t>
            </w:r>
          </w:p>
        </w:tc>
        <w:tc>
          <w:tcPr>
            <w:cnfStyle w:evenVBand="true" w:oddVBand="false" w:firstColumn="false"/>
            <w:tcW w:w="33.333333%" w:type="pct"/>
          </w:tcPr>
          <w:p>
            <w:pPr>
              <w:ind w:leftChars="0" w:left="0" w:right="0"/>
            </w:pPr>
            <w:r>
              <w:t>SISU</w:t>
            </w:r>
          </w:p>
        </w:tc>
        <w:tc>
          <w:tcPr>
            <w:cnfStyle w:evenVBand="false" w:oddVBand="true" w:firstColumn="false"/>
            <w:tcW w:w="33.333333%" w:type="pct"/>
          </w:tcPr>
          <w:p>
            <w:pPr>
              <w:ind w:leftChars="0" w:left="0" w:right="0"/>
            </w:pPr>
            <w:r>
              <w:t>SUSQUEHANNA INTERNATIONAL SECURITIES LIMITED - LONDON BRANCH - SYSTEMATIC INTERNALISER</w:t>
            </w:r>
          </w:p>
        </w:tc>
      </w:tr>
      <w:tr>
        <w:trPr>
          <w:cnfStyle w:evenHBand="false" w:oddHBand="true" w:firstRow="false"/>
        </w:trPr>
        <w:tc>
          <w:tcPr>
            <w:cnfStyle w:evenVBand="false" w:oddVBand="true" w:firstColumn="false"/>
            <w:tcW w:w="33.333333%" w:type="pct"/>
          </w:tcPr>
          <w:p>
            <w:pPr>
              <w:ind w:leftChars="0" w:left="0" w:right="0"/>
            </w:pPr>
            <w:r>
              <w:t>SKBB</w:t>
            </w:r>
          </w:p>
        </w:tc>
        <w:tc>
          <w:tcPr>
            <w:cnfStyle w:evenVBand="true" w:oddVBand="false" w:firstColumn="false"/>
            <w:tcW w:w="33.333333%" w:type="pct"/>
          </w:tcPr>
          <w:p>
            <w:pPr>
              <w:ind w:leftChars="0" w:left="0" w:right="0"/>
            </w:pPr>
            <w:r>
              <w:t>SKBB</w:t>
            </w:r>
          </w:p>
        </w:tc>
        <w:tc>
          <w:tcPr>
            <w:cnfStyle w:evenVBand="false" w:oddVBand="true" w:firstColumn="false"/>
            <w:tcW w:w="33.333333%" w:type="pct"/>
          </w:tcPr>
          <w:p>
            <w:pPr>
              <w:ind w:leftChars="0" w:left="0" w:right="0"/>
            </w:pPr>
            <w:r>
              <w:t>SKB BANKA D.D. LJUBLJANA</w:t>
            </w:r>
          </w:p>
        </w:tc>
      </w:tr>
      <w:tr>
        <w:trPr>
          <w:cnfStyle w:evenHBand="true" w:oddHBand="false" w:firstRow="false"/>
        </w:trPr>
        <w:tc>
          <w:tcPr>
            <w:cnfStyle w:evenVBand="false" w:oddVBand="true" w:firstColumn="false"/>
            <w:tcW w:w="33.333333%" w:type="pct"/>
          </w:tcPr>
          <w:p>
            <w:pPr>
              <w:ind w:leftChars="0" w:left="0" w:right="0"/>
            </w:pPr>
            <w:r>
              <w:t>SKSI</w:t>
            </w:r>
          </w:p>
        </w:tc>
        <w:tc>
          <w:tcPr>
            <w:cnfStyle w:evenVBand="true" w:oddVBand="false" w:firstColumn="false"/>
            <w:tcW w:w="33.333333%" w:type="pct"/>
          </w:tcPr>
          <w:p>
            <w:pPr>
              <w:ind w:leftChars="0" w:left="0" w:right="0"/>
            </w:pPr>
            <w:r>
              <w:t>SKSI</w:t>
            </w:r>
          </w:p>
        </w:tc>
        <w:tc>
          <w:tcPr>
            <w:cnfStyle w:evenVBand="false" w:oddVBand="true" w:firstColumn="false"/>
            <w:tcW w:w="33.333333%" w:type="pct"/>
          </w:tcPr>
          <w:p>
            <w:pPr>
              <w:ind w:leftChars="0" w:left="0" w:right="0"/>
            </w:pPr>
            <w:r>
              <w:t>SPAREKASSEN KRONJYLLAND - SYSTEMATIC INTERNALISER</w:t>
            </w:r>
          </w:p>
        </w:tc>
      </w:tr>
      <w:tr>
        <w:trPr>
          <w:cnfStyle w:evenHBand="false" w:oddHBand="true" w:firstRow="false"/>
        </w:trPr>
        <w:tc>
          <w:tcPr>
            <w:cnfStyle w:evenVBand="false" w:oddVBand="true" w:firstColumn="false"/>
            <w:tcW w:w="33.333333%" w:type="pct"/>
          </w:tcPr>
          <w:p>
            <w:pPr>
              <w:ind w:leftChars="0" w:left="0" w:right="0"/>
            </w:pPr>
            <w:r>
              <w:t>SKYX</w:t>
            </w:r>
          </w:p>
        </w:tc>
        <w:tc>
          <w:tcPr>
            <w:cnfStyle w:evenVBand="true" w:oddVBand="false" w:firstColumn="false"/>
            <w:tcW w:w="33.333333%" w:type="pct"/>
          </w:tcPr>
          <w:p>
            <w:pPr>
              <w:ind w:leftChars="0" w:left="0" w:right="0"/>
            </w:pPr>
            <w:r>
              <w:t>SKYX</w:t>
            </w:r>
          </w:p>
        </w:tc>
        <w:tc>
          <w:tcPr>
            <w:cnfStyle w:evenVBand="false" w:oddVBand="true" w:firstColumn="false"/>
            <w:tcW w:w="33.333333%" w:type="pct"/>
          </w:tcPr>
          <w:p>
            <w:pPr>
              <w:ind w:leftChars="0" w:left="0" w:right="0"/>
            </w:pPr>
            <w:r>
              <w:t>SKYTRA</w:t>
            </w:r>
          </w:p>
        </w:tc>
      </w:tr>
      <w:tr>
        <w:trPr>
          <w:cnfStyle w:evenHBand="true" w:oddHBand="false" w:firstRow="false"/>
        </w:trPr>
        <w:tc>
          <w:tcPr>
            <w:cnfStyle w:evenVBand="false" w:oddVBand="true" w:firstColumn="false"/>
            <w:tcW w:w="33.333333%" w:type="pct"/>
          </w:tcPr>
          <w:p>
            <w:pPr>
              <w:ind w:leftChars="0" w:left="0" w:right="0"/>
            </w:pPr>
            <w:r>
              <w:t>SLHB</w:t>
            </w:r>
          </w:p>
        </w:tc>
        <w:tc>
          <w:tcPr>
            <w:cnfStyle w:evenVBand="true" w:oddVBand="false" w:firstColumn="false"/>
            <w:tcW w:w="33.333333%" w:type="pct"/>
          </w:tcPr>
          <w:p>
            <w:pPr>
              <w:ind w:leftChars="0" w:left="0" w:right="0"/>
            </w:pPr>
            <w:r>
              <w:t>SLHB</w:t>
            </w:r>
          </w:p>
        </w:tc>
        <w:tc>
          <w:tcPr>
            <w:cnfStyle w:evenVBand="false" w:oddVBand="true" w:firstColumn="false"/>
            <w:tcW w:w="33.333333%" w:type="pct"/>
          </w:tcPr>
          <w:p>
            <w:pPr>
              <w:ind w:leftChars="0" w:left="0" w:right="0"/>
            </w:pPr>
            <w:r>
              <w:t>SALZBURGER LANDES-HYPOTHEKENBANK</w:t>
            </w:r>
          </w:p>
        </w:tc>
      </w:tr>
      <w:tr>
        <w:trPr>
          <w:cnfStyle w:evenHBand="false" w:oddHBand="true" w:firstRow="false"/>
        </w:trPr>
        <w:tc>
          <w:tcPr>
            <w:cnfStyle w:evenVBand="false" w:oddVBand="true" w:firstColumn="false"/>
            <w:tcW w:w="33.333333%" w:type="pct"/>
          </w:tcPr>
          <w:p>
            <w:pPr>
              <w:ind w:leftChars="0" w:left="0" w:right="0"/>
            </w:pPr>
            <w:r>
              <w:t>SLKK</w:t>
            </w:r>
          </w:p>
        </w:tc>
        <w:tc>
          <w:tcPr>
            <w:cnfStyle w:evenVBand="true" w:oddVBand="false" w:firstColumn="false"/>
            <w:tcW w:w="33.333333%" w:type="pct"/>
          </w:tcPr>
          <w:p>
            <w:pPr>
              <w:ind w:leftChars="0" w:left="0" w:right="0"/>
            </w:pPr>
            <w:r>
              <w:t>SLKK</w:t>
            </w:r>
          </w:p>
        </w:tc>
        <w:tc>
          <w:tcPr>
            <w:cnfStyle w:evenVBand="false" w:oddVBand="true" w:firstColumn="false"/>
            <w:tcW w:w="33.333333%" w:type="pct"/>
          </w:tcPr>
          <w:p>
            <w:pPr>
              <w:ind w:leftChars="0" w:left="0" w:right="0"/>
            </w:pPr>
            <w:r>
              <w:t>MTS SLOVAKIA</w:t>
            </w:r>
          </w:p>
        </w:tc>
      </w:tr>
      <w:tr>
        <w:trPr>
          <w:cnfStyle w:evenHBand="true" w:oddHBand="false" w:firstRow="false"/>
        </w:trPr>
        <w:tc>
          <w:tcPr>
            <w:cnfStyle w:evenVBand="false" w:oddVBand="true" w:firstColumn="false"/>
            <w:tcW w:w="33.333333%" w:type="pct"/>
          </w:tcPr>
          <w:p>
            <w:pPr>
              <w:ind w:leftChars="0" w:left="0" w:right="0"/>
            </w:pPr>
            <w:r>
              <w:t>SLXT</w:t>
            </w:r>
          </w:p>
        </w:tc>
        <w:tc>
          <w:tcPr>
            <w:cnfStyle w:evenVBand="true" w:oddVBand="false" w:firstColumn="false"/>
            <w:tcW w:w="33.333333%" w:type="pct"/>
          </w:tcPr>
          <w:p>
            <w:pPr>
              <w:ind w:leftChars="0" w:left="0" w:right="0"/>
            </w:pPr>
            <w:r>
              <w:t>SLXT</w:t>
            </w:r>
          </w:p>
        </w:tc>
        <w:tc>
          <w:tcPr>
            <w:cnfStyle w:evenVBand="false" w:oddVBand="true" w:firstColumn="false"/>
            <w:tcW w:w="33.333333%" w:type="pct"/>
          </w:tcPr>
          <w:p>
            <w:pPr>
              <w:ind w:leftChars="0" w:left="0" w:right="0"/>
            </w:pPr>
            <w:r>
              <w:t>SL-X - SECURITIES LENDING MTF</w:t>
            </w:r>
          </w:p>
        </w:tc>
      </w:tr>
      <w:tr>
        <w:trPr>
          <w:cnfStyle w:evenHBand="false" w:oddHBand="true" w:firstRow="false"/>
        </w:trPr>
        <w:tc>
          <w:tcPr>
            <w:cnfStyle w:evenVBand="false" w:oddVBand="true" w:firstColumn="false"/>
            <w:tcW w:w="33.333333%" w:type="pct"/>
          </w:tcPr>
          <w:p>
            <w:pPr>
              <w:ind w:leftChars="0" w:left="0" w:right="0"/>
            </w:pPr>
            <w:r>
              <w:t>SMBB</w:t>
            </w:r>
          </w:p>
        </w:tc>
        <w:tc>
          <w:tcPr>
            <w:cnfStyle w:evenVBand="true" w:oddVBand="false" w:firstColumn="false"/>
            <w:tcW w:w="33.333333%" w:type="pct"/>
          </w:tcPr>
          <w:p>
            <w:pPr>
              <w:ind w:leftChars="0" w:left="0" w:right="0"/>
            </w:pPr>
            <w:r>
              <w:t>SMBB</w:t>
            </w:r>
          </w:p>
        </w:tc>
        <w:tc>
          <w:tcPr>
            <w:cnfStyle w:evenVBand="false" w:oddVBand="true" w:firstColumn="false"/>
            <w:tcW w:w="33.333333%" w:type="pct"/>
          </w:tcPr>
          <w:p>
            <w:pPr>
              <w:ind w:leftChars="0" w:left="0" w:right="0"/>
            </w:pPr>
            <w:r>
              <w:t>SUMITOMO MITSUI BANKING CORPORATION - BRUSSELS BRANCH - SYSTEMATIC INTERNALISER</w:t>
            </w:r>
          </w:p>
        </w:tc>
      </w:tr>
      <w:tr>
        <w:trPr>
          <w:cnfStyle w:evenHBand="true" w:oddHBand="false" w:firstRow="false"/>
        </w:trPr>
        <w:tc>
          <w:tcPr>
            <w:cnfStyle w:evenVBand="false" w:oddVBand="true" w:firstColumn="false"/>
            <w:tcW w:w="33.333333%" w:type="pct"/>
          </w:tcPr>
          <w:p>
            <w:pPr>
              <w:ind w:leftChars="0" w:left="0" w:right="0"/>
            </w:pPr>
            <w:r>
              <w:t>SMBC</w:t>
            </w:r>
          </w:p>
        </w:tc>
        <w:tc>
          <w:tcPr>
            <w:cnfStyle w:evenVBand="true" w:oddVBand="false" w:firstColumn="false"/>
            <w:tcW w:w="33.333333%" w:type="pct"/>
          </w:tcPr>
          <w:p>
            <w:pPr>
              <w:ind w:leftChars="0" w:left="0" w:right="0"/>
            </w:pPr>
            <w:r>
              <w:t>SMBC</w:t>
            </w:r>
          </w:p>
        </w:tc>
        <w:tc>
          <w:tcPr>
            <w:cnfStyle w:evenVBand="false" w:oddVBand="true" w:firstColumn="false"/>
            <w:tcW w:w="33.333333%" w:type="pct"/>
          </w:tcPr>
          <w:p>
            <w:pPr>
              <w:ind w:leftChars="0" w:left="0" w:right="0"/>
            </w:pPr>
            <w:r>
              <w:t>SMBC NIKKO SNET DARKPOOL - SYSTEMATIC INTERNALISER</w:t>
            </w:r>
          </w:p>
        </w:tc>
      </w:tr>
      <w:tr>
        <w:trPr>
          <w:cnfStyle w:evenHBand="false" w:oddHBand="true" w:firstRow="false"/>
        </w:trPr>
        <w:tc>
          <w:tcPr>
            <w:cnfStyle w:evenVBand="false" w:oddVBand="true" w:firstColumn="false"/>
            <w:tcW w:w="33.333333%" w:type="pct"/>
          </w:tcPr>
          <w:p>
            <w:pPr>
              <w:ind w:leftChars="0" w:left="0" w:right="0"/>
            </w:pPr>
            <w:r>
              <w:t>SMBD</w:t>
            </w:r>
          </w:p>
        </w:tc>
        <w:tc>
          <w:tcPr>
            <w:cnfStyle w:evenVBand="true" w:oddVBand="false" w:firstColumn="false"/>
            <w:tcW w:w="33.333333%" w:type="pct"/>
          </w:tcPr>
          <w:p>
            <w:pPr>
              <w:ind w:leftChars="0" w:left="0" w:right="0"/>
            </w:pPr>
            <w:r>
              <w:t>SMBD</w:t>
            </w:r>
          </w:p>
        </w:tc>
        <w:tc>
          <w:tcPr>
            <w:cnfStyle w:evenVBand="false" w:oddVBand="true" w:firstColumn="false"/>
            <w:tcW w:w="33.333333%" w:type="pct"/>
          </w:tcPr>
          <w:p>
            <w:pPr>
              <w:ind w:leftChars="0" w:left="0" w:right="0"/>
            </w:pPr>
            <w:r>
              <w:t>SUMITOMO MITSUI BANKING CORPORATION - DUESSELDORF BRANCH - SYSTEMATIC INTERNALISER</w:t>
            </w:r>
          </w:p>
        </w:tc>
      </w:tr>
      <w:tr>
        <w:trPr>
          <w:cnfStyle w:evenHBand="true" w:oddHBand="false" w:firstRow="false"/>
        </w:trPr>
        <w:tc>
          <w:tcPr>
            <w:cnfStyle w:evenVBand="false" w:oddVBand="true" w:firstColumn="false"/>
            <w:tcW w:w="33.333333%" w:type="pct"/>
          </w:tcPr>
          <w:p>
            <w:pPr>
              <w:ind w:leftChars="0" w:left="0" w:right="0"/>
            </w:pPr>
            <w:r>
              <w:t>SMBE</w:t>
            </w:r>
          </w:p>
        </w:tc>
        <w:tc>
          <w:tcPr>
            <w:cnfStyle w:evenVBand="true" w:oddVBand="false" w:firstColumn="false"/>
            <w:tcW w:w="33.333333%" w:type="pct"/>
          </w:tcPr>
          <w:p>
            <w:pPr>
              <w:ind w:leftChars="0" w:left="0" w:right="0"/>
            </w:pPr>
            <w:r>
              <w:t>SMBE</w:t>
            </w:r>
          </w:p>
        </w:tc>
        <w:tc>
          <w:tcPr>
            <w:cnfStyle w:evenVBand="false" w:oddVBand="true" w:firstColumn="false"/>
            <w:tcW w:w="33.333333%" w:type="pct"/>
          </w:tcPr>
          <w:p>
            <w:pPr>
              <w:ind w:leftChars="0" w:left="0" w:right="0"/>
            </w:pPr>
            <w:r>
              <w:t>SUMITOMO MITSUI BANKING CORPORATION EUROPE LIMITED</w:t>
            </w:r>
          </w:p>
        </w:tc>
      </w:tr>
      <w:tr>
        <w:trPr>
          <w:cnfStyle w:evenHBand="false" w:oddHBand="true" w:firstRow="false"/>
        </w:trPr>
        <w:tc>
          <w:tcPr>
            <w:cnfStyle w:evenVBand="false" w:oddVBand="true" w:firstColumn="false"/>
            <w:tcW w:w="33.333333%" w:type="pct"/>
          </w:tcPr>
          <w:p>
            <w:pPr>
              <w:ind w:leftChars="0" w:left="0" w:right="0"/>
            </w:pPr>
            <w:r>
              <w:t>SMBG</w:t>
            </w:r>
          </w:p>
        </w:tc>
        <w:tc>
          <w:tcPr>
            <w:cnfStyle w:evenVBand="true" w:oddVBand="false" w:firstColumn="false"/>
            <w:tcW w:w="33.333333%" w:type="pct"/>
          </w:tcPr>
          <w:p>
            <w:pPr>
              <w:ind w:leftChars="0" w:left="0" w:right="0"/>
            </w:pPr>
            <w:r>
              <w:t>SMBG</w:t>
            </w:r>
          </w:p>
        </w:tc>
        <w:tc>
          <w:tcPr>
            <w:cnfStyle w:evenVBand="false" w:oddVBand="true" w:firstColumn="false"/>
            <w:tcW w:w="33.333333%" w:type="pct"/>
          </w:tcPr>
          <w:p>
            <w:pPr>
              <w:ind w:leftChars="0" w:left="0" w:right="0"/>
            </w:pPr>
            <w:r>
              <w:t>SUMITOMO MITSUI BANKING CORPORATION - LONDON BRANCH - SYSTEMATIC INTERNALISER</w:t>
            </w:r>
          </w:p>
        </w:tc>
      </w:tr>
      <w:tr>
        <w:trPr>
          <w:cnfStyle w:evenHBand="true" w:oddHBand="false" w:firstRow="false"/>
        </w:trPr>
        <w:tc>
          <w:tcPr>
            <w:cnfStyle w:evenVBand="false" w:oddVBand="true" w:firstColumn="false"/>
            <w:tcW w:w="33.333333%" w:type="pct"/>
          </w:tcPr>
          <w:p>
            <w:pPr>
              <w:ind w:leftChars="0" w:left="0" w:right="0"/>
            </w:pPr>
            <w:r>
              <w:t>SMBP</w:t>
            </w:r>
          </w:p>
        </w:tc>
        <w:tc>
          <w:tcPr>
            <w:cnfStyle w:evenVBand="true" w:oddVBand="false" w:firstColumn="false"/>
            <w:tcW w:w="33.333333%" w:type="pct"/>
          </w:tcPr>
          <w:p>
            <w:pPr>
              <w:ind w:leftChars="0" w:left="0" w:right="0"/>
            </w:pPr>
            <w:r>
              <w:t>SMBP</w:t>
            </w:r>
          </w:p>
        </w:tc>
        <w:tc>
          <w:tcPr>
            <w:cnfStyle w:evenVBand="false" w:oddVBand="true" w:firstColumn="false"/>
            <w:tcW w:w="33.333333%" w:type="pct"/>
          </w:tcPr>
          <w:p>
            <w:pPr>
              <w:ind w:leftChars="0" w:left="0" w:right="0"/>
            </w:pPr>
            <w:r>
              <w:t>SUMITOMO MITSUI BANKING CORPORATION EUROPE LIMITED - PARIS BRANCH</w:t>
            </w:r>
          </w:p>
        </w:tc>
      </w:tr>
      <w:tr>
        <w:trPr>
          <w:cnfStyle w:evenHBand="false" w:oddHBand="true" w:firstRow="false"/>
        </w:trPr>
        <w:tc>
          <w:tcPr>
            <w:cnfStyle w:evenVBand="false" w:oddVBand="true" w:firstColumn="false"/>
            <w:tcW w:w="33.333333%" w:type="pct"/>
          </w:tcPr>
          <w:p>
            <w:pPr>
              <w:ind w:leftChars="0" w:left="0" w:right="0"/>
            </w:pPr>
            <w:r>
              <w:t>SMEX</w:t>
            </w:r>
          </w:p>
        </w:tc>
        <w:tc>
          <w:tcPr>
            <w:cnfStyle w:evenVBand="true" w:oddVBand="false" w:firstColumn="false"/>
            <w:tcW w:w="33.333333%" w:type="pct"/>
          </w:tcPr>
          <w:p>
            <w:pPr>
              <w:ind w:leftChars="0" w:left="0" w:right="0"/>
            </w:pPr>
            <w:r>
              <w:t>SMEX</w:t>
            </w:r>
          </w:p>
        </w:tc>
        <w:tc>
          <w:tcPr>
            <w:cnfStyle w:evenVBand="false" w:oddVBand="true" w:firstColumn="false"/>
            <w:tcW w:w="33.333333%" w:type="pct"/>
          </w:tcPr>
          <w:p>
            <w:pPr>
              <w:ind w:leftChars="0" w:left="0" w:right="0"/>
            </w:pPr>
            <w:r>
              <w:t>SINGAPORE MERCANTILE EXCHANGE PTE LTD</w:t>
            </w:r>
          </w:p>
        </w:tc>
      </w:tr>
      <w:tr>
        <w:trPr>
          <w:cnfStyle w:evenHBand="true" w:oddHBand="false" w:firstRow="false"/>
        </w:trPr>
        <w:tc>
          <w:tcPr>
            <w:cnfStyle w:evenVBand="false" w:oddVBand="true" w:firstColumn="false"/>
            <w:tcW w:w="33.333333%" w:type="pct"/>
          </w:tcPr>
          <w:p>
            <w:pPr>
              <w:ind w:leftChars="0" w:left="0" w:right="0"/>
            </w:pPr>
            <w:r>
              <w:t>SMFE</w:t>
            </w:r>
          </w:p>
        </w:tc>
        <w:tc>
          <w:tcPr>
            <w:cnfStyle w:evenVBand="true" w:oddVBand="false" w:firstColumn="false"/>
            <w:tcW w:w="33.333333%" w:type="pct"/>
          </w:tcPr>
          <w:p>
            <w:pPr>
              <w:ind w:leftChars="0" w:left="0" w:right="0"/>
            </w:pPr>
            <w:r>
              <w:t>SMFE</w:t>
            </w:r>
          </w:p>
        </w:tc>
        <w:tc>
          <w:tcPr>
            <w:cnfStyle w:evenVBand="false" w:oddVBand="true" w:firstColumn="false"/>
            <w:tcW w:w="33.333333%" w:type="pct"/>
          </w:tcPr>
          <w:p>
            <w:pPr>
              <w:ind w:leftChars="0" w:left="0" w:right="0"/>
            </w:pPr>
            <w:r>
              <w:t>SMALL EXCHANGE, INC - DESIGNATED CONTRACT MARKET</w:t>
            </w:r>
          </w:p>
        </w:tc>
      </w:tr>
      <w:tr>
        <w:trPr>
          <w:cnfStyle w:evenHBand="false" w:oddHBand="true" w:firstRow="false"/>
        </w:trPr>
        <w:tc>
          <w:tcPr>
            <w:cnfStyle w:evenVBand="false" w:oddVBand="true" w:firstColumn="false"/>
            <w:tcW w:w="33.333333%" w:type="pct"/>
          </w:tcPr>
          <w:p>
            <w:pPr>
              <w:ind w:leftChars="0" w:left="0" w:right="0"/>
            </w:pPr>
            <w:r>
              <w:t>SMFF</w:t>
            </w:r>
          </w:p>
        </w:tc>
        <w:tc>
          <w:tcPr>
            <w:cnfStyle w:evenVBand="true" w:oddVBand="false" w:firstColumn="false"/>
            <w:tcW w:w="33.333333%" w:type="pct"/>
          </w:tcPr>
          <w:p>
            <w:pPr>
              <w:ind w:leftChars="0" w:left="0" w:right="0"/>
            </w:pPr>
            <w:r>
              <w:t>SMFF</w:t>
            </w:r>
          </w:p>
        </w:tc>
        <w:tc>
          <w:tcPr>
            <w:cnfStyle w:evenVBand="false" w:oddVBand="true" w:firstColumn="false"/>
            <w:tcW w:w="33.333333%" w:type="pct"/>
          </w:tcPr>
          <w:p>
            <w:pPr>
              <w:ind w:leftChars="0" w:left="0" w:right="0"/>
            </w:pPr>
            <w:r>
              <w:t>SMBC BANK EU AG - SYSTEMATIC INTERNALISER</w:t>
            </w:r>
          </w:p>
        </w:tc>
      </w:tr>
      <w:tr>
        <w:trPr>
          <w:cnfStyle w:evenHBand="true" w:oddHBand="false" w:firstRow="false"/>
        </w:trPr>
        <w:tc>
          <w:tcPr>
            <w:cnfStyle w:evenVBand="false" w:oddVBand="true" w:firstColumn="false"/>
            <w:tcW w:w="33.333333%" w:type="pct"/>
          </w:tcPr>
          <w:p>
            <w:pPr>
              <w:ind w:leftChars="0" w:left="0" w:right="0"/>
            </w:pPr>
            <w:r>
              <w:t>SMTS</w:t>
            </w:r>
          </w:p>
        </w:tc>
        <w:tc>
          <w:tcPr>
            <w:cnfStyle w:evenVBand="true" w:oddVBand="false" w:firstColumn="false"/>
            <w:tcW w:w="33.333333%" w:type="pct"/>
          </w:tcPr>
          <w:p>
            <w:pPr>
              <w:ind w:leftChars="0" w:left="0" w:right="0"/>
            </w:pPr>
            <w:r>
              <w:t>SMTS</w:t>
            </w:r>
          </w:p>
        </w:tc>
        <w:tc>
          <w:tcPr>
            <w:cnfStyle w:evenVBand="false" w:oddVBand="true" w:firstColumn="false"/>
            <w:tcW w:w="33.333333%" w:type="pct"/>
          </w:tcPr>
          <w:p>
            <w:pPr>
              <w:ind w:leftChars="0" w:left="0" w:right="0"/>
            </w:pPr>
            <w:r>
              <w:t>MTS SPAIN</w:t>
            </w:r>
          </w:p>
        </w:tc>
      </w:tr>
      <w:tr>
        <w:trPr>
          <w:cnfStyle w:evenHBand="false" w:oddHBand="true" w:firstRow="false"/>
        </w:trPr>
        <w:tc>
          <w:tcPr>
            <w:cnfStyle w:evenVBand="false" w:oddVBand="true" w:firstColumn="false"/>
            <w:tcW w:w="33.333333%" w:type="pct"/>
          </w:tcPr>
          <w:p>
            <w:pPr>
              <w:ind w:leftChars="0" w:left="0" w:right="0"/>
            </w:pPr>
            <w:r>
              <w:t>SNSI</w:t>
            </w:r>
          </w:p>
        </w:tc>
        <w:tc>
          <w:tcPr>
            <w:cnfStyle w:evenVBand="true" w:oddVBand="false" w:firstColumn="false"/>
            <w:tcW w:w="33.333333%" w:type="pct"/>
          </w:tcPr>
          <w:p>
            <w:pPr>
              <w:ind w:leftChars="0" w:left="0" w:right="0"/>
            </w:pPr>
            <w:r>
              <w:t>SNSI</w:t>
            </w:r>
          </w:p>
        </w:tc>
        <w:tc>
          <w:tcPr>
            <w:cnfStyle w:evenVBand="false" w:oddVBand="true" w:firstColumn="false"/>
            <w:tcW w:w="33.333333%" w:type="pct"/>
          </w:tcPr>
          <w:p>
            <w:pPr>
              <w:ind w:leftChars="0" w:left="0" w:right="0"/>
            </w:pPr>
            <w:r>
              <w:t>SPAR NORD BANK - SYSTEMATIC INTERNALISER</w:t>
            </w:r>
          </w:p>
        </w:tc>
      </w:tr>
      <w:tr>
        <w:trPr>
          <w:cnfStyle w:evenHBand="true" w:oddHBand="false" w:firstRow="false"/>
        </w:trPr>
        <w:tc>
          <w:tcPr>
            <w:cnfStyle w:evenVBand="false" w:oddVBand="true" w:firstColumn="false"/>
            <w:tcW w:w="33.333333%" w:type="pct"/>
          </w:tcPr>
          <w:p>
            <w:pPr>
              <w:ind w:leftChars="0" w:left="0" w:right="0"/>
            </w:pPr>
            <w:r>
              <w:t>SNUK</w:t>
            </w:r>
          </w:p>
        </w:tc>
        <w:tc>
          <w:tcPr>
            <w:cnfStyle w:evenVBand="true" w:oddVBand="false" w:firstColumn="false"/>
            <w:tcW w:w="33.333333%" w:type="pct"/>
          </w:tcPr>
          <w:p>
            <w:pPr>
              <w:ind w:leftChars="0" w:left="0" w:right="0"/>
            </w:pPr>
            <w:r>
              <w:t>SNUK</w:t>
            </w:r>
          </w:p>
        </w:tc>
        <w:tc>
          <w:tcPr>
            <w:cnfStyle w:evenVBand="false" w:oddVBand="true" w:firstColumn="false"/>
            <w:tcW w:w="33.333333%" w:type="pct"/>
          </w:tcPr>
          <w:p>
            <w:pPr>
              <w:ind w:leftChars="0" w:left="0" w:right="0"/>
            </w:pPr>
            <w:r>
              <w:t>SANTANDER UK - SYSTEMATIC INTERNALISER</w:t>
            </w:r>
          </w:p>
        </w:tc>
      </w:tr>
      <w:tr>
        <w:trPr>
          <w:cnfStyle w:evenHBand="false" w:oddHBand="true" w:firstRow="false"/>
        </w:trPr>
        <w:tc>
          <w:tcPr>
            <w:cnfStyle w:evenVBand="false" w:oddVBand="true" w:firstColumn="false"/>
            <w:tcW w:w="33.333333%" w:type="pct"/>
          </w:tcPr>
          <w:p>
            <w:pPr>
              <w:ind w:leftChars="0" w:left="0" w:right="0"/>
            </w:pPr>
            <w:r>
              <w:t>SOHO</w:t>
            </w:r>
          </w:p>
        </w:tc>
        <w:tc>
          <w:tcPr>
            <w:cnfStyle w:evenVBand="true" w:oddVBand="false" w:firstColumn="false"/>
            <w:tcW w:w="33.333333%" w:type="pct"/>
          </w:tcPr>
          <w:p>
            <w:pPr>
              <w:ind w:leftChars="0" w:left="0" w:right="0"/>
            </w:pPr>
            <w:r>
              <w:t>SOHO</w:t>
            </w:r>
          </w:p>
        </w:tc>
        <w:tc>
          <w:tcPr>
            <w:cnfStyle w:evenVBand="false" w:oddVBand="true" w:firstColumn="false"/>
            <w:tcW w:w="33.333333%" w:type="pct"/>
          </w:tcPr>
          <w:p>
            <w:pPr>
              <w:ind w:leftChars="0" w:left="0" w:right="0"/>
            </w:pPr>
            <w:r>
              <w:t>TWO SIGMA SECURITIES, LLC</w:t>
            </w:r>
          </w:p>
        </w:tc>
      </w:tr>
      <w:tr>
        <w:trPr>
          <w:cnfStyle w:evenHBand="true" w:oddHBand="false" w:firstRow="false"/>
        </w:trPr>
        <w:tc>
          <w:tcPr>
            <w:cnfStyle w:evenVBand="false" w:oddVBand="true" w:firstColumn="false"/>
            <w:tcW w:w="33.333333%" w:type="pct"/>
          </w:tcPr>
          <w:p>
            <w:pPr>
              <w:ind w:leftChars="0" w:left="0" w:right="0"/>
            </w:pPr>
            <w:r>
              <w:t>SPAD</w:t>
            </w:r>
          </w:p>
        </w:tc>
        <w:tc>
          <w:tcPr>
            <w:cnfStyle w:evenVBand="true" w:oddVBand="false" w:firstColumn="false"/>
            <w:tcW w:w="33.333333%" w:type="pct"/>
          </w:tcPr>
          <w:p>
            <w:pPr>
              <w:ind w:leftChars="0" w:left="0" w:right="0"/>
            </w:pPr>
            <w:r>
              <w:t>SPAD</w:t>
            </w:r>
          </w:p>
        </w:tc>
        <w:tc>
          <w:tcPr>
            <w:cnfStyle w:evenVBand="false" w:oddVBand="true" w:firstColumn="false"/>
            <w:tcW w:w="33.333333%" w:type="pct"/>
          </w:tcPr>
          <w:p>
            <w:pPr>
              <w:ind w:leftChars="0" w:left="0" w:right="0"/>
            </w:pPr>
            <w:r>
              <w:t>SPAD TRADING</w:t>
            </w:r>
          </w:p>
        </w:tc>
      </w:tr>
      <w:tr>
        <w:trPr>
          <w:cnfStyle w:evenHBand="false" w:oddHBand="true" w:firstRow="false"/>
        </w:trPr>
        <w:tc>
          <w:tcPr>
            <w:cnfStyle w:evenVBand="false" w:oddVBand="true" w:firstColumn="false"/>
            <w:tcW w:w="33.333333%" w:type="pct"/>
          </w:tcPr>
          <w:p>
            <w:pPr>
              <w:ind w:leftChars="0" w:left="0" w:right="0"/>
            </w:pPr>
            <w:r>
              <w:t>SPAX</w:t>
            </w:r>
          </w:p>
        </w:tc>
        <w:tc>
          <w:tcPr>
            <w:cnfStyle w:evenVBand="true" w:oddVBand="false" w:firstColumn="false"/>
            <w:tcW w:w="33.333333%" w:type="pct"/>
          </w:tcPr>
          <w:p>
            <w:pPr>
              <w:ind w:leftChars="0" w:left="0" w:right="0"/>
            </w:pPr>
            <w:r>
              <w:t>SPAX</w:t>
            </w:r>
          </w:p>
        </w:tc>
        <w:tc>
          <w:tcPr>
            <w:cnfStyle w:evenVBand="false" w:oddVBand="true" w:firstColumn="false"/>
            <w:tcW w:w="33.333333%" w:type="pct"/>
          </w:tcPr>
          <w:p>
            <w:pPr>
              <w:ind w:leftChars="0" w:left="0" w:right="0"/>
            </w:pPr>
            <w:r>
              <w:t>SPECTRAXE</w:t>
            </w:r>
          </w:p>
        </w:tc>
      </w:tr>
      <w:tr>
        <w:trPr>
          <w:cnfStyle w:evenHBand="true" w:oddHBand="false" w:firstRow="false"/>
        </w:trPr>
        <w:tc>
          <w:tcPr>
            <w:cnfStyle w:evenVBand="false" w:oddVBand="true" w:firstColumn="false"/>
            <w:tcW w:w="33.333333%" w:type="pct"/>
          </w:tcPr>
          <w:p>
            <w:pPr>
              <w:ind w:leftChars="0" w:left="0" w:right="0"/>
            </w:pPr>
            <w:r>
              <w:t>SPBE</w:t>
            </w:r>
          </w:p>
        </w:tc>
        <w:tc>
          <w:tcPr>
            <w:cnfStyle w:evenVBand="true" w:oddVBand="false" w:firstColumn="false"/>
            <w:tcW w:w="33.333333%" w:type="pct"/>
          </w:tcPr>
          <w:p>
            <w:pPr>
              <w:ind w:leftChars="0" w:left="0" w:right="0"/>
            </w:pPr>
            <w:r>
              <w:t>SPBE</w:t>
            </w:r>
          </w:p>
        </w:tc>
        <w:tc>
          <w:tcPr>
            <w:cnfStyle w:evenVBand="false" w:oddVBand="true" w:firstColumn="false"/>
            <w:tcW w:w="33.333333%" w:type="pct"/>
          </w:tcPr>
          <w:p>
            <w:pPr>
              <w:ind w:leftChars="0" w:left="0" w:right="0"/>
            </w:pPr>
            <w:r>
              <w:t>SPB EXCHANGE - ALL MARKETS</w:t>
            </w:r>
          </w:p>
        </w:tc>
      </w:tr>
      <w:tr>
        <w:trPr>
          <w:cnfStyle w:evenHBand="false" w:oddHBand="true" w:firstRow="false"/>
        </w:trPr>
        <w:tc>
          <w:tcPr>
            <w:cnfStyle w:evenVBand="false" w:oddVBand="true" w:firstColumn="false"/>
            <w:tcW w:w="33.333333%" w:type="pct"/>
          </w:tcPr>
          <w:p>
            <w:pPr>
              <w:ind w:leftChars="0" w:left="0" w:right="0"/>
            </w:pPr>
            <w:r>
              <w:t>SPDX</w:t>
            </w:r>
          </w:p>
        </w:tc>
        <w:tc>
          <w:tcPr>
            <w:cnfStyle w:evenVBand="true" w:oddVBand="false" w:firstColumn="false"/>
            <w:tcW w:w="33.333333%" w:type="pct"/>
          </w:tcPr>
          <w:p>
            <w:pPr>
              <w:ind w:leftChars="0" w:left="0" w:right="0"/>
            </w:pPr>
            <w:r>
              <w:t>SPDX</w:t>
            </w:r>
          </w:p>
        </w:tc>
        <w:tc>
          <w:tcPr>
            <w:cnfStyle w:evenVBand="false" w:oddVBand="true" w:firstColumn="false"/>
            <w:tcW w:w="33.333333%" w:type="pct"/>
          </w:tcPr>
          <w:p>
            <w:pPr>
              <w:ind w:leftChars="0" w:left="0" w:right="0"/>
            </w:pPr>
            <w:r>
              <w:t>SPREADEX</w:t>
            </w:r>
          </w:p>
        </w:tc>
      </w:tr>
      <w:tr>
        <w:trPr>
          <w:cnfStyle w:evenHBand="true" w:oddHBand="false" w:firstRow="false"/>
        </w:trPr>
        <w:tc>
          <w:tcPr>
            <w:cnfStyle w:evenVBand="false" w:oddVBand="true" w:firstColumn="false"/>
            <w:tcW w:w="33.333333%" w:type="pct"/>
          </w:tcPr>
          <w:p>
            <w:pPr>
              <w:ind w:leftChars="0" w:left="0" w:right="0"/>
            </w:pPr>
            <w:r>
              <w:t>SPEC</w:t>
            </w:r>
          </w:p>
        </w:tc>
        <w:tc>
          <w:tcPr>
            <w:cnfStyle w:evenVBand="true" w:oddVBand="false" w:firstColumn="false"/>
            <w:tcW w:w="33.333333%" w:type="pct"/>
          </w:tcPr>
          <w:p>
            <w:pPr>
              <w:ind w:leftChars="0" w:left="0" w:right="0"/>
            </w:pPr>
            <w:r>
              <w:t>SPEC</w:t>
            </w:r>
          </w:p>
        </w:tc>
        <w:tc>
          <w:tcPr>
            <w:cnfStyle w:evenVBand="false" w:oddVBand="true" w:firstColumn="false"/>
            <w:tcW w:w="33.333333%" w:type="pct"/>
          </w:tcPr>
          <w:p>
            <w:pPr>
              <w:ind w:leftChars="0" w:left="0" w:right="0"/>
            </w:pPr>
            <w:r>
              <w:t>MAREX SPECTRON INTERNATIONAL LIMITED OTF</w:t>
            </w:r>
          </w:p>
        </w:tc>
      </w:tr>
      <w:tr>
        <w:trPr>
          <w:cnfStyle w:evenHBand="false" w:oddHBand="true" w:firstRow="false"/>
        </w:trPr>
        <w:tc>
          <w:tcPr>
            <w:cnfStyle w:evenVBand="false" w:oddVBand="true" w:firstColumn="false"/>
            <w:tcW w:w="33.333333%" w:type="pct"/>
          </w:tcPr>
          <w:p>
            <w:pPr>
              <w:ind w:leftChars="0" w:left="0" w:right="0"/>
            </w:pPr>
            <w:r>
              <w:t>SPEX</w:t>
            </w:r>
          </w:p>
        </w:tc>
        <w:tc>
          <w:tcPr>
            <w:cnfStyle w:evenVBand="true" w:oddVBand="false" w:firstColumn="false"/>
            <w:tcW w:w="33.333333%" w:type="pct"/>
          </w:tcPr>
          <w:p>
            <w:pPr>
              <w:ind w:leftChars="0" w:left="0" w:right="0"/>
            </w:pPr>
            <w:r>
              <w:t>SPEX</w:t>
            </w:r>
          </w:p>
        </w:tc>
        <w:tc>
          <w:tcPr>
            <w:cnfStyle w:evenVBand="false" w:oddVBand="true" w:firstColumn="false"/>
            <w:tcW w:w="33.333333%" w:type="pct"/>
          </w:tcPr>
          <w:p>
            <w:pPr>
              <w:ind w:leftChars="0" w:left="0" w:right="0"/>
            </w:pPr>
            <w:r>
              <w:t>SPECTRUM MARKETS</w:t>
            </w:r>
          </w:p>
        </w:tc>
      </w:tr>
      <w:tr>
        <w:trPr>
          <w:cnfStyle w:evenHBand="true" w:oddHBand="false" w:firstRow="false"/>
        </w:trPr>
        <w:tc>
          <w:tcPr>
            <w:cnfStyle w:evenVBand="false" w:oddVBand="true" w:firstColumn="false"/>
            <w:tcW w:w="33.333333%" w:type="pct"/>
          </w:tcPr>
          <w:p>
            <w:pPr>
              <w:ind w:leftChars="0" w:left="0" w:right="0"/>
            </w:pPr>
            <w:r>
              <w:t>SPIM</w:t>
            </w:r>
          </w:p>
        </w:tc>
        <w:tc>
          <w:tcPr>
            <w:cnfStyle w:evenVBand="true" w:oddVBand="false" w:firstColumn="false"/>
            <w:tcW w:w="33.333333%" w:type="pct"/>
          </w:tcPr>
          <w:p>
            <w:pPr>
              <w:ind w:leftChars="0" w:left="0" w:right="0"/>
            </w:pPr>
            <w:r>
              <w:t>SPIM</w:t>
            </w:r>
          </w:p>
        </w:tc>
        <w:tc>
          <w:tcPr>
            <w:cnfStyle w:evenVBand="false" w:oddVBand="true" w:firstColumn="false"/>
            <w:tcW w:w="33.333333%" w:type="pct"/>
          </w:tcPr>
          <w:p>
            <w:pPr>
              <w:ind w:leftChars="0" w:left="0" w:right="0"/>
            </w:pPr>
            <w:r>
              <w:t>ST. PETERSBURG INTERNATIONAL MERCANTILE EXCHANGE</w:t>
            </w:r>
          </w:p>
        </w:tc>
      </w:tr>
      <w:tr>
        <w:trPr>
          <w:cnfStyle w:evenHBand="false" w:oddHBand="true" w:firstRow="false"/>
        </w:trPr>
        <w:tc>
          <w:tcPr>
            <w:cnfStyle w:evenVBand="false" w:oddVBand="true" w:firstColumn="false"/>
            <w:tcW w:w="33.333333%" w:type="pct"/>
          </w:tcPr>
          <w:p>
            <w:pPr>
              <w:ind w:leftChars="0" w:left="0" w:right="0"/>
            </w:pPr>
            <w:r>
              <w:t>SPRZ</w:t>
            </w:r>
          </w:p>
        </w:tc>
        <w:tc>
          <w:tcPr>
            <w:cnfStyle w:evenVBand="true" w:oddVBand="false" w:firstColumn="false"/>
            <w:tcW w:w="33.333333%" w:type="pct"/>
          </w:tcPr>
          <w:p>
            <w:pPr>
              <w:ind w:leftChars="0" w:left="0" w:right="0"/>
            </w:pPr>
            <w:r>
              <w:t>SPRZ</w:t>
            </w:r>
          </w:p>
        </w:tc>
        <w:tc>
          <w:tcPr>
            <w:cnfStyle w:evenVBand="false" w:oddVBand="true" w:firstColumn="false"/>
            <w:tcW w:w="33.333333%" w:type="pct"/>
          </w:tcPr>
          <w:p>
            <w:pPr>
              <w:ind w:leftChars="0" w:left="0" w:right="0"/>
            </w:pPr>
            <w:r>
              <w:t>SPREADZERO</w:t>
            </w:r>
          </w:p>
        </w:tc>
      </w:tr>
      <w:tr>
        <w:trPr>
          <w:cnfStyle w:evenHBand="true" w:oddHBand="false" w:firstRow="false"/>
        </w:trPr>
        <w:tc>
          <w:tcPr>
            <w:cnfStyle w:evenVBand="false" w:oddVBand="true" w:firstColumn="false"/>
            <w:tcW w:w="33.333333%" w:type="pct"/>
          </w:tcPr>
          <w:p>
            <w:pPr>
              <w:ind w:leftChars="0" w:left="0" w:right="0"/>
            </w:pPr>
            <w:r>
              <w:t>SPTR</w:t>
            </w:r>
          </w:p>
        </w:tc>
        <w:tc>
          <w:tcPr>
            <w:cnfStyle w:evenVBand="true" w:oddVBand="false" w:firstColumn="false"/>
            <w:tcW w:w="33.333333%" w:type="pct"/>
          </w:tcPr>
          <w:p>
            <w:pPr>
              <w:ind w:leftChars="0" w:left="0" w:right="0"/>
            </w:pPr>
            <w:r>
              <w:t>SPTR</w:t>
            </w:r>
          </w:p>
        </w:tc>
        <w:tc>
          <w:tcPr>
            <w:cnfStyle w:evenVBand="false" w:oddVBand="true" w:firstColumn="false"/>
            <w:tcW w:w="33.333333%" w:type="pct"/>
          </w:tcPr>
          <w:p>
            <w:pPr>
              <w:ind w:leftChars="0" w:left="0" w:right="0"/>
            </w:pPr>
            <w:r>
              <w:t>SPAREBANK 1 SMN - SYSTEMATIC INTERNALISER</w:t>
            </w:r>
          </w:p>
        </w:tc>
      </w:tr>
      <w:tr>
        <w:trPr>
          <w:cnfStyle w:evenHBand="false" w:oddHBand="true" w:firstRow="false"/>
        </w:trPr>
        <w:tc>
          <w:tcPr>
            <w:cnfStyle w:evenVBand="false" w:oddVBand="true" w:firstColumn="false"/>
            <w:tcW w:w="33.333333%" w:type="pct"/>
          </w:tcPr>
          <w:p>
            <w:pPr>
              <w:ind w:leftChars="0" w:left="0" w:right="0"/>
            </w:pPr>
            <w:r>
              <w:t>SPTX</w:t>
            </w:r>
          </w:p>
        </w:tc>
        <w:tc>
          <w:tcPr>
            <w:cnfStyle w:evenVBand="true" w:oddVBand="false" w:firstColumn="false"/>
            <w:tcW w:w="33.333333%" w:type="pct"/>
          </w:tcPr>
          <w:p>
            <w:pPr>
              <w:ind w:leftChars="0" w:left="0" w:right="0"/>
            </w:pPr>
            <w:r>
              <w:t>SPTX</w:t>
            </w:r>
          </w:p>
        </w:tc>
        <w:tc>
          <w:tcPr>
            <w:cnfStyle w:evenVBand="false" w:oddVBand="true" w:firstColumn="false"/>
            <w:tcW w:w="33.333333%" w:type="pct"/>
          </w:tcPr>
          <w:p>
            <w:pPr>
              <w:ind w:leftChars="0" w:left="0" w:right="0"/>
            </w:pPr>
            <w:r>
              <w:t>SPOT FX</w:t>
            </w:r>
          </w:p>
        </w:tc>
      </w:tr>
      <w:tr>
        <w:trPr>
          <w:cnfStyle w:evenHBand="true" w:oddHBand="false" w:firstRow="false"/>
        </w:trPr>
        <w:tc>
          <w:tcPr>
            <w:cnfStyle w:evenVBand="false" w:oddVBand="true" w:firstColumn="false"/>
            <w:tcW w:w="33.333333%" w:type="pct"/>
          </w:tcPr>
          <w:p>
            <w:pPr>
              <w:ind w:leftChars="0" w:left="0" w:right="0"/>
            </w:pPr>
            <w:r>
              <w:t>SPXE</w:t>
            </w:r>
          </w:p>
        </w:tc>
        <w:tc>
          <w:tcPr>
            <w:cnfStyle w:evenVBand="true" w:oddVBand="false" w:firstColumn="false"/>
            <w:tcW w:w="33.333333%" w:type="pct"/>
          </w:tcPr>
          <w:p>
            <w:pPr>
              <w:ind w:leftChars="0" w:left="0" w:right="0"/>
            </w:pPr>
            <w:r>
              <w:t>SPXE</w:t>
            </w:r>
          </w:p>
        </w:tc>
        <w:tc>
          <w:tcPr>
            <w:cnfStyle w:evenVBand="false" w:oddVBand="true" w:firstColumn="false"/>
            <w:tcW w:w="33.333333%" w:type="pct"/>
          </w:tcPr>
          <w:p>
            <w:pPr>
              <w:ind w:leftChars="0" w:left="0" w:right="0"/>
            </w:pPr>
            <w:r>
              <w:t>SPX</w:t>
            </w:r>
          </w:p>
        </w:tc>
      </w:tr>
      <w:tr>
        <w:trPr>
          <w:cnfStyle w:evenHBand="false" w:oddHBand="true" w:firstRow="false"/>
        </w:trPr>
        <w:tc>
          <w:tcPr>
            <w:cnfStyle w:evenVBand="false" w:oddVBand="true" w:firstColumn="false"/>
            <w:tcW w:w="33.333333%" w:type="pct"/>
          </w:tcPr>
          <w:p>
            <w:pPr>
              <w:ind w:leftChars="0" w:left="0" w:right="0"/>
            </w:pPr>
            <w:r>
              <w:t>SQUA</w:t>
            </w:r>
          </w:p>
        </w:tc>
        <w:tc>
          <w:tcPr>
            <w:cnfStyle w:evenVBand="true" w:oddVBand="false" w:firstColumn="false"/>
            <w:tcW w:w="33.333333%" w:type="pct"/>
          </w:tcPr>
          <w:p>
            <w:pPr>
              <w:ind w:leftChars="0" w:left="0" w:right="0"/>
            </w:pPr>
            <w:r>
              <w:t>SQUA</w:t>
            </w:r>
          </w:p>
        </w:tc>
        <w:tc>
          <w:tcPr>
            <w:cnfStyle w:evenVBand="false" w:oddVBand="true" w:firstColumn="false"/>
            <w:tcW w:w="33.333333%" w:type="pct"/>
          </w:tcPr>
          <w:p>
            <w:pPr>
              <w:ind w:leftChars="0" w:left="0" w:right="0"/>
            </w:pPr>
            <w:r>
              <w:t>SQUARE GLOBAL - OTF</w:t>
            </w:r>
          </w:p>
        </w:tc>
      </w:tr>
      <w:tr>
        <w:trPr>
          <w:cnfStyle w:evenHBand="true" w:oddHBand="false" w:firstRow="false"/>
        </w:trPr>
        <w:tc>
          <w:tcPr>
            <w:cnfStyle w:evenVBand="false" w:oddVBand="true" w:firstColumn="false"/>
            <w:tcW w:w="33.333333%" w:type="pct"/>
          </w:tcPr>
          <w:p>
            <w:pPr>
              <w:ind w:leftChars="0" w:left="0" w:right="0"/>
            </w:pPr>
            <w:r>
              <w:t>SSBI</w:t>
            </w:r>
          </w:p>
        </w:tc>
        <w:tc>
          <w:tcPr>
            <w:cnfStyle w:evenVBand="true" w:oddVBand="false" w:firstColumn="false"/>
            <w:tcW w:w="33.333333%" w:type="pct"/>
          </w:tcPr>
          <w:p>
            <w:pPr>
              <w:ind w:leftChars="0" w:left="0" w:right="0"/>
            </w:pPr>
            <w:r>
              <w:t>SSBI</w:t>
            </w:r>
          </w:p>
        </w:tc>
        <w:tc>
          <w:tcPr>
            <w:cnfStyle w:evenVBand="false" w:oddVBand="true" w:firstColumn="false"/>
            <w:tcW w:w="33.333333%" w:type="pct"/>
          </w:tcPr>
          <w:p>
            <w:pPr>
              <w:ind w:leftChars="0" w:left="0" w:right="0"/>
            </w:pPr>
            <w:r>
              <w:t>STATE STREET BANK INTERNATIONAL GMBH</w:t>
            </w:r>
          </w:p>
        </w:tc>
      </w:tr>
      <w:tr>
        <w:trPr>
          <w:cnfStyle w:evenHBand="false" w:oddHBand="true" w:firstRow="false"/>
        </w:trPr>
        <w:tc>
          <w:tcPr>
            <w:cnfStyle w:evenVBand="false" w:oddVBand="true" w:firstColumn="false"/>
            <w:tcW w:w="33.333333%" w:type="pct"/>
          </w:tcPr>
          <w:p>
            <w:pPr>
              <w:ind w:leftChars="0" w:left="0" w:right="0"/>
            </w:pPr>
            <w:r>
              <w:t>SSBM</w:t>
            </w:r>
          </w:p>
        </w:tc>
        <w:tc>
          <w:tcPr>
            <w:cnfStyle w:evenVBand="true" w:oddVBand="false" w:firstColumn="false"/>
            <w:tcW w:w="33.333333%" w:type="pct"/>
          </w:tcPr>
          <w:p>
            <w:pPr>
              <w:ind w:leftChars="0" w:left="0" w:right="0"/>
            </w:pPr>
            <w:r>
              <w:t>SSBM</w:t>
            </w:r>
          </w:p>
        </w:tc>
        <w:tc>
          <w:tcPr>
            <w:cnfStyle w:evenVBand="false" w:oddVBand="true" w:firstColumn="false"/>
            <w:tcW w:w="33.333333%" w:type="pct"/>
          </w:tcPr>
          <w:p>
            <w:pPr>
              <w:ind w:leftChars="0" w:left="0" w:right="0"/>
            </w:pPr>
            <w:r>
              <w:t>STATE STREET BANK INTERNATIONAL FX - SYSTEMATIC INTERNALISER</w:t>
            </w:r>
          </w:p>
        </w:tc>
      </w:tr>
      <w:tr>
        <w:trPr>
          <w:cnfStyle w:evenHBand="true" w:oddHBand="false" w:firstRow="false"/>
        </w:trPr>
        <w:tc>
          <w:tcPr>
            <w:cnfStyle w:evenVBand="false" w:oddVBand="true" w:firstColumn="false"/>
            <w:tcW w:w="33.333333%" w:type="pct"/>
          </w:tcPr>
          <w:p>
            <w:pPr>
              <w:ind w:leftChars="0" w:left="0" w:right="0"/>
            </w:pPr>
            <w:r>
              <w:t>SSBT</w:t>
            </w:r>
          </w:p>
        </w:tc>
        <w:tc>
          <w:tcPr>
            <w:cnfStyle w:evenVBand="true" w:oddVBand="false" w:firstColumn="false"/>
            <w:tcW w:w="33.333333%" w:type="pct"/>
          </w:tcPr>
          <w:p>
            <w:pPr>
              <w:ind w:leftChars="0" w:left="0" w:right="0"/>
            </w:pPr>
            <w:r>
              <w:t>SSBT</w:t>
            </w:r>
          </w:p>
        </w:tc>
        <w:tc>
          <w:tcPr>
            <w:cnfStyle w:evenVBand="false" w:oddVBand="true" w:firstColumn="false"/>
            <w:tcW w:w="33.333333%" w:type="pct"/>
          </w:tcPr>
          <w:p>
            <w:pPr>
              <w:ind w:leftChars="0" w:left="0" w:right="0"/>
            </w:pPr>
            <w:r>
              <w:t>STATE STREET BANK AND TRUST COMPANY</w:t>
            </w:r>
          </w:p>
        </w:tc>
      </w:tr>
      <w:tr>
        <w:trPr>
          <w:cnfStyle w:evenHBand="false" w:oddHBand="true" w:firstRow="false"/>
        </w:trPr>
        <w:tc>
          <w:tcPr>
            <w:cnfStyle w:evenVBand="false" w:oddVBand="true" w:firstColumn="false"/>
            <w:tcW w:w="33.333333%" w:type="pct"/>
          </w:tcPr>
          <w:p>
            <w:pPr>
              <w:ind w:leftChars="0" w:left="0" w:right="0"/>
            </w:pPr>
            <w:r>
              <w:t>SSEX</w:t>
            </w:r>
          </w:p>
        </w:tc>
        <w:tc>
          <w:tcPr>
            <w:cnfStyle w:evenVBand="true" w:oddVBand="false" w:firstColumn="false"/>
            <w:tcW w:w="33.333333%" w:type="pct"/>
          </w:tcPr>
          <w:p>
            <w:pPr>
              <w:ind w:leftChars="0" w:left="0" w:right="0"/>
            </w:pPr>
            <w:r>
              <w:t>SSEX</w:t>
            </w:r>
          </w:p>
        </w:tc>
        <w:tc>
          <w:tcPr>
            <w:cnfStyle w:evenVBand="false" w:oddVBand="true" w:firstColumn="false"/>
            <w:tcW w:w="33.333333%" w:type="pct"/>
          </w:tcPr>
          <w:p>
            <w:pPr>
              <w:ind w:leftChars="0" w:left="0" w:right="0"/>
            </w:pPr>
            <w:r>
              <w:t>SOCIAL STOCK EXCHANGE</w:t>
            </w:r>
          </w:p>
        </w:tc>
      </w:tr>
      <w:tr>
        <w:trPr>
          <w:cnfStyle w:evenHBand="true" w:oddHBand="false" w:firstRow="false"/>
        </w:trPr>
        <w:tc>
          <w:tcPr>
            <w:cnfStyle w:evenVBand="false" w:oddVBand="true" w:firstColumn="false"/>
            <w:tcW w:w="33.333333%" w:type="pct"/>
          </w:tcPr>
          <w:p>
            <w:pPr>
              <w:ind w:leftChars="0" w:left="0" w:right="0"/>
            </w:pPr>
            <w:r>
              <w:t>SSFX</w:t>
            </w:r>
          </w:p>
        </w:tc>
        <w:tc>
          <w:tcPr>
            <w:cnfStyle w:evenVBand="true" w:oddVBand="false" w:firstColumn="false"/>
            <w:tcW w:w="33.333333%" w:type="pct"/>
          </w:tcPr>
          <w:p>
            <w:pPr>
              <w:ind w:leftChars="0" w:left="0" w:right="0"/>
            </w:pPr>
            <w:r>
              <w:t>SSFX</w:t>
            </w:r>
          </w:p>
        </w:tc>
        <w:tc>
          <w:tcPr>
            <w:cnfStyle w:evenVBand="false" w:oddVBand="true" w:firstColumn="false"/>
            <w:tcW w:w="33.333333%" w:type="pct"/>
          </w:tcPr>
          <w:p>
            <w:pPr>
              <w:ind w:leftChars="0" w:left="0" w:right="0"/>
            </w:pPr>
            <w:r>
              <w:t>STATE STREET BANK AND TRUST FX - SYSTEMATIC INTERNALISER</w:t>
            </w:r>
          </w:p>
        </w:tc>
      </w:tr>
      <w:tr>
        <w:trPr>
          <w:cnfStyle w:evenHBand="false" w:oddHBand="true" w:firstRow="false"/>
        </w:trPr>
        <w:tc>
          <w:tcPr>
            <w:cnfStyle w:evenVBand="false" w:oddVBand="true" w:firstColumn="false"/>
            <w:tcW w:w="33.333333%" w:type="pct"/>
          </w:tcPr>
          <w:p>
            <w:pPr>
              <w:ind w:leftChars="0" w:left="0" w:right="0"/>
            </w:pPr>
            <w:r>
              <w:t>SSIL</w:t>
            </w:r>
          </w:p>
        </w:tc>
        <w:tc>
          <w:tcPr>
            <w:cnfStyle w:evenVBand="true" w:oddVBand="false" w:firstColumn="false"/>
            <w:tcW w:w="33.333333%" w:type="pct"/>
          </w:tcPr>
          <w:p>
            <w:pPr>
              <w:ind w:leftChars="0" w:left="0" w:right="0"/>
            </w:pPr>
            <w:r>
              <w:t>SSIL</w:t>
            </w:r>
          </w:p>
        </w:tc>
        <w:tc>
          <w:tcPr>
            <w:cnfStyle w:evenVBand="false" w:oddVBand="true" w:firstColumn="false"/>
            <w:tcW w:w="33.333333%" w:type="pct"/>
          </w:tcPr>
          <w:p>
            <w:pPr>
              <w:ind w:leftChars="0" w:left="0" w:right="0"/>
            </w:pPr>
            <w:r>
              <w:t>STATE STREET BANK INTERNATIONAL FX - LONDON BRANCH - SYSTEMATIC INTERNALISER</w:t>
            </w:r>
          </w:p>
        </w:tc>
      </w:tr>
      <w:tr>
        <w:trPr>
          <w:cnfStyle w:evenHBand="true" w:oddHBand="false" w:firstRow="false"/>
        </w:trPr>
        <w:tc>
          <w:tcPr>
            <w:cnfStyle w:evenVBand="false" w:oddVBand="true" w:firstColumn="false"/>
            <w:tcW w:w="33.333333%" w:type="pct"/>
          </w:tcPr>
          <w:p>
            <w:pPr>
              <w:ind w:leftChars="0" w:left="0" w:right="0"/>
            </w:pPr>
            <w:r>
              <w:t>SSME</w:t>
            </w:r>
          </w:p>
        </w:tc>
        <w:tc>
          <w:tcPr>
            <w:cnfStyle w:evenVBand="true" w:oddVBand="false" w:firstColumn="false"/>
            <w:tcW w:w="33.333333%" w:type="pct"/>
          </w:tcPr>
          <w:p>
            <w:pPr>
              <w:ind w:leftChars="0" w:left="0" w:right="0"/>
            </w:pPr>
            <w:r>
              <w:t>SSME</w:t>
            </w:r>
          </w:p>
        </w:tc>
        <w:tc>
          <w:tcPr>
            <w:cnfStyle w:evenVBand="false" w:oddVBand="true" w:firstColumn="false"/>
            <w:tcW w:w="33.333333%" w:type="pct"/>
          </w:tcPr>
          <w:p>
            <w:pPr>
              <w:ind w:leftChars="0" w:left="0" w:right="0"/>
            </w:pPr>
            <w:r>
              <w:t>FIRST NORTH SWEDEN - SME GROWTH MARKET</w:t>
            </w:r>
          </w:p>
        </w:tc>
      </w:tr>
      <w:tr>
        <w:trPr>
          <w:cnfStyle w:evenHBand="false" w:oddHBand="true" w:firstRow="false"/>
        </w:trPr>
        <w:tc>
          <w:tcPr>
            <w:cnfStyle w:evenVBand="false" w:oddVBand="true" w:firstColumn="false"/>
            <w:tcW w:w="33.333333%" w:type="pct"/>
          </w:tcPr>
          <w:p>
            <w:pPr>
              <w:ind w:leftChars="0" w:left="0" w:right="0"/>
            </w:pPr>
            <w:r>
              <w:t>SSOB</w:t>
            </w:r>
          </w:p>
        </w:tc>
        <w:tc>
          <w:tcPr>
            <w:cnfStyle w:evenVBand="true" w:oddVBand="false" w:firstColumn="false"/>
            <w:tcW w:w="33.333333%" w:type="pct"/>
          </w:tcPr>
          <w:p>
            <w:pPr>
              <w:ind w:leftChars="0" w:left="0" w:right="0"/>
            </w:pPr>
            <w:r>
              <w:t>SSOB</w:t>
            </w:r>
          </w:p>
        </w:tc>
        <w:tc>
          <w:tcPr>
            <w:cnfStyle w:evenVBand="false" w:oddVBand="true" w:firstColumn="false"/>
            <w:tcW w:w="33.333333%" w:type="pct"/>
          </w:tcPr>
          <w:p>
            <w:pPr>
              <w:ind w:leftChars="0" w:left="0" w:right="0"/>
            </w:pPr>
            <w:r>
              <w:t>BONDVISION EUROPE MTF</w:t>
            </w:r>
          </w:p>
        </w:tc>
      </w:tr>
      <w:tr>
        <w:trPr>
          <w:cnfStyle w:evenHBand="true" w:oddHBand="false" w:firstRow="false"/>
        </w:trPr>
        <w:tc>
          <w:tcPr>
            <w:cnfStyle w:evenVBand="false" w:oddVBand="true" w:firstColumn="false"/>
            <w:tcW w:w="33.333333%" w:type="pct"/>
          </w:tcPr>
          <w:p>
            <w:pPr>
              <w:ind w:leftChars="0" w:left="0" w:right="0"/>
            </w:pPr>
            <w:r>
              <w:t>SSTX</w:t>
            </w:r>
          </w:p>
        </w:tc>
        <w:tc>
          <w:tcPr>
            <w:cnfStyle w:evenVBand="true" w:oddVBand="false" w:firstColumn="false"/>
            <w:tcW w:w="33.333333%" w:type="pct"/>
          </w:tcPr>
          <w:p>
            <w:pPr>
              <w:ind w:leftChars="0" w:left="0" w:right="0"/>
            </w:pPr>
            <w:r>
              <w:t>SSTX</w:t>
            </w:r>
          </w:p>
        </w:tc>
        <w:tc>
          <w:tcPr>
            <w:cnfStyle w:evenVBand="false" w:oddVBand="true" w:firstColumn="false"/>
            <w:tcW w:w="33.333333%" w:type="pct"/>
          </w:tcPr>
          <w:p>
            <w:pPr>
              <w:ind w:leftChars="0" w:left="0" w:right="0"/>
            </w:pPr>
            <w:r>
              <w:t>E-EXCHANGE</w:t>
            </w:r>
          </w:p>
        </w:tc>
      </w:tr>
      <w:tr>
        <w:trPr>
          <w:cnfStyle w:evenHBand="false" w:oddHBand="true" w:firstRow="false"/>
        </w:trPr>
        <w:tc>
          <w:tcPr>
            <w:cnfStyle w:evenVBand="false" w:oddVBand="true" w:firstColumn="false"/>
            <w:tcW w:w="33.333333%" w:type="pct"/>
          </w:tcPr>
          <w:p>
            <w:pPr>
              <w:ind w:leftChars="0" w:left="0" w:right="0"/>
            </w:pPr>
            <w:r>
              <w:t>SSWM</w:t>
            </w:r>
          </w:p>
        </w:tc>
        <w:tc>
          <w:tcPr>
            <w:cnfStyle w:evenVBand="true" w:oddVBand="false" w:firstColumn="false"/>
            <w:tcW w:w="33.333333%" w:type="pct"/>
          </w:tcPr>
          <w:p>
            <w:pPr>
              <w:ind w:leftChars="0" w:left="0" w:right="0"/>
            </w:pPr>
            <w:r>
              <w:t>SSWM</w:t>
            </w:r>
          </w:p>
        </w:tc>
        <w:tc>
          <w:tcPr>
            <w:cnfStyle w:evenVBand="false" w:oddVBand="true" w:firstColumn="false"/>
            <w:tcW w:w="33.333333%" w:type="pct"/>
          </w:tcPr>
          <w:p>
            <w:pPr>
              <w:ind w:leftChars="0" w:left="0" w:right="0"/>
            </w:pPr>
            <w:r>
              <w:t>SSW MARKET MAKING - SYSTEMATIC INTERNALISER</w:t>
            </w:r>
          </w:p>
        </w:tc>
      </w:tr>
      <w:tr>
        <w:trPr>
          <w:cnfStyle w:evenHBand="true" w:oddHBand="false" w:firstRow="false"/>
        </w:trPr>
        <w:tc>
          <w:tcPr>
            <w:cnfStyle w:evenVBand="false" w:oddVBand="true" w:firstColumn="false"/>
            <w:tcW w:w="33.333333%" w:type="pct"/>
          </w:tcPr>
          <w:p>
            <w:pPr>
              <w:ind w:leftChars="0" w:left="0" w:right="0"/>
            </w:pPr>
            <w:r>
              <w:t>STAL</w:t>
            </w:r>
          </w:p>
        </w:tc>
        <w:tc>
          <w:tcPr>
            <w:cnfStyle w:evenVBand="true" w:oddVBand="false" w:firstColumn="false"/>
            <w:tcW w:w="33.333333%" w:type="pct"/>
          </w:tcPr>
          <w:p>
            <w:pPr>
              <w:ind w:leftChars="0" w:left="0" w:right="0"/>
            </w:pPr>
            <w:r>
              <w:t>STAL</w:t>
            </w:r>
          </w:p>
        </w:tc>
        <w:tc>
          <w:tcPr>
            <w:cnfStyle w:evenVBand="false" w:oddVBand="true" w:firstColumn="false"/>
            <w:tcW w:w="33.333333%" w:type="pct"/>
          </w:tcPr>
          <w:p>
            <w:pPr>
              <w:ind w:leftChars="0" w:left="0" w:right="0"/>
            </w:pPr>
            <w:r>
              <w:t>SCHNEIDER OTF</w:t>
            </w:r>
          </w:p>
        </w:tc>
      </w:tr>
      <w:tr>
        <w:trPr>
          <w:cnfStyle w:evenHBand="false" w:oddHBand="true" w:firstRow="false"/>
        </w:trPr>
        <w:tc>
          <w:tcPr>
            <w:cnfStyle w:evenVBand="false" w:oddVBand="true" w:firstColumn="false"/>
            <w:tcW w:w="33.333333%" w:type="pct"/>
          </w:tcPr>
          <w:p>
            <w:pPr>
              <w:ind w:leftChars="0" w:left="0" w:right="0"/>
            </w:pPr>
            <w:r>
              <w:t>STAN</w:t>
            </w:r>
          </w:p>
        </w:tc>
        <w:tc>
          <w:tcPr>
            <w:cnfStyle w:evenVBand="true" w:oddVBand="false" w:firstColumn="false"/>
            <w:tcW w:w="33.333333%" w:type="pct"/>
          </w:tcPr>
          <w:p>
            <w:pPr>
              <w:ind w:leftChars="0" w:left="0" w:right="0"/>
            </w:pPr>
            <w:r>
              <w:t>STAN</w:t>
            </w:r>
          </w:p>
        </w:tc>
        <w:tc>
          <w:tcPr>
            <w:cnfStyle w:evenVBand="false" w:oddVBand="true" w:firstColumn="false"/>
            <w:tcW w:w="33.333333%" w:type="pct"/>
          </w:tcPr>
          <w:p>
            <w:pPr>
              <w:ind w:leftChars="0" w:left="0" w:right="0"/>
            </w:pPr>
            <w:r>
              <w:t>STANDARD CHARTERED - SYSTEMATIC INTERNALISER</w:t>
            </w:r>
          </w:p>
        </w:tc>
      </w:tr>
      <w:tr>
        <w:trPr>
          <w:cnfStyle w:evenHBand="true" w:oddHBand="false" w:firstRow="false"/>
        </w:trPr>
        <w:tc>
          <w:tcPr>
            <w:cnfStyle w:evenVBand="false" w:oddVBand="true" w:firstColumn="false"/>
            <w:tcW w:w="33.333333%" w:type="pct"/>
          </w:tcPr>
          <w:p>
            <w:pPr>
              <w:ind w:leftChars="0" w:left="0" w:right="0"/>
            </w:pPr>
            <w:r>
              <w:t>STEE</w:t>
            </w:r>
          </w:p>
        </w:tc>
        <w:tc>
          <w:tcPr>
            <w:cnfStyle w:evenVBand="true" w:oddVBand="false" w:firstColumn="false"/>
            <w:tcW w:w="33.333333%" w:type="pct"/>
          </w:tcPr>
          <w:p>
            <w:pPr>
              <w:ind w:leftChars="0" w:left="0" w:right="0"/>
            </w:pPr>
            <w:r>
              <w:t>STEE</w:t>
            </w:r>
          </w:p>
        </w:tc>
        <w:tc>
          <w:tcPr>
            <w:cnfStyle w:evenVBand="false" w:oddVBand="true" w:firstColumn="false"/>
            <w:tcW w:w="33.333333%" w:type="pct"/>
          </w:tcPr>
          <w:p>
            <w:pPr>
              <w:ind w:leftChars="0" w:left="0" w:right="0"/>
            </w:pPr>
            <w:r>
              <w:t>NASDAQ COMMODITIES - STEEL COMMODITY</w:t>
            </w:r>
          </w:p>
        </w:tc>
      </w:tr>
      <w:tr>
        <w:trPr>
          <w:cnfStyle w:evenHBand="false" w:oddHBand="true" w:firstRow="false"/>
        </w:trPr>
        <w:tc>
          <w:tcPr>
            <w:cnfStyle w:evenVBand="false" w:oddVBand="true" w:firstColumn="false"/>
            <w:tcW w:w="33.333333%" w:type="pct"/>
          </w:tcPr>
          <w:p>
            <w:pPr>
              <w:ind w:leftChars="0" w:left="0" w:right="0"/>
            </w:pPr>
            <w:r>
              <w:t>STFL</w:t>
            </w:r>
          </w:p>
        </w:tc>
        <w:tc>
          <w:tcPr>
            <w:cnfStyle w:evenVBand="true" w:oddVBand="false" w:firstColumn="false"/>
            <w:tcW w:w="33.333333%" w:type="pct"/>
          </w:tcPr>
          <w:p>
            <w:pPr>
              <w:ind w:leftChars="0" w:left="0" w:right="0"/>
            </w:pPr>
            <w:r>
              <w:t>STFL</w:t>
            </w:r>
          </w:p>
        </w:tc>
        <w:tc>
          <w:tcPr>
            <w:cnfStyle w:evenVBand="false" w:oddVBand="true" w:firstColumn="false"/>
            <w:tcW w:w="33.333333%" w:type="pct"/>
          </w:tcPr>
          <w:p>
            <w:pPr>
              <w:ind w:leftChars="0" w:left="0" w:right="0"/>
            </w:pPr>
            <w:r>
              <w:t>STIFEL NICOLAUS EUROPE LIMITED - SYSTEMATIC INTERNALISER</w:t>
            </w:r>
          </w:p>
        </w:tc>
      </w:tr>
      <w:tr>
        <w:trPr>
          <w:cnfStyle w:evenHBand="true" w:oddHBand="false" w:firstRow="false"/>
        </w:trPr>
        <w:tc>
          <w:tcPr>
            <w:cnfStyle w:evenVBand="false" w:oddVBand="true" w:firstColumn="false"/>
            <w:tcW w:w="33.333333%" w:type="pct"/>
          </w:tcPr>
          <w:p>
            <w:pPr>
              <w:ind w:leftChars="0" w:left="0" w:right="0"/>
            </w:pPr>
            <w:r>
              <w:t>STFU</w:t>
            </w:r>
          </w:p>
        </w:tc>
        <w:tc>
          <w:tcPr>
            <w:cnfStyle w:evenVBand="true" w:oddVBand="false" w:firstColumn="false"/>
            <w:tcW w:w="33.333333%" w:type="pct"/>
          </w:tcPr>
          <w:p>
            <w:pPr>
              <w:ind w:leftChars="0" w:left="0" w:right="0"/>
            </w:pPr>
            <w:r>
              <w:t>STFU</w:t>
            </w:r>
          </w:p>
        </w:tc>
        <w:tc>
          <w:tcPr>
            <w:cnfStyle w:evenVBand="false" w:oddVBand="true" w:firstColumn="false"/>
            <w:tcW w:w="33.333333%" w:type="pct"/>
          </w:tcPr>
          <w:p>
            <w:pPr>
              <w:ind w:leftChars="0" w:left="0" w:right="0"/>
            </w:pPr>
            <w:r>
              <w:t>STIFEL, NICOLAUS AND COMPANY, INCORPORATED</w:t>
            </w:r>
          </w:p>
        </w:tc>
      </w:tr>
      <w:tr>
        <w:trPr>
          <w:cnfStyle w:evenHBand="false" w:oddHBand="true" w:firstRow="false"/>
        </w:trPr>
        <w:tc>
          <w:tcPr>
            <w:cnfStyle w:evenVBand="false" w:oddVBand="true" w:firstColumn="false"/>
            <w:tcW w:w="33.333333%" w:type="pct"/>
          </w:tcPr>
          <w:p>
            <w:pPr>
              <w:ind w:leftChars="0" w:left="0" w:right="0"/>
            </w:pPr>
            <w:r>
              <w:t>STFX</w:t>
            </w:r>
          </w:p>
        </w:tc>
        <w:tc>
          <w:tcPr>
            <w:cnfStyle w:evenVBand="true" w:oddVBand="false" w:firstColumn="false"/>
            <w:tcW w:w="33.333333%" w:type="pct"/>
          </w:tcPr>
          <w:p>
            <w:pPr>
              <w:ind w:leftChars="0" w:left="0" w:right="0"/>
            </w:pPr>
            <w:r>
              <w:t>STFX</w:t>
            </w:r>
          </w:p>
        </w:tc>
        <w:tc>
          <w:tcPr>
            <w:cnfStyle w:evenVBand="false" w:oddVBand="true" w:firstColumn="false"/>
            <w:tcW w:w="33.333333%" w:type="pct"/>
          </w:tcPr>
          <w:p>
            <w:pPr>
              <w:ind w:leftChars="0" w:left="0" w:right="0"/>
            </w:pPr>
            <w:r>
              <w:t>STIFEL, NICOLAUS AND COMPANY, INCORPORATED</w:t>
            </w:r>
          </w:p>
        </w:tc>
      </w:tr>
      <w:tr>
        <w:trPr>
          <w:cnfStyle w:evenHBand="true" w:oddHBand="false" w:firstRow="false"/>
        </w:trPr>
        <w:tc>
          <w:tcPr>
            <w:cnfStyle w:evenVBand="false" w:oddVBand="true" w:firstColumn="false"/>
            <w:tcW w:w="33.333333%" w:type="pct"/>
          </w:tcPr>
          <w:p>
            <w:pPr>
              <w:ind w:leftChars="0" w:left="0" w:right="0"/>
            </w:pPr>
            <w:r>
              <w:t>STOX</w:t>
            </w:r>
          </w:p>
        </w:tc>
        <w:tc>
          <w:tcPr>
            <w:cnfStyle w:evenVBand="true" w:oddVBand="false" w:firstColumn="false"/>
            <w:tcW w:w="33.333333%" w:type="pct"/>
          </w:tcPr>
          <w:p>
            <w:pPr>
              <w:ind w:leftChars="0" w:left="0" w:right="0"/>
            </w:pPr>
            <w:r>
              <w:t>STOX</w:t>
            </w:r>
          </w:p>
        </w:tc>
        <w:tc>
          <w:tcPr>
            <w:cnfStyle w:evenVBand="false" w:oddVBand="true" w:firstColumn="false"/>
            <w:tcW w:w="33.333333%" w:type="pct"/>
          </w:tcPr>
          <w:p>
            <w:pPr>
              <w:ind w:leftChars="0" w:left="0" w:right="0"/>
            </w:pPr>
            <w:r>
              <w:t>STOXX LIMITED</w:t>
            </w:r>
          </w:p>
        </w:tc>
      </w:tr>
      <w:tr>
        <w:trPr>
          <w:cnfStyle w:evenHBand="false" w:oddHBand="true" w:firstRow="false"/>
        </w:trPr>
        <w:tc>
          <w:tcPr>
            <w:cnfStyle w:evenVBand="false" w:oddVBand="true" w:firstColumn="false"/>
            <w:tcW w:w="33.333333%" w:type="pct"/>
          </w:tcPr>
          <w:p>
            <w:pPr>
              <w:ind w:leftChars="0" w:left="0" w:right="0"/>
            </w:pPr>
            <w:r>
              <w:t>STRM</w:t>
            </w:r>
          </w:p>
        </w:tc>
        <w:tc>
          <w:tcPr>
            <w:cnfStyle w:evenVBand="true" w:oddVBand="false" w:firstColumn="false"/>
            <w:tcW w:w="33.333333%" w:type="pct"/>
          </w:tcPr>
          <w:p>
            <w:pPr>
              <w:ind w:leftChars="0" w:left="0" w:right="0"/>
            </w:pPr>
            <w:r>
              <w:t>STRM</w:t>
            </w:r>
          </w:p>
        </w:tc>
        <w:tc>
          <w:tcPr>
            <w:cnfStyle w:evenVBand="false" w:oddVBand="true" w:firstColumn="false"/>
            <w:tcW w:w="33.333333%" w:type="pct"/>
          </w:tcPr>
          <w:p>
            <w:pPr>
              <w:ind w:leftChars="0" w:left="0" w:right="0"/>
            </w:pPr>
            <w:r>
              <w:t>PURESTREAM</w:t>
            </w:r>
          </w:p>
        </w:tc>
      </w:tr>
      <w:tr>
        <w:trPr>
          <w:cnfStyle w:evenHBand="true" w:oddHBand="false" w:firstRow="false"/>
        </w:trPr>
        <w:tc>
          <w:tcPr>
            <w:cnfStyle w:evenVBand="false" w:oddVBand="true" w:firstColumn="false"/>
            <w:tcW w:w="33.333333%" w:type="pct"/>
          </w:tcPr>
          <w:p>
            <w:pPr>
              <w:ind w:leftChars="0" w:left="0" w:right="0"/>
            </w:pPr>
            <w:r>
              <w:t>STRT</w:t>
            </w:r>
          </w:p>
        </w:tc>
        <w:tc>
          <w:tcPr>
            <w:cnfStyle w:evenVBand="true" w:oddVBand="false" w:firstColumn="false"/>
            <w:tcW w:w="33.333333%" w:type="pct"/>
          </w:tcPr>
          <w:p>
            <w:pPr>
              <w:ind w:leftChars="0" w:left="0" w:right="0"/>
            </w:pPr>
            <w:r>
              <w:t>STRT</w:t>
            </w:r>
          </w:p>
        </w:tc>
        <w:tc>
          <w:tcPr>
            <w:cnfStyle w:evenVBand="false" w:oddVBand="true" w:firstColumn="false"/>
            <w:tcW w:w="33.333333%" w:type="pct"/>
          </w:tcPr>
          <w:p>
            <w:pPr>
              <w:ind w:leftChars="0" w:left="0" w:right="0"/>
            </w:pPr>
            <w:r>
              <w:t>PRAGUE STOCK EXCHANGE - START (MTF)</w:t>
            </w:r>
          </w:p>
        </w:tc>
      </w:tr>
      <w:tr>
        <w:trPr>
          <w:cnfStyle w:evenHBand="false" w:oddHBand="true" w:firstRow="false"/>
        </w:trPr>
        <w:tc>
          <w:tcPr>
            <w:cnfStyle w:evenVBand="false" w:oddVBand="true" w:firstColumn="false"/>
            <w:tcW w:w="33.333333%" w:type="pct"/>
          </w:tcPr>
          <w:p>
            <w:pPr>
              <w:ind w:leftChars="0" w:left="0" w:right="0"/>
            </w:pPr>
            <w:r>
              <w:t>STSI</w:t>
            </w:r>
          </w:p>
        </w:tc>
        <w:tc>
          <w:tcPr>
            <w:cnfStyle w:evenVBand="true" w:oddVBand="false" w:firstColumn="false"/>
            <w:tcW w:w="33.333333%" w:type="pct"/>
          </w:tcPr>
          <w:p>
            <w:pPr>
              <w:ind w:leftChars="0" w:left="0" w:right="0"/>
            </w:pPr>
            <w:r>
              <w:t>STSI</w:t>
            </w:r>
          </w:p>
        </w:tc>
        <w:tc>
          <w:tcPr>
            <w:cnfStyle w:evenVBand="false" w:oddVBand="true" w:firstColumn="false"/>
            <w:tcW w:w="33.333333%" w:type="pct"/>
          </w:tcPr>
          <w:p>
            <w:pPr>
              <w:ind w:leftChars="0" w:left="0" w:right="0"/>
            </w:pPr>
            <w:r>
              <w:t>SUN TRADING INTERNATIONAL - SYSTEMATIC INTERNALISER</w:t>
            </w:r>
          </w:p>
        </w:tc>
      </w:tr>
      <w:tr>
        <w:trPr>
          <w:cnfStyle w:evenHBand="true" w:oddHBand="false" w:firstRow="false"/>
        </w:trPr>
        <w:tc>
          <w:tcPr>
            <w:cnfStyle w:evenVBand="false" w:oddVBand="true" w:firstColumn="false"/>
            <w:tcW w:w="33.333333%" w:type="pct"/>
          </w:tcPr>
          <w:p>
            <w:pPr>
              <w:ind w:leftChars="0" w:left="0" w:right="0"/>
            </w:pPr>
            <w:r>
              <w:t>STUA</w:t>
            </w:r>
          </w:p>
        </w:tc>
        <w:tc>
          <w:tcPr>
            <w:cnfStyle w:evenVBand="true" w:oddVBand="false" w:firstColumn="false"/>
            <w:tcW w:w="33.333333%" w:type="pct"/>
          </w:tcPr>
          <w:p>
            <w:pPr>
              <w:ind w:leftChars="0" w:left="0" w:right="0"/>
            </w:pPr>
            <w:r>
              <w:t>STUA</w:t>
            </w:r>
          </w:p>
        </w:tc>
        <w:tc>
          <w:tcPr>
            <w:cnfStyle w:evenVBand="false" w:oddVBand="true" w:firstColumn="false"/>
            <w:tcW w:w="33.333333%" w:type="pct"/>
          </w:tcPr>
          <w:p>
            <w:pPr>
              <w:ind w:leftChars="0" w:left="0" w:right="0"/>
            </w:pPr>
            <w:r>
              <w:t>BOERSE STUTTGART - REGULIERTER MARKT</w:t>
            </w:r>
          </w:p>
        </w:tc>
      </w:tr>
      <w:tr>
        <w:trPr>
          <w:cnfStyle w:evenHBand="false" w:oddHBand="true" w:firstRow="false"/>
        </w:trPr>
        <w:tc>
          <w:tcPr>
            <w:cnfStyle w:evenVBand="false" w:oddVBand="true" w:firstColumn="false"/>
            <w:tcW w:w="33.333333%" w:type="pct"/>
          </w:tcPr>
          <w:p>
            <w:pPr>
              <w:ind w:leftChars="0" w:left="0" w:right="0"/>
            </w:pPr>
            <w:r>
              <w:t>STUB</w:t>
            </w:r>
          </w:p>
        </w:tc>
        <w:tc>
          <w:tcPr>
            <w:cnfStyle w:evenVBand="true" w:oddVBand="false" w:firstColumn="false"/>
            <w:tcW w:w="33.333333%" w:type="pct"/>
          </w:tcPr>
          <w:p>
            <w:pPr>
              <w:ind w:leftChars="0" w:left="0" w:right="0"/>
            </w:pPr>
            <w:r>
              <w:t>STUB</w:t>
            </w:r>
          </w:p>
        </w:tc>
        <w:tc>
          <w:tcPr>
            <w:cnfStyle w:evenVBand="false" w:oddVBand="true" w:firstColumn="false"/>
            <w:tcW w:w="33.333333%" w:type="pct"/>
          </w:tcPr>
          <w:p>
            <w:pPr>
              <w:ind w:leftChars="0" w:left="0" w:right="0"/>
            </w:pPr>
            <w:r>
              <w:t>BOERSE STUTTGART - FREIVERKEHR</w:t>
            </w:r>
          </w:p>
        </w:tc>
      </w:tr>
      <w:tr>
        <w:trPr>
          <w:cnfStyle w:evenHBand="true" w:oddHBand="false" w:firstRow="false"/>
        </w:trPr>
        <w:tc>
          <w:tcPr>
            <w:cnfStyle w:evenVBand="false" w:oddVBand="true" w:firstColumn="false"/>
            <w:tcW w:w="33.333333%" w:type="pct"/>
          </w:tcPr>
          <w:p>
            <w:pPr>
              <w:ind w:leftChars="0" w:left="0" w:right="0"/>
            </w:pPr>
            <w:r>
              <w:t>STUC</w:t>
            </w:r>
          </w:p>
        </w:tc>
        <w:tc>
          <w:tcPr>
            <w:cnfStyle w:evenVBand="true" w:oddVBand="false" w:firstColumn="false"/>
            <w:tcW w:w="33.333333%" w:type="pct"/>
          </w:tcPr>
          <w:p>
            <w:pPr>
              <w:ind w:leftChars="0" w:left="0" w:right="0"/>
            </w:pPr>
            <w:r>
              <w:t>STUC</w:t>
            </w:r>
          </w:p>
        </w:tc>
        <w:tc>
          <w:tcPr>
            <w:cnfStyle w:evenVBand="false" w:oddVBand="true" w:firstColumn="false"/>
            <w:tcW w:w="33.333333%" w:type="pct"/>
          </w:tcPr>
          <w:p>
            <w:pPr>
              <w:ind w:leftChars="0" w:left="0" w:right="0"/>
            </w:pPr>
            <w:r>
              <w:t>BOERSE STUTTGART - REGULIERTER MARKT - TECHNICAL PLATFORM 2</w:t>
            </w:r>
          </w:p>
        </w:tc>
      </w:tr>
      <w:tr>
        <w:trPr>
          <w:cnfStyle w:evenHBand="false" w:oddHBand="true" w:firstRow="false"/>
        </w:trPr>
        <w:tc>
          <w:tcPr>
            <w:cnfStyle w:evenVBand="false" w:oddVBand="true" w:firstColumn="false"/>
            <w:tcW w:w="33.333333%" w:type="pct"/>
          </w:tcPr>
          <w:p>
            <w:pPr>
              <w:ind w:leftChars="0" w:left="0" w:right="0"/>
            </w:pPr>
            <w:r>
              <w:t>STUD</w:t>
            </w:r>
          </w:p>
        </w:tc>
        <w:tc>
          <w:tcPr>
            <w:cnfStyle w:evenVBand="true" w:oddVBand="false" w:firstColumn="false"/>
            <w:tcW w:w="33.333333%" w:type="pct"/>
          </w:tcPr>
          <w:p>
            <w:pPr>
              <w:ind w:leftChars="0" w:left="0" w:right="0"/>
            </w:pPr>
            <w:r>
              <w:t>STUD</w:t>
            </w:r>
          </w:p>
        </w:tc>
        <w:tc>
          <w:tcPr>
            <w:cnfStyle w:evenVBand="false" w:oddVBand="true" w:firstColumn="false"/>
            <w:tcW w:w="33.333333%" w:type="pct"/>
          </w:tcPr>
          <w:p>
            <w:pPr>
              <w:ind w:leftChars="0" w:left="0" w:right="0"/>
            </w:pPr>
            <w:r>
              <w:t>BOERSE STUTTGART - FREIVERKEHR - TECHNICAL PLATFORM 2</w:t>
            </w:r>
          </w:p>
        </w:tc>
      </w:tr>
      <w:tr>
        <w:trPr>
          <w:cnfStyle w:evenHBand="true" w:oddHBand="false" w:firstRow="false"/>
        </w:trPr>
        <w:tc>
          <w:tcPr>
            <w:cnfStyle w:evenVBand="false" w:oddVBand="true" w:firstColumn="false"/>
            <w:tcW w:w="33.333333%" w:type="pct"/>
          </w:tcPr>
          <w:p>
            <w:pPr>
              <w:ind w:leftChars="0" w:left="0" w:right="0"/>
            </w:pPr>
            <w:r>
              <w:t>STUE</w:t>
            </w:r>
          </w:p>
        </w:tc>
        <w:tc>
          <w:tcPr>
            <w:cnfStyle w:evenVBand="true" w:oddVBand="false" w:firstColumn="false"/>
            <w:tcW w:w="33.333333%" w:type="pct"/>
          </w:tcPr>
          <w:p>
            <w:pPr>
              <w:ind w:leftChars="0" w:left="0" w:right="0"/>
            </w:pPr>
            <w:r>
              <w:t>STUE</w:t>
            </w:r>
          </w:p>
        </w:tc>
        <w:tc>
          <w:tcPr>
            <w:cnfStyle w:evenVBand="false" w:oddVBand="true" w:firstColumn="false"/>
            <w:tcW w:w="33.333333%" w:type="pct"/>
          </w:tcPr>
          <w:p>
            <w:pPr>
              <w:ind w:leftChars="0" w:left="0" w:right="0"/>
            </w:pPr>
            <w:r>
              <w:t>BOERSE STUTTGART - REGULIERTER MARKT - TECHNICAL PLATFORM 3</w:t>
            </w:r>
          </w:p>
        </w:tc>
      </w:tr>
      <w:tr>
        <w:trPr>
          <w:cnfStyle w:evenHBand="false" w:oddHBand="true" w:firstRow="false"/>
        </w:trPr>
        <w:tc>
          <w:tcPr>
            <w:cnfStyle w:evenVBand="false" w:oddVBand="true" w:firstColumn="false"/>
            <w:tcW w:w="33.333333%" w:type="pct"/>
          </w:tcPr>
          <w:p>
            <w:pPr>
              <w:ind w:leftChars="0" w:left="0" w:right="0"/>
            </w:pPr>
            <w:r>
              <w:t>STUF</w:t>
            </w:r>
          </w:p>
        </w:tc>
        <w:tc>
          <w:tcPr>
            <w:cnfStyle w:evenVBand="true" w:oddVBand="false" w:firstColumn="false"/>
            <w:tcW w:w="33.333333%" w:type="pct"/>
          </w:tcPr>
          <w:p>
            <w:pPr>
              <w:ind w:leftChars="0" w:left="0" w:right="0"/>
            </w:pPr>
            <w:r>
              <w:t>STUF</w:t>
            </w:r>
          </w:p>
        </w:tc>
        <w:tc>
          <w:tcPr>
            <w:cnfStyle w:evenVBand="false" w:oddVBand="true" w:firstColumn="false"/>
            <w:tcW w:w="33.333333%" w:type="pct"/>
          </w:tcPr>
          <w:p>
            <w:pPr>
              <w:ind w:leftChars="0" w:left="0" w:right="0"/>
            </w:pPr>
            <w:r>
              <w:t>BOERSE STUTTGART - FREIVERKEHR - TECHNICAL PLATFORM 3</w:t>
            </w:r>
          </w:p>
        </w:tc>
      </w:tr>
      <w:tr>
        <w:trPr>
          <w:cnfStyle w:evenHBand="true" w:oddHBand="false" w:firstRow="false"/>
        </w:trPr>
        <w:tc>
          <w:tcPr>
            <w:cnfStyle w:evenVBand="false" w:oddVBand="true" w:firstColumn="false"/>
            <w:tcW w:w="33.333333%" w:type="pct"/>
          </w:tcPr>
          <w:p>
            <w:pPr>
              <w:ind w:leftChars="0" w:left="0" w:right="0"/>
            </w:pPr>
            <w:r>
              <w:t>STXS</w:t>
            </w:r>
          </w:p>
        </w:tc>
        <w:tc>
          <w:tcPr>
            <w:cnfStyle w:evenVBand="true" w:oddVBand="false" w:firstColumn="false"/>
            <w:tcW w:w="33.333333%" w:type="pct"/>
          </w:tcPr>
          <w:p>
            <w:pPr>
              <w:ind w:leftChars="0" w:left="0" w:right="0"/>
            </w:pPr>
            <w:r>
              <w:t>STXS</w:t>
            </w:r>
          </w:p>
        </w:tc>
        <w:tc>
          <w:tcPr>
            <w:cnfStyle w:evenVBand="false" w:oddVBand="true" w:firstColumn="false"/>
            <w:tcW w:w="33.333333%" w:type="pct"/>
          </w:tcPr>
          <w:p>
            <w:pPr>
              <w:ind w:leftChars="0" w:left="0" w:right="0"/>
            </w:pPr>
            <w:r>
              <w:t>STX FIXED INCOME</w:t>
            </w:r>
          </w:p>
        </w:tc>
      </w:tr>
      <w:tr>
        <w:trPr>
          <w:cnfStyle w:evenHBand="false" w:oddHBand="true" w:firstRow="false"/>
        </w:trPr>
        <w:tc>
          <w:tcPr>
            <w:cnfStyle w:evenVBand="false" w:oddVBand="true" w:firstColumn="false"/>
            <w:tcW w:w="33.333333%" w:type="pct"/>
          </w:tcPr>
          <w:p>
            <w:pPr>
              <w:ind w:leftChars="0" w:left="0" w:right="0"/>
            </w:pPr>
            <w:r>
              <w:t>SUNB</w:t>
            </w:r>
          </w:p>
        </w:tc>
        <w:tc>
          <w:tcPr>
            <w:cnfStyle w:evenVBand="true" w:oddVBand="false" w:firstColumn="false"/>
            <w:tcW w:w="33.333333%" w:type="pct"/>
          </w:tcPr>
          <w:p>
            <w:pPr>
              <w:ind w:leftChars="0" w:left="0" w:right="0"/>
            </w:pPr>
            <w:r>
              <w:t>SUNB</w:t>
            </w:r>
          </w:p>
        </w:tc>
        <w:tc>
          <w:tcPr>
            <w:cnfStyle w:evenVBand="false" w:oddVBand="true" w:firstColumn="false"/>
            <w:tcW w:w="33.333333%" w:type="pct"/>
          </w:tcPr>
          <w:p>
            <w:pPr>
              <w:ind w:leftChars="0" w:left="0" w:right="0"/>
            </w:pPr>
            <w:r>
              <w:t>SUNRISE BROKERS</w:t>
            </w:r>
          </w:p>
        </w:tc>
      </w:tr>
      <w:tr>
        <w:trPr>
          <w:cnfStyle w:evenHBand="true" w:oddHBand="false" w:firstRow="false"/>
        </w:trPr>
        <w:tc>
          <w:tcPr>
            <w:cnfStyle w:evenVBand="false" w:oddVBand="true" w:firstColumn="false"/>
            <w:tcW w:w="33.333333%" w:type="pct"/>
          </w:tcPr>
          <w:p>
            <w:pPr>
              <w:ind w:leftChars="0" w:left="0" w:right="0"/>
            </w:pPr>
            <w:r>
              <w:t>SUNM</w:t>
            </w:r>
          </w:p>
        </w:tc>
        <w:tc>
          <w:tcPr>
            <w:cnfStyle w:evenVBand="true" w:oddVBand="false" w:firstColumn="false"/>
            <w:tcW w:w="33.333333%" w:type="pct"/>
          </w:tcPr>
          <w:p>
            <w:pPr>
              <w:ind w:leftChars="0" w:left="0" w:right="0"/>
            </w:pPr>
            <w:r>
              <w:t>SUNM</w:t>
            </w:r>
          </w:p>
        </w:tc>
        <w:tc>
          <w:tcPr>
            <w:cnfStyle w:evenVBand="false" w:oddVBand="true" w:firstColumn="false"/>
            <w:tcW w:w="33.333333%" w:type="pct"/>
          </w:tcPr>
          <w:p>
            <w:pPr>
              <w:ind w:leftChars="0" w:left="0" w:right="0"/>
            </w:pPr>
            <w:r>
              <w:t>SUNRISE - MTF</w:t>
            </w:r>
          </w:p>
        </w:tc>
      </w:tr>
      <w:tr>
        <w:trPr>
          <w:cnfStyle w:evenHBand="false" w:oddHBand="true" w:firstRow="false"/>
        </w:trPr>
        <w:tc>
          <w:tcPr>
            <w:cnfStyle w:evenVBand="false" w:oddVBand="true" w:firstColumn="false"/>
            <w:tcW w:w="33.333333%" w:type="pct"/>
          </w:tcPr>
          <w:p>
            <w:pPr>
              <w:ind w:leftChars="0" w:left="0" w:right="0"/>
            </w:pPr>
            <w:r>
              <w:t>SUNO</w:t>
            </w:r>
          </w:p>
        </w:tc>
        <w:tc>
          <w:tcPr>
            <w:cnfStyle w:evenVBand="true" w:oddVBand="false" w:firstColumn="false"/>
            <w:tcW w:w="33.333333%" w:type="pct"/>
          </w:tcPr>
          <w:p>
            <w:pPr>
              <w:ind w:leftChars="0" w:left="0" w:right="0"/>
            </w:pPr>
            <w:r>
              <w:t>SUNO</w:t>
            </w:r>
          </w:p>
        </w:tc>
        <w:tc>
          <w:tcPr>
            <w:cnfStyle w:evenVBand="false" w:oddVBand="true" w:firstColumn="false"/>
            <w:tcW w:w="33.333333%" w:type="pct"/>
          </w:tcPr>
          <w:p>
            <w:pPr>
              <w:ind w:leftChars="0" w:left="0" w:right="0"/>
            </w:pPr>
            <w:r>
              <w:t>SUNRISE - OTF</w:t>
            </w:r>
          </w:p>
        </w:tc>
      </w:tr>
      <w:tr>
        <w:trPr>
          <w:cnfStyle w:evenHBand="true" w:oddHBand="false" w:firstRow="false"/>
        </w:trPr>
        <w:tc>
          <w:tcPr>
            <w:cnfStyle w:evenVBand="false" w:oddVBand="true" w:firstColumn="false"/>
            <w:tcW w:w="33.333333%" w:type="pct"/>
          </w:tcPr>
          <w:p>
            <w:pPr>
              <w:ind w:leftChars="0" w:left="0" w:right="0"/>
            </w:pPr>
            <w:r>
              <w:t>SUNT</w:t>
            </w:r>
          </w:p>
        </w:tc>
        <w:tc>
          <w:tcPr>
            <w:cnfStyle w:evenVBand="true" w:oddVBand="false" w:firstColumn="false"/>
            <w:tcW w:w="33.333333%" w:type="pct"/>
          </w:tcPr>
          <w:p>
            <w:pPr>
              <w:ind w:leftChars="0" w:left="0" w:right="0"/>
            </w:pPr>
            <w:r>
              <w:t>SUNT</w:t>
            </w:r>
          </w:p>
        </w:tc>
        <w:tc>
          <w:tcPr>
            <w:cnfStyle w:evenVBand="false" w:oddVBand="true" w:firstColumn="false"/>
            <w:tcW w:w="33.333333%" w:type="pct"/>
          </w:tcPr>
          <w:p>
            <w:pPr>
              <w:ind w:leftChars="0" w:left="0" w:right="0"/>
            </w:pPr>
            <w:r>
              <w:t>SUN TRADING LLC</w:t>
            </w:r>
          </w:p>
        </w:tc>
      </w:tr>
      <w:tr>
        <w:trPr>
          <w:cnfStyle w:evenHBand="false" w:oddHBand="true" w:firstRow="false"/>
        </w:trPr>
        <w:tc>
          <w:tcPr>
            <w:cnfStyle w:evenVBand="false" w:oddVBand="true" w:firstColumn="false"/>
            <w:tcW w:w="33.333333%" w:type="pct"/>
          </w:tcPr>
          <w:p>
            <w:pPr>
              <w:ind w:leftChars="0" w:left="0" w:right="0"/>
            </w:pPr>
            <w:r>
              <w:t>SVES</w:t>
            </w:r>
          </w:p>
        </w:tc>
        <w:tc>
          <w:tcPr>
            <w:cnfStyle w:evenVBand="true" w:oddVBand="false" w:firstColumn="false"/>
            <w:tcW w:w="33.333333%" w:type="pct"/>
          </w:tcPr>
          <w:p>
            <w:pPr>
              <w:ind w:leftChars="0" w:left="0" w:right="0"/>
            </w:pPr>
            <w:r>
              <w:t>SVES</w:t>
            </w:r>
          </w:p>
        </w:tc>
        <w:tc>
          <w:tcPr>
            <w:cnfStyle w:evenVBand="false" w:oddVBand="true" w:firstColumn="false"/>
            <w:tcW w:w="33.333333%" w:type="pct"/>
          </w:tcPr>
          <w:p>
            <w:pPr>
              <w:ind w:leftChars="0" w:left="0" w:right="0"/>
            </w:pPr>
            <w:r>
              <w:t>SVENSKA HANDELSBANKEN AB - SYSTEMATIC INTERNALISER</w:t>
            </w:r>
          </w:p>
        </w:tc>
      </w:tr>
      <w:tr>
        <w:trPr>
          <w:cnfStyle w:evenHBand="true" w:oddHBand="false" w:firstRow="false"/>
        </w:trPr>
        <w:tc>
          <w:tcPr>
            <w:cnfStyle w:evenVBand="false" w:oddVBand="true" w:firstColumn="false"/>
            <w:tcW w:w="33.333333%" w:type="pct"/>
          </w:tcPr>
          <w:p>
            <w:pPr>
              <w:ind w:leftChars="0" w:left="0" w:right="0"/>
            </w:pPr>
            <w:r>
              <w:t>SVEX</w:t>
            </w:r>
          </w:p>
        </w:tc>
        <w:tc>
          <w:tcPr>
            <w:cnfStyle w:evenVBand="true" w:oddVBand="false" w:firstColumn="false"/>
            <w:tcW w:w="33.333333%" w:type="pct"/>
          </w:tcPr>
          <w:p>
            <w:pPr>
              <w:ind w:leftChars="0" w:left="0" w:right="0"/>
            </w:pPr>
            <w:r>
              <w:t>SVEX</w:t>
            </w:r>
          </w:p>
        </w:tc>
        <w:tc>
          <w:tcPr>
            <w:cnfStyle w:evenVBand="false" w:oddVBand="true" w:firstColumn="false"/>
            <w:tcW w:w="33.333333%" w:type="pct"/>
          </w:tcPr>
          <w:p>
            <w:pPr>
              <w:ind w:leftChars="0" w:left="0" w:right="0"/>
            </w:pPr>
            <w:r>
              <w:t>SVENSKA HANDELSBANKEN AB - SVEX</w:t>
            </w:r>
          </w:p>
        </w:tc>
      </w:tr>
      <w:tr>
        <w:trPr>
          <w:cnfStyle w:evenHBand="false" w:oddHBand="true" w:firstRow="false"/>
        </w:trPr>
        <w:tc>
          <w:tcPr>
            <w:cnfStyle w:evenVBand="false" w:oddVBand="true" w:firstColumn="false"/>
            <w:tcW w:w="33.333333%" w:type="pct"/>
          </w:tcPr>
          <w:p>
            <w:pPr>
              <w:ind w:leftChars="0" w:left="0" w:right="0"/>
            </w:pPr>
            <w:r>
              <w:t>SVXI</w:t>
            </w:r>
          </w:p>
        </w:tc>
        <w:tc>
          <w:tcPr>
            <w:cnfStyle w:evenVBand="true" w:oddVBand="false" w:firstColumn="false"/>
            <w:tcW w:w="33.333333%" w:type="pct"/>
          </w:tcPr>
          <w:p>
            <w:pPr>
              <w:ind w:leftChars="0" w:left="0" w:right="0"/>
            </w:pPr>
            <w:r>
              <w:t>SVXI</w:t>
            </w:r>
          </w:p>
        </w:tc>
        <w:tc>
          <w:tcPr>
            <w:cnfStyle w:evenVBand="false" w:oddVBand="true" w:firstColumn="false"/>
            <w:tcW w:w="33.333333%" w:type="pct"/>
          </w:tcPr>
          <w:p>
            <w:pPr>
              <w:ind w:leftChars="0" w:left="0" w:right="0"/>
            </w:pPr>
            <w:r>
              <w:t>SAINT VINCENT AND THE GRENADINES SECURITIES EXCHANGE</w:t>
            </w:r>
          </w:p>
        </w:tc>
      </w:tr>
      <w:tr>
        <w:trPr>
          <w:cnfStyle w:evenHBand="true" w:oddHBand="false" w:firstRow="false"/>
        </w:trPr>
        <w:tc>
          <w:tcPr>
            <w:cnfStyle w:evenVBand="false" w:oddVBand="true" w:firstColumn="false"/>
            <w:tcW w:w="33.333333%" w:type="pct"/>
          </w:tcPr>
          <w:p>
            <w:pPr>
              <w:ind w:leftChars="0" w:left="0" w:right="0"/>
            </w:pPr>
            <w:r>
              <w:t>SWAP</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SWAPSTREAM</w:t>
            </w:r>
          </w:p>
        </w:tc>
      </w:tr>
      <w:tr>
        <w:trPr>
          <w:cnfStyle w:evenHBand="false" w:oddHBand="true" w:firstRow="false"/>
        </w:trPr>
        <w:tc>
          <w:tcPr>
            <w:cnfStyle w:evenVBand="false" w:oddVBand="true" w:firstColumn="false"/>
            <w:tcW w:w="33.333333%" w:type="pct"/>
          </w:tcPr>
          <w:p>
            <w:pPr>
              <w:ind w:leftChars="0" w:left="0" w:right="0"/>
            </w:pPr>
            <w:r>
              <w:t>SWBI</w:t>
            </w:r>
          </w:p>
        </w:tc>
        <w:tc>
          <w:tcPr>
            <w:cnfStyle w:evenVBand="true" w:oddVBand="false" w:firstColumn="false"/>
            <w:tcW w:w="33.333333%" w:type="pct"/>
          </w:tcPr>
          <w:p>
            <w:pPr>
              <w:ind w:leftChars="0" w:left="0" w:right="0"/>
            </w:pPr>
            <w:r>
              <w:t>SWBI</w:t>
            </w:r>
          </w:p>
        </w:tc>
        <w:tc>
          <w:tcPr>
            <w:cnfStyle w:evenVBand="false" w:oddVBand="true" w:firstColumn="false"/>
            <w:tcW w:w="33.333333%" w:type="pct"/>
          </w:tcPr>
          <w:p>
            <w:pPr>
              <w:ind w:leftChars="0" w:left="0" w:right="0"/>
            </w:pPr>
            <w:r>
              <w:t>SWEDBANK - SYSTEMATIC INTERNALISER</w:t>
            </w:r>
          </w:p>
        </w:tc>
      </w:tr>
      <w:tr>
        <w:trPr>
          <w:cnfStyle w:evenHBand="true" w:oddHBand="false" w:firstRow="false"/>
        </w:trPr>
        <w:tc>
          <w:tcPr>
            <w:cnfStyle w:evenVBand="false" w:oddVBand="true" w:firstColumn="false"/>
            <w:tcW w:w="33.333333%" w:type="pct"/>
          </w:tcPr>
          <w:p>
            <w:pPr>
              <w:ind w:leftChars="0" w:left="0" w:right="0"/>
            </w:pPr>
            <w:r>
              <w:t>SWEE</w:t>
            </w:r>
          </w:p>
        </w:tc>
        <w:tc>
          <w:tcPr>
            <w:cnfStyle w:evenVBand="true" w:oddVBand="false" w:firstColumn="false"/>
            <w:tcW w:w="33.333333%" w:type="pct"/>
          </w:tcPr>
          <w:p>
            <w:pPr>
              <w:ind w:leftChars="0" w:left="0" w:right="0"/>
            </w:pPr>
            <w:r>
              <w:t>SWEE</w:t>
            </w:r>
          </w:p>
        </w:tc>
        <w:tc>
          <w:tcPr>
            <w:cnfStyle w:evenVBand="false" w:oddVBand="true" w:firstColumn="false"/>
            <w:tcW w:w="33.333333%" w:type="pct"/>
          </w:tcPr>
          <w:p>
            <w:pPr>
              <w:ind w:leftChars="0" w:left="0" w:right="0"/>
            </w:pPr>
            <w:r>
              <w:t>SWEDBANK ESTONIA - SYSTEMATIC INTERNALISER</w:t>
            </w:r>
          </w:p>
        </w:tc>
      </w:tr>
      <w:tr>
        <w:trPr>
          <w:cnfStyle w:evenHBand="false" w:oddHBand="true" w:firstRow="false"/>
        </w:trPr>
        <w:tc>
          <w:tcPr>
            <w:cnfStyle w:evenVBand="false" w:oddVBand="true" w:firstColumn="false"/>
            <w:tcW w:w="33.333333%" w:type="pct"/>
          </w:tcPr>
          <w:p>
            <w:pPr>
              <w:ind w:leftChars="0" w:left="0" w:right="0"/>
            </w:pPr>
            <w:r>
              <w:t>SWLT</w:t>
            </w:r>
          </w:p>
        </w:tc>
        <w:tc>
          <w:tcPr>
            <w:cnfStyle w:evenVBand="true" w:oddVBand="false" w:firstColumn="false"/>
            <w:tcW w:w="33.333333%" w:type="pct"/>
          </w:tcPr>
          <w:p>
            <w:pPr>
              <w:ind w:leftChars="0" w:left="0" w:right="0"/>
            </w:pPr>
            <w:r>
              <w:t>SWLT</w:t>
            </w:r>
          </w:p>
        </w:tc>
        <w:tc>
          <w:tcPr>
            <w:cnfStyle w:evenVBand="false" w:oddVBand="true" w:firstColumn="false"/>
            <w:tcW w:w="33.333333%" w:type="pct"/>
          </w:tcPr>
          <w:p>
            <w:pPr>
              <w:ind w:leftChars="0" w:left="0" w:right="0"/>
            </w:pPr>
            <w:r>
              <w:t>SWEDBANK LITHUANIA - SYSTEMATIC INTERNALISER</w:t>
            </w:r>
          </w:p>
        </w:tc>
      </w:tr>
      <w:tr>
        <w:trPr>
          <w:cnfStyle w:evenHBand="true" w:oddHBand="false" w:firstRow="false"/>
        </w:trPr>
        <w:tc>
          <w:tcPr>
            <w:cnfStyle w:evenVBand="false" w:oddVBand="true" w:firstColumn="false"/>
            <w:tcW w:w="33.333333%" w:type="pct"/>
          </w:tcPr>
          <w:p>
            <w:pPr>
              <w:ind w:leftChars="0" w:left="0" w:right="0"/>
            </w:pPr>
            <w:r>
              <w:t>SWLV</w:t>
            </w:r>
          </w:p>
        </w:tc>
        <w:tc>
          <w:tcPr>
            <w:cnfStyle w:evenVBand="true" w:oddVBand="false" w:firstColumn="false"/>
            <w:tcW w:w="33.333333%" w:type="pct"/>
          </w:tcPr>
          <w:p>
            <w:pPr>
              <w:ind w:leftChars="0" w:left="0" w:right="0"/>
            </w:pPr>
            <w:r>
              <w:t>SWLV</w:t>
            </w:r>
          </w:p>
        </w:tc>
        <w:tc>
          <w:tcPr>
            <w:cnfStyle w:evenVBand="false" w:oddVBand="true" w:firstColumn="false"/>
            <w:tcW w:w="33.333333%" w:type="pct"/>
          </w:tcPr>
          <w:p>
            <w:pPr>
              <w:ind w:leftChars="0" w:left="0" w:right="0"/>
            </w:pPr>
            <w:r>
              <w:t>SWEDBANK LATVIA - SYSTEMATIC INTERNALISER</w:t>
            </w:r>
          </w:p>
        </w:tc>
      </w:tr>
      <w:tr>
        <w:trPr>
          <w:cnfStyle w:evenHBand="false" w:oddHBand="true" w:firstRow="false"/>
        </w:trPr>
        <w:tc>
          <w:tcPr>
            <w:cnfStyle w:evenVBand="false" w:oddVBand="true" w:firstColumn="false"/>
            <w:tcW w:w="33.333333%" w:type="pct"/>
          </w:tcPr>
          <w:p>
            <w:pPr>
              <w:ind w:leftChars="0" w:left="0" w:right="0"/>
            </w:pPr>
            <w:r>
              <w:t>SXSI</w:t>
            </w:r>
          </w:p>
        </w:tc>
        <w:tc>
          <w:tcPr>
            <w:cnfStyle w:evenVBand="true" w:oddVBand="false" w:firstColumn="false"/>
            <w:tcW w:w="33.333333%" w:type="pct"/>
          </w:tcPr>
          <w:p>
            <w:pPr>
              <w:ind w:leftChars="0" w:left="0" w:right="0"/>
            </w:pPr>
            <w:r>
              <w:t>SXSI</w:t>
            </w:r>
          </w:p>
        </w:tc>
        <w:tc>
          <w:tcPr>
            <w:cnfStyle w:evenVBand="false" w:oddVBand="true" w:firstColumn="false"/>
            <w:tcW w:w="33.333333%" w:type="pct"/>
          </w:tcPr>
          <w:p>
            <w:pPr>
              <w:ind w:leftChars="0" w:left="0" w:right="0"/>
            </w:pPr>
            <w:r>
              <w:t>SAXO BANK A/S</w:t>
            </w:r>
          </w:p>
        </w:tc>
      </w:tr>
      <w:tr>
        <w:trPr>
          <w:cnfStyle w:evenHBand="true" w:oddHBand="false" w:firstRow="false"/>
        </w:trPr>
        <w:tc>
          <w:tcPr>
            <w:cnfStyle w:evenVBand="false" w:oddVBand="true" w:firstColumn="false"/>
            <w:tcW w:w="33.333333%" w:type="pct"/>
          </w:tcPr>
          <w:p>
            <w:pPr>
              <w:ind w:leftChars="0" w:left="0" w:right="0"/>
            </w:pPr>
            <w:r>
              <w:t>SYFX</w:t>
            </w:r>
          </w:p>
        </w:tc>
        <w:tc>
          <w:tcPr>
            <w:cnfStyle w:evenVBand="true" w:oddVBand="false" w:firstColumn="false"/>
            <w:tcW w:w="33.333333%" w:type="pct"/>
          </w:tcPr>
          <w:p>
            <w:pPr>
              <w:ind w:leftChars="0" w:left="0" w:right="0"/>
            </w:pPr>
            <w:r>
              <w:t>SYFX</w:t>
            </w:r>
          </w:p>
        </w:tc>
        <w:tc>
          <w:tcPr>
            <w:cnfStyle w:evenVBand="false" w:oddVBand="true" w:firstColumn="false"/>
            <w:tcW w:w="33.333333%" w:type="pct"/>
          </w:tcPr>
          <w:p>
            <w:pPr>
              <w:ind w:leftChars="0" w:left="0" w:right="0"/>
            </w:pPr>
            <w:r>
              <w:t>SYNOPTION</w:t>
            </w:r>
          </w:p>
        </w:tc>
      </w:tr>
      <w:tr>
        <w:trPr>
          <w:cnfStyle w:evenHBand="false" w:oddHBand="true" w:firstRow="false"/>
        </w:trPr>
        <w:tc>
          <w:tcPr>
            <w:cnfStyle w:evenVBand="false" w:oddVBand="true" w:firstColumn="false"/>
            <w:tcW w:w="33.333333%" w:type="pct"/>
          </w:tcPr>
          <w:p>
            <w:pPr>
              <w:ind w:leftChars="0" w:left="0" w:right="0"/>
            </w:pPr>
            <w:r>
              <w:t>SZSC</w:t>
            </w:r>
          </w:p>
        </w:tc>
        <w:tc>
          <w:tcPr>
            <w:cnfStyle w:evenVBand="true" w:oddVBand="false" w:firstColumn="false"/>
            <w:tcW w:w="33.333333%" w:type="pct"/>
          </w:tcPr>
          <w:p>
            <w:pPr>
              <w:ind w:leftChars="0" w:left="0" w:right="0"/>
            </w:pPr>
            <w:r>
              <w:t>SZSC</w:t>
            </w:r>
          </w:p>
        </w:tc>
        <w:tc>
          <w:tcPr>
            <w:cnfStyle w:evenVBand="false" w:oddVBand="true" w:firstColumn="false"/>
            <w:tcW w:w="33.333333%" w:type="pct"/>
          </w:tcPr>
          <w:p>
            <w:pPr>
              <w:ind w:leftChars="0" w:left="0" w:right="0"/>
            </w:pPr>
            <w:r>
              <w:t>STOCK EXCHANGE OF HONG KONG LIMITED - SHENZHEN - HONG KONG STOCK CONNECT</w:t>
            </w:r>
          </w:p>
        </w:tc>
      </w:tr>
      <w:tr>
        <w:trPr>
          <w:cnfStyle w:evenHBand="true" w:oddHBand="false" w:firstRow="false"/>
        </w:trPr>
        <w:tc>
          <w:tcPr>
            <w:cnfStyle w:evenVBand="false" w:oddVBand="true" w:firstColumn="false"/>
            <w:tcW w:w="33.333333%" w:type="pct"/>
          </w:tcPr>
          <w:p>
            <w:pPr>
              <w:ind w:leftChars="0" w:left="0" w:right="0"/>
            </w:pPr>
            <w:r>
              <w:t>T212</w:t>
            </w:r>
          </w:p>
        </w:tc>
        <w:tc>
          <w:tcPr>
            <w:cnfStyle w:evenVBand="true" w:oddVBand="false" w:firstColumn="false"/>
            <w:tcW w:w="33.333333%" w:type="pct"/>
          </w:tcPr>
          <w:p>
            <w:pPr>
              <w:ind w:leftChars="0" w:left="0" w:right="0"/>
            </w:pPr>
            <w:r>
              <w:t>T212</w:t>
            </w:r>
          </w:p>
        </w:tc>
        <w:tc>
          <w:tcPr>
            <w:cnfStyle w:evenVBand="false" w:oddVBand="true" w:firstColumn="false"/>
            <w:tcW w:w="33.333333%" w:type="pct"/>
          </w:tcPr>
          <w:p>
            <w:pPr>
              <w:ind w:leftChars="0" w:left="0" w:right="0"/>
            </w:pPr>
            <w:r>
              <w:t>TRADING 212 LIMITED - SYSTEMATIC INTERNALISER</w:t>
            </w:r>
          </w:p>
        </w:tc>
      </w:tr>
      <w:tr>
        <w:trPr>
          <w:cnfStyle w:evenHBand="false" w:oddHBand="true" w:firstRow="false"/>
        </w:trPr>
        <w:tc>
          <w:tcPr>
            <w:cnfStyle w:evenVBand="false" w:oddVBand="true" w:firstColumn="false"/>
            <w:tcW w:w="33.333333%" w:type="pct"/>
          </w:tcPr>
          <w:p>
            <w:pPr>
              <w:ind w:leftChars="0" w:left="0" w:right="0"/>
            </w:pPr>
            <w:r>
              <w:t>TBEN</w:t>
            </w:r>
          </w:p>
        </w:tc>
        <w:tc>
          <w:tcPr>
            <w:cnfStyle w:evenVBand="true" w:oddVBand="false" w:firstColumn="false"/>
            <w:tcW w:w="33.333333%" w:type="pct"/>
          </w:tcPr>
          <w:p>
            <w:pPr>
              <w:ind w:leftChars="0" w:left="0" w:right="0"/>
            </w:pPr>
            <w:r>
              <w:t>TBEN</w:t>
            </w:r>
          </w:p>
        </w:tc>
        <w:tc>
          <w:tcPr>
            <w:cnfStyle w:evenVBand="false" w:oddVBand="true" w:firstColumn="false"/>
            <w:tcW w:w="33.333333%" w:type="pct"/>
          </w:tcPr>
          <w:p>
            <w:pPr>
              <w:ind w:leftChars="0" w:left="0" w:right="0"/>
            </w:pPr>
            <w:r>
              <w:t>TULLETT PREBON PLC - TP ENERGY</w:t>
            </w:r>
          </w:p>
        </w:tc>
      </w:tr>
      <w:tr>
        <w:trPr>
          <w:cnfStyle w:evenHBand="true" w:oddHBand="false" w:firstRow="false"/>
        </w:trPr>
        <w:tc>
          <w:tcPr>
            <w:cnfStyle w:evenVBand="false" w:oddVBand="true" w:firstColumn="false"/>
            <w:tcW w:w="33.333333%" w:type="pct"/>
          </w:tcPr>
          <w:p>
            <w:pPr>
              <w:ind w:leftChars="0" w:left="0" w:right="0"/>
            </w:pPr>
            <w:r>
              <w:t>TBLA</w:t>
            </w:r>
          </w:p>
        </w:tc>
        <w:tc>
          <w:tcPr>
            <w:cnfStyle w:evenVBand="true" w:oddVBand="false" w:firstColumn="false"/>
            <w:tcW w:w="33.333333%" w:type="pct"/>
          </w:tcPr>
          <w:p>
            <w:pPr>
              <w:ind w:leftChars="0" w:left="0" w:right="0"/>
            </w:pPr>
            <w:r>
              <w:t>TBLA</w:t>
            </w:r>
          </w:p>
        </w:tc>
        <w:tc>
          <w:tcPr>
            <w:cnfStyle w:evenVBand="false" w:oddVBand="true" w:firstColumn="false"/>
            <w:tcW w:w="33.333333%" w:type="pct"/>
          </w:tcPr>
          <w:p>
            <w:pPr>
              <w:ind w:leftChars="0" w:left="0" w:right="0"/>
            </w:pPr>
            <w:r>
              <w:t>TULLETT PREBON PLC - TP TRADEBLADE</w:t>
            </w:r>
          </w:p>
        </w:tc>
      </w:tr>
      <w:tr>
        <w:trPr>
          <w:cnfStyle w:evenHBand="false" w:oddHBand="true" w:firstRow="false"/>
        </w:trPr>
        <w:tc>
          <w:tcPr>
            <w:cnfStyle w:evenVBand="false" w:oddVBand="true" w:firstColumn="false"/>
            <w:tcW w:w="33.333333%" w:type="pct"/>
          </w:tcPr>
          <w:p>
            <w:pPr>
              <w:ind w:leftChars="0" w:left="0" w:right="0"/>
            </w:pPr>
            <w:r>
              <w:t>TBSA</w:t>
            </w:r>
          </w:p>
        </w:tc>
        <w:tc>
          <w:tcPr>
            <w:cnfStyle w:evenVBand="true" w:oddVBand="false" w:firstColumn="false"/>
            <w:tcW w:w="33.333333%" w:type="pct"/>
          </w:tcPr>
          <w:p>
            <w:pPr>
              <w:ind w:leftChars="0" w:left="0" w:right="0"/>
            </w:pPr>
            <w:r>
              <w:t>TBSA</w:t>
            </w:r>
          </w:p>
        </w:tc>
        <w:tc>
          <w:tcPr>
            <w:cnfStyle w:evenVBand="false" w:oddVBand="true" w:firstColumn="false"/>
            <w:tcW w:w="33.333333%" w:type="pct"/>
          </w:tcPr>
          <w:p>
            <w:pPr>
              <w:ind w:leftChars="0" w:left="0" w:right="0"/>
            </w:pPr>
            <w:r>
              <w:t>WARSAW STOCK EXCHANGE/BONDS/TREASURY BOND/BONDSPOT/B2C MARKET/MTF</w:t>
            </w:r>
          </w:p>
        </w:tc>
      </w:tr>
      <w:tr>
        <w:trPr>
          <w:cnfStyle w:evenHBand="true" w:oddHBand="false" w:firstRow="false"/>
        </w:trPr>
        <w:tc>
          <w:tcPr>
            <w:cnfStyle w:evenVBand="false" w:oddVBand="true" w:firstColumn="false"/>
            <w:tcW w:w="33.333333%" w:type="pct"/>
          </w:tcPr>
          <w:p>
            <w:pPr>
              <w:ind w:leftChars="0" w:left="0" w:right="0"/>
            </w:pPr>
            <w:r>
              <w:t>TBSP</w:t>
            </w:r>
          </w:p>
        </w:tc>
        <w:tc>
          <w:tcPr>
            <w:cnfStyle w:evenVBand="true" w:oddVBand="false" w:firstColumn="false"/>
            <w:tcW w:w="33.333333%" w:type="pct"/>
          </w:tcPr>
          <w:p>
            <w:pPr>
              <w:ind w:leftChars="0" w:left="0" w:right="0"/>
            </w:pPr>
            <w:r>
              <w:t>TBSP</w:t>
            </w:r>
          </w:p>
        </w:tc>
        <w:tc>
          <w:tcPr>
            <w:cnfStyle w:evenVBand="false" w:oddVBand="true" w:firstColumn="false"/>
            <w:tcW w:w="33.333333%" w:type="pct"/>
          </w:tcPr>
          <w:p>
            <w:pPr>
              <w:ind w:leftChars="0" w:left="0" w:right="0"/>
            </w:pPr>
            <w:r>
              <w:t>WARSAW STOCK EXCHANGE/BONDS/BONDSPOT/TREASURY BOND MARKET</w:t>
            </w:r>
          </w:p>
        </w:tc>
      </w:tr>
      <w:tr>
        <w:trPr>
          <w:cnfStyle w:evenHBand="false" w:oddHBand="true" w:firstRow="false"/>
        </w:trPr>
        <w:tc>
          <w:tcPr>
            <w:cnfStyle w:evenVBand="false" w:oddVBand="true" w:firstColumn="false"/>
            <w:tcW w:w="33.333333%" w:type="pct"/>
          </w:tcPr>
          <w:p>
            <w:pPr>
              <w:ind w:leftChars="0" w:left="0" w:right="0"/>
            </w:pPr>
            <w:r>
              <w:t>TCDS</w:t>
            </w:r>
          </w:p>
        </w:tc>
        <w:tc>
          <w:tcPr>
            <w:cnfStyle w:evenVBand="true" w:oddVBand="false" w:firstColumn="false"/>
            <w:tcW w:w="33.333333%" w:type="pct"/>
          </w:tcPr>
          <w:p>
            <w:pPr>
              <w:ind w:leftChars="0" w:left="0" w:right="0"/>
            </w:pPr>
            <w:r>
              <w:t>TCDS</w:t>
            </w:r>
          </w:p>
        </w:tc>
        <w:tc>
          <w:tcPr>
            <w:cnfStyle w:evenVBand="false" w:oddVBand="true" w:firstColumn="false"/>
            <w:tcW w:w="33.333333%" w:type="pct"/>
          </w:tcPr>
          <w:p>
            <w:pPr>
              <w:ind w:leftChars="0" w:left="0" w:right="0"/>
            </w:pPr>
            <w:r>
              <w:t>TRADITION OTF</w:t>
            </w:r>
          </w:p>
        </w:tc>
      </w:tr>
      <w:tr>
        <w:trPr>
          <w:cnfStyle w:evenHBand="true" w:oddHBand="false" w:firstRow="false"/>
        </w:trPr>
        <w:tc>
          <w:tcPr>
            <w:cnfStyle w:evenVBand="false" w:oddVBand="true" w:firstColumn="false"/>
            <w:tcW w:w="33.333333%" w:type="pct"/>
          </w:tcPr>
          <w:p>
            <w:pPr>
              <w:ind w:leftChars="0" w:left="0" w:right="0"/>
            </w:pPr>
            <w:r>
              <w:t>TCME</w:t>
            </w:r>
          </w:p>
        </w:tc>
        <w:tc>
          <w:tcPr>
            <w:cnfStyle w:evenVBand="true" w:oddVBand="false" w:firstColumn="false"/>
            <w:tcW w:w="33.333333%" w:type="pct"/>
          </w:tcPr>
          <w:p>
            <w:pPr>
              <w:ind w:leftChars="0" w:left="0" w:right="0"/>
            </w:pPr>
            <w:r>
              <w:t>TCME</w:t>
            </w:r>
          </w:p>
        </w:tc>
        <w:tc>
          <w:tcPr>
            <w:cnfStyle w:evenVBand="false" w:oddVBand="true" w:firstColumn="false"/>
            <w:tcW w:w="33.333333%" w:type="pct"/>
          </w:tcPr>
          <w:p>
            <w:pPr>
              <w:ind w:leftChars="0" w:left="0" w:right="0"/>
            </w:pPr>
            <w:r>
              <w:t>TFS CME DIRECT</w:t>
            </w:r>
          </w:p>
        </w:tc>
      </w:tr>
      <w:tr>
        <w:trPr>
          <w:cnfStyle w:evenHBand="false" w:oddHBand="true" w:firstRow="false"/>
        </w:trPr>
        <w:tc>
          <w:tcPr>
            <w:cnfStyle w:evenVBand="false" w:oddVBand="true" w:firstColumn="false"/>
            <w:tcW w:w="33.333333%" w:type="pct"/>
          </w:tcPr>
          <w:p>
            <w:pPr>
              <w:ind w:leftChars="0" w:left="0" w:right="0"/>
            </w:pPr>
            <w:r>
              <w:t>TCML</w:t>
            </w:r>
          </w:p>
        </w:tc>
        <w:tc>
          <w:tcPr>
            <w:cnfStyle w:evenVBand="true" w:oddVBand="false" w:firstColumn="false"/>
            <w:tcW w:w="33.333333%" w:type="pct"/>
          </w:tcPr>
          <w:p>
            <w:pPr>
              <w:ind w:leftChars="0" w:left="0" w:right="0"/>
            </w:pPr>
            <w:r>
              <w:t>TCML</w:t>
            </w:r>
          </w:p>
        </w:tc>
        <w:tc>
          <w:tcPr>
            <w:cnfStyle w:evenVBand="false" w:oddVBand="true" w:firstColumn="false"/>
            <w:tcW w:w="33.333333%" w:type="pct"/>
          </w:tcPr>
          <w:p>
            <w:pPr>
              <w:ind w:leftChars="0" w:left="0" w:right="0"/>
            </w:pPr>
            <w:r>
              <w:t>TIDE CM</w:t>
            </w:r>
          </w:p>
        </w:tc>
      </w:tr>
      <w:tr>
        <w:trPr>
          <w:cnfStyle w:evenHBand="true" w:oddHBand="false" w:firstRow="false"/>
        </w:trPr>
        <w:tc>
          <w:tcPr>
            <w:cnfStyle w:evenVBand="false" w:oddVBand="true" w:firstColumn="false"/>
            <w:tcW w:w="33.333333%" w:type="pct"/>
          </w:tcPr>
          <w:p>
            <w:pPr>
              <w:ind w:leftChars="0" w:left="0" w:right="0"/>
            </w:pPr>
            <w:r>
              <w:t>TDBL</w:t>
            </w:r>
          </w:p>
        </w:tc>
        <w:tc>
          <w:tcPr>
            <w:cnfStyle w:evenVBand="true" w:oddVBand="false" w:firstColumn="false"/>
            <w:tcW w:w="33.333333%" w:type="pct"/>
          </w:tcPr>
          <w:p>
            <w:pPr>
              <w:ind w:leftChars="0" w:left="0" w:right="0"/>
            </w:pPr>
            <w:r>
              <w:t>TDBL</w:t>
            </w:r>
          </w:p>
        </w:tc>
        <w:tc>
          <w:tcPr>
            <w:cnfStyle w:evenVBand="false" w:oddVBand="true" w:firstColumn="false"/>
            <w:tcW w:w="33.333333%" w:type="pct"/>
          </w:tcPr>
          <w:p>
            <w:pPr>
              <w:ind w:leftChars="0" w:left="0" w:right="0"/>
            </w:pPr>
            <w:r>
              <w:t>TORONTO DOMINION BANK - LONDON BRANCH</w:t>
            </w:r>
          </w:p>
        </w:tc>
      </w:tr>
      <w:tr>
        <w:trPr>
          <w:cnfStyle w:evenHBand="false" w:oddHBand="true" w:firstRow="false"/>
        </w:trPr>
        <w:tc>
          <w:tcPr>
            <w:cnfStyle w:evenVBand="false" w:oddVBand="true" w:firstColumn="false"/>
            <w:tcW w:w="33.333333%" w:type="pct"/>
          </w:tcPr>
          <w:p>
            <w:pPr>
              <w:ind w:leftChars="0" w:left="0" w:right="0"/>
            </w:pPr>
            <w:r>
              <w:t>TDGF</w:t>
            </w:r>
          </w:p>
        </w:tc>
        <w:tc>
          <w:tcPr>
            <w:cnfStyle w:evenVBand="true" w:oddVBand="false" w:firstColumn="false"/>
            <w:tcW w:w="33.333333%" w:type="pct"/>
          </w:tcPr>
          <w:p>
            <w:pPr>
              <w:ind w:leftChars="0" w:left="0" w:right="0"/>
            </w:pPr>
            <w:r>
              <w:t>TDGF</w:t>
            </w:r>
          </w:p>
        </w:tc>
        <w:tc>
          <w:tcPr>
            <w:cnfStyle w:evenVBand="false" w:oddVBand="true" w:firstColumn="false"/>
            <w:tcW w:w="33.333333%" w:type="pct"/>
          </w:tcPr>
          <w:p>
            <w:pPr>
              <w:ind w:leftChars="0" w:left="0" w:right="0"/>
            </w:pPr>
            <w:r>
              <w:t>TD SECURITIES</w:t>
            </w:r>
          </w:p>
        </w:tc>
      </w:tr>
      <w:tr>
        <w:trPr>
          <w:cnfStyle w:evenHBand="true" w:oddHBand="false" w:firstRow="false"/>
        </w:trPr>
        <w:tc>
          <w:tcPr>
            <w:cnfStyle w:evenVBand="false" w:oddVBand="true" w:firstColumn="false"/>
            <w:tcW w:w="33.333333%" w:type="pct"/>
          </w:tcPr>
          <w:p>
            <w:pPr>
              <w:ind w:leftChars="0" w:left="0" w:right="0"/>
            </w:pPr>
            <w:r>
              <w:t>TDON</w:t>
            </w:r>
          </w:p>
        </w:tc>
        <w:tc>
          <w:tcPr>
            <w:cnfStyle w:evenVBand="true" w:oddVBand="false" w:firstColumn="false"/>
            <w:tcW w:w="33.333333%" w:type="pct"/>
          </w:tcPr>
          <w:p>
            <w:pPr>
              <w:ind w:leftChars="0" w:left="0" w:right="0"/>
            </w:pPr>
            <w:r>
              <w:t>TDON</w:t>
            </w:r>
          </w:p>
        </w:tc>
        <w:tc>
          <w:tcPr>
            <w:cnfStyle w:evenVBand="false" w:oddVBand="true" w:firstColumn="false"/>
            <w:tcW w:w="33.333333%" w:type="pct"/>
          </w:tcPr>
          <w:p>
            <w:pPr>
              <w:ind w:leftChars="0" w:left="0" w:right="0"/>
            </w:pPr>
            <w:r>
              <w:t>TRADITION PARIS - TSAF</w:t>
            </w:r>
          </w:p>
        </w:tc>
      </w:tr>
      <w:tr>
        <w:trPr>
          <w:cnfStyle w:evenHBand="false" w:oddHBand="true" w:firstRow="false"/>
        </w:trPr>
        <w:tc>
          <w:tcPr>
            <w:cnfStyle w:evenVBand="false" w:oddVBand="true" w:firstColumn="false"/>
            <w:tcW w:w="33.333333%" w:type="pct"/>
          </w:tcPr>
          <w:p>
            <w:pPr>
              <w:ind w:leftChars="0" w:left="0" w:right="0"/>
            </w:pPr>
            <w:r>
              <w:t>TECO</w:t>
            </w:r>
          </w:p>
        </w:tc>
        <w:tc>
          <w:tcPr>
            <w:cnfStyle w:evenVBand="true" w:oddVBand="false" w:firstColumn="false"/>
            <w:tcW w:w="33.333333%" w:type="pct"/>
          </w:tcPr>
          <w:p>
            <w:pPr>
              <w:ind w:leftChars="0" w:left="0" w:right="0"/>
            </w:pPr>
            <w:r>
              <w:t>TECO</w:t>
            </w:r>
          </w:p>
        </w:tc>
        <w:tc>
          <w:tcPr>
            <w:cnfStyle w:evenVBand="false" w:oddVBand="true" w:firstColumn="false"/>
            <w:tcW w:w="33.333333%" w:type="pct"/>
          </w:tcPr>
          <w:p>
            <w:pPr>
              <w:ind w:leftChars="0" w:left="0" w:right="0"/>
            </w:pPr>
            <w:r>
              <w:t>TULLETT PREBON EUROPE - OTF - COMMODITY AND ENERGY DERIVATIVES</w:t>
            </w:r>
          </w:p>
        </w:tc>
      </w:tr>
      <w:tr>
        <w:trPr>
          <w:cnfStyle w:evenHBand="true" w:oddHBand="false" w:firstRow="false"/>
        </w:trPr>
        <w:tc>
          <w:tcPr>
            <w:cnfStyle w:evenVBand="false" w:oddVBand="true" w:firstColumn="false"/>
            <w:tcW w:w="33.333333%" w:type="pct"/>
          </w:tcPr>
          <w:p>
            <w:pPr>
              <w:ind w:leftChars="0" w:left="0" w:right="0"/>
            </w:pPr>
            <w:r>
              <w:t>TEEG</w:t>
            </w:r>
          </w:p>
        </w:tc>
        <w:tc>
          <w:tcPr>
            <w:cnfStyle w:evenVBand="true" w:oddVBand="false" w:firstColumn="false"/>
            <w:tcW w:w="33.333333%" w:type="pct"/>
          </w:tcPr>
          <w:p>
            <w:pPr>
              <w:ind w:leftChars="0" w:left="0" w:right="0"/>
            </w:pPr>
            <w:r>
              <w:t>TEEG</w:t>
            </w:r>
          </w:p>
        </w:tc>
        <w:tc>
          <w:tcPr>
            <w:cnfStyle w:evenVBand="false" w:oddVBand="true" w:firstColumn="false"/>
            <w:tcW w:w="33.333333%" w:type="pct"/>
          </w:tcPr>
          <w:p>
            <w:pPr>
              <w:ind w:leftChars="0" w:left="0" w:right="0"/>
            </w:pPr>
            <w:r>
              <w:t>TULLETT PREBON SECURITIES - OTF - EUROPEAN GOVERNMENT BONDS</w:t>
            </w:r>
          </w:p>
        </w:tc>
      </w:tr>
      <w:tr>
        <w:trPr>
          <w:cnfStyle w:evenHBand="false" w:oddHBand="true" w:firstRow="false"/>
        </w:trPr>
        <w:tc>
          <w:tcPr>
            <w:cnfStyle w:evenVBand="false" w:oddVBand="true" w:firstColumn="false"/>
            <w:tcW w:w="33.333333%" w:type="pct"/>
          </w:tcPr>
          <w:p>
            <w:pPr>
              <w:ind w:leftChars="0" w:left="0" w:right="0"/>
            </w:pPr>
            <w:r>
              <w:t>TEFD</w:t>
            </w:r>
          </w:p>
        </w:tc>
        <w:tc>
          <w:tcPr>
            <w:cnfStyle w:evenVBand="true" w:oddVBand="false" w:firstColumn="false"/>
            <w:tcW w:w="33.333333%" w:type="pct"/>
          </w:tcPr>
          <w:p>
            <w:pPr>
              <w:ind w:leftChars="0" w:left="0" w:right="0"/>
            </w:pPr>
            <w:r>
              <w:t>TEFD</w:t>
            </w:r>
          </w:p>
        </w:tc>
        <w:tc>
          <w:tcPr>
            <w:cnfStyle w:evenVBand="false" w:oddVBand="true" w:firstColumn="false"/>
            <w:tcW w:w="33.333333%" w:type="pct"/>
          </w:tcPr>
          <w:p>
            <w:pPr>
              <w:ind w:leftChars="0" w:left="0" w:right="0"/>
            </w:pPr>
            <w:r>
              <w:t>TULLETT PREBON EUROPE -  MTF - FX DERIVATIVES</w:t>
            </w:r>
          </w:p>
        </w:tc>
      </w:tr>
      <w:tr>
        <w:trPr>
          <w:cnfStyle w:evenHBand="true" w:oddHBand="false" w:firstRow="false"/>
        </w:trPr>
        <w:tc>
          <w:tcPr>
            <w:cnfStyle w:evenVBand="false" w:oddVBand="true" w:firstColumn="false"/>
            <w:tcW w:w="33.333333%" w:type="pct"/>
          </w:tcPr>
          <w:p>
            <w:pPr>
              <w:ind w:leftChars="0" w:left="0" w:right="0"/>
            </w:pPr>
            <w:r>
              <w:t>TEFX</w:t>
            </w:r>
          </w:p>
        </w:tc>
        <w:tc>
          <w:tcPr>
            <w:cnfStyle w:evenVBand="true" w:oddVBand="false" w:firstColumn="false"/>
            <w:tcW w:w="33.333333%" w:type="pct"/>
          </w:tcPr>
          <w:p>
            <w:pPr>
              <w:ind w:leftChars="0" w:left="0" w:right="0"/>
            </w:pPr>
            <w:r>
              <w:t>TEFX</w:t>
            </w:r>
          </w:p>
        </w:tc>
        <w:tc>
          <w:tcPr>
            <w:cnfStyle w:evenVBand="false" w:oddVBand="true" w:firstColumn="false"/>
            <w:tcW w:w="33.333333%" w:type="pct"/>
          </w:tcPr>
          <w:p>
            <w:pPr>
              <w:ind w:leftChars="0" w:left="0" w:right="0"/>
            </w:pPr>
            <w:r>
              <w:t>TULLETT PREBON EUROPE - OTF - FX DERIVATIVES</w:t>
            </w:r>
          </w:p>
        </w:tc>
      </w:tr>
      <w:tr>
        <w:trPr>
          <w:cnfStyle w:evenHBand="false" w:oddHBand="true" w:firstRow="false"/>
        </w:trPr>
        <w:tc>
          <w:tcPr>
            <w:cnfStyle w:evenVBand="false" w:oddVBand="true" w:firstColumn="false"/>
            <w:tcW w:w="33.333333%" w:type="pct"/>
          </w:tcPr>
          <w:p>
            <w:pPr>
              <w:ind w:leftChars="0" w:left="0" w:right="0"/>
            </w:pPr>
            <w:r>
              <w:t>TEGB</w:t>
            </w:r>
          </w:p>
        </w:tc>
        <w:tc>
          <w:tcPr>
            <w:cnfStyle w:evenVBand="true" w:oddVBand="false" w:firstColumn="false"/>
            <w:tcW w:w="33.333333%" w:type="pct"/>
          </w:tcPr>
          <w:p>
            <w:pPr>
              <w:ind w:leftChars="0" w:left="0" w:right="0"/>
            </w:pPr>
            <w:r>
              <w:t>TEGB</w:t>
            </w:r>
          </w:p>
        </w:tc>
        <w:tc>
          <w:tcPr>
            <w:cnfStyle w:evenVBand="false" w:oddVBand="true" w:firstColumn="false"/>
            <w:tcW w:w="33.333333%" w:type="pct"/>
          </w:tcPr>
          <w:p>
            <w:pPr>
              <w:ind w:leftChars="0" w:left="0" w:right="0"/>
            </w:pPr>
            <w:r>
              <w:t>TULLETT PREBON EUROPE - OTF - GOVERNMENT BONDS EXCLUDING UK GILTS</w:t>
            </w:r>
          </w:p>
        </w:tc>
      </w:tr>
      <w:tr>
        <w:trPr>
          <w:cnfStyle w:evenHBand="true" w:oddHBand="false" w:firstRow="false"/>
        </w:trPr>
        <w:tc>
          <w:tcPr>
            <w:cnfStyle w:evenVBand="false" w:oddVBand="true" w:firstColumn="false"/>
            <w:tcW w:w="33.333333%" w:type="pct"/>
          </w:tcPr>
          <w:p>
            <w:pPr>
              <w:ind w:leftChars="0" w:left="0" w:right="0"/>
            </w:pPr>
            <w:r>
              <w:t>TEGI</w:t>
            </w:r>
          </w:p>
        </w:tc>
        <w:tc>
          <w:tcPr>
            <w:cnfStyle w:evenVBand="true" w:oddVBand="false" w:firstColumn="false"/>
            <w:tcW w:w="33.333333%" w:type="pct"/>
          </w:tcPr>
          <w:p>
            <w:pPr>
              <w:ind w:leftChars="0" w:left="0" w:right="0"/>
            </w:pPr>
            <w:r>
              <w:t>TEGI</w:t>
            </w:r>
          </w:p>
        </w:tc>
        <w:tc>
          <w:tcPr>
            <w:cnfStyle w:evenVBand="false" w:oddVBand="true" w:firstColumn="false"/>
            <w:tcW w:w="33.333333%" w:type="pct"/>
          </w:tcPr>
          <w:p>
            <w:pPr>
              <w:ind w:leftChars="0" w:left="0" w:right="0"/>
            </w:pPr>
            <w:r>
              <w:t>TULLETT PREBON EUROPE - OTF - GOVERNMENT BONDS - UK GILTS</w:t>
            </w:r>
          </w:p>
        </w:tc>
      </w:tr>
      <w:tr>
        <w:trPr>
          <w:cnfStyle w:evenHBand="false" w:oddHBand="true" w:firstRow="false"/>
        </w:trPr>
        <w:tc>
          <w:tcPr>
            <w:cnfStyle w:evenVBand="false" w:oddVBand="true" w:firstColumn="false"/>
            <w:tcW w:w="33.333333%" w:type="pct"/>
          </w:tcPr>
          <w:p>
            <w:pPr>
              <w:ind w:leftChars="0" w:left="0" w:right="0"/>
            </w:pPr>
            <w:r>
              <w:t>TEIR</w:t>
            </w:r>
          </w:p>
        </w:tc>
        <w:tc>
          <w:tcPr>
            <w:cnfStyle w:evenVBand="true" w:oddVBand="false" w:firstColumn="false"/>
            <w:tcW w:w="33.333333%" w:type="pct"/>
          </w:tcPr>
          <w:p>
            <w:pPr>
              <w:ind w:leftChars="0" w:left="0" w:right="0"/>
            </w:pPr>
            <w:r>
              <w:t>TEIR</w:t>
            </w:r>
          </w:p>
        </w:tc>
        <w:tc>
          <w:tcPr>
            <w:cnfStyle w:evenVBand="false" w:oddVBand="true" w:firstColumn="false"/>
            <w:tcW w:w="33.333333%" w:type="pct"/>
          </w:tcPr>
          <w:p>
            <w:pPr>
              <w:ind w:leftChars="0" w:left="0" w:right="0"/>
            </w:pPr>
            <w:r>
              <w:t>TULLETT PREBON EUROPE - OTF - INTEREST RATE DERIVATIVES</w:t>
            </w:r>
          </w:p>
        </w:tc>
      </w:tr>
      <w:tr>
        <w:trPr>
          <w:cnfStyle w:evenHBand="true" w:oddHBand="false" w:firstRow="false"/>
        </w:trPr>
        <w:tc>
          <w:tcPr>
            <w:cnfStyle w:evenVBand="false" w:oddVBand="true" w:firstColumn="false"/>
            <w:tcW w:w="33.333333%" w:type="pct"/>
          </w:tcPr>
          <w:p>
            <w:pPr>
              <w:ind w:leftChars="0" w:left="0" w:right="0"/>
            </w:pPr>
            <w:r>
              <w:t>TEMB</w:t>
            </w:r>
          </w:p>
        </w:tc>
        <w:tc>
          <w:tcPr>
            <w:cnfStyle w:evenVBand="true" w:oddVBand="false" w:firstColumn="false"/>
            <w:tcW w:w="33.333333%" w:type="pct"/>
          </w:tcPr>
          <w:p>
            <w:pPr>
              <w:ind w:leftChars="0" w:left="0" w:right="0"/>
            </w:pPr>
            <w:r>
              <w:t>TEMB</w:t>
            </w:r>
          </w:p>
        </w:tc>
        <w:tc>
          <w:tcPr>
            <w:cnfStyle w:evenVBand="false" w:oddVBand="true" w:firstColumn="false"/>
            <w:tcW w:w="33.333333%" w:type="pct"/>
          </w:tcPr>
          <w:p>
            <w:pPr>
              <w:ind w:leftChars="0" w:left="0" w:right="0"/>
            </w:pPr>
            <w:r>
              <w:t>TULLETT PREBON EUROPE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TEMC</w:t>
            </w:r>
          </w:p>
        </w:tc>
        <w:tc>
          <w:tcPr>
            <w:cnfStyle w:evenVBand="true" w:oddVBand="false" w:firstColumn="false"/>
            <w:tcW w:w="33.333333%" w:type="pct"/>
          </w:tcPr>
          <w:p>
            <w:pPr>
              <w:ind w:leftChars="0" w:left="0" w:right="0"/>
            </w:pPr>
            <w:r>
              <w:t>TEMC</w:t>
            </w:r>
          </w:p>
        </w:tc>
        <w:tc>
          <w:tcPr>
            <w:cnfStyle w:evenVBand="false" w:oddVBand="true" w:firstColumn="false"/>
            <w:tcW w:w="33.333333%" w:type="pct"/>
          </w:tcPr>
          <w:p>
            <w:pPr>
              <w:ind w:leftChars="0" w:left="0" w:right="0"/>
            </w:pPr>
            <w:r>
              <w:t>TULLETT PREBON EUROPE -  MTF - COMMODITIES AND ENERGY DERIVATIVES</w:t>
            </w:r>
          </w:p>
        </w:tc>
      </w:tr>
      <w:tr>
        <w:trPr>
          <w:cnfStyle w:evenHBand="true" w:oddHBand="false" w:firstRow="false"/>
        </w:trPr>
        <w:tc>
          <w:tcPr>
            <w:cnfStyle w:evenVBand="false" w:oddVBand="true" w:firstColumn="false"/>
            <w:tcW w:w="33.333333%" w:type="pct"/>
          </w:tcPr>
          <w:p>
            <w:pPr>
              <w:ind w:leftChars="0" w:left="0" w:right="0"/>
            </w:pPr>
            <w:r>
              <w:t>TEMF</w:t>
            </w:r>
          </w:p>
        </w:tc>
        <w:tc>
          <w:tcPr>
            <w:cnfStyle w:evenVBand="true" w:oddVBand="false" w:firstColumn="false"/>
            <w:tcW w:w="33.333333%" w:type="pct"/>
          </w:tcPr>
          <w:p>
            <w:pPr>
              <w:ind w:leftChars="0" w:left="0" w:right="0"/>
            </w:pPr>
            <w:r>
              <w:t>TEMF</w:t>
            </w:r>
          </w:p>
        </w:tc>
        <w:tc>
          <w:tcPr>
            <w:cnfStyle w:evenVBand="false" w:oddVBand="true" w:firstColumn="false"/>
            <w:tcW w:w="33.333333%" w:type="pct"/>
          </w:tcPr>
          <w:p>
            <w:pPr>
              <w:ind w:leftChars="0" w:left="0" w:right="0"/>
            </w:pPr>
            <w:r>
              <w:t>TULLETT PREBON EUROPE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TEMG</w:t>
            </w:r>
          </w:p>
        </w:tc>
        <w:tc>
          <w:tcPr>
            <w:cnfStyle w:evenVBand="true" w:oddVBand="false" w:firstColumn="false"/>
            <w:tcW w:w="33.333333%" w:type="pct"/>
          </w:tcPr>
          <w:p>
            <w:pPr>
              <w:ind w:leftChars="0" w:left="0" w:right="0"/>
            </w:pPr>
            <w:r>
              <w:t>TEMG</w:t>
            </w:r>
          </w:p>
        </w:tc>
        <w:tc>
          <w:tcPr>
            <w:cnfStyle w:evenVBand="false" w:oddVBand="true" w:firstColumn="false"/>
            <w:tcW w:w="33.333333%" w:type="pct"/>
          </w:tcPr>
          <w:p>
            <w:pPr>
              <w:ind w:leftChars="0" w:left="0" w:right="0"/>
            </w:pPr>
            <w:r>
              <w:t>TULLETT PREBON EUROPE -  MTF - GOVERNMENT BONDS - UK GILTS</w:t>
            </w:r>
          </w:p>
        </w:tc>
      </w:tr>
      <w:tr>
        <w:trPr>
          <w:cnfStyle w:evenHBand="true" w:oddHBand="false" w:firstRow="false"/>
        </w:trPr>
        <w:tc>
          <w:tcPr>
            <w:cnfStyle w:evenVBand="false" w:oddVBand="true" w:firstColumn="false"/>
            <w:tcW w:w="33.333333%" w:type="pct"/>
          </w:tcPr>
          <w:p>
            <w:pPr>
              <w:ind w:leftChars="0" w:left="0" w:right="0"/>
            </w:pPr>
            <w:r>
              <w:t>TEMI</w:t>
            </w:r>
          </w:p>
        </w:tc>
        <w:tc>
          <w:tcPr>
            <w:cnfStyle w:evenVBand="true" w:oddVBand="false" w:firstColumn="false"/>
            <w:tcW w:w="33.333333%" w:type="pct"/>
          </w:tcPr>
          <w:p>
            <w:pPr>
              <w:ind w:leftChars="0" w:left="0" w:right="0"/>
            </w:pPr>
            <w:r>
              <w:t>TEMI</w:t>
            </w:r>
          </w:p>
        </w:tc>
        <w:tc>
          <w:tcPr>
            <w:cnfStyle w:evenVBand="false" w:oddVBand="true" w:firstColumn="false"/>
            <w:tcW w:w="33.333333%" w:type="pct"/>
          </w:tcPr>
          <w:p>
            <w:pPr>
              <w:ind w:leftChars="0" w:left="0" w:right="0"/>
            </w:pPr>
            <w:r>
              <w:t>TULLETT PREBON EUROPE -  MTF - MONEY MARKETS</w:t>
            </w:r>
          </w:p>
        </w:tc>
      </w:tr>
      <w:tr>
        <w:trPr>
          <w:cnfStyle w:evenHBand="false" w:oddHBand="true" w:firstRow="false"/>
        </w:trPr>
        <w:tc>
          <w:tcPr>
            <w:cnfStyle w:evenVBand="false" w:oddVBand="true" w:firstColumn="false"/>
            <w:tcW w:w="33.333333%" w:type="pct"/>
          </w:tcPr>
          <w:p>
            <w:pPr>
              <w:ind w:leftChars="0" w:left="0" w:right="0"/>
            </w:pPr>
            <w:r>
              <w:t>TEMM</w:t>
            </w:r>
          </w:p>
        </w:tc>
        <w:tc>
          <w:tcPr>
            <w:cnfStyle w:evenVBand="true" w:oddVBand="false" w:firstColumn="false"/>
            <w:tcW w:w="33.333333%" w:type="pct"/>
          </w:tcPr>
          <w:p>
            <w:pPr>
              <w:ind w:leftChars="0" w:left="0" w:right="0"/>
            </w:pPr>
            <w:r>
              <w:t>TEMM</w:t>
            </w:r>
          </w:p>
        </w:tc>
        <w:tc>
          <w:tcPr>
            <w:cnfStyle w:evenVBand="false" w:oddVBand="true" w:firstColumn="false"/>
            <w:tcW w:w="33.333333%" w:type="pct"/>
          </w:tcPr>
          <w:p>
            <w:pPr>
              <w:ind w:leftChars="0" w:left="0" w:right="0"/>
            </w:pPr>
            <w:r>
              <w:t>TULLETT PREBON EUROPE - OTF - MONEY MARKET INSTRUMENTS</w:t>
            </w:r>
          </w:p>
        </w:tc>
      </w:tr>
      <w:tr>
        <w:trPr>
          <w:cnfStyle w:evenHBand="true" w:oddHBand="false" w:firstRow="false"/>
        </w:trPr>
        <w:tc>
          <w:tcPr>
            <w:cnfStyle w:evenVBand="false" w:oddVBand="true" w:firstColumn="false"/>
            <w:tcW w:w="33.333333%" w:type="pct"/>
          </w:tcPr>
          <w:p>
            <w:pPr>
              <w:ind w:leftChars="0" w:left="0" w:right="0"/>
            </w:pPr>
            <w:r>
              <w:t>TEMR</w:t>
            </w:r>
          </w:p>
        </w:tc>
        <w:tc>
          <w:tcPr>
            <w:cnfStyle w:evenVBand="true" w:oddVBand="false" w:firstColumn="false"/>
            <w:tcW w:w="33.333333%" w:type="pct"/>
          </w:tcPr>
          <w:p>
            <w:pPr>
              <w:ind w:leftChars="0" w:left="0" w:right="0"/>
            </w:pPr>
            <w:r>
              <w:t>TEMR</w:t>
            </w:r>
          </w:p>
        </w:tc>
        <w:tc>
          <w:tcPr>
            <w:cnfStyle w:evenVBand="false" w:oddVBand="true" w:firstColumn="false"/>
            <w:tcW w:w="33.333333%" w:type="pct"/>
          </w:tcPr>
          <w:p>
            <w:pPr>
              <w:ind w:leftChars="0" w:left="0" w:right="0"/>
            </w:pPr>
            <w:r>
              <w:t>TULLETT PREBON EUROPE -  MTF - REPOS</w:t>
            </w:r>
          </w:p>
        </w:tc>
      </w:tr>
      <w:tr>
        <w:trPr>
          <w:cnfStyle w:evenHBand="false" w:oddHBand="true" w:firstRow="false"/>
        </w:trPr>
        <w:tc>
          <w:tcPr>
            <w:cnfStyle w:evenVBand="false" w:oddVBand="true" w:firstColumn="false"/>
            <w:tcW w:w="33.333333%" w:type="pct"/>
          </w:tcPr>
          <w:p>
            <w:pPr>
              <w:ind w:leftChars="0" w:left="0" w:right="0"/>
            </w:pPr>
            <w:r>
              <w:t>TEOF</w:t>
            </w:r>
          </w:p>
        </w:tc>
        <w:tc>
          <w:tcPr>
            <w:cnfStyle w:evenVBand="true" w:oddVBand="false" w:firstColumn="false"/>
            <w:tcW w:w="33.333333%" w:type="pct"/>
          </w:tcPr>
          <w:p>
            <w:pPr>
              <w:ind w:leftChars="0" w:left="0" w:right="0"/>
            </w:pPr>
            <w:r>
              <w:t>TEOF</w:t>
            </w:r>
          </w:p>
        </w:tc>
        <w:tc>
          <w:tcPr>
            <w:cnfStyle w:evenVBand="false" w:oddVBand="true" w:firstColumn="false"/>
            <w:tcW w:w="33.333333%" w:type="pct"/>
          </w:tcPr>
          <w:p>
            <w:pPr>
              <w:ind w:leftChars="0" w:left="0" w:right="0"/>
            </w:pPr>
            <w:r>
              <w:t>TULLETT PREBON EUROPE - OTF - PREBON FX DERIVATIVES</w:t>
            </w:r>
          </w:p>
        </w:tc>
      </w:tr>
      <w:tr>
        <w:trPr>
          <w:cnfStyle w:evenHBand="true" w:oddHBand="false" w:firstRow="false"/>
        </w:trPr>
        <w:tc>
          <w:tcPr>
            <w:cnfStyle w:evenVBand="false" w:oddVBand="true" w:firstColumn="false"/>
            <w:tcW w:w="33.333333%" w:type="pct"/>
          </w:tcPr>
          <w:p>
            <w:pPr>
              <w:ind w:leftChars="0" w:left="0" w:right="0"/>
            </w:pPr>
            <w:r>
              <w:t>TEPF</w:t>
            </w:r>
          </w:p>
        </w:tc>
        <w:tc>
          <w:tcPr>
            <w:cnfStyle w:evenVBand="true" w:oddVBand="false" w:firstColumn="false"/>
            <w:tcW w:w="33.333333%" w:type="pct"/>
          </w:tcPr>
          <w:p>
            <w:pPr>
              <w:ind w:leftChars="0" w:left="0" w:right="0"/>
            </w:pPr>
            <w:r>
              <w:t>TEPF</w:t>
            </w:r>
          </w:p>
        </w:tc>
        <w:tc>
          <w:tcPr>
            <w:cnfStyle w:evenVBand="false" w:oddVBand="true" w:firstColumn="false"/>
            <w:tcW w:w="33.333333%" w:type="pct"/>
          </w:tcPr>
          <w:p>
            <w:pPr>
              <w:ind w:leftChars="0" w:left="0" w:right="0"/>
            </w:pPr>
            <w:r>
              <w:t>TULLETT PREBON EUROPE - OTF - PARIS - CORPORATE BONDS AND SECURITISED DEBT</w:t>
            </w:r>
          </w:p>
        </w:tc>
      </w:tr>
      <w:tr>
        <w:trPr>
          <w:cnfStyle w:evenHBand="false" w:oddHBand="true" w:firstRow="false"/>
        </w:trPr>
        <w:tc>
          <w:tcPr>
            <w:cnfStyle w:evenVBand="false" w:oddVBand="true" w:firstColumn="false"/>
            <w:tcW w:w="33.333333%" w:type="pct"/>
          </w:tcPr>
          <w:p>
            <w:pPr>
              <w:ind w:leftChars="0" w:left="0" w:right="0"/>
            </w:pPr>
            <w:r>
              <w:t>TEPG</w:t>
            </w:r>
          </w:p>
        </w:tc>
        <w:tc>
          <w:tcPr>
            <w:cnfStyle w:evenVBand="true" w:oddVBand="false" w:firstColumn="false"/>
            <w:tcW w:w="33.333333%" w:type="pct"/>
          </w:tcPr>
          <w:p>
            <w:pPr>
              <w:ind w:leftChars="0" w:left="0" w:right="0"/>
            </w:pPr>
            <w:r>
              <w:t>TEPG</w:t>
            </w:r>
          </w:p>
        </w:tc>
        <w:tc>
          <w:tcPr>
            <w:cnfStyle w:evenVBand="false" w:oddVBand="true" w:firstColumn="false"/>
            <w:tcW w:w="33.333333%" w:type="pct"/>
          </w:tcPr>
          <w:p>
            <w:pPr>
              <w:ind w:leftChars="0" w:left="0" w:right="0"/>
            </w:pPr>
            <w:r>
              <w:t>TULLETT PREBON EUROPE - OTF - PARIS - GOVERNMENT BONDS - EXCLUDING GILTS</w:t>
            </w:r>
          </w:p>
        </w:tc>
      </w:tr>
      <w:tr>
        <w:trPr>
          <w:cnfStyle w:evenHBand="true" w:oddHBand="false" w:firstRow="false"/>
        </w:trPr>
        <w:tc>
          <w:tcPr>
            <w:cnfStyle w:evenVBand="false" w:oddVBand="true" w:firstColumn="false"/>
            <w:tcW w:w="33.333333%" w:type="pct"/>
          </w:tcPr>
          <w:p>
            <w:pPr>
              <w:ind w:leftChars="0" w:left="0" w:right="0"/>
            </w:pPr>
            <w:r>
              <w:t>TEPI</w:t>
            </w:r>
          </w:p>
        </w:tc>
        <w:tc>
          <w:tcPr>
            <w:cnfStyle w:evenVBand="true" w:oddVBand="false" w:firstColumn="false"/>
            <w:tcW w:w="33.333333%" w:type="pct"/>
          </w:tcPr>
          <w:p>
            <w:pPr>
              <w:ind w:leftChars="0" w:left="0" w:right="0"/>
            </w:pPr>
            <w:r>
              <w:t>TEPI</w:t>
            </w:r>
          </w:p>
        </w:tc>
        <w:tc>
          <w:tcPr>
            <w:cnfStyle w:evenVBand="false" w:oddVBand="true" w:firstColumn="false"/>
            <w:tcW w:w="33.333333%" w:type="pct"/>
          </w:tcPr>
          <w:p>
            <w:pPr>
              <w:ind w:leftChars="0" w:left="0" w:right="0"/>
            </w:pPr>
            <w:r>
              <w:t>TULLETT PREBON EUROPE - OTF - PARIS - INTEREST RATE DERIVATIVES</w:t>
            </w:r>
          </w:p>
        </w:tc>
      </w:tr>
      <w:tr>
        <w:trPr>
          <w:cnfStyle w:evenHBand="false" w:oddHBand="true" w:firstRow="false"/>
        </w:trPr>
        <w:tc>
          <w:tcPr>
            <w:cnfStyle w:evenVBand="false" w:oddVBand="true" w:firstColumn="false"/>
            <w:tcW w:w="33.333333%" w:type="pct"/>
          </w:tcPr>
          <w:p>
            <w:pPr>
              <w:ind w:leftChars="0" w:left="0" w:right="0"/>
            </w:pPr>
            <w:r>
              <w:t>TEPM</w:t>
            </w:r>
          </w:p>
        </w:tc>
        <w:tc>
          <w:tcPr>
            <w:cnfStyle w:evenVBand="true" w:oddVBand="false" w:firstColumn="false"/>
            <w:tcW w:w="33.333333%" w:type="pct"/>
          </w:tcPr>
          <w:p>
            <w:pPr>
              <w:ind w:leftChars="0" w:left="0" w:right="0"/>
            </w:pPr>
            <w:r>
              <w:t>TEPM</w:t>
            </w:r>
          </w:p>
        </w:tc>
        <w:tc>
          <w:tcPr>
            <w:cnfStyle w:evenVBand="false" w:oddVBand="true" w:firstColumn="false"/>
            <w:tcW w:w="33.333333%" w:type="pct"/>
          </w:tcPr>
          <w:p>
            <w:pPr>
              <w:ind w:leftChars="0" w:left="0" w:right="0"/>
            </w:pPr>
            <w:r>
              <w:t>TULLETT PREBON EUROPE - OTF - PARIS - MONEY MARKET INSTRUMENTS</w:t>
            </w:r>
          </w:p>
        </w:tc>
      </w:tr>
      <w:tr>
        <w:trPr>
          <w:cnfStyle w:evenHBand="true" w:oddHBand="false" w:firstRow="false"/>
        </w:trPr>
        <w:tc>
          <w:tcPr>
            <w:cnfStyle w:evenVBand="false" w:oddVBand="true" w:firstColumn="false"/>
            <w:tcW w:w="33.333333%" w:type="pct"/>
          </w:tcPr>
          <w:p>
            <w:pPr>
              <w:ind w:leftChars="0" w:left="0" w:right="0"/>
            </w:pPr>
            <w:r>
              <w:t>TEPR</w:t>
            </w:r>
          </w:p>
        </w:tc>
        <w:tc>
          <w:tcPr>
            <w:cnfStyle w:evenVBand="true" w:oddVBand="false" w:firstColumn="false"/>
            <w:tcW w:w="33.333333%" w:type="pct"/>
          </w:tcPr>
          <w:p>
            <w:pPr>
              <w:ind w:leftChars="0" w:left="0" w:right="0"/>
            </w:pPr>
            <w:r>
              <w:t>TEPR</w:t>
            </w:r>
          </w:p>
        </w:tc>
        <w:tc>
          <w:tcPr>
            <w:cnfStyle w:evenVBand="false" w:oddVBand="true" w:firstColumn="false"/>
            <w:tcW w:w="33.333333%" w:type="pct"/>
          </w:tcPr>
          <w:p>
            <w:pPr>
              <w:ind w:leftChars="0" w:left="0" w:right="0"/>
            </w:pPr>
            <w:r>
              <w:t>TULLETT PREBON EUROPE - OTF - PARIS - REPOS</w:t>
            </w:r>
          </w:p>
        </w:tc>
      </w:tr>
      <w:tr>
        <w:trPr>
          <w:cnfStyle w:evenHBand="false" w:oddHBand="true" w:firstRow="false"/>
        </w:trPr>
        <w:tc>
          <w:tcPr>
            <w:cnfStyle w:evenVBand="false" w:oddVBand="true" w:firstColumn="false"/>
            <w:tcW w:w="33.333333%" w:type="pct"/>
          </w:tcPr>
          <w:p>
            <w:pPr>
              <w:ind w:leftChars="0" w:left="0" w:right="0"/>
            </w:pPr>
            <w:r>
              <w:t>TEPX</w:t>
            </w:r>
          </w:p>
        </w:tc>
        <w:tc>
          <w:tcPr>
            <w:cnfStyle w:evenVBand="true" w:oddVBand="false" w:firstColumn="false"/>
            <w:tcW w:w="33.333333%" w:type="pct"/>
          </w:tcPr>
          <w:p>
            <w:pPr>
              <w:ind w:leftChars="0" w:left="0" w:right="0"/>
            </w:pPr>
            <w:r>
              <w:t>TEPX</w:t>
            </w:r>
          </w:p>
        </w:tc>
        <w:tc>
          <w:tcPr>
            <w:cnfStyle w:evenVBand="false" w:oddVBand="true" w:firstColumn="false"/>
            <w:tcW w:w="33.333333%" w:type="pct"/>
          </w:tcPr>
          <w:p>
            <w:pPr>
              <w:ind w:leftChars="0" w:left="0" w:right="0"/>
            </w:pPr>
            <w:r>
              <w:t>TULLETT PREBON EUROPE - OTF - PARIS - FX DERIVATIVES</w:t>
            </w:r>
          </w:p>
        </w:tc>
      </w:tr>
      <w:tr>
        <w:trPr>
          <w:cnfStyle w:evenHBand="true" w:oddHBand="false" w:firstRow="false"/>
        </w:trPr>
        <w:tc>
          <w:tcPr>
            <w:cnfStyle w:evenVBand="false" w:oddVBand="true" w:firstColumn="false"/>
            <w:tcW w:w="33.333333%" w:type="pct"/>
          </w:tcPr>
          <w:p>
            <w:pPr>
              <w:ind w:leftChars="0" w:left="0" w:right="0"/>
            </w:pPr>
            <w:r>
              <w:t>TERA</w:t>
            </w:r>
          </w:p>
        </w:tc>
        <w:tc>
          <w:tcPr>
            <w:cnfStyle w:evenVBand="true" w:oddVBand="false" w:firstColumn="false"/>
            <w:tcW w:w="33.333333%" w:type="pct"/>
          </w:tcPr>
          <w:p>
            <w:pPr>
              <w:ind w:leftChars="0" w:left="0" w:right="0"/>
            </w:pPr>
            <w:r>
              <w:t>TERA</w:t>
            </w:r>
          </w:p>
        </w:tc>
        <w:tc>
          <w:tcPr>
            <w:cnfStyle w:evenVBand="false" w:oddVBand="true" w:firstColumn="false"/>
            <w:tcW w:w="33.333333%" w:type="pct"/>
          </w:tcPr>
          <w:p>
            <w:pPr>
              <w:ind w:leftChars="0" w:left="0" w:right="0"/>
            </w:pPr>
            <w:r>
              <w:t>TERAEXCHANGE</w:t>
            </w:r>
          </w:p>
        </w:tc>
      </w:tr>
      <w:tr>
        <w:trPr>
          <w:cnfStyle w:evenHBand="false" w:oddHBand="true" w:firstRow="false"/>
        </w:trPr>
        <w:tc>
          <w:tcPr>
            <w:cnfStyle w:evenVBand="false" w:oddVBand="true" w:firstColumn="false"/>
            <w:tcW w:w="33.333333%" w:type="pct"/>
          </w:tcPr>
          <w:p>
            <w:pPr>
              <w:ind w:leftChars="0" w:left="0" w:right="0"/>
            </w:pPr>
            <w:r>
              <w:t>TERE</w:t>
            </w:r>
          </w:p>
        </w:tc>
        <w:tc>
          <w:tcPr>
            <w:cnfStyle w:evenVBand="true" w:oddVBand="false" w:firstColumn="false"/>
            <w:tcW w:w="33.333333%" w:type="pct"/>
          </w:tcPr>
          <w:p>
            <w:pPr>
              <w:ind w:leftChars="0" w:left="0" w:right="0"/>
            </w:pPr>
            <w:r>
              <w:t>TERE</w:t>
            </w:r>
          </w:p>
        </w:tc>
        <w:tc>
          <w:tcPr>
            <w:cnfStyle w:evenVBand="false" w:oddVBand="true" w:firstColumn="false"/>
            <w:tcW w:w="33.333333%" w:type="pct"/>
          </w:tcPr>
          <w:p>
            <w:pPr>
              <w:ind w:leftChars="0" w:left="0" w:right="0"/>
            </w:pPr>
            <w:r>
              <w:t>TULLETT PREBON EUROPE - OTF - REPOS</w:t>
            </w:r>
          </w:p>
        </w:tc>
      </w:tr>
      <w:tr>
        <w:trPr>
          <w:cnfStyle w:evenHBand="true" w:oddHBand="false" w:firstRow="false"/>
        </w:trPr>
        <w:tc>
          <w:tcPr>
            <w:cnfStyle w:evenVBand="false" w:oddVBand="true" w:firstColumn="false"/>
            <w:tcW w:w="33.333333%" w:type="pct"/>
          </w:tcPr>
          <w:p>
            <w:pPr>
              <w:ind w:leftChars="0" w:left="0" w:right="0"/>
            </w:pPr>
            <w:r>
              <w:t>TERM</w:t>
            </w:r>
          </w:p>
        </w:tc>
        <w:tc>
          <w:tcPr>
            <w:cnfStyle w:evenVBand="true" w:oddVBand="false" w:firstColumn="false"/>
            <w:tcW w:w="33.333333%" w:type="pct"/>
          </w:tcPr>
          <w:p>
            <w:pPr>
              <w:ind w:leftChars="0" w:left="0" w:right="0"/>
            </w:pPr>
            <w:r>
              <w:t>TERM</w:t>
            </w:r>
          </w:p>
        </w:tc>
        <w:tc>
          <w:tcPr>
            <w:cnfStyle w:evenVBand="false" w:oddVBand="true" w:firstColumn="false"/>
            <w:tcW w:w="33.333333%" w:type="pct"/>
          </w:tcPr>
          <w:p>
            <w:pPr>
              <w:ind w:leftChars="0" w:left="0" w:right="0"/>
            </w:pPr>
            <w:r>
              <w:t>TP ICAP FX HUB</w:t>
            </w:r>
          </w:p>
        </w:tc>
      </w:tr>
      <w:tr>
        <w:trPr>
          <w:cnfStyle w:evenHBand="false" w:oddHBand="true" w:firstRow="false"/>
        </w:trPr>
        <w:tc>
          <w:tcPr>
            <w:cnfStyle w:evenVBand="false" w:oddVBand="true" w:firstColumn="false"/>
            <w:tcW w:w="33.333333%" w:type="pct"/>
          </w:tcPr>
          <w:p>
            <w:pPr>
              <w:ind w:leftChars="0" w:left="0" w:right="0"/>
            </w:pPr>
            <w:r>
              <w:t>TEUR</w:t>
            </w:r>
          </w:p>
        </w:tc>
        <w:tc>
          <w:tcPr>
            <w:cnfStyle w:evenVBand="true" w:oddVBand="false" w:firstColumn="false"/>
            <w:tcW w:w="33.333333%" w:type="pct"/>
          </w:tcPr>
          <w:p>
            <w:pPr>
              <w:ind w:leftChars="0" w:left="0" w:right="0"/>
            </w:pPr>
            <w:r>
              <w:t>TEUR</w:t>
            </w:r>
          </w:p>
        </w:tc>
        <w:tc>
          <w:tcPr>
            <w:cnfStyle w:evenVBand="false" w:oddVBand="true" w:firstColumn="false"/>
            <w:tcW w:w="33.333333%" w:type="pct"/>
          </w:tcPr>
          <w:p>
            <w:pPr>
              <w:ind w:leftChars="0" w:left="0" w:right="0"/>
            </w:pPr>
            <w:r>
              <w:t>TRADITION ESPANA OTF</w:t>
            </w:r>
          </w:p>
        </w:tc>
      </w:tr>
      <w:tr>
        <w:trPr>
          <w:cnfStyle w:evenHBand="true" w:oddHBand="false" w:firstRow="false"/>
        </w:trPr>
        <w:tc>
          <w:tcPr>
            <w:cnfStyle w:evenVBand="false" w:oddVBand="true" w:firstColumn="false"/>
            <w:tcW w:w="33.333333%" w:type="pct"/>
          </w:tcPr>
          <w:p>
            <w:pPr>
              <w:ind w:leftChars="0" w:left="0" w:right="0"/>
            </w:pPr>
            <w:r>
              <w:t>TFEX</w:t>
            </w:r>
          </w:p>
        </w:tc>
        <w:tc>
          <w:tcPr>
            <w:cnfStyle w:evenVBand="true" w:oddVBand="false" w:firstColumn="false"/>
            <w:tcW w:w="33.333333%" w:type="pct"/>
          </w:tcPr>
          <w:p>
            <w:pPr>
              <w:ind w:leftChars="0" w:left="0" w:right="0"/>
            </w:pPr>
            <w:r>
              <w:t>TFEX</w:t>
            </w:r>
          </w:p>
        </w:tc>
        <w:tc>
          <w:tcPr>
            <w:cnfStyle w:evenVBand="false" w:oddVBand="true" w:firstColumn="false"/>
            <w:tcW w:w="33.333333%" w:type="pct"/>
          </w:tcPr>
          <w:p>
            <w:pPr>
              <w:ind w:leftChars="0" w:left="0" w:right="0"/>
            </w:pPr>
            <w:r>
              <w:t>THAILAND FUTURES EXCHANGE</w:t>
            </w:r>
          </w:p>
        </w:tc>
      </w:tr>
      <w:tr>
        <w:trPr>
          <w:cnfStyle w:evenHBand="false" w:oddHBand="true" w:firstRow="false"/>
        </w:trPr>
        <w:tc>
          <w:tcPr>
            <w:cnfStyle w:evenVBand="false" w:oddVBand="true" w:firstColumn="false"/>
            <w:tcW w:w="33.333333%" w:type="pct"/>
          </w:tcPr>
          <w:p>
            <w:pPr>
              <w:ind w:leftChars="0" w:left="0" w:right="0"/>
            </w:pPr>
            <w:r>
              <w:t>TFSA</w:t>
            </w:r>
          </w:p>
        </w:tc>
        <w:tc>
          <w:tcPr>
            <w:cnfStyle w:evenVBand="true" w:oddVBand="false" w:firstColumn="false"/>
            <w:tcW w:w="33.333333%" w:type="pct"/>
          </w:tcPr>
          <w:p>
            <w:pPr>
              <w:ind w:leftChars="0" w:left="0" w:right="0"/>
            </w:pPr>
            <w:r>
              <w:t>TFSA</w:t>
            </w:r>
          </w:p>
        </w:tc>
        <w:tc>
          <w:tcPr>
            <w:cnfStyle w:evenVBand="false" w:oddVBand="true" w:firstColumn="false"/>
            <w:tcW w:w="33.333333%" w:type="pct"/>
          </w:tcPr>
          <w:p>
            <w:pPr>
              <w:ind w:leftChars="0" w:left="0" w:right="0"/>
            </w:pPr>
            <w:r>
              <w:t>TFS GREEN AUSTRALIAN GREEN MARKETS</w:t>
            </w:r>
          </w:p>
        </w:tc>
      </w:tr>
      <w:tr>
        <w:trPr>
          <w:cnfStyle w:evenHBand="true" w:oddHBand="false" w:firstRow="false"/>
        </w:trPr>
        <w:tc>
          <w:tcPr>
            <w:cnfStyle w:evenVBand="false" w:oddVBand="true" w:firstColumn="false"/>
            <w:tcW w:w="33.333333%" w:type="pct"/>
          </w:tcPr>
          <w:p>
            <w:pPr>
              <w:ind w:leftChars="0" w:left="0" w:right="0"/>
            </w:pPr>
            <w:r>
              <w:t>TFSC</w:t>
            </w:r>
          </w:p>
        </w:tc>
        <w:tc>
          <w:tcPr>
            <w:cnfStyle w:evenVBand="true" w:oddVBand="false" w:firstColumn="false"/>
            <w:tcW w:w="33.333333%" w:type="pct"/>
          </w:tcPr>
          <w:p>
            <w:pPr>
              <w:ind w:leftChars="0" w:left="0" w:right="0"/>
            </w:pPr>
            <w:r>
              <w:t>TFSC</w:t>
            </w:r>
          </w:p>
        </w:tc>
        <w:tc>
          <w:tcPr>
            <w:cnfStyle w:evenVBand="false" w:oddVBand="true" w:firstColumn="false"/>
            <w:tcW w:w="33.333333%" w:type="pct"/>
          </w:tcPr>
          <w:p>
            <w:pPr>
              <w:ind w:leftChars="0" w:left="0" w:right="0"/>
            </w:pPr>
            <w:r>
              <w:t>TFS GREEN CARBON CREDIT GLOBAL MARKETS</w:t>
            </w:r>
          </w:p>
        </w:tc>
      </w:tr>
      <w:tr>
        <w:trPr>
          <w:cnfStyle w:evenHBand="false" w:oddHBand="true" w:firstRow="false"/>
        </w:trPr>
        <w:tc>
          <w:tcPr>
            <w:cnfStyle w:evenVBand="false" w:oddVBand="true" w:firstColumn="false"/>
            <w:tcW w:w="33.333333%" w:type="pct"/>
          </w:tcPr>
          <w:p>
            <w:pPr>
              <w:ind w:leftChars="0" w:left="0" w:right="0"/>
            </w:pPr>
            <w:r>
              <w:t>TFSD</w:t>
            </w:r>
          </w:p>
        </w:tc>
        <w:tc>
          <w:tcPr>
            <w:cnfStyle w:evenVBand="true" w:oddVBand="false" w:firstColumn="false"/>
            <w:tcW w:w="33.333333%" w:type="pct"/>
          </w:tcPr>
          <w:p>
            <w:pPr>
              <w:ind w:leftChars="0" w:left="0" w:right="0"/>
            </w:pPr>
            <w:r>
              <w:t>TFSD</w:t>
            </w:r>
          </w:p>
        </w:tc>
        <w:tc>
          <w:tcPr>
            <w:cnfStyle w:evenVBand="false" w:oddVBand="true" w:firstColumn="false"/>
            <w:tcW w:w="33.333333%" w:type="pct"/>
          </w:tcPr>
          <w:p>
            <w:pPr>
              <w:ind w:leftChars="0" w:left="0" w:right="0"/>
            </w:pPr>
            <w:r>
              <w:t>T.F.S. DERIVATIVES HK LIMITED</w:t>
            </w:r>
          </w:p>
        </w:tc>
      </w:tr>
      <w:tr>
        <w:trPr>
          <w:cnfStyle w:evenHBand="true" w:oddHBand="false" w:firstRow="false"/>
        </w:trPr>
        <w:tc>
          <w:tcPr>
            <w:cnfStyle w:evenVBand="false" w:oddVBand="true" w:firstColumn="false"/>
            <w:tcW w:w="33.333333%" w:type="pct"/>
          </w:tcPr>
          <w:p>
            <w:pPr>
              <w:ind w:leftChars="0" w:left="0" w:right="0"/>
            </w:pPr>
            <w:r>
              <w:t>TFSE</w:t>
            </w:r>
          </w:p>
        </w:tc>
        <w:tc>
          <w:tcPr>
            <w:cnfStyle w:evenVBand="true" w:oddVBand="false" w:firstColumn="false"/>
            <w:tcW w:w="33.333333%" w:type="pct"/>
          </w:tcPr>
          <w:p>
            <w:pPr>
              <w:ind w:leftChars="0" w:left="0" w:right="0"/>
            </w:pPr>
            <w:r>
              <w:t>TFSE</w:t>
            </w:r>
          </w:p>
        </w:tc>
        <w:tc>
          <w:tcPr>
            <w:cnfStyle w:evenVBand="false" w:oddVBand="true" w:firstColumn="false"/>
            <w:tcW w:w="33.333333%" w:type="pct"/>
          </w:tcPr>
          <w:p>
            <w:pPr>
              <w:ind w:leftChars="0" w:left="0" w:right="0"/>
            </w:pPr>
            <w:r>
              <w:t>TFS GREEN EUROPEAN GREEN MARKETS</w:t>
            </w:r>
          </w:p>
        </w:tc>
      </w:tr>
      <w:tr>
        <w:trPr>
          <w:cnfStyle w:evenHBand="false" w:oddHBand="true" w:firstRow="false"/>
        </w:trPr>
        <w:tc>
          <w:tcPr>
            <w:cnfStyle w:evenVBand="false" w:oddVBand="true" w:firstColumn="false"/>
            <w:tcW w:w="33.333333%" w:type="pct"/>
          </w:tcPr>
          <w:p>
            <w:pPr>
              <w:ind w:leftChars="0" w:left="0" w:right="0"/>
            </w:pPr>
            <w:r>
              <w:t>TFSG</w:t>
            </w:r>
          </w:p>
        </w:tc>
        <w:tc>
          <w:tcPr>
            <w:cnfStyle w:evenVBand="true" w:oddVBand="false" w:firstColumn="false"/>
            <w:tcW w:w="33.333333%" w:type="pct"/>
          </w:tcPr>
          <w:p>
            <w:pPr>
              <w:ind w:leftChars="0" w:left="0" w:right="0"/>
            </w:pPr>
            <w:r>
              <w:t>TFSG</w:t>
            </w:r>
          </w:p>
        </w:tc>
        <w:tc>
          <w:tcPr>
            <w:cnfStyle w:evenVBand="false" w:oddVBand="true" w:firstColumn="false"/>
            <w:tcW w:w="33.333333%" w:type="pct"/>
          </w:tcPr>
          <w:p>
            <w:pPr>
              <w:ind w:leftChars="0" w:left="0" w:right="0"/>
            </w:pPr>
            <w:r>
              <w:t>TRADITION ENERGY</w:t>
            </w:r>
          </w:p>
        </w:tc>
      </w:tr>
      <w:tr>
        <w:trPr>
          <w:cnfStyle w:evenHBand="true" w:oddHBand="false" w:firstRow="false"/>
        </w:trPr>
        <w:tc>
          <w:tcPr>
            <w:cnfStyle w:evenVBand="false" w:oddVBand="true" w:firstColumn="false"/>
            <w:tcW w:w="33.333333%" w:type="pct"/>
          </w:tcPr>
          <w:p>
            <w:pPr>
              <w:ind w:leftChars="0" w:left="0" w:right="0"/>
            </w:pPr>
            <w:r>
              <w:t>TFSS</w:t>
            </w:r>
          </w:p>
        </w:tc>
        <w:tc>
          <w:tcPr>
            <w:cnfStyle w:evenVBand="true" w:oddVBand="false" w:firstColumn="false"/>
            <w:tcW w:w="33.333333%" w:type="pct"/>
          </w:tcPr>
          <w:p>
            <w:pPr>
              <w:ind w:leftChars="0" w:left="0" w:right="0"/>
            </w:pPr>
            <w:r>
              <w:t>TFSS</w:t>
            </w:r>
          </w:p>
        </w:tc>
        <w:tc>
          <w:tcPr>
            <w:cnfStyle w:evenVBand="false" w:oddVBand="true" w:firstColumn="false"/>
            <w:tcW w:w="33.333333%" w:type="pct"/>
          </w:tcPr>
          <w:p>
            <w:pPr>
              <w:ind w:leftChars="0" w:left="0" w:right="0"/>
            </w:pPr>
            <w:r>
              <w:t>TFS VARIANCE SWAPS SYSTEM</w:t>
            </w:r>
          </w:p>
        </w:tc>
      </w:tr>
      <w:tr>
        <w:trPr>
          <w:cnfStyle w:evenHBand="false" w:oddHBand="true" w:firstRow="false"/>
        </w:trPr>
        <w:tc>
          <w:tcPr>
            <w:cnfStyle w:evenVBand="false" w:oddVBand="true" w:firstColumn="false"/>
            <w:tcW w:w="33.333333%" w:type="pct"/>
          </w:tcPr>
          <w:p>
            <w:pPr>
              <w:ind w:leftChars="0" w:left="0" w:right="0"/>
            </w:pPr>
            <w:r>
              <w:t>TFSU</w:t>
            </w:r>
          </w:p>
        </w:tc>
        <w:tc>
          <w:tcPr>
            <w:cnfStyle w:evenVBand="true" w:oddVBand="false" w:firstColumn="false"/>
            <w:tcW w:w="33.333333%" w:type="pct"/>
          </w:tcPr>
          <w:p>
            <w:pPr>
              <w:ind w:leftChars="0" w:left="0" w:right="0"/>
            </w:pPr>
            <w:r>
              <w:t>TFSU</w:t>
            </w:r>
          </w:p>
        </w:tc>
        <w:tc>
          <w:tcPr>
            <w:cnfStyle w:evenVBand="false" w:oddVBand="true" w:firstColumn="false"/>
            <w:tcW w:w="33.333333%" w:type="pct"/>
          </w:tcPr>
          <w:p>
            <w:pPr>
              <w:ind w:leftChars="0" w:left="0" w:right="0"/>
            </w:pPr>
            <w:r>
              <w:t>TFS GREEN UNITED STATES GREEN MARKETS</w:t>
            </w:r>
          </w:p>
        </w:tc>
      </w:tr>
      <w:tr>
        <w:trPr>
          <w:cnfStyle w:evenHBand="true" w:oddHBand="false" w:firstRow="false"/>
        </w:trPr>
        <w:tc>
          <w:tcPr>
            <w:cnfStyle w:evenVBand="false" w:oddVBand="true" w:firstColumn="false"/>
            <w:tcW w:w="33.333333%" w:type="pct"/>
          </w:tcPr>
          <w:p>
            <w:pPr>
              <w:ind w:leftChars="0" w:left="0" w:right="0"/>
            </w:pPr>
            <w:r>
              <w:t>TFSV</w:t>
            </w:r>
          </w:p>
        </w:tc>
        <w:tc>
          <w:tcPr>
            <w:cnfStyle w:evenVBand="true" w:oddVBand="false" w:firstColumn="false"/>
            <w:tcW w:w="33.333333%" w:type="pct"/>
          </w:tcPr>
          <w:p>
            <w:pPr>
              <w:ind w:leftChars="0" w:left="0" w:right="0"/>
            </w:pPr>
            <w:r>
              <w:t>TFSV</w:t>
            </w:r>
          </w:p>
        </w:tc>
        <w:tc>
          <w:tcPr>
            <w:cnfStyle w:evenVBand="false" w:oddVBand="true" w:firstColumn="false"/>
            <w:tcW w:w="33.333333%" w:type="pct"/>
          </w:tcPr>
          <w:p>
            <w:pPr>
              <w:ind w:leftChars="0" w:left="0" w:right="0"/>
            </w:pPr>
            <w:r>
              <w:t>VOLBROKER</w:t>
            </w:r>
          </w:p>
        </w:tc>
      </w:tr>
      <w:tr>
        <w:trPr>
          <w:cnfStyle w:evenHBand="false" w:oddHBand="true" w:firstRow="false"/>
        </w:trPr>
        <w:tc>
          <w:tcPr>
            <w:cnfStyle w:evenVBand="false" w:oddVBand="true" w:firstColumn="false"/>
            <w:tcW w:w="33.333333%" w:type="pct"/>
          </w:tcPr>
          <w:p>
            <w:pPr>
              <w:ind w:leftChars="0" w:left="0" w:right="0"/>
            </w:pPr>
            <w:r>
              <w:t>TGAT</w:t>
            </w:r>
          </w:p>
        </w:tc>
        <w:tc>
          <w:tcPr>
            <w:cnfStyle w:evenVBand="true" w:oddVBand="false" w:firstColumn="false"/>
            <w:tcW w:w="33.333333%" w:type="pct"/>
          </w:tcPr>
          <w:p>
            <w:pPr>
              <w:ind w:leftChars="0" w:left="0" w:right="0"/>
            </w:pPr>
            <w:r>
              <w:t>TGAT</w:t>
            </w:r>
          </w:p>
        </w:tc>
        <w:tc>
          <w:tcPr>
            <w:cnfStyle w:evenVBand="false" w:oddVBand="true" w:firstColumn="false"/>
            <w:tcW w:w="33.333333%" w:type="pct"/>
          </w:tcPr>
          <w:p>
            <w:pPr>
              <w:ind w:leftChars="0" w:left="0" w:right="0"/>
            </w:pPr>
            <w:r>
              <w:t>TRADEGATE EXCHANGE</w:t>
            </w:r>
          </w:p>
        </w:tc>
      </w:tr>
      <w:tr>
        <w:trPr>
          <w:cnfStyle w:evenHBand="true" w:oddHBand="false" w:firstRow="false"/>
        </w:trPr>
        <w:tc>
          <w:tcPr>
            <w:cnfStyle w:evenVBand="false" w:oddVBand="true" w:firstColumn="false"/>
            <w:tcW w:w="33.333333%" w:type="pct"/>
          </w:tcPr>
          <w:p>
            <w:pPr>
              <w:ind w:leftChars="0" w:left="0" w:right="0"/>
            </w:pPr>
            <w:r>
              <w:t>TGSI</w:t>
            </w:r>
          </w:p>
        </w:tc>
        <w:tc>
          <w:tcPr>
            <w:cnfStyle w:evenVBand="true" w:oddVBand="false" w:firstColumn="false"/>
            <w:tcW w:w="33.333333%" w:type="pct"/>
          </w:tcPr>
          <w:p>
            <w:pPr>
              <w:ind w:leftChars="0" w:left="0" w:right="0"/>
            </w:pPr>
            <w:r>
              <w:t>TGSI</w:t>
            </w:r>
          </w:p>
        </w:tc>
        <w:tc>
          <w:tcPr>
            <w:cnfStyle w:evenVBand="false" w:oddVBand="true" w:firstColumn="false"/>
            <w:tcW w:w="33.333333%" w:type="pct"/>
          </w:tcPr>
          <w:p>
            <w:pPr>
              <w:ind w:leftChars="0" w:left="0" w:right="0"/>
            </w:pPr>
            <w:r>
              <w:t>TRADEGATE EXCHANGE - SYSTEMATIC INTERNALISER</w:t>
            </w:r>
          </w:p>
        </w:tc>
      </w:tr>
      <w:tr>
        <w:trPr>
          <w:cnfStyle w:evenHBand="false" w:oddHBand="true" w:firstRow="false"/>
        </w:trPr>
        <w:tc>
          <w:tcPr>
            <w:cnfStyle w:evenVBand="false" w:oddVBand="true" w:firstColumn="false"/>
            <w:tcW w:w="33.333333%" w:type="pct"/>
          </w:tcPr>
          <w:p>
            <w:pPr>
              <w:ind w:leftChars="0" w:left="0" w:right="0"/>
            </w:pPr>
            <w:r>
              <w:t>THEM</w:t>
            </w:r>
          </w:p>
        </w:tc>
        <w:tc>
          <w:tcPr>
            <w:cnfStyle w:evenVBand="true" w:oddVBand="false" w:firstColumn="false"/>
            <w:tcW w:w="33.333333%" w:type="pct"/>
          </w:tcPr>
          <w:p>
            <w:pPr>
              <w:ind w:leftChars="0" w:left="0" w:right="0"/>
            </w:pPr>
            <w:r>
              <w:t>THEM</w:t>
            </w:r>
          </w:p>
        </w:tc>
        <w:tc>
          <w:tcPr>
            <w:cnfStyle w:evenVBand="false" w:oddVBand="true" w:firstColumn="false"/>
            <w:tcW w:w="33.333333%" w:type="pct"/>
          </w:tcPr>
          <w:p>
            <w:pPr>
              <w:ind w:leftChars="0" w:left="0" w:right="0"/>
            </w:pPr>
            <w:r>
              <w:t>THEMIS TRADING LLC</w:t>
            </w:r>
          </w:p>
        </w:tc>
      </w:tr>
      <w:tr>
        <w:trPr>
          <w:cnfStyle w:evenHBand="true" w:oddHBand="false" w:firstRow="false"/>
        </w:trPr>
        <w:tc>
          <w:tcPr>
            <w:cnfStyle w:evenVBand="false" w:oddVBand="true" w:firstColumn="false"/>
            <w:tcW w:w="33.333333%" w:type="pct"/>
          </w:tcPr>
          <w:p>
            <w:pPr>
              <w:ind w:leftChars="0" w:left="0" w:right="0"/>
            </w:pPr>
            <w:r>
              <w:t>THRD</w:t>
            </w:r>
          </w:p>
        </w:tc>
        <w:tc>
          <w:tcPr>
            <w:cnfStyle w:evenVBand="true" w:oddVBand="false" w:firstColumn="false"/>
            <w:tcW w:w="33.333333%" w:type="pct"/>
          </w:tcPr>
          <w:p>
            <w:pPr>
              <w:ind w:leftChars="0" w:left="0" w:right="0"/>
            </w:pPr>
            <w:r>
              <w:t>THRD</w:t>
            </w:r>
          </w:p>
        </w:tc>
        <w:tc>
          <w:tcPr>
            <w:cnfStyle w:evenVBand="false" w:oddVBand="true" w:firstColumn="false"/>
            <w:tcW w:w="33.333333%" w:type="pct"/>
          </w:tcPr>
          <w:p>
            <w:pPr>
              <w:ind w:leftChars="0" w:left="0" w:right="0"/>
            </w:pPr>
            <w:r>
              <w:t>THIRD MARKET CORPORATION</w:t>
            </w:r>
          </w:p>
        </w:tc>
      </w:tr>
      <w:tr>
        <w:trPr>
          <w:cnfStyle w:evenHBand="false" w:oddHBand="true" w:firstRow="false"/>
        </w:trPr>
        <w:tc>
          <w:tcPr>
            <w:cnfStyle w:evenVBand="false" w:oddVBand="true" w:firstColumn="false"/>
            <w:tcW w:w="33.333333%" w:type="pct"/>
          </w:tcPr>
          <w:p>
            <w:pPr>
              <w:ind w:leftChars="0" w:left="0" w:right="0"/>
            </w:pPr>
            <w:r>
              <w:t>THRE</w:t>
            </w:r>
          </w:p>
        </w:tc>
        <w:tc>
          <w:tcPr>
            <w:cnfStyle w:evenVBand="true" w:oddVBand="false" w:firstColumn="false"/>
            <w:tcW w:w="33.333333%" w:type="pct"/>
          </w:tcPr>
          <w:p>
            <w:pPr>
              <w:ind w:leftChars="0" w:left="0" w:right="0"/>
            </w:pPr>
            <w:r>
              <w:t>THRE</w:t>
            </w:r>
          </w:p>
        </w:tc>
        <w:tc>
          <w:tcPr>
            <w:cnfStyle w:evenVBand="false" w:oddVBand="true" w:firstColumn="false"/>
            <w:tcW w:w="33.333333%" w:type="pct"/>
          </w:tcPr>
          <w:p>
            <w:pPr>
              <w:ind w:leftChars="0" w:left="0" w:right="0"/>
            </w:pPr>
            <w:r>
              <w:t>REFINITIV US SEF LLC</w:t>
            </w:r>
          </w:p>
        </w:tc>
      </w:tr>
      <w:tr>
        <w:trPr>
          <w:cnfStyle w:evenHBand="true" w:oddHBand="false" w:firstRow="false"/>
        </w:trPr>
        <w:tc>
          <w:tcPr>
            <w:cnfStyle w:evenVBand="false" w:oddVBand="true" w:firstColumn="false"/>
            <w:tcW w:w="33.333333%" w:type="pct"/>
          </w:tcPr>
          <w:p>
            <w:pPr>
              <w:ind w:leftChars="0" w:left="0" w:right="0"/>
            </w:pPr>
            <w:r>
              <w:t>TIRD</w:t>
            </w:r>
          </w:p>
        </w:tc>
        <w:tc>
          <w:tcPr>
            <w:cnfStyle w:evenVBand="true" w:oddVBand="false" w:firstColumn="false"/>
            <w:tcW w:w="33.333333%" w:type="pct"/>
          </w:tcPr>
          <w:p>
            <w:pPr>
              <w:ind w:leftChars="0" w:left="0" w:right="0"/>
            </w:pPr>
            <w:r>
              <w:t>TIRD</w:t>
            </w:r>
          </w:p>
        </w:tc>
        <w:tc>
          <w:tcPr>
            <w:cnfStyle w:evenVBand="false" w:oddVBand="true" w:firstColumn="false"/>
            <w:tcW w:w="33.333333%" w:type="pct"/>
          </w:tcPr>
          <w:p>
            <w:pPr>
              <w:ind w:leftChars="0" w:left="0" w:right="0"/>
            </w:pPr>
            <w:r>
              <w:t>TULLETT PREBON EUROPE - MTF - INTEREST RATE DERIVATIVES</w:t>
            </w:r>
          </w:p>
        </w:tc>
      </w:tr>
      <w:tr>
        <w:trPr>
          <w:cnfStyle w:evenHBand="false" w:oddHBand="true" w:firstRow="false"/>
        </w:trPr>
        <w:tc>
          <w:tcPr>
            <w:cnfStyle w:evenVBand="false" w:oddVBand="true" w:firstColumn="false"/>
            <w:tcW w:w="33.333333%" w:type="pct"/>
          </w:tcPr>
          <w:p>
            <w:pPr>
              <w:ind w:leftChars="0" w:left="0" w:right="0"/>
            </w:pPr>
            <w:r>
              <w:t>TLAB</w:t>
            </w:r>
          </w:p>
        </w:tc>
        <w:tc>
          <w:tcPr>
            <w:cnfStyle w:evenVBand="true" w:oddVBand="false" w:firstColumn="false"/>
            <w:tcW w:w="33.333333%" w:type="pct"/>
          </w:tcPr>
          <w:p>
            <w:pPr>
              <w:ind w:leftChars="0" w:left="0" w:right="0"/>
            </w:pPr>
            <w:r>
              <w:t>TLAB</w:t>
            </w:r>
          </w:p>
        </w:tc>
        <w:tc>
          <w:tcPr>
            <w:cnfStyle w:evenVBand="false" w:oddVBand="true" w:firstColumn="false"/>
            <w:tcW w:w="33.333333%" w:type="pct"/>
          </w:tcPr>
          <w:p>
            <w:pPr>
              <w:ind w:leftChars="0" w:left="0" w:right="0"/>
            </w:pPr>
            <w:r>
              <w:t>TRADINGLAB</w:t>
            </w:r>
          </w:p>
        </w:tc>
      </w:tr>
      <w:tr>
        <w:trPr>
          <w:cnfStyle w:evenHBand="true" w:oddHBand="false" w:firstRow="false"/>
        </w:trPr>
        <w:tc>
          <w:tcPr>
            <w:cnfStyle w:evenVBand="false" w:oddVBand="true" w:firstColumn="false"/>
            <w:tcW w:w="33.333333%" w:type="pct"/>
          </w:tcPr>
          <w:p>
            <w:pPr>
              <w:ind w:leftChars="0" w:left="0" w:right="0"/>
            </w:pPr>
            <w:r>
              <w:t>TLCM</w:t>
            </w:r>
          </w:p>
        </w:tc>
        <w:tc>
          <w:tcPr>
            <w:cnfStyle w:evenVBand="true" w:oddVBand="false" w:firstColumn="false"/>
            <w:tcW w:w="33.333333%" w:type="pct"/>
          </w:tcPr>
          <w:p>
            <w:pPr>
              <w:ind w:leftChars="0" w:left="0" w:right="0"/>
            </w:pPr>
            <w:r>
              <w:t>TLCM</w:t>
            </w:r>
          </w:p>
        </w:tc>
        <w:tc>
          <w:tcPr>
            <w:cnfStyle w:evenVBand="false" w:oddVBand="true" w:firstColumn="false"/>
            <w:tcW w:w="33.333333%" w:type="pct"/>
          </w:tcPr>
          <w:p>
            <w:pPr>
              <w:ind w:leftChars="0" w:left="0" w:right="0"/>
            </w:pPr>
            <w:r>
              <w:t>LOUIS CAPITAL MARKETS EU</w:t>
            </w:r>
          </w:p>
        </w:tc>
      </w:tr>
      <w:tr>
        <w:trPr>
          <w:cnfStyle w:evenHBand="false" w:oddHBand="true" w:firstRow="false"/>
        </w:trPr>
        <w:tc>
          <w:tcPr>
            <w:cnfStyle w:evenVBand="false" w:oddVBand="true" w:firstColumn="false"/>
            <w:tcW w:w="33.333333%" w:type="pct"/>
          </w:tcPr>
          <w:p>
            <w:pPr>
              <w:ind w:leftChars="0" w:left="0" w:right="0"/>
            </w:pPr>
            <w:r>
              <w:t>TMCC</w:t>
            </w:r>
          </w:p>
        </w:tc>
        <w:tc>
          <w:tcPr>
            <w:cnfStyle w:evenVBand="true" w:oddVBand="false" w:firstColumn="false"/>
            <w:tcW w:w="33.333333%" w:type="pct"/>
          </w:tcPr>
          <w:p>
            <w:pPr>
              <w:ind w:leftChars="0" w:left="0" w:right="0"/>
            </w:pPr>
            <w:r>
              <w:t>TMCC</w:t>
            </w:r>
          </w:p>
        </w:tc>
        <w:tc>
          <w:tcPr>
            <w:cnfStyle w:evenVBand="false" w:oddVBand="true" w:firstColumn="false"/>
            <w:tcW w:w="33.333333%" w:type="pct"/>
          </w:tcPr>
          <w:p>
            <w:pPr>
              <w:ind w:leftChars="0" w:left="0" w:right="0"/>
            </w:pPr>
            <w:r>
              <w:t>ICE TMC</w:t>
            </w:r>
          </w:p>
        </w:tc>
      </w:tr>
      <w:tr>
        <w:trPr>
          <w:cnfStyle w:evenHBand="true" w:oddHBand="false" w:firstRow="false"/>
        </w:trPr>
        <w:tc>
          <w:tcPr>
            <w:cnfStyle w:evenVBand="false" w:oddVBand="true" w:firstColumn="false"/>
            <w:tcW w:w="33.333333%" w:type="pct"/>
          </w:tcPr>
          <w:p>
            <w:pPr>
              <w:ind w:leftChars="0" w:left="0" w:right="0"/>
            </w:pPr>
            <w:r>
              <w:t>TMCY</w:t>
            </w:r>
          </w:p>
        </w:tc>
        <w:tc>
          <w:tcPr>
            <w:cnfStyle w:evenVBand="true" w:oddVBand="false" w:firstColumn="false"/>
            <w:tcW w:w="33.333333%" w:type="pct"/>
          </w:tcPr>
          <w:p>
            <w:pPr>
              <w:ind w:leftChars="0" w:left="0" w:right="0"/>
            </w:pPr>
            <w:r>
              <w:t>TMCY</w:t>
            </w:r>
          </w:p>
        </w:tc>
        <w:tc>
          <w:tcPr>
            <w:cnfStyle w:evenVBand="false" w:oddVBand="true" w:firstColumn="false"/>
            <w:tcW w:w="33.333333%" w:type="pct"/>
          </w:tcPr>
          <w:p>
            <w:pPr>
              <w:ind w:leftChars="0" w:left="0" w:right="0"/>
            </w:pPr>
            <w:r>
              <w:t>TRADING 212 MARKETS LIMITED - SYSTEMATIC INTERNALISER</w:t>
            </w:r>
          </w:p>
        </w:tc>
      </w:tr>
      <w:tr>
        <w:trPr>
          <w:cnfStyle w:evenHBand="false" w:oddHBand="true" w:firstRow="false"/>
        </w:trPr>
        <w:tc>
          <w:tcPr>
            <w:cnfStyle w:evenVBand="false" w:oddVBand="true" w:firstColumn="false"/>
            <w:tcW w:w="33.333333%" w:type="pct"/>
          </w:tcPr>
          <w:p>
            <w:pPr>
              <w:ind w:leftChars="0" w:left="0" w:right="0"/>
            </w:pPr>
            <w:r>
              <w:t>TMEX</w:t>
            </w:r>
          </w:p>
        </w:tc>
        <w:tc>
          <w:tcPr>
            <w:cnfStyle w:evenVBand="true" w:oddVBand="false" w:firstColumn="false"/>
            <w:tcW w:w="33.333333%" w:type="pct"/>
          </w:tcPr>
          <w:p>
            <w:pPr>
              <w:ind w:leftChars="0" w:left="0" w:right="0"/>
            </w:pPr>
            <w:r>
              <w:t>TMEX</w:t>
            </w:r>
          </w:p>
        </w:tc>
        <w:tc>
          <w:tcPr>
            <w:cnfStyle w:evenVBand="false" w:oddVBand="true" w:firstColumn="false"/>
            <w:tcW w:w="33.333333%" w:type="pct"/>
          </w:tcPr>
          <w:p>
            <w:pPr>
              <w:ind w:leftChars="0" w:left="0" w:right="0"/>
            </w:pPr>
            <w:r>
              <w:t>TURKISH MERCANTILE EXCHANGE</w:t>
            </w:r>
          </w:p>
        </w:tc>
      </w:tr>
      <w:tr>
        <w:trPr>
          <w:cnfStyle w:evenHBand="true" w:oddHBand="false" w:firstRow="false"/>
        </w:trPr>
        <w:tc>
          <w:tcPr>
            <w:cnfStyle w:evenVBand="false" w:oddVBand="true" w:firstColumn="false"/>
            <w:tcW w:w="33.333333%" w:type="pct"/>
          </w:tcPr>
          <w:p>
            <w:pPr>
              <w:ind w:leftChars="0" w:left="0" w:right="0"/>
            </w:pPr>
            <w:r>
              <w:t>TMID</w:t>
            </w:r>
          </w:p>
        </w:tc>
        <w:tc>
          <w:tcPr>
            <w:cnfStyle w:evenVBand="true" w:oddVBand="false" w:firstColumn="false"/>
            <w:tcW w:w="33.333333%" w:type="pct"/>
          </w:tcPr>
          <w:p>
            <w:pPr>
              <w:ind w:leftChars="0" w:left="0" w:right="0"/>
            </w:pPr>
            <w:r>
              <w:t>TMID</w:t>
            </w:r>
          </w:p>
        </w:tc>
        <w:tc>
          <w:tcPr>
            <w:cnfStyle w:evenVBand="false" w:oddVBand="true" w:firstColumn="false"/>
            <w:tcW w:w="33.333333%" w:type="pct"/>
          </w:tcPr>
          <w:p>
            <w:pPr>
              <w:ind w:leftChars="0" w:left="0" w:right="0"/>
            </w:pPr>
            <w:r>
              <w:t>TRUMID ATS</w:t>
            </w:r>
          </w:p>
        </w:tc>
      </w:tr>
      <w:tr>
        <w:trPr>
          <w:cnfStyle w:evenHBand="false" w:oddHBand="true" w:firstRow="false"/>
        </w:trPr>
        <w:tc>
          <w:tcPr>
            <w:cnfStyle w:evenVBand="false" w:oddVBand="true" w:firstColumn="false"/>
            <w:tcW w:w="33.333333%" w:type="pct"/>
          </w:tcPr>
          <w:p>
            <w:pPr>
              <w:ind w:leftChars="0" w:left="0" w:right="0"/>
            </w:pPr>
            <w:r>
              <w:t>TMTS</w:t>
            </w:r>
          </w:p>
        </w:tc>
        <w:tc>
          <w:tcPr>
            <w:cnfStyle w:evenVBand="true" w:oddVBand="false" w:firstColumn="false"/>
            <w:tcW w:w="33.333333%" w:type="pct"/>
          </w:tcPr>
          <w:p>
            <w:pPr>
              <w:ind w:leftChars="0" w:left="0" w:right="0"/>
            </w:pPr>
            <w:r>
              <w:t>TMTS</w:t>
            </w:r>
          </w:p>
        </w:tc>
        <w:tc>
          <w:tcPr>
            <w:cnfStyle w:evenVBand="false" w:oddVBand="true" w:firstColumn="false"/>
            <w:tcW w:w="33.333333%" w:type="pct"/>
          </w:tcPr>
          <w:p>
            <w:pPr>
              <w:ind w:leftChars="0" w:left="0" w:right="0"/>
            </w:pPr>
            <w:r>
              <w:t>EUROBENCHMARK TRES. BILLS</w:t>
            </w:r>
          </w:p>
        </w:tc>
      </w:tr>
      <w:tr>
        <w:trPr>
          <w:cnfStyle w:evenHBand="true" w:oddHBand="false" w:firstRow="false"/>
        </w:trPr>
        <w:tc>
          <w:tcPr>
            <w:cnfStyle w:evenVBand="false" w:oddVBand="true" w:firstColumn="false"/>
            <w:tcW w:w="33.333333%" w:type="pct"/>
          </w:tcPr>
          <w:p>
            <w:pPr>
              <w:ind w:leftChars="0" w:left="0" w:right="0"/>
            </w:pPr>
            <w:r>
              <w:t>TMUK</w:t>
            </w:r>
          </w:p>
        </w:tc>
        <w:tc>
          <w:tcPr>
            <w:cnfStyle w:evenVBand="true" w:oddVBand="false" w:firstColumn="false"/>
            <w:tcW w:w="33.333333%" w:type="pct"/>
          </w:tcPr>
          <w:p>
            <w:pPr>
              <w:ind w:leftChars="0" w:left="0" w:right="0"/>
            </w:pPr>
            <w:r>
              <w:t>TMUK</w:t>
            </w:r>
          </w:p>
        </w:tc>
        <w:tc>
          <w:tcPr>
            <w:cnfStyle w:evenVBand="false" w:oddVBand="true" w:firstColumn="false"/>
            <w:tcW w:w="33.333333%" w:type="pct"/>
          </w:tcPr>
          <w:p>
            <w:pPr>
              <w:ind w:leftChars="0" w:left="0" w:right="0"/>
            </w:pPr>
            <w:r>
              <w:t>TRUMID FINANCIAL UK LIMITED</w:t>
            </w:r>
          </w:p>
        </w:tc>
      </w:tr>
      <w:tr>
        <w:trPr>
          <w:cnfStyle w:evenHBand="false" w:oddHBand="true" w:firstRow="false"/>
        </w:trPr>
        <w:tc>
          <w:tcPr>
            <w:cnfStyle w:evenVBand="false" w:oddVBand="true" w:firstColumn="false"/>
            <w:tcW w:w="33.333333%" w:type="pct"/>
          </w:tcPr>
          <w:p>
            <w:pPr>
              <w:ind w:leftChars="0" w:left="0" w:right="0"/>
            </w:pPr>
            <w:r>
              <w:t>TMXS</w:t>
            </w:r>
          </w:p>
        </w:tc>
        <w:tc>
          <w:tcPr>
            <w:cnfStyle w:evenVBand="true" w:oddVBand="false" w:firstColumn="false"/>
            <w:tcW w:w="33.333333%" w:type="pct"/>
          </w:tcPr>
          <w:p>
            <w:pPr>
              <w:ind w:leftChars="0" w:left="0" w:right="0"/>
            </w:pPr>
            <w:r>
              <w:t>TMXS</w:t>
            </w:r>
          </w:p>
        </w:tc>
        <w:tc>
          <w:tcPr>
            <w:cnfStyle w:evenVBand="false" w:oddVBand="true" w:firstColumn="false"/>
            <w:tcW w:w="33.333333%" w:type="pct"/>
          </w:tcPr>
          <w:p>
            <w:pPr>
              <w:ind w:leftChars="0" w:left="0" w:right="0"/>
            </w:pPr>
            <w:r>
              <w:t>TMX SELECT</w:t>
            </w:r>
          </w:p>
        </w:tc>
      </w:tr>
      <w:tr>
        <w:trPr>
          <w:cnfStyle w:evenHBand="true" w:oddHBand="false" w:firstRow="false"/>
        </w:trPr>
        <w:tc>
          <w:tcPr>
            <w:cnfStyle w:evenVBand="false" w:oddVBand="true" w:firstColumn="false"/>
            <w:tcW w:w="33.333333%" w:type="pct"/>
          </w:tcPr>
          <w:p>
            <w:pPr>
              <w:ind w:leftChars="0" w:left="0" w:right="0"/>
            </w:pPr>
            <w:r>
              <w:t>TNLA</w:t>
            </w:r>
          </w:p>
        </w:tc>
        <w:tc>
          <w:tcPr>
            <w:cnfStyle w:evenVBand="true" w:oddVBand="false" w:firstColumn="false"/>
            <w:tcW w:w="33.333333%" w:type="pct"/>
          </w:tcPr>
          <w:p>
            <w:pPr>
              <w:ind w:leftChars="0" w:left="0" w:right="0"/>
            </w:pPr>
            <w:r>
              <w:t>TNLA</w:t>
            </w:r>
          </w:p>
        </w:tc>
        <w:tc>
          <w:tcPr>
            <w:cnfStyle w:evenVBand="false" w:oddVBand="true" w:firstColumn="false"/>
            <w:tcW w:w="33.333333%" w:type="pct"/>
          </w:tcPr>
          <w:p>
            <w:pPr>
              <w:ind w:leftChars="0" w:left="0" w:right="0"/>
            </w:pPr>
            <w:r>
              <w:t>EURONEXT - TRADED BUT NOT LISTED AMSTERDAM</w:t>
            </w:r>
          </w:p>
        </w:tc>
      </w:tr>
      <w:tr>
        <w:trPr>
          <w:cnfStyle w:evenHBand="false" w:oddHBand="true" w:firstRow="false"/>
        </w:trPr>
        <w:tc>
          <w:tcPr>
            <w:cnfStyle w:evenVBand="false" w:oddVBand="true" w:firstColumn="false"/>
            <w:tcW w:w="33.333333%" w:type="pct"/>
          </w:tcPr>
          <w:p>
            <w:pPr>
              <w:ind w:leftChars="0" w:left="0" w:right="0"/>
            </w:pPr>
            <w:r>
              <w:t>TNLB</w:t>
            </w:r>
          </w:p>
        </w:tc>
        <w:tc>
          <w:tcPr>
            <w:cnfStyle w:evenVBand="true" w:oddVBand="false" w:firstColumn="false"/>
            <w:tcW w:w="33.333333%" w:type="pct"/>
          </w:tcPr>
          <w:p>
            <w:pPr>
              <w:ind w:leftChars="0" w:left="0" w:right="0"/>
            </w:pPr>
            <w:r>
              <w:t>TNLB</w:t>
            </w:r>
          </w:p>
        </w:tc>
        <w:tc>
          <w:tcPr>
            <w:cnfStyle w:evenVBand="false" w:oddVBand="true" w:firstColumn="false"/>
            <w:tcW w:w="33.333333%" w:type="pct"/>
          </w:tcPr>
          <w:p>
            <w:pPr>
              <w:ind w:leftChars="0" w:left="0" w:right="0"/>
            </w:pPr>
            <w:r>
              <w:t>EURONEXT - TRADING FACILITY BRUSSELS</w:t>
            </w:r>
          </w:p>
        </w:tc>
      </w:tr>
      <w:tr>
        <w:trPr>
          <w:cnfStyle w:evenHBand="true" w:oddHBand="false" w:firstRow="false"/>
        </w:trPr>
        <w:tc>
          <w:tcPr>
            <w:cnfStyle w:evenVBand="false" w:oddVBand="true" w:firstColumn="false"/>
            <w:tcW w:w="33.333333%" w:type="pct"/>
          </w:tcPr>
          <w:p>
            <w:pPr>
              <w:ind w:leftChars="0" w:left="0" w:right="0"/>
            </w:pPr>
            <w:r>
              <w:t>TNLK</w:t>
            </w:r>
          </w:p>
        </w:tc>
        <w:tc>
          <w:tcPr>
            <w:cnfStyle w:evenVBand="true" w:oddVBand="false" w:firstColumn="false"/>
            <w:tcW w:w="33.333333%" w:type="pct"/>
          </w:tcPr>
          <w:p>
            <w:pPr>
              <w:ind w:leftChars="0" w:left="0" w:right="0"/>
            </w:pPr>
            <w:r>
              <w:t>TNLK</w:t>
            </w:r>
          </w:p>
        </w:tc>
        <w:tc>
          <w:tcPr>
            <w:cnfStyle w:evenVBand="false" w:oddVBand="true" w:firstColumn="false"/>
            <w:tcW w:w="33.333333%" w:type="pct"/>
          </w:tcPr>
          <w:p>
            <w:pPr>
              <w:ind w:leftChars="0" w:left="0" w:right="0"/>
            </w:pPr>
            <w:r>
              <w:t>EURONEXT BLOCKS</w:t>
            </w:r>
          </w:p>
        </w:tc>
      </w:tr>
      <w:tr>
        <w:trPr>
          <w:cnfStyle w:evenHBand="false" w:oddHBand="true" w:firstRow="false"/>
        </w:trPr>
        <w:tc>
          <w:tcPr>
            <w:cnfStyle w:evenVBand="false" w:oddVBand="true" w:firstColumn="false"/>
            <w:tcW w:w="33.333333%" w:type="pct"/>
          </w:tcPr>
          <w:p>
            <w:pPr>
              <w:ind w:leftChars="0" w:left="0" w:right="0"/>
            </w:pPr>
            <w:r>
              <w:t>TNLL</w:t>
            </w:r>
          </w:p>
        </w:tc>
        <w:tc>
          <w:tcPr>
            <w:cnfStyle w:evenVBand="true" w:oddVBand="false" w:firstColumn="false"/>
            <w:tcW w:w="33.333333%" w:type="pct"/>
          </w:tcPr>
          <w:p>
            <w:pPr>
              <w:ind w:leftChars="0" w:left="0" w:right="0"/>
            </w:pPr>
            <w:r>
              <w:t>TNLL</w:t>
            </w:r>
          </w:p>
        </w:tc>
        <w:tc>
          <w:tcPr>
            <w:cnfStyle w:evenVBand="false" w:oddVBand="true" w:firstColumn="false"/>
            <w:tcW w:w="33.333333%" w:type="pct"/>
          </w:tcPr>
          <w:p>
            <w:pPr>
              <w:ind w:leftChars="0" w:left="0" w:right="0"/>
            </w:pPr>
            <w:r>
              <w:t>EURONEXT - TRADING FACILITY LONDON</w:t>
            </w:r>
          </w:p>
        </w:tc>
      </w:tr>
      <w:tr>
        <w:trPr>
          <w:cnfStyle w:evenHBand="true" w:oddHBand="false" w:firstRow="false"/>
        </w:trPr>
        <w:tc>
          <w:tcPr>
            <w:cnfStyle w:evenVBand="false" w:oddVBand="true" w:firstColumn="false"/>
            <w:tcW w:w="33.333333%" w:type="pct"/>
          </w:tcPr>
          <w:p>
            <w:pPr>
              <w:ind w:leftChars="0" w:left="0" w:right="0"/>
            </w:pPr>
            <w:r>
              <w:t>TOCP</w:t>
            </w:r>
          </w:p>
        </w:tc>
        <w:tc>
          <w:tcPr>
            <w:cnfStyle w:evenVBand="true" w:oddVBand="false" w:firstColumn="false"/>
            <w:tcW w:w="33.333333%" w:type="pct"/>
          </w:tcPr>
          <w:p>
            <w:pPr>
              <w:ind w:leftChars="0" w:left="0" w:right="0"/>
            </w:pPr>
            <w:r>
              <w:t>TOCP</w:t>
            </w:r>
          </w:p>
        </w:tc>
        <w:tc>
          <w:tcPr>
            <w:cnfStyle w:evenVBand="false" w:oddVBand="true" w:firstColumn="false"/>
            <w:tcW w:w="33.333333%" w:type="pct"/>
          </w:tcPr>
          <w:p>
            <w:pPr>
              <w:ind w:leftChars="0" w:left="0" w:right="0"/>
            </w:pPr>
            <w:r>
              <w:t>TORA CROSSPOINT</w:t>
            </w:r>
          </w:p>
        </w:tc>
      </w:tr>
      <w:tr>
        <w:trPr>
          <w:cnfStyle w:evenHBand="false" w:oddHBand="true" w:firstRow="false"/>
        </w:trPr>
        <w:tc>
          <w:tcPr>
            <w:cnfStyle w:evenVBand="false" w:oddVBand="true" w:firstColumn="false"/>
            <w:tcW w:w="33.333333%" w:type="pct"/>
          </w:tcPr>
          <w:p>
            <w:pPr>
              <w:ind w:leftChars="0" w:left="0" w:right="0"/>
            </w:pPr>
            <w:r>
              <w:t>TOMD</w:t>
            </w:r>
          </w:p>
        </w:tc>
        <w:tc>
          <w:tcPr>
            <w:cnfStyle w:evenVBand="true" w:oddVBand="false" w:firstColumn="false"/>
            <w:tcW w:w="33.333333%" w:type="pct"/>
          </w:tcPr>
          <w:p>
            <w:pPr>
              <w:ind w:leftChars="0" w:left="0" w:right="0"/>
            </w:pPr>
            <w:r>
              <w:t>TOMD</w:t>
            </w:r>
          </w:p>
        </w:tc>
        <w:tc>
          <w:tcPr>
            <w:cnfStyle w:evenVBand="false" w:oddVBand="true" w:firstColumn="false"/>
            <w:tcW w:w="33.333333%" w:type="pct"/>
          </w:tcPr>
          <w:p>
            <w:pPr>
              <w:ind w:leftChars="0" w:left="0" w:right="0"/>
            </w:pPr>
            <w:r>
              <w:t>TOM MTF DERIVATIVES MARKET</w:t>
            </w:r>
          </w:p>
        </w:tc>
      </w:tr>
      <w:tr>
        <w:trPr>
          <w:cnfStyle w:evenHBand="true" w:oddHBand="false" w:firstRow="false"/>
        </w:trPr>
        <w:tc>
          <w:tcPr>
            <w:cnfStyle w:evenVBand="false" w:oddVBand="true" w:firstColumn="false"/>
            <w:tcW w:w="33.333333%" w:type="pct"/>
          </w:tcPr>
          <w:p>
            <w:pPr>
              <w:ind w:leftChars="0" w:left="0" w:right="0"/>
            </w:pPr>
            <w:r>
              <w:t>TOMF</w:t>
            </w:r>
          </w:p>
        </w:tc>
        <w:tc>
          <w:tcPr>
            <w:cnfStyle w:evenVBand="true" w:oddVBand="false" w:firstColumn="false"/>
            <w:tcW w:w="33.333333%" w:type="pct"/>
          </w:tcPr>
          <w:p>
            <w:pPr>
              <w:ind w:leftChars="0" w:left="0" w:right="0"/>
            </w:pPr>
            <w:r>
              <w:t>TOMF</w:t>
            </w:r>
          </w:p>
        </w:tc>
        <w:tc>
          <w:tcPr>
            <w:cnfStyle w:evenVBand="false" w:oddVBand="true" w:firstColumn="false"/>
            <w:tcW w:w="33.333333%" w:type="pct"/>
          </w:tcPr>
          <w:p>
            <w:pPr>
              <w:ind w:leftChars="0" w:left="0" w:right="0"/>
            </w:pPr>
            <w:r>
              <w:t>TULLETT PREBON EUROPE - OTF - MADRID - CORPORATE BONDS AND SECURITISED DEBT</w:t>
            </w:r>
          </w:p>
        </w:tc>
      </w:tr>
      <w:tr>
        <w:trPr>
          <w:cnfStyle w:evenHBand="false" w:oddHBand="true" w:firstRow="false"/>
        </w:trPr>
        <w:tc>
          <w:tcPr>
            <w:cnfStyle w:evenVBand="false" w:oddVBand="true" w:firstColumn="false"/>
            <w:tcW w:w="33.333333%" w:type="pct"/>
          </w:tcPr>
          <w:p>
            <w:pPr>
              <w:ind w:leftChars="0" w:left="0" w:right="0"/>
            </w:pPr>
            <w:r>
              <w:t>TOMG</w:t>
            </w:r>
          </w:p>
        </w:tc>
        <w:tc>
          <w:tcPr>
            <w:cnfStyle w:evenVBand="true" w:oddVBand="false" w:firstColumn="false"/>
            <w:tcW w:w="33.333333%" w:type="pct"/>
          </w:tcPr>
          <w:p>
            <w:pPr>
              <w:ind w:leftChars="0" w:left="0" w:right="0"/>
            </w:pPr>
            <w:r>
              <w:t>TOMG</w:t>
            </w:r>
          </w:p>
        </w:tc>
        <w:tc>
          <w:tcPr>
            <w:cnfStyle w:evenVBand="false" w:oddVBand="true" w:firstColumn="false"/>
            <w:tcW w:w="33.333333%" w:type="pct"/>
          </w:tcPr>
          <w:p>
            <w:pPr>
              <w:ind w:leftChars="0" w:left="0" w:right="0"/>
            </w:pPr>
            <w:r>
              <w:t>TULLETT PREBON EUROPE - OTF - MADRID - GOVERNMENT BONDS - EXCLUDING GILTS</w:t>
            </w:r>
          </w:p>
        </w:tc>
      </w:tr>
      <w:tr>
        <w:trPr>
          <w:cnfStyle w:evenHBand="true" w:oddHBand="false" w:firstRow="false"/>
        </w:trPr>
        <w:tc>
          <w:tcPr>
            <w:cnfStyle w:evenVBand="false" w:oddVBand="true" w:firstColumn="false"/>
            <w:tcW w:w="33.333333%" w:type="pct"/>
          </w:tcPr>
          <w:p>
            <w:pPr>
              <w:ind w:leftChars="0" w:left="0" w:right="0"/>
            </w:pPr>
            <w:r>
              <w:t>TOMX</w:t>
            </w:r>
          </w:p>
        </w:tc>
        <w:tc>
          <w:tcPr>
            <w:cnfStyle w:evenVBand="true" w:oddVBand="false" w:firstColumn="false"/>
            <w:tcW w:w="33.333333%" w:type="pct"/>
          </w:tcPr>
          <w:p>
            <w:pPr>
              <w:ind w:leftChars="0" w:left="0" w:right="0"/>
            </w:pPr>
            <w:r>
              <w:t>TOMX</w:t>
            </w:r>
          </w:p>
        </w:tc>
        <w:tc>
          <w:tcPr>
            <w:cnfStyle w:evenVBand="false" w:oddVBand="true" w:firstColumn="false"/>
            <w:tcW w:w="33.333333%" w:type="pct"/>
          </w:tcPr>
          <w:p>
            <w:pPr>
              <w:ind w:leftChars="0" w:left="0" w:right="0"/>
            </w:pPr>
            <w:r>
              <w:t>TOM MTF CASH MARKETS</w:t>
            </w:r>
          </w:p>
        </w:tc>
      </w:tr>
      <w:tr>
        <w:trPr>
          <w:cnfStyle w:evenHBand="false" w:oddHBand="true" w:firstRow="false"/>
        </w:trPr>
        <w:tc>
          <w:tcPr>
            <w:cnfStyle w:evenVBand="false" w:oddVBand="true" w:firstColumn="false"/>
            <w:tcW w:w="33.333333%" w:type="pct"/>
          </w:tcPr>
          <w:p>
            <w:pPr>
              <w:ind w:leftChars="0" w:left="0" w:right="0"/>
            </w:pPr>
            <w:r>
              <w:t>TOWR</w:t>
            </w:r>
          </w:p>
        </w:tc>
        <w:tc>
          <w:tcPr>
            <w:cnfStyle w:evenVBand="true" w:oddVBand="false" w:firstColumn="false"/>
            <w:tcW w:w="33.333333%" w:type="pct"/>
          </w:tcPr>
          <w:p>
            <w:pPr>
              <w:ind w:leftChars="0" w:left="0" w:right="0"/>
            </w:pPr>
            <w:r>
              <w:t>TOWR</w:t>
            </w:r>
          </w:p>
        </w:tc>
        <w:tc>
          <w:tcPr>
            <w:cnfStyle w:evenVBand="false" w:oddVBand="true" w:firstColumn="false"/>
            <w:tcW w:w="33.333333%" w:type="pct"/>
          </w:tcPr>
          <w:p>
            <w:pPr>
              <w:ind w:leftChars="0" w:left="0" w:right="0"/>
            </w:pPr>
            <w:r>
              <w:t>TOWER RESEARCH CAPITAL EUROPE - SYSTEMATIC INTERNALISER</w:t>
            </w:r>
          </w:p>
        </w:tc>
      </w:tr>
      <w:tr>
        <w:trPr>
          <w:cnfStyle w:evenHBand="true" w:oddHBand="false" w:firstRow="false"/>
        </w:trPr>
        <w:tc>
          <w:tcPr>
            <w:cnfStyle w:evenVBand="false" w:oddVBand="true" w:firstColumn="false"/>
            <w:tcW w:w="33.333333%" w:type="pct"/>
          </w:tcPr>
          <w:p>
            <w:pPr>
              <w:ind w:leftChars="0" w:left="0" w:right="0"/>
            </w:pPr>
            <w:r>
              <w:t>TPCD</w:t>
            </w:r>
          </w:p>
        </w:tc>
        <w:tc>
          <w:tcPr>
            <w:cnfStyle w:evenVBand="true" w:oddVBand="false" w:firstColumn="false"/>
            <w:tcW w:w="33.333333%" w:type="pct"/>
          </w:tcPr>
          <w:p>
            <w:pPr>
              <w:ind w:leftChars="0" w:left="0" w:right="0"/>
            </w:pPr>
            <w:r>
              <w:t>TPCD</w:t>
            </w:r>
          </w:p>
        </w:tc>
        <w:tc>
          <w:tcPr>
            <w:cnfStyle w:evenVBand="false" w:oddVBand="true" w:firstColumn="false"/>
            <w:tcW w:w="33.333333%" w:type="pct"/>
          </w:tcPr>
          <w:p>
            <w:pPr>
              <w:ind w:leftChars="0" w:left="0" w:right="0"/>
            </w:pPr>
            <w:r>
              <w:t>TULLETT PREBON PLC - TP CREDITDEAL</w:t>
            </w:r>
          </w:p>
        </w:tc>
      </w:tr>
      <w:tr>
        <w:trPr>
          <w:cnfStyle w:evenHBand="false" w:oddHBand="true" w:firstRow="false"/>
        </w:trPr>
        <w:tc>
          <w:tcPr>
            <w:cnfStyle w:evenVBand="false" w:oddVBand="true" w:firstColumn="false"/>
            <w:tcW w:w="33.333333%" w:type="pct"/>
          </w:tcPr>
          <w:p>
            <w:pPr>
              <w:ind w:leftChars="0" w:left="0" w:right="0"/>
            </w:pPr>
            <w:r>
              <w:t>TPDE</w:t>
            </w:r>
          </w:p>
        </w:tc>
        <w:tc>
          <w:tcPr>
            <w:cnfStyle w:evenVBand="true" w:oddVBand="false" w:firstColumn="false"/>
            <w:tcW w:w="33.333333%" w:type="pct"/>
          </w:tcPr>
          <w:p>
            <w:pPr>
              <w:ind w:leftChars="0" w:left="0" w:right="0"/>
            </w:pPr>
            <w:r>
              <w:t>TPDE</w:t>
            </w:r>
          </w:p>
        </w:tc>
        <w:tc>
          <w:tcPr>
            <w:cnfStyle w:evenVBand="false" w:oddVBand="true" w:firstColumn="false"/>
            <w:tcW w:w="33.333333%" w:type="pct"/>
          </w:tcPr>
          <w:p>
            <w:pPr>
              <w:ind w:leftChars="0" w:left="0" w:right="0"/>
            </w:pPr>
            <w:r>
              <w:t>TULLETT PREBON SECURITIES - FRANKFURT - OTF</w:t>
            </w:r>
          </w:p>
        </w:tc>
      </w:tr>
      <w:tr>
        <w:trPr>
          <w:cnfStyle w:evenHBand="true" w:oddHBand="false" w:firstRow="false"/>
        </w:trPr>
        <w:tc>
          <w:tcPr>
            <w:cnfStyle w:evenVBand="false" w:oddVBand="true" w:firstColumn="false"/>
            <w:tcW w:w="33.333333%" w:type="pct"/>
          </w:tcPr>
          <w:p>
            <w:pPr>
              <w:ind w:leftChars="0" w:left="0" w:right="0"/>
            </w:pPr>
            <w:r>
              <w:t>TPEE</w:t>
            </w:r>
          </w:p>
        </w:tc>
        <w:tc>
          <w:tcPr>
            <w:cnfStyle w:evenVBand="true" w:oddVBand="false" w:firstColumn="false"/>
            <w:tcW w:w="33.333333%" w:type="pct"/>
          </w:tcPr>
          <w:p>
            <w:pPr>
              <w:ind w:leftChars="0" w:left="0" w:right="0"/>
            </w:pPr>
            <w:r>
              <w:t>TPEE</w:t>
            </w:r>
          </w:p>
        </w:tc>
        <w:tc>
          <w:tcPr>
            <w:cnfStyle w:evenVBand="false" w:oddVBand="true" w:firstColumn="false"/>
            <w:tcW w:w="33.333333%" w:type="pct"/>
          </w:tcPr>
          <w:p>
            <w:pPr>
              <w:ind w:leftChars="0" w:left="0" w:right="0"/>
            </w:pPr>
            <w:r>
              <w:t>TP ICAP EU - MTF - EQUITY AND ETF</w:t>
            </w:r>
          </w:p>
        </w:tc>
      </w:tr>
      <w:tr>
        <w:trPr>
          <w:cnfStyle w:evenHBand="false" w:oddHBand="true" w:firstRow="false"/>
        </w:trPr>
        <w:tc>
          <w:tcPr>
            <w:cnfStyle w:evenVBand="false" w:oddVBand="true" w:firstColumn="false"/>
            <w:tcW w:w="33.333333%" w:type="pct"/>
          </w:tcPr>
          <w:p>
            <w:pPr>
              <w:ind w:leftChars="0" w:left="0" w:right="0"/>
            </w:pPr>
            <w:r>
              <w:t>TPEL</w:t>
            </w:r>
          </w:p>
        </w:tc>
        <w:tc>
          <w:tcPr>
            <w:cnfStyle w:evenVBand="true" w:oddVBand="false" w:firstColumn="false"/>
            <w:tcW w:w="33.333333%" w:type="pct"/>
          </w:tcPr>
          <w:p>
            <w:pPr>
              <w:ind w:leftChars="0" w:left="0" w:right="0"/>
            </w:pPr>
            <w:r>
              <w:t>TPEL</w:t>
            </w:r>
          </w:p>
        </w:tc>
        <w:tc>
          <w:tcPr>
            <w:cnfStyle w:evenVBand="false" w:oddVBand="true" w:firstColumn="false"/>
            <w:tcW w:w="33.333333%" w:type="pct"/>
          </w:tcPr>
          <w:p>
            <w:pPr>
              <w:ind w:leftChars="0" w:left="0" w:right="0"/>
            </w:pPr>
            <w:r>
              <w:t>TULLETT PREBON (EUROPE) LIMITED</w:t>
            </w:r>
          </w:p>
        </w:tc>
      </w:tr>
      <w:tr>
        <w:trPr>
          <w:cnfStyle w:evenHBand="true" w:oddHBand="false" w:firstRow="false"/>
        </w:trPr>
        <w:tc>
          <w:tcPr>
            <w:cnfStyle w:evenVBand="false" w:oddVBand="true" w:firstColumn="false"/>
            <w:tcW w:w="33.333333%" w:type="pct"/>
          </w:tcPr>
          <w:p>
            <w:pPr>
              <w:ind w:leftChars="0" w:left="0" w:right="0"/>
            </w:pPr>
            <w:r>
              <w:t>TPEO</w:t>
            </w:r>
          </w:p>
        </w:tc>
        <w:tc>
          <w:tcPr>
            <w:cnfStyle w:evenVBand="true" w:oddVBand="false" w:firstColumn="false"/>
            <w:tcW w:w="33.333333%" w:type="pct"/>
          </w:tcPr>
          <w:p>
            <w:pPr>
              <w:ind w:leftChars="0" w:left="0" w:right="0"/>
            </w:pPr>
            <w:r>
              <w:t>TPEO</w:t>
            </w:r>
          </w:p>
        </w:tc>
        <w:tc>
          <w:tcPr>
            <w:cnfStyle w:evenVBand="false" w:oddVBand="true" w:firstColumn="false"/>
            <w:tcW w:w="33.333333%" w:type="pct"/>
          </w:tcPr>
          <w:p>
            <w:pPr>
              <w:ind w:leftChars="0" w:left="0" w:right="0"/>
            </w:pPr>
            <w:r>
              <w:t>TULLETT PREBON EUROPE - OTF</w:t>
            </w:r>
          </w:p>
        </w:tc>
      </w:tr>
      <w:tr>
        <w:trPr>
          <w:cnfStyle w:evenHBand="false" w:oddHBand="true" w:firstRow="false"/>
        </w:trPr>
        <w:tc>
          <w:tcPr>
            <w:cnfStyle w:evenVBand="false" w:oddVBand="true" w:firstColumn="false"/>
            <w:tcW w:w="33.333333%" w:type="pct"/>
          </w:tcPr>
          <w:p>
            <w:pPr>
              <w:ind w:leftChars="0" w:left="0" w:right="0"/>
            </w:pPr>
            <w:r>
              <w:t>TPEQ</w:t>
            </w:r>
          </w:p>
        </w:tc>
        <w:tc>
          <w:tcPr>
            <w:cnfStyle w:evenVBand="true" w:oddVBand="false" w:firstColumn="false"/>
            <w:tcW w:w="33.333333%" w:type="pct"/>
          </w:tcPr>
          <w:p>
            <w:pPr>
              <w:ind w:leftChars="0" w:left="0" w:right="0"/>
            </w:pPr>
            <w:r>
              <w:t>TPEQ</w:t>
            </w:r>
          </w:p>
        </w:tc>
        <w:tc>
          <w:tcPr>
            <w:cnfStyle w:evenVBand="false" w:oddVBand="true" w:firstColumn="false"/>
            <w:tcW w:w="33.333333%" w:type="pct"/>
          </w:tcPr>
          <w:p>
            <w:pPr>
              <w:ind w:leftChars="0" w:left="0" w:right="0"/>
            </w:pPr>
            <w:r>
              <w:t>TULLETT PREBON PLC - TP EQUITYTRADE</w:t>
            </w:r>
          </w:p>
        </w:tc>
      </w:tr>
      <w:tr>
        <w:trPr>
          <w:cnfStyle w:evenHBand="true" w:oddHBand="false" w:firstRow="false"/>
        </w:trPr>
        <w:tc>
          <w:tcPr>
            <w:cnfStyle w:evenVBand="false" w:oddVBand="true" w:firstColumn="false"/>
            <w:tcW w:w="33.333333%" w:type="pct"/>
          </w:tcPr>
          <w:p>
            <w:pPr>
              <w:ind w:leftChars="0" w:left="0" w:right="0"/>
            </w:pPr>
            <w:r>
              <w:t>TPER</w:t>
            </w:r>
          </w:p>
        </w:tc>
        <w:tc>
          <w:tcPr>
            <w:cnfStyle w:evenVBand="true" w:oddVBand="false" w:firstColumn="false"/>
            <w:tcW w:w="33.333333%" w:type="pct"/>
          </w:tcPr>
          <w:p>
            <w:pPr>
              <w:ind w:leftChars="0" w:left="0" w:right="0"/>
            </w:pPr>
            <w:r>
              <w:t>TPER</w:t>
            </w:r>
          </w:p>
        </w:tc>
        <w:tc>
          <w:tcPr>
            <w:cnfStyle w:evenVBand="false" w:oddVBand="true" w:firstColumn="false"/>
            <w:tcW w:w="33.333333%" w:type="pct"/>
          </w:tcPr>
          <w:p>
            <w:pPr>
              <w:ind w:leftChars="0" w:left="0" w:right="0"/>
            </w:pPr>
            <w:r>
              <w:t>TULLETT PREBON EU OTF - REGISTRATION</w:t>
            </w:r>
          </w:p>
        </w:tc>
      </w:tr>
      <w:tr>
        <w:trPr>
          <w:cnfStyle w:evenHBand="false" w:oddHBand="true" w:firstRow="false"/>
        </w:trPr>
        <w:tc>
          <w:tcPr>
            <w:cnfStyle w:evenVBand="false" w:oddVBand="true" w:firstColumn="false"/>
            <w:tcW w:w="33.333333%" w:type="pct"/>
          </w:tcPr>
          <w:p>
            <w:pPr>
              <w:ind w:leftChars="0" w:left="0" w:right="0"/>
            </w:pPr>
            <w:r>
              <w:t>TPES</w:t>
            </w:r>
          </w:p>
        </w:tc>
        <w:tc>
          <w:tcPr>
            <w:cnfStyle w:evenVBand="true" w:oddVBand="false" w:firstColumn="false"/>
            <w:tcW w:w="33.333333%" w:type="pct"/>
          </w:tcPr>
          <w:p>
            <w:pPr>
              <w:ind w:leftChars="0" w:left="0" w:right="0"/>
            </w:pPr>
            <w:r>
              <w:t>TPES</w:t>
            </w:r>
          </w:p>
        </w:tc>
        <w:tc>
          <w:tcPr>
            <w:cnfStyle w:evenVBand="false" w:oddVBand="true" w:firstColumn="false"/>
            <w:tcW w:w="33.333333%" w:type="pct"/>
          </w:tcPr>
          <w:p>
            <w:pPr>
              <w:ind w:leftChars="0" w:left="0" w:right="0"/>
            </w:pPr>
            <w:r>
              <w:t>TULLETT PREBON EUROPE - OTF - MADRID</w:t>
            </w:r>
          </w:p>
        </w:tc>
      </w:tr>
      <w:tr>
        <w:trPr>
          <w:cnfStyle w:evenHBand="true" w:oddHBand="false" w:firstRow="false"/>
        </w:trPr>
        <w:tc>
          <w:tcPr>
            <w:cnfStyle w:evenVBand="false" w:oddVBand="true" w:firstColumn="false"/>
            <w:tcW w:w="33.333333%" w:type="pct"/>
          </w:tcPr>
          <w:p>
            <w:pPr>
              <w:ind w:leftChars="0" w:left="0" w:right="0"/>
            </w:pPr>
            <w:r>
              <w:t>TPEU</w:t>
            </w:r>
          </w:p>
        </w:tc>
        <w:tc>
          <w:tcPr>
            <w:cnfStyle w:evenVBand="true" w:oddVBand="false" w:firstColumn="false"/>
            <w:tcW w:w="33.333333%" w:type="pct"/>
          </w:tcPr>
          <w:p>
            <w:pPr>
              <w:ind w:leftChars="0" w:left="0" w:right="0"/>
            </w:pPr>
            <w:r>
              <w:t>TPEU</w:t>
            </w:r>
          </w:p>
        </w:tc>
        <w:tc>
          <w:tcPr>
            <w:cnfStyle w:evenVBand="false" w:oddVBand="true" w:firstColumn="false"/>
            <w:tcW w:w="33.333333%" w:type="pct"/>
          </w:tcPr>
          <w:p>
            <w:pPr>
              <w:ind w:leftChars="0" w:left="0" w:right="0"/>
            </w:pPr>
            <w:r>
              <w:t>TULLETT PREBON EU OTF</w:t>
            </w:r>
          </w:p>
        </w:tc>
      </w:tr>
      <w:tr>
        <w:trPr>
          <w:cnfStyle w:evenHBand="false" w:oddHBand="true" w:firstRow="false"/>
        </w:trPr>
        <w:tc>
          <w:tcPr>
            <w:cnfStyle w:evenVBand="false" w:oddVBand="true" w:firstColumn="false"/>
            <w:tcW w:w="33.333333%" w:type="pct"/>
          </w:tcPr>
          <w:p>
            <w:pPr>
              <w:ind w:leftChars="0" w:left="0" w:right="0"/>
            </w:pPr>
            <w:r>
              <w:t>TPFD</w:t>
            </w:r>
          </w:p>
        </w:tc>
        <w:tc>
          <w:tcPr>
            <w:cnfStyle w:evenVBand="true" w:oddVBand="false" w:firstColumn="false"/>
            <w:tcW w:w="33.333333%" w:type="pct"/>
          </w:tcPr>
          <w:p>
            <w:pPr>
              <w:ind w:leftChars="0" w:left="0" w:right="0"/>
            </w:pPr>
            <w:r>
              <w:t>TPFD</w:t>
            </w:r>
          </w:p>
        </w:tc>
        <w:tc>
          <w:tcPr>
            <w:cnfStyle w:evenVBand="false" w:oddVBand="true" w:firstColumn="false"/>
            <w:tcW w:w="33.333333%" w:type="pct"/>
          </w:tcPr>
          <w:p>
            <w:pPr>
              <w:ind w:leftChars="0" w:left="0" w:right="0"/>
            </w:pPr>
            <w:r>
              <w:t>TULLETT PREBON PLC - TP FORWARDDEAL</w:t>
            </w:r>
          </w:p>
        </w:tc>
      </w:tr>
      <w:tr>
        <w:trPr>
          <w:cnfStyle w:evenHBand="true" w:oddHBand="false" w:firstRow="false"/>
        </w:trPr>
        <w:tc>
          <w:tcPr>
            <w:cnfStyle w:evenVBand="false" w:oddVBand="true" w:firstColumn="false"/>
            <w:tcW w:w="33.333333%" w:type="pct"/>
          </w:tcPr>
          <w:p>
            <w:pPr>
              <w:ind w:leftChars="0" w:left="0" w:right="0"/>
            </w:pPr>
            <w:r>
              <w:t>TPFR</w:t>
            </w:r>
          </w:p>
        </w:tc>
        <w:tc>
          <w:tcPr>
            <w:cnfStyle w:evenVBand="true" w:oddVBand="false" w:firstColumn="false"/>
            <w:tcW w:w="33.333333%" w:type="pct"/>
          </w:tcPr>
          <w:p>
            <w:pPr>
              <w:ind w:leftChars="0" w:left="0" w:right="0"/>
            </w:pPr>
            <w:r>
              <w:t>TPFR</w:t>
            </w:r>
          </w:p>
        </w:tc>
        <w:tc>
          <w:tcPr>
            <w:cnfStyle w:evenVBand="false" w:oddVBand="true" w:firstColumn="false"/>
            <w:tcW w:w="33.333333%" w:type="pct"/>
          </w:tcPr>
          <w:p>
            <w:pPr>
              <w:ind w:leftChars="0" w:left="0" w:right="0"/>
            </w:pPr>
            <w:r>
              <w:t>TULLETT PREBON EUROPE - OTF - PARIS</w:t>
            </w:r>
          </w:p>
        </w:tc>
      </w:tr>
      <w:tr>
        <w:trPr>
          <w:cnfStyle w:evenHBand="false" w:oddHBand="true" w:firstRow="false"/>
        </w:trPr>
        <w:tc>
          <w:tcPr>
            <w:cnfStyle w:evenVBand="false" w:oddVBand="true" w:firstColumn="false"/>
            <w:tcW w:w="33.333333%" w:type="pct"/>
          </w:tcPr>
          <w:p>
            <w:pPr>
              <w:ind w:leftChars="0" w:left="0" w:right="0"/>
            </w:pPr>
            <w:r>
              <w:t>TPIC</w:t>
            </w:r>
          </w:p>
        </w:tc>
        <w:tc>
          <w:tcPr>
            <w:cnfStyle w:evenVBand="true" w:oddVBand="false" w:firstColumn="false"/>
            <w:tcW w:w="33.333333%" w:type="pct"/>
          </w:tcPr>
          <w:p>
            <w:pPr>
              <w:ind w:leftChars="0" w:left="0" w:right="0"/>
            </w:pPr>
            <w:r>
              <w:t>TPIC</w:t>
            </w:r>
          </w:p>
        </w:tc>
        <w:tc>
          <w:tcPr>
            <w:cnfStyle w:evenVBand="false" w:oddVBand="true" w:firstColumn="false"/>
            <w:tcW w:w="33.333333%" w:type="pct"/>
          </w:tcPr>
          <w:p>
            <w:pPr>
              <w:ind w:leftChars="0" w:left="0" w:right="0"/>
            </w:pPr>
            <w:r>
              <w:t>TP ICAP EU - MTF</w:t>
            </w:r>
          </w:p>
        </w:tc>
      </w:tr>
      <w:tr>
        <w:trPr>
          <w:cnfStyle w:evenHBand="true" w:oddHBand="false" w:firstRow="false"/>
        </w:trPr>
        <w:tc>
          <w:tcPr>
            <w:cnfStyle w:evenVBand="false" w:oddVBand="true" w:firstColumn="false"/>
            <w:tcW w:w="33.333333%" w:type="pct"/>
          </w:tcPr>
          <w:p>
            <w:pPr>
              <w:ind w:leftChars="0" w:left="0" w:right="0"/>
            </w:pPr>
            <w:r>
              <w:t>TPID</w:t>
            </w:r>
          </w:p>
        </w:tc>
        <w:tc>
          <w:tcPr>
            <w:cnfStyle w:evenVBand="true" w:oddVBand="false" w:firstColumn="false"/>
            <w:tcW w:w="33.333333%" w:type="pct"/>
          </w:tcPr>
          <w:p>
            <w:pPr>
              <w:ind w:leftChars="0" w:left="0" w:right="0"/>
            </w:pPr>
            <w:r>
              <w:t>TPID</w:t>
            </w:r>
          </w:p>
        </w:tc>
        <w:tc>
          <w:tcPr>
            <w:cnfStyle w:evenVBand="false" w:oddVBand="true" w:firstColumn="false"/>
            <w:tcW w:w="33.333333%" w:type="pct"/>
          </w:tcPr>
          <w:p>
            <w:pPr>
              <w:ind w:leftChars="0" w:left="0" w:right="0"/>
            </w:pPr>
            <w:r>
              <w:t>TP ICAP - UK - DIGITAL ASSETS</w:t>
            </w:r>
          </w:p>
        </w:tc>
      </w:tr>
      <w:tr>
        <w:trPr>
          <w:cnfStyle w:evenHBand="false" w:oddHBand="true" w:firstRow="false"/>
        </w:trPr>
        <w:tc>
          <w:tcPr>
            <w:cnfStyle w:evenVBand="false" w:oddVBand="true" w:firstColumn="false"/>
            <w:tcW w:w="33.333333%" w:type="pct"/>
          </w:tcPr>
          <w:p>
            <w:pPr>
              <w:ind w:leftChars="0" w:left="0" w:right="0"/>
            </w:pPr>
            <w:r>
              <w:t>TPIE</w:t>
            </w:r>
          </w:p>
        </w:tc>
        <w:tc>
          <w:tcPr>
            <w:cnfStyle w:evenVBand="true" w:oddVBand="false" w:firstColumn="false"/>
            <w:tcW w:w="33.333333%" w:type="pct"/>
          </w:tcPr>
          <w:p>
            <w:pPr>
              <w:ind w:leftChars="0" w:left="0" w:right="0"/>
            </w:pPr>
            <w:r>
              <w:t>TPIE</w:t>
            </w:r>
          </w:p>
        </w:tc>
        <w:tc>
          <w:tcPr>
            <w:cnfStyle w:evenVBand="false" w:oddVBand="true" w:firstColumn="false"/>
            <w:tcW w:w="33.333333%" w:type="pct"/>
          </w:tcPr>
          <w:p>
            <w:pPr>
              <w:ind w:leftChars="0" w:left="0" w:right="0"/>
            </w:pPr>
            <w:r>
              <w:t>THE PROPERTY INVESTMENT EXCHANGE</w:t>
            </w:r>
          </w:p>
        </w:tc>
      </w:tr>
      <w:tr>
        <w:trPr>
          <w:cnfStyle w:evenHBand="true" w:oddHBand="false" w:firstRow="false"/>
        </w:trPr>
        <w:tc>
          <w:tcPr>
            <w:cnfStyle w:evenVBand="false" w:oddVBand="true" w:firstColumn="false"/>
            <w:tcW w:w="33.333333%" w:type="pct"/>
          </w:tcPr>
          <w:p>
            <w:pPr>
              <w:ind w:leftChars="0" w:left="0" w:right="0"/>
            </w:pPr>
            <w:r>
              <w:t>TPIM</w:t>
            </w:r>
          </w:p>
        </w:tc>
        <w:tc>
          <w:tcPr>
            <w:cnfStyle w:evenVBand="true" w:oddVBand="false" w:firstColumn="false"/>
            <w:tcW w:w="33.333333%" w:type="pct"/>
          </w:tcPr>
          <w:p>
            <w:pPr>
              <w:ind w:leftChars="0" w:left="0" w:right="0"/>
            </w:pPr>
            <w:r>
              <w:t>TPIM</w:t>
            </w:r>
          </w:p>
        </w:tc>
        <w:tc>
          <w:tcPr>
            <w:cnfStyle w:evenVBand="false" w:oddVBand="true" w:firstColumn="false"/>
            <w:tcW w:w="33.333333%" w:type="pct"/>
          </w:tcPr>
          <w:p>
            <w:pPr>
              <w:ind w:leftChars="0" w:left="0" w:right="0"/>
            </w:pPr>
            <w:r>
              <w:t>THE PROPERTY INVESTMENT MARKET</w:t>
            </w:r>
          </w:p>
        </w:tc>
      </w:tr>
      <w:tr>
        <w:trPr>
          <w:cnfStyle w:evenHBand="false" w:oddHBand="true" w:firstRow="false"/>
        </w:trPr>
        <w:tc>
          <w:tcPr>
            <w:cnfStyle w:evenVBand="false" w:oddVBand="true" w:firstColumn="false"/>
            <w:tcW w:w="33.333333%" w:type="pct"/>
          </w:tcPr>
          <w:p>
            <w:pPr>
              <w:ind w:leftChars="0" w:left="0" w:right="0"/>
            </w:pPr>
            <w:r>
              <w:t>TPIO</w:t>
            </w:r>
          </w:p>
        </w:tc>
        <w:tc>
          <w:tcPr>
            <w:cnfStyle w:evenVBand="true" w:oddVBand="false" w:firstColumn="false"/>
            <w:tcW w:w="33.333333%" w:type="pct"/>
          </w:tcPr>
          <w:p>
            <w:pPr>
              <w:ind w:leftChars="0" w:left="0" w:right="0"/>
            </w:pPr>
            <w:r>
              <w:t>TPIO</w:t>
            </w:r>
          </w:p>
        </w:tc>
        <w:tc>
          <w:tcPr>
            <w:cnfStyle w:evenVBand="false" w:oddVBand="true" w:firstColumn="false"/>
            <w:tcW w:w="33.333333%" w:type="pct"/>
          </w:tcPr>
          <w:p>
            <w:pPr>
              <w:ind w:leftChars="0" w:left="0" w:right="0"/>
            </w:pPr>
            <w:r>
              <w:t>TP ICAP EU - MTF - ORDERBOOK</w:t>
            </w:r>
          </w:p>
        </w:tc>
      </w:tr>
      <w:tr>
        <w:trPr>
          <w:cnfStyle w:evenHBand="true" w:oddHBand="false" w:firstRow="false"/>
        </w:trPr>
        <w:tc>
          <w:tcPr>
            <w:cnfStyle w:evenVBand="false" w:oddVBand="true" w:firstColumn="false"/>
            <w:tcW w:w="33.333333%" w:type="pct"/>
          </w:tcPr>
          <w:p>
            <w:pPr>
              <w:ind w:leftChars="0" w:left="0" w:right="0"/>
            </w:pPr>
            <w:r>
              <w:t>TPIR</w:t>
            </w:r>
          </w:p>
        </w:tc>
        <w:tc>
          <w:tcPr>
            <w:cnfStyle w:evenVBand="true" w:oddVBand="false" w:firstColumn="false"/>
            <w:tcW w:w="33.333333%" w:type="pct"/>
          </w:tcPr>
          <w:p>
            <w:pPr>
              <w:ind w:leftChars="0" w:left="0" w:right="0"/>
            </w:pPr>
            <w:r>
              <w:t>TPIR</w:t>
            </w:r>
          </w:p>
        </w:tc>
        <w:tc>
          <w:tcPr>
            <w:cnfStyle w:evenVBand="false" w:oddVBand="true" w:firstColumn="false"/>
            <w:tcW w:w="33.333333%" w:type="pct"/>
          </w:tcPr>
          <w:p>
            <w:pPr>
              <w:ind w:leftChars="0" w:left="0" w:right="0"/>
            </w:pPr>
            <w:r>
              <w:t>TP ICAP EU - MTF - REGISTRATION</w:t>
            </w:r>
          </w:p>
        </w:tc>
      </w:tr>
      <w:tr>
        <w:trPr>
          <w:cnfStyle w:evenHBand="false" w:oddHBand="true" w:firstRow="false"/>
        </w:trPr>
        <w:tc>
          <w:tcPr>
            <w:cnfStyle w:evenVBand="false" w:oddVBand="true" w:firstColumn="false"/>
            <w:tcW w:w="33.333333%" w:type="pct"/>
          </w:tcPr>
          <w:p>
            <w:pPr>
              <w:ind w:leftChars="0" w:left="0" w:right="0"/>
            </w:pPr>
            <w:r>
              <w:t>TPIS</w:t>
            </w:r>
          </w:p>
        </w:tc>
        <w:tc>
          <w:tcPr>
            <w:cnfStyle w:evenVBand="true" w:oddVBand="false" w:firstColumn="false"/>
            <w:tcW w:w="33.333333%" w:type="pct"/>
          </w:tcPr>
          <w:p>
            <w:pPr>
              <w:ind w:leftChars="0" w:left="0" w:right="0"/>
            </w:pPr>
            <w:r>
              <w:t>TPIS</w:t>
            </w:r>
          </w:p>
        </w:tc>
        <w:tc>
          <w:tcPr>
            <w:cnfStyle w:evenVBand="false" w:oddVBand="true" w:firstColumn="false"/>
            <w:tcW w:w="33.333333%" w:type="pct"/>
          </w:tcPr>
          <w:p>
            <w:pPr>
              <w:ind w:leftChars="0" w:left="0" w:right="0"/>
            </w:pPr>
            <w:r>
              <w:t>TULLETT PREBON - INSTITUTIONAL SERVICES - OTF</w:t>
            </w:r>
          </w:p>
        </w:tc>
      </w:tr>
      <w:tr>
        <w:trPr>
          <w:cnfStyle w:evenHBand="true" w:oddHBand="false" w:firstRow="false"/>
        </w:trPr>
        <w:tc>
          <w:tcPr>
            <w:cnfStyle w:evenVBand="false" w:oddVBand="true" w:firstColumn="false"/>
            <w:tcW w:w="33.333333%" w:type="pct"/>
          </w:tcPr>
          <w:p>
            <w:pPr>
              <w:ind w:leftChars="0" w:left="0" w:right="0"/>
            </w:pPr>
            <w:r>
              <w:t>TPLF</w:t>
            </w:r>
          </w:p>
        </w:tc>
        <w:tc>
          <w:tcPr>
            <w:cnfStyle w:evenVBand="true" w:oddVBand="false" w:firstColumn="false"/>
            <w:tcW w:w="33.333333%" w:type="pct"/>
          </w:tcPr>
          <w:p>
            <w:pPr>
              <w:ind w:leftChars="0" w:left="0" w:right="0"/>
            </w:pPr>
            <w:r>
              <w:t>TPLF</w:t>
            </w:r>
          </w:p>
        </w:tc>
        <w:tc>
          <w:tcPr>
            <w:cnfStyle w:evenVBand="false" w:oddVBand="true" w:firstColumn="false"/>
            <w:tcW w:w="33.333333%" w:type="pct"/>
          </w:tcPr>
          <w:p>
            <w:pPr>
              <w:ind w:leftChars="0" w:left="0" w:right="0"/>
            </w:pPr>
            <w:r>
              <w:t>TULLETT PREBON - INSTITUTIONAL SERVICES - LIQUIDITY CHAIN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TPMF</w:t>
            </w:r>
          </w:p>
        </w:tc>
        <w:tc>
          <w:tcPr>
            <w:cnfStyle w:evenVBand="true" w:oddVBand="false" w:firstColumn="false"/>
            <w:tcW w:w="33.333333%" w:type="pct"/>
          </w:tcPr>
          <w:p>
            <w:pPr>
              <w:ind w:leftChars="0" w:left="0" w:right="0"/>
            </w:pPr>
            <w:r>
              <w:t>TPMF</w:t>
            </w:r>
          </w:p>
        </w:tc>
        <w:tc>
          <w:tcPr>
            <w:cnfStyle w:evenVBand="false" w:oddVBand="true" w:firstColumn="false"/>
            <w:tcW w:w="33.333333%" w:type="pct"/>
          </w:tcPr>
          <w:p>
            <w:pPr>
              <w:ind w:leftChars="0" w:left="0" w:right="0"/>
            </w:pPr>
            <w:r>
              <w:t>TULLETT PREBON - INSTITUTIONAL SERVICES - MIREXA - OTF - CORPORATE BONDS AND SECURITISED DEBT</w:t>
            </w:r>
          </w:p>
        </w:tc>
      </w:tr>
      <w:tr>
        <w:trPr>
          <w:cnfStyle w:evenHBand="true" w:oddHBand="false" w:firstRow="false"/>
        </w:trPr>
        <w:tc>
          <w:tcPr>
            <w:cnfStyle w:evenVBand="false" w:oddVBand="true" w:firstColumn="false"/>
            <w:tcW w:w="33.333333%" w:type="pct"/>
          </w:tcPr>
          <w:p>
            <w:pPr>
              <w:ind w:leftChars="0" w:left="0" w:right="0"/>
            </w:pPr>
            <w:r>
              <w:t>TPMG</w:t>
            </w:r>
          </w:p>
        </w:tc>
        <w:tc>
          <w:tcPr>
            <w:cnfStyle w:evenVBand="true" w:oddVBand="false" w:firstColumn="false"/>
            <w:tcW w:w="33.333333%" w:type="pct"/>
          </w:tcPr>
          <w:p>
            <w:pPr>
              <w:ind w:leftChars="0" w:left="0" w:right="0"/>
            </w:pPr>
            <w:r>
              <w:t>TPMG</w:t>
            </w:r>
          </w:p>
        </w:tc>
        <w:tc>
          <w:tcPr>
            <w:cnfStyle w:evenVBand="false" w:oddVBand="true" w:firstColumn="false"/>
            <w:tcW w:w="33.333333%" w:type="pct"/>
          </w:tcPr>
          <w:p>
            <w:pPr>
              <w:ind w:leftChars="0" w:left="0" w:right="0"/>
            </w:pPr>
            <w:r>
              <w:t>TULLETT PREBON - INSTITUTIONAL SERVICES - MIREXA - OTF - GOVERNMENT BONDS</w:t>
            </w:r>
          </w:p>
        </w:tc>
      </w:tr>
      <w:tr>
        <w:trPr>
          <w:cnfStyle w:evenHBand="false" w:oddHBand="true" w:firstRow="false"/>
        </w:trPr>
        <w:tc>
          <w:tcPr>
            <w:cnfStyle w:evenVBand="false" w:oddVBand="true" w:firstColumn="false"/>
            <w:tcW w:w="33.333333%" w:type="pct"/>
          </w:tcPr>
          <w:p>
            <w:pPr>
              <w:ind w:leftChars="0" w:left="0" w:right="0"/>
            </w:pPr>
            <w:r>
              <w:t>TPRE</w:t>
            </w:r>
          </w:p>
        </w:tc>
        <w:tc>
          <w:tcPr>
            <w:cnfStyle w:evenVBand="true" w:oddVBand="false" w:firstColumn="false"/>
            <w:tcW w:w="33.333333%" w:type="pct"/>
          </w:tcPr>
          <w:p>
            <w:pPr>
              <w:ind w:leftChars="0" w:left="0" w:right="0"/>
            </w:pPr>
            <w:r>
              <w:t>TPRE</w:t>
            </w:r>
          </w:p>
        </w:tc>
        <w:tc>
          <w:tcPr>
            <w:cnfStyle w:evenVBand="false" w:oddVBand="true" w:firstColumn="false"/>
            <w:tcW w:w="33.333333%" w:type="pct"/>
          </w:tcPr>
          <w:p>
            <w:pPr>
              <w:ind w:leftChars="0" w:left="0" w:right="0"/>
            </w:pPr>
            <w:r>
              <w:t>TULLETT PREBON PLC - TP REPO</w:t>
            </w:r>
          </w:p>
        </w:tc>
      </w:tr>
      <w:tr>
        <w:trPr>
          <w:cnfStyle w:evenHBand="true" w:oddHBand="false" w:firstRow="false"/>
        </w:trPr>
        <w:tc>
          <w:tcPr>
            <w:cnfStyle w:evenVBand="false" w:oddVBand="true" w:firstColumn="false"/>
            <w:tcW w:w="33.333333%" w:type="pct"/>
          </w:tcPr>
          <w:p>
            <w:pPr>
              <w:ind w:leftChars="0" w:left="0" w:right="0"/>
            </w:pPr>
            <w:r>
              <w:t>TPSD</w:t>
            </w:r>
          </w:p>
        </w:tc>
        <w:tc>
          <w:tcPr>
            <w:cnfStyle w:evenVBand="true" w:oddVBand="false" w:firstColumn="false"/>
            <w:tcW w:w="33.333333%" w:type="pct"/>
          </w:tcPr>
          <w:p>
            <w:pPr>
              <w:ind w:leftChars="0" w:left="0" w:right="0"/>
            </w:pPr>
            <w:r>
              <w:t>TPSD</w:t>
            </w:r>
          </w:p>
        </w:tc>
        <w:tc>
          <w:tcPr>
            <w:cnfStyle w:evenVBand="false" w:oddVBand="true" w:firstColumn="false"/>
            <w:tcW w:w="33.333333%" w:type="pct"/>
          </w:tcPr>
          <w:p>
            <w:pPr>
              <w:ind w:leftChars="0" w:left="0" w:right="0"/>
            </w:pPr>
            <w:r>
              <w:t>TULLETT PREBON PLC - TP SWAPDEAL</w:t>
            </w:r>
          </w:p>
        </w:tc>
      </w:tr>
      <w:tr>
        <w:trPr>
          <w:cnfStyle w:evenHBand="false" w:oddHBand="true" w:firstRow="false"/>
        </w:trPr>
        <w:tc>
          <w:tcPr>
            <w:cnfStyle w:evenVBand="false" w:oddVBand="true" w:firstColumn="false"/>
            <w:tcW w:w="33.333333%" w:type="pct"/>
          </w:tcPr>
          <w:p>
            <w:pPr>
              <w:ind w:leftChars="0" w:left="0" w:right="0"/>
            </w:pPr>
            <w:r>
              <w:t>TPSE</w:t>
            </w:r>
          </w:p>
        </w:tc>
        <w:tc>
          <w:tcPr>
            <w:cnfStyle w:evenVBand="true" w:oddVBand="false" w:firstColumn="false"/>
            <w:tcW w:w="33.333333%" w:type="pct"/>
          </w:tcPr>
          <w:p>
            <w:pPr>
              <w:ind w:leftChars="0" w:left="0" w:right="0"/>
            </w:pPr>
            <w:r>
              <w:t>TPSE</w:t>
            </w:r>
          </w:p>
        </w:tc>
        <w:tc>
          <w:tcPr>
            <w:cnfStyle w:evenVBand="false" w:oddVBand="true" w:firstColumn="false"/>
            <w:tcW w:w="33.333333%" w:type="pct"/>
          </w:tcPr>
          <w:p>
            <w:pPr>
              <w:ind w:leftChars="0" w:left="0" w:right="0"/>
            </w:pPr>
            <w:r>
              <w:t>TP SEF, INC.</w:t>
            </w:r>
          </w:p>
        </w:tc>
      </w:tr>
      <w:tr>
        <w:trPr>
          <w:cnfStyle w:evenHBand="true" w:oddHBand="false" w:firstRow="false"/>
        </w:trPr>
        <w:tc>
          <w:tcPr>
            <w:cnfStyle w:evenVBand="false" w:oddVBand="true" w:firstColumn="false"/>
            <w:tcW w:w="33.333333%" w:type="pct"/>
          </w:tcPr>
          <w:p>
            <w:pPr>
              <w:ind w:leftChars="0" w:left="0" w:right="0"/>
            </w:pPr>
            <w:r>
              <w:t>TPSL</w:t>
            </w:r>
          </w:p>
        </w:tc>
        <w:tc>
          <w:tcPr>
            <w:cnfStyle w:evenVBand="true" w:oddVBand="false" w:firstColumn="false"/>
            <w:tcW w:w="33.333333%" w:type="pct"/>
          </w:tcPr>
          <w:p>
            <w:pPr>
              <w:ind w:leftChars="0" w:left="0" w:right="0"/>
            </w:pPr>
            <w:r>
              <w:t>TPSL</w:t>
            </w:r>
          </w:p>
        </w:tc>
        <w:tc>
          <w:tcPr>
            <w:cnfStyle w:evenVBand="false" w:oddVBand="true" w:firstColumn="false"/>
            <w:tcW w:w="33.333333%" w:type="pct"/>
          </w:tcPr>
          <w:p>
            <w:pPr>
              <w:ind w:leftChars="0" w:left="0" w:right="0"/>
            </w:pPr>
            <w:r>
              <w:t>TULLETT PREBON SECURITIES - MTF</w:t>
            </w:r>
          </w:p>
        </w:tc>
      </w:tr>
      <w:tr>
        <w:trPr>
          <w:cnfStyle w:evenHBand="false" w:oddHBand="true" w:firstRow="false"/>
        </w:trPr>
        <w:tc>
          <w:tcPr>
            <w:cnfStyle w:evenVBand="false" w:oddVBand="true" w:firstColumn="false"/>
            <w:tcW w:w="33.333333%" w:type="pct"/>
          </w:tcPr>
          <w:p>
            <w:pPr>
              <w:ind w:leftChars="0" w:left="0" w:right="0"/>
            </w:pPr>
            <w:r>
              <w:t>TPSO</w:t>
            </w:r>
          </w:p>
        </w:tc>
        <w:tc>
          <w:tcPr>
            <w:cnfStyle w:evenVBand="true" w:oddVBand="false" w:firstColumn="false"/>
            <w:tcW w:w="33.333333%" w:type="pct"/>
          </w:tcPr>
          <w:p>
            <w:pPr>
              <w:ind w:leftChars="0" w:left="0" w:right="0"/>
            </w:pPr>
            <w:r>
              <w:t>TPSO</w:t>
            </w:r>
          </w:p>
        </w:tc>
        <w:tc>
          <w:tcPr>
            <w:cnfStyle w:evenVBand="false" w:oddVBand="true" w:firstColumn="false"/>
            <w:tcW w:w="33.333333%" w:type="pct"/>
          </w:tcPr>
          <w:p>
            <w:pPr>
              <w:ind w:leftChars="0" w:left="0" w:right="0"/>
            </w:pPr>
            <w:r>
              <w:t>TP UK OTF</w:t>
            </w:r>
          </w:p>
        </w:tc>
      </w:tr>
      <w:tr>
        <w:trPr>
          <w:cnfStyle w:evenHBand="true" w:oddHBand="false" w:firstRow="false"/>
        </w:trPr>
        <w:tc>
          <w:tcPr>
            <w:cnfStyle w:evenVBand="false" w:oddVBand="true" w:firstColumn="false"/>
            <w:tcW w:w="33.333333%" w:type="pct"/>
          </w:tcPr>
          <w:p>
            <w:pPr>
              <w:ind w:leftChars="0" w:left="0" w:right="0"/>
            </w:pPr>
            <w:r>
              <w:t>TPSP</w:t>
            </w:r>
          </w:p>
        </w:tc>
        <w:tc>
          <w:tcPr>
            <w:cnfStyle w:evenVBand="true" w:oddVBand="false" w:firstColumn="false"/>
            <w:tcW w:w="33.333333%" w:type="pct"/>
          </w:tcPr>
          <w:p>
            <w:pPr>
              <w:ind w:leftChars="0" w:left="0" w:right="0"/>
            </w:pPr>
            <w:r>
              <w:t>TPSP</w:t>
            </w:r>
          </w:p>
        </w:tc>
        <w:tc>
          <w:tcPr>
            <w:cnfStyle w:evenVBand="false" w:oddVBand="true" w:firstColumn="false"/>
            <w:tcW w:w="33.333333%" w:type="pct"/>
          </w:tcPr>
          <w:p>
            <w:pPr>
              <w:ind w:leftChars="0" w:left="0" w:right="0"/>
            </w:pPr>
            <w:r>
              <w:t>TULLETT PREBON PLC - TP SPOTDEAL</w:t>
            </w:r>
          </w:p>
        </w:tc>
      </w:tr>
      <w:tr>
        <w:trPr>
          <w:cnfStyle w:evenHBand="false" w:oddHBand="true" w:firstRow="false"/>
        </w:trPr>
        <w:tc>
          <w:tcPr>
            <w:cnfStyle w:evenVBand="false" w:oddVBand="true" w:firstColumn="false"/>
            <w:tcW w:w="33.333333%" w:type="pct"/>
          </w:tcPr>
          <w:p>
            <w:pPr>
              <w:ind w:leftChars="0" w:left="0" w:right="0"/>
            </w:pPr>
            <w:r>
              <w:t>TPSV</w:t>
            </w:r>
          </w:p>
        </w:tc>
        <w:tc>
          <w:tcPr>
            <w:cnfStyle w:evenVBand="true" w:oddVBand="false" w:firstColumn="false"/>
            <w:tcW w:w="33.333333%" w:type="pct"/>
          </w:tcPr>
          <w:p>
            <w:pPr>
              <w:ind w:leftChars="0" w:left="0" w:right="0"/>
            </w:pPr>
            <w:r>
              <w:t>TPSV</w:t>
            </w:r>
          </w:p>
        </w:tc>
        <w:tc>
          <w:tcPr>
            <w:cnfStyle w:evenVBand="false" w:oddVBand="true" w:firstColumn="false"/>
            <w:tcW w:w="33.333333%" w:type="pct"/>
          </w:tcPr>
          <w:p>
            <w:pPr>
              <w:ind w:leftChars="0" w:left="0" w:right="0"/>
            </w:pPr>
            <w:r>
              <w:t>TPSEF, INC - VOICE</w:t>
            </w:r>
          </w:p>
        </w:tc>
      </w:tr>
      <w:tr>
        <w:trPr>
          <w:cnfStyle w:evenHBand="true" w:oddHBand="false" w:firstRow="false"/>
        </w:trPr>
        <w:tc>
          <w:tcPr>
            <w:cnfStyle w:evenVBand="false" w:oddVBand="true" w:firstColumn="false"/>
            <w:tcW w:w="33.333333%" w:type="pct"/>
          </w:tcPr>
          <w:p>
            <w:pPr>
              <w:ind w:leftChars="0" w:left="0" w:right="0"/>
            </w:pPr>
            <w:r>
              <w:t>TPSY</w:t>
            </w:r>
          </w:p>
        </w:tc>
        <w:tc>
          <w:tcPr>
            <w:cnfStyle w:evenVBand="true" w:oddVBand="false" w:firstColumn="false"/>
            <w:tcW w:w="33.333333%" w:type="pct"/>
          </w:tcPr>
          <w:p>
            <w:pPr>
              <w:ind w:leftChars="0" w:left="0" w:right="0"/>
            </w:pPr>
            <w:r>
              <w:t>TPSY</w:t>
            </w:r>
          </w:p>
        </w:tc>
        <w:tc>
          <w:tcPr>
            <w:cnfStyle w:evenVBand="false" w:oddVBand="true" w:firstColumn="false"/>
            <w:tcW w:w="33.333333%" w:type="pct"/>
          </w:tcPr>
          <w:p>
            <w:pPr>
              <w:ind w:leftChars="0" w:left="0" w:right="0"/>
            </w:pPr>
            <w:r>
              <w:t>TULLETT PREBON - INSTITUTIONAL SERVICES - TPSYNREX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TQEA</w:t>
            </w:r>
          </w:p>
        </w:tc>
        <w:tc>
          <w:tcPr>
            <w:cnfStyle w:evenVBand="true" w:oddVBand="false" w:firstColumn="false"/>
            <w:tcW w:w="33.333333%" w:type="pct"/>
          </w:tcPr>
          <w:p>
            <w:pPr>
              <w:ind w:leftChars="0" w:left="0" w:right="0"/>
            </w:pPr>
            <w:r>
              <w:t>TQEA</w:t>
            </w:r>
          </w:p>
        </w:tc>
        <w:tc>
          <w:tcPr>
            <w:cnfStyle w:evenVBand="false" w:oddVBand="true" w:firstColumn="false"/>
            <w:tcW w:w="33.333333%" w:type="pct"/>
          </w:tcPr>
          <w:p>
            <w:pPr>
              <w:ind w:leftChars="0" w:left="0" w:right="0"/>
            </w:pPr>
            <w:r>
              <w:t>TURQUOISE EUROPE - LIT AUCTIONS</w:t>
            </w:r>
          </w:p>
        </w:tc>
      </w:tr>
      <w:tr>
        <w:trPr>
          <w:cnfStyle w:evenHBand="true" w:oddHBand="false" w:firstRow="false"/>
        </w:trPr>
        <w:tc>
          <w:tcPr>
            <w:cnfStyle w:evenVBand="false" w:oddVBand="true" w:firstColumn="false"/>
            <w:tcW w:w="33.333333%" w:type="pct"/>
          </w:tcPr>
          <w:p>
            <w:pPr>
              <w:ind w:leftChars="0" w:left="0" w:right="0"/>
            </w:pPr>
            <w:r>
              <w:t>TQEB</w:t>
            </w:r>
          </w:p>
        </w:tc>
        <w:tc>
          <w:tcPr>
            <w:cnfStyle w:evenVBand="true" w:oddVBand="false" w:firstColumn="false"/>
            <w:tcW w:w="33.333333%" w:type="pct"/>
          </w:tcPr>
          <w:p>
            <w:pPr>
              <w:ind w:leftChars="0" w:left="0" w:right="0"/>
            </w:pPr>
            <w:r>
              <w:t>TQEB</w:t>
            </w:r>
          </w:p>
        </w:tc>
        <w:tc>
          <w:tcPr>
            <w:cnfStyle w:evenVBand="false" w:oddVBand="true" w:firstColumn="false"/>
            <w:tcW w:w="33.333333%" w:type="pct"/>
          </w:tcPr>
          <w:p>
            <w:pPr>
              <w:ind w:leftChars="0" w:left="0" w:right="0"/>
            </w:pPr>
            <w:r>
              <w:t>TURQUOISE EUROPE - NYLON CASH ORDER BOOK</w:t>
            </w:r>
          </w:p>
        </w:tc>
      </w:tr>
      <w:tr>
        <w:trPr>
          <w:cnfStyle w:evenHBand="false" w:oddHBand="true" w:firstRow="false"/>
        </w:trPr>
        <w:tc>
          <w:tcPr>
            <w:cnfStyle w:evenVBand="false" w:oddVBand="true" w:firstColumn="false"/>
            <w:tcW w:w="33.333333%" w:type="pct"/>
          </w:tcPr>
          <w:p>
            <w:pPr>
              <w:ind w:leftChars="0" w:left="0" w:right="0"/>
            </w:pPr>
            <w:r>
              <w:t>TQEM</w:t>
            </w:r>
          </w:p>
        </w:tc>
        <w:tc>
          <w:tcPr>
            <w:cnfStyle w:evenVBand="true" w:oddVBand="false" w:firstColumn="false"/>
            <w:tcW w:w="33.333333%" w:type="pct"/>
          </w:tcPr>
          <w:p>
            <w:pPr>
              <w:ind w:leftChars="0" w:left="0" w:right="0"/>
            </w:pPr>
            <w:r>
              <w:t>TQEM</w:t>
            </w:r>
          </w:p>
        </w:tc>
        <w:tc>
          <w:tcPr>
            <w:cnfStyle w:evenVBand="false" w:oddVBand="true" w:firstColumn="false"/>
            <w:tcW w:w="33.333333%" w:type="pct"/>
          </w:tcPr>
          <w:p>
            <w:pPr>
              <w:ind w:leftChars="0" w:left="0" w:right="0"/>
            </w:pPr>
            <w:r>
              <w:t>TURQUOISE EUROPE - DARK</w:t>
            </w:r>
          </w:p>
        </w:tc>
      </w:tr>
      <w:tr>
        <w:trPr>
          <w:cnfStyle w:evenHBand="true" w:oddHBand="false" w:firstRow="false"/>
        </w:trPr>
        <w:tc>
          <w:tcPr>
            <w:cnfStyle w:evenVBand="false" w:oddVBand="true" w:firstColumn="false"/>
            <w:tcW w:w="33.333333%" w:type="pct"/>
          </w:tcPr>
          <w:p>
            <w:pPr>
              <w:ind w:leftChars="0" w:left="0" w:right="0"/>
            </w:pPr>
            <w:r>
              <w:t>TQEX</w:t>
            </w:r>
          </w:p>
        </w:tc>
        <w:tc>
          <w:tcPr>
            <w:cnfStyle w:evenVBand="true" w:oddVBand="false" w:firstColumn="false"/>
            <w:tcW w:w="33.333333%" w:type="pct"/>
          </w:tcPr>
          <w:p>
            <w:pPr>
              <w:ind w:leftChars="0" w:left="0" w:right="0"/>
            </w:pPr>
            <w:r>
              <w:t>TQEX</w:t>
            </w:r>
          </w:p>
        </w:tc>
        <w:tc>
          <w:tcPr>
            <w:cnfStyle w:evenVBand="false" w:oddVBand="true" w:firstColumn="false"/>
            <w:tcW w:w="33.333333%" w:type="pct"/>
          </w:tcPr>
          <w:p>
            <w:pPr>
              <w:ind w:leftChars="0" w:left="0" w:right="0"/>
            </w:pPr>
            <w:r>
              <w:t>TURQUOISE EUROPE</w:t>
            </w:r>
          </w:p>
        </w:tc>
      </w:tr>
      <w:tr>
        <w:trPr>
          <w:cnfStyle w:evenHBand="false" w:oddHBand="true" w:firstRow="false"/>
        </w:trPr>
        <w:tc>
          <w:tcPr>
            <w:cnfStyle w:evenVBand="false" w:oddVBand="true" w:firstColumn="false"/>
            <w:tcW w:w="33.333333%" w:type="pct"/>
          </w:tcPr>
          <w:p>
            <w:pPr>
              <w:ind w:leftChars="0" w:left="0" w:right="0"/>
            </w:pPr>
            <w:r>
              <w:t>TRAI</w:t>
            </w:r>
          </w:p>
        </w:tc>
        <w:tc>
          <w:tcPr>
            <w:cnfStyle w:evenVBand="true" w:oddVBand="false" w:firstColumn="false"/>
            <w:tcW w:w="33.333333%" w:type="pct"/>
          </w:tcPr>
          <w:p>
            <w:pPr>
              <w:ind w:leftChars="0" w:left="0" w:right="0"/>
            </w:pPr>
            <w:r>
              <w:t>TRAI</w:t>
            </w:r>
          </w:p>
        </w:tc>
        <w:tc>
          <w:tcPr>
            <w:cnfStyle w:evenVBand="false" w:oddVBand="true" w:firstColumn="false"/>
            <w:tcW w:w="33.333333%" w:type="pct"/>
          </w:tcPr>
          <w:p>
            <w:pPr>
              <w:ind w:leftChars="0" w:left="0" w:right="0"/>
            </w:pPr>
            <w:r>
              <w:t>TRAIANA INC</w:t>
            </w:r>
          </w:p>
        </w:tc>
      </w:tr>
      <w:tr>
        <w:trPr>
          <w:cnfStyle w:evenHBand="true" w:oddHBand="false" w:firstRow="false"/>
        </w:trPr>
        <w:tc>
          <w:tcPr>
            <w:cnfStyle w:evenVBand="false" w:oddVBand="true" w:firstColumn="false"/>
            <w:tcW w:w="33.333333%" w:type="pct"/>
          </w:tcPr>
          <w:p>
            <w:pPr>
              <w:ind w:leftChars="0" w:left="0" w:right="0"/>
            </w:pPr>
            <w:r>
              <w:t>TRAL</w:t>
            </w:r>
          </w:p>
        </w:tc>
        <w:tc>
          <w:tcPr>
            <w:cnfStyle w:evenVBand="true" w:oddVBand="false" w:firstColumn="false"/>
            <w:tcW w:w="33.333333%" w:type="pct"/>
          </w:tcPr>
          <w:p>
            <w:pPr>
              <w:ind w:leftChars="0" w:left="0" w:right="0"/>
            </w:pPr>
            <w:r>
              <w:t>TRAL</w:t>
            </w:r>
          </w:p>
        </w:tc>
        <w:tc>
          <w:tcPr>
            <w:cnfStyle w:evenVBand="false" w:oddVBand="true" w:firstColumn="false"/>
            <w:tcW w:w="33.333333%" w:type="pct"/>
          </w:tcPr>
          <w:p>
            <w:pPr>
              <w:ind w:leftChars="0" w:left="0" w:right="0"/>
            </w:pPr>
            <w:r>
              <w:t>REFINITIV TRANSACTIONS SERVICES LIMITED - FXALL RFQ</w:t>
            </w:r>
          </w:p>
        </w:tc>
      </w:tr>
      <w:tr>
        <w:trPr>
          <w:cnfStyle w:evenHBand="false" w:oddHBand="true" w:firstRow="false"/>
        </w:trPr>
        <w:tc>
          <w:tcPr>
            <w:cnfStyle w:evenVBand="false" w:oddVBand="true" w:firstColumn="false"/>
            <w:tcW w:w="33.333333%" w:type="pct"/>
          </w:tcPr>
          <w:p>
            <w:pPr>
              <w:ind w:leftChars="0" w:left="0" w:right="0"/>
            </w:pPr>
            <w:r>
              <w:t>TRAS</w:t>
            </w:r>
          </w:p>
        </w:tc>
        <w:tc>
          <w:tcPr>
            <w:cnfStyle w:evenVBand="true" w:oddVBand="false" w:firstColumn="false"/>
            <w:tcW w:w="33.333333%" w:type="pct"/>
          </w:tcPr>
          <w:p>
            <w:pPr>
              <w:ind w:leftChars="0" w:left="0" w:right="0"/>
            </w:pPr>
            <w:r>
              <w:t>TRAS</w:t>
            </w:r>
          </w:p>
        </w:tc>
        <w:tc>
          <w:tcPr>
            <w:cnfStyle w:evenVBand="false" w:oddVBand="true" w:firstColumn="false"/>
            <w:tcW w:w="33.333333%" w:type="pct"/>
          </w:tcPr>
          <w:p>
            <w:pPr>
              <w:ind w:leftChars="0" w:left="0" w:right="0"/>
            </w:pPr>
            <w:r>
              <w:t>TRADITION ASIA LIMITED</w:t>
            </w:r>
          </w:p>
        </w:tc>
      </w:tr>
      <w:tr>
        <w:trPr>
          <w:cnfStyle w:evenHBand="true" w:oddHBand="false" w:firstRow="false"/>
        </w:trPr>
        <w:tc>
          <w:tcPr>
            <w:cnfStyle w:evenVBand="false" w:oddVBand="true" w:firstColumn="false"/>
            <w:tcW w:w="33.333333%" w:type="pct"/>
          </w:tcPr>
          <w:p>
            <w:pPr>
              <w:ind w:leftChars="0" w:left="0" w:right="0"/>
            </w:pPr>
            <w:r>
              <w:t>TRAX</w:t>
            </w:r>
          </w:p>
        </w:tc>
        <w:tc>
          <w:tcPr>
            <w:cnfStyle w:evenVBand="true" w:oddVBand="false" w:firstColumn="false"/>
            <w:tcW w:w="33.333333%" w:type="pct"/>
          </w:tcPr>
          <w:p>
            <w:pPr>
              <w:ind w:leftChars="0" w:left="0" w:right="0"/>
            </w:pPr>
            <w:r>
              <w:t>TRAX</w:t>
            </w:r>
          </w:p>
        </w:tc>
        <w:tc>
          <w:tcPr>
            <w:cnfStyle w:evenVBand="false" w:oddVBand="true" w:firstColumn="false"/>
            <w:tcW w:w="33.333333%" w:type="pct"/>
          </w:tcPr>
          <w:p>
            <w:pPr>
              <w:ind w:leftChars="0" w:left="0" w:right="0"/>
            </w:pPr>
            <w:r>
              <w:t>MARKETAXESS POST-TRADE LIMITED - APA</w:t>
            </w:r>
          </w:p>
        </w:tc>
      </w:tr>
      <w:tr>
        <w:trPr>
          <w:cnfStyle w:evenHBand="false" w:oddHBand="true" w:firstRow="false"/>
        </w:trPr>
        <w:tc>
          <w:tcPr>
            <w:cnfStyle w:evenVBand="false" w:oddVBand="true" w:firstColumn="false"/>
            <w:tcW w:w="33.333333%" w:type="pct"/>
          </w:tcPr>
          <w:p>
            <w:pPr>
              <w:ind w:leftChars="0" w:left="0" w:right="0"/>
            </w:pPr>
            <w:r>
              <w:t>TRCK</w:t>
            </w:r>
          </w:p>
        </w:tc>
        <w:tc>
          <w:tcPr>
            <w:cnfStyle w:evenVBand="true" w:oddVBand="false" w:firstColumn="false"/>
            <w:tcW w:w="33.333333%" w:type="pct"/>
          </w:tcPr>
          <w:p>
            <w:pPr>
              <w:ind w:leftChars="0" w:left="0" w:right="0"/>
            </w:pPr>
            <w:r>
              <w:t>TRCK</w:t>
            </w:r>
          </w:p>
        </w:tc>
        <w:tc>
          <w:tcPr>
            <w:cnfStyle w:evenVBand="false" w:oddVBand="true" w:firstColumn="false"/>
            <w:tcW w:w="33.333333%" w:type="pct"/>
          </w:tcPr>
          <w:p>
            <w:pPr>
              <w:ind w:leftChars="0" w:left="0" w:right="0"/>
            </w:pPr>
            <w:r>
              <w:t>TRACK ECN</w:t>
            </w:r>
          </w:p>
        </w:tc>
      </w:tr>
      <w:tr>
        <w:trPr>
          <w:cnfStyle w:evenHBand="true" w:oddHBand="false" w:firstRow="false"/>
        </w:trPr>
        <w:tc>
          <w:tcPr>
            <w:cnfStyle w:evenVBand="false" w:oddVBand="true" w:firstColumn="false"/>
            <w:tcW w:w="33.333333%" w:type="pct"/>
          </w:tcPr>
          <w:p>
            <w:pPr>
              <w:ind w:leftChars="0" w:left="0" w:right="0"/>
            </w:pPr>
            <w:r>
              <w:t>TRCX</w:t>
            </w:r>
          </w:p>
        </w:tc>
        <w:tc>
          <w:tcPr>
            <w:cnfStyle w:evenVBand="true" w:oddVBand="false" w:firstColumn="false"/>
            <w:tcW w:w="33.333333%" w:type="pct"/>
          </w:tcPr>
          <w:p>
            <w:pPr>
              <w:ind w:leftChars="0" w:left="0" w:right="0"/>
            </w:pPr>
            <w:r>
              <w:t>TRCX</w:t>
            </w:r>
          </w:p>
        </w:tc>
        <w:tc>
          <w:tcPr>
            <w:cnfStyle w:evenVBand="false" w:oddVBand="true" w:firstColumn="false"/>
            <w:tcW w:w="33.333333%" w:type="pct"/>
          </w:tcPr>
          <w:p>
            <w:pPr>
              <w:ind w:leftChars="0" w:left="0" w:right="0"/>
            </w:pPr>
            <w:r>
              <w:t>TOWER RESEARCH CAPITAL TRCX</w:t>
            </w:r>
          </w:p>
        </w:tc>
      </w:tr>
      <w:tr>
        <w:trPr>
          <w:cnfStyle w:evenHBand="false" w:oddHBand="true" w:firstRow="false"/>
        </w:trPr>
        <w:tc>
          <w:tcPr>
            <w:cnfStyle w:evenVBand="false" w:oddVBand="true" w:firstColumn="false"/>
            <w:tcW w:w="33.333333%" w:type="pct"/>
          </w:tcPr>
          <w:p>
            <w:pPr>
              <w:ind w:leftChars="0" w:left="0" w:right="0"/>
            </w:pPr>
            <w:r>
              <w:t>TRDC</w:t>
            </w:r>
          </w:p>
        </w:tc>
        <w:tc>
          <w:tcPr>
            <w:cnfStyle w:evenVBand="true" w:oddVBand="false" w:firstColumn="false"/>
            <w:tcW w:w="33.333333%" w:type="pct"/>
          </w:tcPr>
          <w:p>
            <w:pPr>
              <w:ind w:leftChars="0" w:left="0" w:right="0"/>
            </w:pPr>
            <w:r>
              <w:t>TRDC</w:t>
            </w:r>
          </w:p>
        </w:tc>
        <w:tc>
          <w:tcPr>
            <w:cnfStyle w:evenVBand="false" w:oddVBand="true" w:firstColumn="false"/>
            <w:tcW w:w="33.333333%" w:type="pct"/>
          </w:tcPr>
          <w:p>
            <w:pPr>
              <w:ind w:leftChars="0" w:left="0" w:right="0"/>
            </w:pPr>
            <w:r>
              <w:t>TFS CURRENCIES PTE LTD</w:t>
            </w:r>
          </w:p>
        </w:tc>
      </w:tr>
      <w:tr>
        <w:trPr>
          <w:cnfStyle w:evenHBand="true" w:oddHBand="false" w:firstRow="false"/>
        </w:trPr>
        <w:tc>
          <w:tcPr>
            <w:cnfStyle w:evenVBand="false" w:oddVBand="true" w:firstColumn="false"/>
            <w:tcW w:w="33.333333%" w:type="pct"/>
          </w:tcPr>
          <w:p>
            <w:pPr>
              <w:ind w:leftChars="0" w:left="0" w:right="0"/>
            </w:pPr>
            <w:r>
              <w:t>TRDE</w:t>
            </w:r>
          </w:p>
        </w:tc>
        <w:tc>
          <w:tcPr>
            <w:cnfStyle w:evenVBand="true" w:oddVBand="false" w:firstColumn="false"/>
            <w:tcW w:w="33.333333%" w:type="pct"/>
          </w:tcPr>
          <w:p>
            <w:pPr>
              <w:ind w:leftChars="0" w:left="0" w:right="0"/>
            </w:pPr>
            <w:r>
              <w:t>TRDE</w:t>
            </w:r>
          </w:p>
        </w:tc>
        <w:tc>
          <w:tcPr>
            <w:cnfStyle w:evenVBand="false" w:oddVBand="true" w:firstColumn="false"/>
            <w:tcW w:w="33.333333%" w:type="pct"/>
          </w:tcPr>
          <w:p>
            <w:pPr>
              <w:ind w:leftChars="0" w:left="0" w:right="0"/>
            </w:pPr>
            <w:r>
              <w:t>TRADITION</w:t>
            </w:r>
          </w:p>
        </w:tc>
      </w:tr>
      <w:tr>
        <w:trPr>
          <w:cnfStyle w:evenHBand="false" w:oddHBand="true" w:firstRow="false"/>
        </w:trPr>
        <w:tc>
          <w:tcPr>
            <w:cnfStyle w:evenVBand="false" w:oddVBand="true" w:firstColumn="false"/>
            <w:tcW w:w="33.333333%" w:type="pct"/>
          </w:tcPr>
          <w:p>
            <w:pPr>
              <w:ind w:leftChars="0" w:left="0" w:right="0"/>
            </w:pPr>
            <w:r>
              <w:t>TRDX</w:t>
            </w:r>
          </w:p>
        </w:tc>
        <w:tc>
          <w:tcPr>
            <w:cnfStyle w:evenVBand="true" w:oddVBand="false" w:firstColumn="false"/>
            <w:tcW w:w="33.333333%" w:type="pct"/>
          </w:tcPr>
          <w:p>
            <w:pPr>
              <w:ind w:leftChars="0" w:left="0" w:right="0"/>
            </w:pPr>
            <w:r>
              <w:t>TRDX</w:t>
            </w:r>
          </w:p>
        </w:tc>
        <w:tc>
          <w:tcPr>
            <w:cnfStyle w:evenVBand="false" w:oddVBand="true" w:firstColumn="false"/>
            <w:tcW w:w="33.333333%" w:type="pct"/>
          </w:tcPr>
          <w:p>
            <w:pPr>
              <w:ind w:leftChars="0" w:left="0" w:right="0"/>
            </w:pPr>
            <w:r>
              <w:t>TRAD-X</w:t>
            </w:r>
          </w:p>
        </w:tc>
      </w:tr>
      <w:tr>
        <w:trPr>
          <w:cnfStyle w:evenHBand="true" w:oddHBand="false" w:firstRow="false"/>
        </w:trPr>
        <w:tc>
          <w:tcPr>
            <w:cnfStyle w:evenVBand="false" w:oddVBand="true" w:firstColumn="false"/>
            <w:tcW w:w="33.333333%" w:type="pct"/>
          </w:tcPr>
          <w:p>
            <w:pPr>
              <w:ind w:leftChars="0" w:left="0" w:right="0"/>
            </w:pPr>
            <w:r>
              <w:t>TREA</w:t>
            </w:r>
          </w:p>
        </w:tc>
        <w:tc>
          <w:tcPr>
            <w:cnfStyle w:evenVBand="true" w:oddVBand="false" w:firstColumn="false"/>
            <w:tcW w:w="33.333333%" w:type="pct"/>
          </w:tcPr>
          <w:p>
            <w:pPr>
              <w:ind w:leftChars="0" w:left="0" w:right="0"/>
            </w:pPr>
            <w:r>
              <w:t>TREA</w:t>
            </w:r>
          </w:p>
        </w:tc>
        <w:tc>
          <w:tcPr>
            <w:cnfStyle w:evenVBand="false" w:oddVBand="true" w:firstColumn="false"/>
            <w:tcW w:w="33.333333%" w:type="pct"/>
          </w:tcPr>
          <w:p>
            <w:pPr>
              <w:ind w:leftChars="0" w:left="0" w:right="0"/>
            </w:pPr>
            <w:r>
              <w:t>TRADEWEB EUROPE LIMITED - APA</w:t>
            </w:r>
          </w:p>
        </w:tc>
      </w:tr>
      <w:tr>
        <w:trPr>
          <w:cnfStyle w:evenHBand="false" w:oddHBand="true" w:firstRow="false"/>
        </w:trPr>
        <w:tc>
          <w:tcPr>
            <w:cnfStyle w:evenVBand="false" w:oddVBand="true" w:firstColumn="false"/>
            <w:tcW w:w="33.333333%" w:type="pct"/>
          </w:tcPr>
          <w:p>
            <w:pPr>
              <w:ind w:leftChars="0" w:left="0" w:right="0"/>
            </w:pPr>
            <w:r>
              <w:t>TREO</w:t>
            </w:r>
          </w:p>
        </w:tc>
        <w:tc>
          <w:tcPr>
            <w:cnfStyle w:evenVBand="true" w:oddVBand="false" w:firstColumn="false"/>
            <w:tcW w:w="33.333333%" w:type="pct"/>
          </w:tcPr>
          <w:p>
            <w:pPr>
              <w:ind w:leftChars="0" w:left="0" w:right="0"/>
            </w:pPr>
            <w:r>
              <w:t>TREO</w:t>
            </w:r>
          </w:p>
        </w:tc>
        <w:tc>
          <w:tcPr>
            <w:cnfStyle w:evenVBand="false" w:oddVBand="true" w:firstColumn="false"/>
            <w:tcW w:w="33.333333%" w:type="pct"/>
          </w:tcPr>
          <w:p>
            <w:pPr>
              <w:ind w:leftChars="0" w:left="0" w:right="0"/>
            </w:pPr>
            <w:r>
              <w:t>TRADEWEB EUROPE LIMITED - OTF</w:t>
            </w:r>
          </w:p>
        </w:tc>
      </w:tr>
      <w:tr>
        <w:trPr>
          <w:cnfStyle w:evenHBand="true" w:oddHBand="false" w:firstRow="false"/>
        </w:trPr>
        <w:tc>
          <w:tcPr>
            <w:cnfStyle w:evenVBand="false" w:oddVBand="true" w:firstColumn="false"/>
            <w:tcW w:w="33.333333%" w:type="pct"/>
          </w:tcPr>
          <w:p>
            <w:pPr>
              <w:ind w:leftChars="0" w:left="0" w:right="0"/>
            </w:pPr>
            <w:r>
              <w:t>TREU</w:t>
            </w:r>
          </w:p>
        </w:tc>
        <w:tc>
          <w:tcPr>
            <w:cnfStyle w:evenVBand="true" w:oddVBand="false" w:firstColumn="false"/>
            <w:tcW w:w="33.333333%" w:type="pct"/>
          </w:tcPr>
          <w:p>
            <w:pPr>
              <w:ind w:leftChars="0" w:left="0" w:right="0"/>
            </w:pPr>
            <w:r>
              <w:t>TREU</w:t>
            </w:r>
          </w:p>
        </w:tc>
        <w:tc>
          <w:tcPr>
            <w:cnfStyle w:evenVBand="false" w:oddVBand="true" w:firstColumn="false"/>
            <w:tcW w:w="33.333333%" w:type="pct"/>
          </w:tcPr>
          <w:p>
            <w:pPr>
              <w:ind w:leftChars="0" w:left="0" w:right="0"/>
            </w:pPr>
            <w:r>
              <w:t>TRADEWEB EUROPE LIMITED</w:t>
            </w:r>
          </w:p>
        </w:tc>
      </w:tr>
      <w:tr>
        <w:trPr>
          <w:cnfStyle w:evenHBand="false" w:oddHBand="true" w:firstRow="false"/>
        </w:trPr>
        <w:tc>
          <w:tcPr>
            <w:cnfStyle w:evenVBand="false" w:oddVBand="true" w:firstColumn="false"/>
            <w:tcW w:w="33.333333%" w:type="pct"/>
          </w:tcPr>
          <w:p>
            <w:pPr>
              <w:ind w:leftChars="0" w:left="0" w:right="0"/>
            </w:pPr>
            <w:r>
              <w:t>TRFW</w:t>
            </w:r>
          </w:p>
        </w:tc>
        <w:tc>
          <w:tcPr>
            <w:cnfStyle w:evenVBand="true" w:oddVBand="false" w:firstColumn="false"/>
            <w:tcW w:w="33.333333%" w:type="pct"/>
          </w:tcPr>
          <w:p>
            <w:pPr>
              <w:ind w:leftChars="0" w:left="0" w:right="0"/>
            </w:pPr>
            <w:r>
              <w:t>TRFW</w:t>
            </w:r>
          </w:p>
        </w:tc>
        <w:tc>
          <w:tcPr>
            <w:cnfStyle w:evenVBand="false" w:oddVBand="true" w:firstColumn="false"/>
            <w:tcW w:w="33.333333%" w:type="pct"/>
          </w:tcPr>
          <w:p>
            <w:pPr>
              <w:ind w:leftChars="0" w:left="0" w:right="0"/>
            </w:pPr>
            <w:r>
              <w:t>REFINITIV TRANSACTION SERVICES LIMITED - FORWARDS MATCHING</w:t>
            </w:r>
          </w:p>
        </w:tc>
      </w:tr>
      <w:tr>
        <w:trPr>
          <w:cnfStyle w:evenHBand="true" w:oddHBand="false" w:firstRow="false"/>
        </w:trPr>
        <w:tc>
          <w:tcPr>
            <w:cnfStyle w:evenVBand="false" w:oddVBand="true" w:firstColumn="false"/>
            <w:tcW w:w="33.333333%" w:type="pct"/>
          </w:tcPr>
          <w:p>
            <w:pPr>
              <w:ind w:leftChars="0" w:left="0" w:right="0"/>
            </w:pPr>
            <w:r>
              <w:t>TRFX</w:t>
            </w:r>
          </w:p>
        </w:tc>
        <w:tc>
          <w:tcPr>
            <w:cnfStyle w:evenVBand="true" w:oddVBand="false" w:firstColumn="false"/>
            <w:tcW w:w="33.333333%" w:type="pct"/>
          </w:tcPr>
          <w:p>
            <w:pPr>
              <w:ind w:leftChars="0" w:left="0" w:right="0"/>
            </w:pPr>
            <w:r>
              <w:t>TRFX</w:t>
            </w:r>
          </w:p>
        </w:tc>
        <w:tc>
          <w:tcPr>
            <w:cnfStyle w:evenVBand="false" w:oddVBand="true" w:firstColumn="false"/>
            <w:tcW w:w="33.333333%" w:type="pct"/>
          </w:tcPr>
          <w:p>
            <w:pPr>
              <w:ind w:leftChars="0" w:left="0" w:right="0"/>
            </w:pPr>
            <w:r>
              <w:t>TRADEWEB FX OPTIONS</w:t>
            </w:r>
          </w:p>
        </w:tc>
      </w:tr>
      <w:tr>
        <w:trPr>
          <w:cnfStyle w:evenHBand="false" w:oddHBand="true" w:firstRow="false"/>
        </w:trPr>
        <w:tc>
          <w:tcPr>
            <w:cnfStyle w:evenVBand="false" w:oddVBand="true" w:firstColumn="false"/>
            <w:tcW w:w="33.333333%" w:type="pct"/>
          </w:tcPr>
          <w:p>
            <w:pPr>
              <w:ind w:leftChars="0" w:left="0" w:right="0"/>
            </w:pPr>
            <w:r>
              <w:t>TRNL</w:t>
            </w:r>
          </w:p>
        </w:tc>
        <w:tc>
          <w:tcPr>
            <w:cnfStyle w:evenVBand="true" w:oddVBand="false" w:firstColumn="false"/>
            <w:tcW w:w="33.333333%" w:type="pct"/>
          </w:tcPr>
          <w:p>
            <w:pPr>
              <w:ind w:leftChars="0" w:left="0" w:right="0"/>
            </w:pPr>
            <w:r>
              <w:t>TRNL</w:t>
            </w:r>
          </w:p>
        </w:tc>
        <w:tc>
          <w:tcPr>
            <w:cnfStyle w:evenVBand="false" w:oddVBand="true" w:firstColumn="false"/>
            <w:tcW w:w="33.333333%" w:type="pct"/>
          </w:tcPr>
          <w:p>
            <w:pPr>
              <w:ind w:leftChars="0" w:left="0" w:right="0"/>
            </w:pPr>
            <w:r>
              <w:t>MARKETAXESS POST-TRADE B.V. - APA</w:t>
            </w:r>
          </w:p>
        </w:tc>
      </w:tr>
      <w:tr>
        <w:trPr>
          <w:cnfStyle w:evenHBand="true" w:oddHBand="false" w:firstRow="false"/>
        </w:trPr>
        <w:tc>
          <w:tcPr>
            <w:cnfStyle w:evenVBand="false" w:oddVBand="true" w:firstColumn="false"/>
            <w:tcW w:w="33.333333%" w:type="pct"/>
          </w:tcPr>
          <w:p>
            <w:pPr>
              <w:ind w:leftChars="0" w:left="0" w:right="0"/>
            </w:pPr>
            <w:r>
              <w:t>TRPX</w:t>
            </w:r>
          </w:p>
        </w:tc>
        <w:tc>
          <w:tcPr>
            <w:cnfStyle w:evenVBand="true" w:oddVBand="false" w:firstColumn="false"/>
            <w:tcW w:w="33.333333%" w:type="pct"/>
          </w:tcPr>
          <w:p>
            <w:pPr>
              <w:ind w:leftChars="0" w:left="0" w:right="0"/>
            </w:pPr>
            <w:r>
              <w:t>TRPX</w:t>
            </w:r>
          </w:p>
        </w:tc>
        <w:tc>
          <w:tcPr>
            <w:cnfStyle w:evenVBand="false" w:oddVBand="true" w:firstColumn="false"/>
            <w:tcW w:w="33.333333%" w:type="pct"/>
          </w:tcPr>
          <w:p>
            <w:pPr>
              <w:ind w:leftChars="0" w:left="0" w:right="0"/>
            </w:pPr>
            <w:r>
              <w:t>MERJ EXCHANGE LIMITED</w:t>
            </w:r>
          </w:p>
        </w:tc>
      </w:tr>
      <w:tr>
        <w:trPr>
          <w:cnfStyle w:evenHBand="false" w:oddHBand="true" w:firstRow="false"/>
        </w:trPr>
        <w:tc>
          <w:tcPr>
            <w:cnfStyle w:evenVBand="false" w:oddVBand="true" w:firstColumn="false"/>
            <w:tcW w:w="33.333333%" w:type="pct"/>
          </w:tcPr>
          <w:p>
            <w:pPr>
              <w:ind w:leftChars="0" w:left="0" w:right="0"/>
            </w:pPr>
            <w:r>
              <w:t>TRQA</w:t>
            </w:r>
          </w:p>
        </w:tc>
        <w:tc>
          <w:tcPr>
            <w:cnfStyle w:evenVBand="true" w:oddVBand="false" w:firstColumn="false"/>
            <w:tcW w:w="33.333333%" w:type="pct"/>
          </w:tcPr>
          <w:p>
            <w:pPr>
              <w:ind w:leftChars="0" w:left="0" w:right="0"/>
            </w:pPr>
            <w:r>
              <w:t>TRQA</w:t>
            </w:r>
          </w:p>
        </w:tc>
        <w:tc>
          <w:tcPr>
            <w:cnfStyle w:evenVBand="false" w:oddVBand="true" w:firstColumn="false"/>
            <w:tcW w:w="33.333333%" w:type="pct"/>
          </w:tcPr>
          <w:p>
            <w:pPr>
              <w:ind w:leftChars="0" w:left="0" w:right="0"/>
            </w:pPr>
            <w:r>
              <w:t>TURQUOISE LIT AUCTIONS</w:t>
            </w:r>
          </w:p>
        </w:tc>
      </w:tr>
      <w:tr>
        <w:trPr>
          <w:cnfStyle w:evenHBand="true" w:oddHBand="false" w:firstRow="false"/>
        </w:trPr>
        <w:tc>
          <w:tcPr>
            <w:cnfStyle w:evenVBand="false" w:oddVBand="true" w:firstColumn="false"/>
            <w:tcW w:w="33.333333%" w:type="pct"/>
          </w:tcPr>
          <w:p>
            <w:pPr>
              <w:ind w:leftChars="0" w:left="0" w:right="0"/>
            </w:pPr>
            <w:r>
              <w:t>TRQB</w:t>
            </w:r>
          </w:p>
        </w:tc>
        <w:tc>
          <w:tcPr>
            <w:cnfStyle w:evenVBand="true" w:oddVBand="false" w:firstColumn="false"/>
            <w:tcW w:w="33.333333%" w:type="pct"/>
          </w:tcPr>
          <w:p>
            <w:pPr>
              <w:ind w:leftChars="0" w:left="0" w:right="0"/>
            </w:pPr>
            <w:r>
              <w:t>TRQB</w:t>
            </w:r>
          </w:p>
        </w:tc>
        <w:tc>
          <w:tcPr>
            <w:cnfStyle w:evenVBand="false" w:oddVBand="true" w:firstColumn="false"/>
            <w:tcW w:w="33.333333%" w:type="pct"/>
          </w:tcPr>
          <w:p>
            <w:pPr>
              <w:ind w:leftChars="0" w:left="0" w:right="0"/>
            </w:pPr>
            <w:r>
              <w:t>TURQUOISE NYLON CASH ORDER BOOK</w:t>
            </w:r>
          </w:p>
        </w:tc>
      </w:tr>
      <w:tr>
        <w:trPr>
          <w:cnfStyle w:evenHBand="false" w:oddHBand="true" w:firstRow="false"/>
        </w:trPr>
        <w:tc>
          <w:tcPr>
            <w:cnfStyle w:evenVBand="false" w:oddVBand="true" w:firstColumn="false"/>
            <w:tcW w:w="33.333333%" w:type="pct"/>
          </w:tcPr>
          <w:p>
            <w:pPr>
              <w:ind w:leftChars="0" w:left="0" w:right="0"/>
            </w:pPr>
            <w:r>
              <w:t>TRQC</w:t>
            </w:r>
          </w:p>
        </w:tc>
        <w:tc>
          <w:tcPr>
            <w:cnfStyle w:evenVBand="true" w:oddVBand="false" w:firstColumn="false"/>
            <w:tcW w:w="33.333333%" w:type="pct"/>
          </w:tcPr>
          <w:p>
            <w:pPr>
              <w:ind w:leftChars="0" w:left="0" w:right="0"/>
            </w:pPr>
            <w:r>
              <w:t>TRQC</w:t>
            </w:r>
          </w:p>
        </w:tc>
        <w:tc>
          <w:tcPr>
            <w:cnfStyle w:evenVBand="false" w:oddVBand="true" w:firstColumn="false"/>
            <w:tcW w:w="33.333333%" w:type="pct"/>
          </w:tcPr>
          <w:p>
            <w:pPr>
              <w:ind w:leftChars="0" w:left="0" w:right="0"/>
            </w:pPr>
            <w:r>
              <w:t>TURQUOISE NYLON CLEARED CONTRACT</w:t>
            </w:r>
          </w:p>
        </w:tc>
      </w:tr>
      <w:tr>
        <w:trPr>
          <w:cnfStyle w:evenHBand="true" w:oddHBand="false" w:firstRow="false"/>
        </w:trPr>
        <w:tc>
          <w:tcPr>
            <w:cnfStyle w:evenVBand="false" w:oddVBand="true" w:firstColumn="false"/>
            <w:tcW w:w="33.333333%" w:type="pct"/>
          </w:tcPr>
          <w:p>
            <w:pPr>
              <w:ind w:leftChars="0" w:left="0" w:right="0"/>
            </w:pPr>
            <w:r>
              <w:t>TRQD</w:t>
            </w:r>
          </w:p>
        </w:tc>
        <w:tc>
          <w:tcPr>
            <w:cnfStyle w:evenVBand="true" w:oddVBand="false" w:firstColumn="false"/>
            <w:tcW w:w="33.333333%" w:type="pct"/>
          </w:tcPr>
          <w:p>
            <w:pPr>
              <w:ind w:leftChars="0" w:left="0" w:right="0"/>
            </w:pPr>
            <w:r>
              <w:t>TRQD</w:t>
            </w:r>
          </w:p>
        </w:tc>
        <w:tc>
          <w:tcPr>
            <w:cnfStyle w:evenVBand="false" w:oddVBand="true" w:firstColumn="false"/>
            <w:tcW w:w="33.333333%" w:type="pct"/>
          </w:tcPr>
          <w:p>
            <w:pPr>
              <w:ind w:leftChars="0" w:left="0" w:right="0"/>
            </w:pPr>
            <w:r>
              <w:t>TURQUOISE DERIVATIVES MARKET</w:t>
            </w:r>
          </w:p>
        </w:tc>
      </w:tr>
      <w:tr>
        <w:trPr>
          <w:cnfStyle w:evenHBand="false" w:oddHBand="true" w:firstRow="false"/>
        </w:trPr>
        <w:tc>
          <w:tcPr>
            <w:cnfStyle w:evenVBand="false" w:oddVBand="true" w:firstColumn="false"/>
            <w:tcW w:w="33.333333%" w:type="pct"/>
          </w:tcPr>
          <w:p>
            <w:pPr>
              <w:ind w:leftChars="0" w:left="0" w:right="0"/>
            </w:pPr>
            <w:r>
              <w:t>TRQM</w:t>
            </w:r>
          </w:p>
        </w:tc>
        <w:tc>
          <w:tcPr>
            <w:cnfStyle w:evenVBand="true" w:oddVBand="false" w:firstColumn="false"/>
            <w:tcW w:w="33.333333%" w:type="pct"/>
          </w:tcPr>
          <w:p>
            <w:pPr>
              <w:ind w:leftChars="0" w:left="0" w:right="0"/>
            </w:pPr>
            <w:r>
              <w:t>TRQM</w:t>
            </w:r>
          </w:p>
        </w:tc>
        <w:tc>
          <w:tcPr>
            <w:cnfStyle w:evenVBand="false" w:oddVBand="true" w:firstColumn="false"/>
            <w:tcW w:w="33.333333%" w:type="pct"/>
          </w:tcPr>
          <w:p>
            <w:pPr>
              <w:ind w:leftChars="0" w:left="0" w:right="0"/>
            </w:pPr>
            <w:r>
              <w:t>TURQUOISE PLATO</w:t>
            </w:r>
          </w:p>
        </w:tc>
      </w:tr>
      <w:tr>
        <w:trPr>
          <w:cnfStyle w:evenHBand="true" w:oddHBand="false" w:firstRow="false"/>
        </w:trPr>
        <w:tc>
          <w:tcPr>
            <w:cnfStyle w:evenVBand="false" w:oddVBand="true" w:firstColumn="false"/>
            <w:tcW w:w="33.333333%" w:type="pct"/>
          </w:tcPr>
          <w:p>
            <w:pPr>
              <w:ind w:leftChars="0" w:left="0" w:right="0"/>
            </w:pPr>
            <w:r>
              <w:t>TRQS</w:t>
            </w:r>
          </w:p>
        </w:tc>
        <w:tc>
          <w:tcPr>
            <w:cnfStyle w:evenVBand="true" w:oddVBand="false" w:firstColumn="false"/>
            <w:tcW w:w="33.333333%" w:type="pct"/>
          </w:tcPr>
          <w:p>
            <w:pPr>
              <w:ind w:leftChars="0" w:left="0" w:right="0"/>
            </w:pPr>
            <w:r>
              <w:t>TRQS</w:t>
            </w:r>
          </w:p>
        </w:tc>
        <w:tc>
          <w:tcPr>
            <w:cnfStyle w:evenVBand="false" w:oddVBand="true" w:firstColumn="false"/>
            <w:tcW w:w="33.333333%" w:type="pct"/>
          </w:tcPr>
          <w:p>
            <w:pPr>
              <w:ind w:leftChars="0" w:left="0" w:right="0"/>
            </w:pPr>
            <w:r>
              <w:t>TURQUOISE SWAPMATCH</w:t>
            </w:r>
          </w:p>
        </w:tc>
      </w:tr>
      <w:tr>
        <w:trPr>
          <w:cnfStyle w:evenHBand="false" w:oddHBand="true" w:firstRow="false"/>
        </w:trPr>
        <w:tc>
          <w:tcPr>
            <w:cnfStyle w:evenVBand="false" w:oddVBand="true" w:firstColumn="false"/>
            <w:tcW w:w="33.333333%" w:type="pct"/>
          </w:tcPr>
          <w:p>
            <w:pPr>
              <w:ind w:leftChars="0" w:left="0" w:right="0"/>
            </w:pPr>
            <w:r>
              <w:t>TRQX</w:t>
            </w:r>
          </w:p>
        </w:tc>
        <w:tc>
          <w:tcPr>
            <w:cnfStyle w:evenVBand="true" w:oddVBand="false" w:firstColumn="false"/>
            <w:tcW w:w="33.333333%" w:type="pct"/>
          </w:tcPr>
          <w:p>
            <w:pPr>
              <w:ind w:leftChars="0" w:left="0" w:right="0"/>
            </w:pPr>
            <w:r>
              <w:t>TRQX</w:t>
            </w:r>
          </w:p>
        </w:tc>
        <w:tc>
          <w:tcPr>
            <w:cnfStyle w:evenVBand="false" w:oddVBand="true" w:firstColumn="false"/>
            <w:tcW w:w="33.333333%" w:type="pct"/>
          </w:tcPr>
          <w:p>
            <w:pPr>
              <w:ind w:leftChars="0" w:left="0" w:right="0"/>
            </w:pPr>
            <w:r>
              <w:t>TURQUOISE</w:t>
            </w:r>
          </w:p>
        </w:tc>
      </w:tr>
      <w:tr>
        <w:trPr>
          <w:cnfStyle w:evenHBand="true" w:oddHBand="false" w:firstRow="false"/>
        </w:trPr>
        <w:tc>
          <w:tcPr>
            <w:cnfStyle w:evenVBand="false" w:oddVBand="true" w:firstColumn="false"/>
            <w:tcW w:w="33.333333%" w:type="pct"/>
          </w:tcPr>
          <w:p>
            <w:pPr>
              <w:ind w:leftChars="0" w:left="0" w:right="0"/>
            </w:pPr>
            <w:r>
              <w:t>TRSI</w:t>
            </w:r>
          </w:p>
        </w:tc>
        <w:tc>
          <w:tcPr>
            <w:cnfStyle w:evenVBand="true" w:oddVBand="false" w:firstColumn="false"/>
            <w:tcW w:w="33.333333%" w:type="pct"/>
          </w:tcPr>
          <w:p>
            <w:pPr>
              <w:ind w:leftChars="0" w:left="0" w:right="0"/>
            </w:pPr>
            <w:r>
              <w:t>TRSI</w:t>
            </w:r>
          </w:p>
        </w:tc>
        <w:tc>
          <w:tcPr>
            <w:cnfStyle w:evenVBand="false" w:oddVBand="true" w:firstColumn="false"/>
            <w:tcW w:w="33.333333%" w:type="pct"/>
          </w:tcPr>
          <w:p>
            <w:pPr>
              <w:ind w:leftChars="0" w:left="0" w:right="0"/>
            </w:pPr>
            <w:r>
              <w:t>TOWER RESEARCH CAPITAL EUROPE LTD</w:t>
            </w:r>
          </w:p>
        </w:tc>
      </w:tr>
      <w:tr>
        <w:trPr>
          <w:cnfStyle w:evenHBand="false" w:oddHBand="true" w:firstRow="false"/>
        </w:trPr>
        <w:tc>
          <w:tcPr>
            <w:cnfStyle w:evenVBand="false" w:oddVBand="true" w:firstColumn="false"/>
            <w:tcW w:w="33.333333%" w:type="pct"/>
          </w:tcPr>
          <w:p>
            <w:pPr>
              <w:ind w:leftChars="0" w:left="0" w:right="0"/>
            </w:pPr>
            <w:r>
              <w:t>TRU1</w:t>
            </w:r>
          </w:p>
        </w:tc>
        <w:tc>
          <w:tcPr>
            <w:cnfStyle w:evenVBand="true" w:oddVBand="false" w:firstColumn="false"/>
            <w:tcW w:w="33.333333%" w:type="pct"/>
          </w:tcPr>
          <w:p>
            <w:pPr>
              <w:ind w:leftChars="0" w:left="0" w:right="0"/>
            </w:pPr>
            <w:r>
              <w:t>TRU1</w:t>
            </w:r>
          </w:p>
        </w:tc>
        <w:tc>
          <w:tcPr>
            <w:cnfStyle w:evenVBand="false" w:oddVBand="true" w:firstColumn="false"/>
            <w:tcW w:w="33.333333%" w:type="pct"/>
          </w:tcPr>
          <w:p>
            <w:pPr>
              <w:ind w:leftChars="0" w:left="0" w:right="0"/>
            </w:pPr>
            <w:r>
              <w:t>TRUEEX LLC - DESIGNATED CONTRACT MARKET (DMC)</w:t>
            </w:r>
          </w:p>
        </w:tc>
      </w:tr>
      <w:tr>
        <w:trPr>
          <w:cnfStyle w:evenHBand="true" w:oddHBand="false" w:firstRow="false"/>
        </w:trPr>
        <w:tc>
          <w:tcPr>
            <w:cnfStyle w:evenVBand="false" w:oddVBand="true" w:firstColumn="false"/>
            <w:tcW w:w="33.333333%" w:type="pct"/>
          </w:tcPr>
          <w:p>
            <w:pPr>
              <w:ind w:leftChars="0" w:left="0" w:right="0"/>
            </w:pPr>
            <w:r>
              <w:t>TRU2</w:t>
            </w:r>
          </w:p>
        </w:tc>
        <w:tc>
          <w:tcPr>
            <w:cnfStyle w:evenVBand="true" w:oddVBand="false" w:firstColumn="false"/>
            <w:tcW w:w="33.333333%" w:type="pct"/>
          </w:tcPr>
          <w:p>
            <w:pPr>
              <w:ind w:leftChars="0" w:left="0" w:right="0"/>
            </w:pPr>
            <w:r>
              <w:t>TRU2</w:t>
            </w:r>
          </w:p>
        </w:tc>
        <w:tc>
          <w:tcPr>
            <w:cnfStyle w:evenVBand="false" w:oddVBand="true" w:firstColumn="false"/>
            <w:tcW w:w="33.333333%" w:type="pct"/>
          </w:tcPr>
          <w:p>
            <w:pPr>
              <w:ind w:leftChars="0" w:left="0" w:right="0"/>
            </w:pPr>
            <w:r>
              <w:t>TRUEEX LLC - SEF (SWAP EXECUTION FACILITY)</w:t>
            </w:r>
          </w:p>
        </w:tc>
      </w:tr>
      <w:tr>
        <w:trPr>
          <w:cnfStyle w:evenHBand="false" w:oddHBand="true" w:firstRow="false"/>
        </w:trPr>
        <w:tc>
          <w:tcPr>
            <w:cnfStyle w:evenVBand="false" w:oddVBand="true" w:firstColumn="false"/>
            <w:tcW w:w="33.333333%" w:type="pct"/>
          </w:tcPr>
          <w:p>
            <w:pPr>
              <w:ind w:leftChars="0" w:left="0" w:right="0"/>
            </w:pPr>
            <w:r>
              <w:t>TRUK</w:t>
            </w:r>
          </w:p>
        </w:tc>
        <w:tc>
          <w:tcPr>
            <w:cnfStyle w:evenVBand="true" w:oddVBand="false" w:firstColumn="false"/>
            <w:tcW w:w="33.333333%" w:type="pct"/>
          </w:tcPr>
          <w:p>
            <w:pPr>
              <w:ind w:leftChars="0" w:left="0" w:right="0"/>
            </w:pPr>
            <w:r>
              <w:t>TRUK</w:t>
            </w:r>
          </w:p>
        </w:tc>
        <w:tc>
          <w:tcPr>
            <w:cnfStyle w:evenVBand="false" w:oddVBand="true" w:firstColumn="false"/>
            <w:tcW w:w="33.333333%" w:type="pct"/>
          </w:tcPr>
          <w:p>
            <w:pPr>
              <w:ind w:leftChars="0" w:left="0" w:right="0"/>
            </w:pPr>
            <w:r>
              <w:t>TRADING 212 UK LIMITED</w:t>
            </w:r>
          </w:p>
        </w:tc>
      </w:tr>
      <w:tr>
        <w:trPr>
          <w:cnfStyle w:evenHBand="true" w:oddHBand="false" w:firstRow="false"/>
        </w:trPr>
        <w:tc>
          <w:tcPr>
            <w:cnfStyle w:evenVBand="false" w:oddVBand="true" w:firstColumn="false"/>
            <w:tcW w:w="33.333333%" w:type="pct"/>
          </w:tcPr>
          <w:p>
            <w:pPr>
              <w:ind w:leftChars="0" w:left="0" w:right="0"/>
            </w:pPr>
            <w:r>
              <w:t>TRUX</w:t>
            </w:r>
          </w:p>
        </w:tc>
        <w:tc>
          <w:tcPr>
            <w:cnfStyle w:evenVBand="true" w:oddVBand="false" w:firstColumn="false"/>
            <w:tcW w:w="33.333333%" w:type="pct"/>
          </w:tcPr>
          <w:p>
            <w:pPr>
              <w:ind w:leftChars="0" w:left="0" w:right="0"/>
            </w:pPr>
            <w:r>
              <w:t>TRUX</w:t>
            </w:r>
          </w:p>
        </w:tc>
        <w:tc>
          <w:tcPr>
            <w:cnfStyle w:evenVBand="false" w:oddVBand="true" w:firstColumn="false"/>
            <w:tcW w:w="33.333333%" w:type="pct"/>
          </w:tcPr>
          <w:p>
            <w:pPr>
              <w:ind w:leftChars="0" w:left="0" w:right="0"/>
            </w:pPr>
            <w:r>
              <w:t>TRUEEX LLC</w:t>
            </w:r>
          </w:p>
        </w:tc>
      </w:tr>
      <w:tr>
        <w:trPr>
          <w:cnfStyle w:evenHBand="false" w:oddHBand="true" w:firstRow="false"/>
        </w:trPr>
        <w:tc>
          <w:tcPr>
            <w:cnfStyle w:evenVBand="false" w:oddVBand="true" w:firstColumn="false"/>
            <w:tcW w:w="33.333333%" w:type="pct"/>
          </w:tcPr>
          <w:p>
            <w:pPr>
              <w:ind w:leftChars="0" w:left="0" w:right="0"/>
            </w:pPr>
            <w:r>
              <w:t>TRWB</w:t>
            </w:r>
          </w:p>
        </w:tc>
        <w:tc>
          <w:tcPr>
            <w:cnfStyle w:evenVBand="true" w:oddVBand="false" w:firstColumn="false"/>
            <w:tcW w:w="33.333333%" w:type="pct"/>
          </w:tcPr>
          <w:p>
            <w:pPr>
              <w:ind w:leftChars="0" w:left="0" w:right="0"/>
            </w:pPr>
            <w:r>
              <w:t>TRWB</w:t>
            </w:r>
          </w:p>
        </w:tc>
        <w:tc>
          <w:tcPr>
            <w:cnfStyle w:evenVBand="false" w:oddVBand="true" w:firstColumn="false"/>
            <w:tcW w:w="33.333333%" w:type="pct"/>
          </w:tcPr>
          <w:p>
            <w:pPr>
              <w:ind w:leftChars="0" w:left="0" w:right="0"/>
            </w:pPr>
            <w:r>
              <w:t>TRADEWEB LLC</w:t>
            </w:r>
          </w:p>
        </w:tc>
      </w:tr>
      <w:tr>
        <w:trPr>
          <w:cnfStyle w:evenHBand="true" w:oddHBand="false" w:firstRow="false"/>
        </w:trPr>
        <w:tc>
          <w:tcPr>
            <w:cnfStyle w:evenVBand="false" w:oddVBand="true" w:firstColumn="false"/>
            <w:tcW w:w="33.333333%" w:type="pct"/>
          </w:tcPr>
          <w:p>
            <w:pPr>
              <w:ind w:leftChars="0" w:left="0" w:right="0"/>
            </w:pPr>
            <w:r>
              <w:t>TRXE</w:t>
            </w:r>
          </w:p>
        </w:tc>
        <w:tc>
          <w:tcPr>
            <w:cnfStyle w:evenVBand="true" w:oddVBand="false" w:firstColumn="false"/>
            <w:tcW w:w="33.333333%" w:type="pct"/>
          </w:tcPr>
          <w:p>
            <w:pPr>
              <w:ind w:leftChars="0" w:left="0" w:right="0"/>
            </w:pPr>
            <w:r>
              <w:t>TRXE</w:t>
            </w:r>
          </w:p>
        </w:tc>
        <w:tc>
          <w:tcPr>
            <w:cnfStyle w:evenVBand="false" w:oddVBand="true" w:firstColumn="false"/>
            <w:tcW w:w="33.333333%" w:type="pct"/>
          </w:tcPr>
          <w:p>
            <w:pPr>
              <w:ind w:leftChars="0" w:left="0" w:right="0"/>
            </w:pPr>
            <w:r>
              <w:t>TRAD-X EUROPE</w:t>
            </w:r>
          </w:p>
        </w:tc>
      </w:tr>
      <w:tr>
        <w:trPr>
          <w:cnfStyle w:evenHBand="false" w:oddHBand="true" w:firstRow="false"/>
        </w:trPr>
        <w:tc>
          <w:tcPr>
            <w:cnfStyle w:evenVBand="false" w:oddVBand="true" w:firstColumn="false"/>
            <w:tcW w:w="33.333333%" w:type="pct"/>
          </w:tcPr>
          <w:p>
            <w:pPr>
              <w:ind w:leftChars="0" w:left="0" w:right="0"/>
            </w:pPr>
            <w:r>
              <w:t>TSAD</w:t>
            </w:r>
          </w:p>
        </w:tc>
        <w:tc>
          <w:tcPr>
            <w:cnfStyle w:evenVBand="true" w:oddVBand="false" w:firstColumn="false"/>
            <w:tcW w:w="33.333333%" w:type="pct"/>
          </w:tcPr>
          <w:p>
            <w:pPr>
              <w:ind w:leftChars="0" w:left="0" w:right="0"/>
            </w:pPr>
            <w:r>
              <w:t>TSAD</w:t>
            </w:r>
          </w:p>
        </w:tc>
        <w:tc>
          <w:tcPr>
            <w:cnfStyle w:evenVBand="false" w:oddVBand="true" w:firstColumn="false"/>
            <w:tcW w:w="33.333333%" w:type="pct"/>
          </w:tcPr>
          <w:p>
            <w:pPr>
              <w:ind w:leftChars="0" w:left="0" w:right="0"/>
            </w:pPr>
            <w:r>
              <w:t>TRADITION SECURITIES AND DERIVATIVES INC.</w:t>
            </w:r>
          </w:p>
        </w:tc>
      </w:tr>
      <w:tr>
        <w:trPr>
          <w:cnfStyle w:evenHBand="true" w:oddHBand="false" w:firstRow="false"/>
        </w:trPr>
        <w:tc>
          <w:tcPr>
            <w:cnfStyle w:evenVBand="false" w:oddVBand="true" w:firstColumn="false"/>
            <w:tcW w:w="33.333333%" w:type="pct"/>
          </w:tcPr>
          <w:p>
            <w:pPr>
              <w:ind w:leftChars="0" w:left="0" w:right="0"/>
            </w:pPr>
            <w:r>
              <w:t>TSAF</w:t>
            </w:r>
          </w:p>
        </w:tc>
        <w:tc>
          <w:tcPr>
            <w:cnfStyle w:evenVBand="true" w:oddVBand="false" w:firstColumn="false"/>
            <w:tcW w:w="33.333333%" w:type="pct"/>
          </w:tcPr>
          <w:p>
            <w:pPr>
              <w:ind w:leftChars="0" w:left="0" w:right="0"/>
            </w:pPr>
            <w:r>
              <w:t>TSAF</w:t>
            </w:r>
          </w:p>
        </w:tc>
        <w:tc>
          <w:tcPr>
            <w:cnfStyle w:evenVBand="false" w:oddVBand="true" w:firstColumn="false"/>
            <w:tcW w:w="33.333333%" w:type="pct"/>
          </w:tcPr>
          <w:p>
            <w:pPr>
              <w:ind w:leftChars="0" w:left="0" w:right="0"/>
            </w:pPr>
            <w:r>
              <w:t>TSAF OTC - OTF</w:t>
            </w:r>
          </w:p>
        </w:tc>
      </w:tr>
      <w:tr>
        <w:trPr>
          <w:cnfStyle w:evenHBand="false" w:oddHBand="true" w:firstRow="false"/>
        </w:trPr>
        <w:tc>
          <w:tcPr>
            <w:cnfStyle w:evenVBand="false" w:oddVBand="true" w:firstColumn="false"/>
            <w:tcW w:w="33.333333%" w:type="pct"/>
          </w:tcPr>
          <w:p>
            <w:pPr>
              <w:ind w:leftChars="0" w:left="0" w:right="0"/>
            </w:pPr>
            <w:r>
              <w:t>TSBX</w:t>
            </w:r>
          </w:p>
        </w:tc>
        <w:tc>
          <w:tcPr>
            <w:cnfStyle w:evenVBand="true" w:oddVBand="false" w:firstColumn="false"/>
            <w:tcW w:w="33.333333%" w:type="pct"/>
          </w:tcPr>
          <w:p>
            <w:pPr>
              <w:ind w:leftChars="0" w:left="0" w:right="0"/>
            </w:pPr>
            <w:r>
              <w:t>TSBX</w:t>
            </w:r>
          </w:p>
        </w:tc>
        <w:tc>
          <w:tcPr>
            <w:cnfStyle w:evenVBand="false" w:oddVBand="true" w:firstColumn="false"/>
            <w:tcW w:w="33.333333%" w:type="pct"/>
          </w:tcPr>
          <w:p>
            <w:pPr>
              <w:ind w:leftChars="0" w:left="0" w:right="0"/>
            </w:pPr>
            <w:r>
              <w:t>DBOT ATS, LLC</w:t>
            </w:r>
          </w:p>
        </w:tc>
      </w:tr>
      <w:tr>
        <w:trPr>
          <w:cnfStyle w:evenHBand="true" w:oddHBand="false" w:firstRow="false"/>
        </w:trPr>
        <w:tc>
          <w:tcPr>
            <w:cnfStyle w:evenVBand="false" w:oddVBand="true" w:firstColumn="false"/>
            <w:tcW w:w="33.333333%" w:type="pct"/>
          </w:tcPr>
          <w:p>
            <w:pPr>
              <w:ind w:leftChars="0" w:left="0" w:right="0"/>
            </w:pPr>
            <w:r>
              <w:t>TSCB</w:t>
            </w:r>
          </w:p>
        </w:tc>
        <w:tc>
          <w:tcPr>
            <w:cnfStyle w:evenVBand="true" w:oddVBand="false" w:firstColumn="false"/>
            <w:tcW w:w="33.333333%" w:type="pct"/>
          </w:tcPr>
          <w:p>
            <w:pPr>
              <w:ind w:leftChars="0" w:left="0" w:right="0"/>
            </w:pPr>
            <w:r>
              <w:t>TSCB</w:t>
            </w:r>
          </w:p>
        </w:tc>
        <w:tc>
          <w:tcPr>
            <w:cnfStyle w:evenVBand="false" w:oddVBand="true" w:firstColumn="false"/>
            <w:tcW w:w="33.333333%" w:type="pct"/>
          </w:tcPr>
          <w:p>
            <w:pPr>
              <w:ind w:leftChars="0" w:left="0" w:right="0"/>
            </w:pPr>
            <w:r>
              <w:t>TP UK OTF - CORPORATE BONDS</w:t>
            </w:r>
          </w:p>
        </w:tc>
      </w:tr>
      <w:tr>
        <w:trPr>
          <w:cnfStyle w:evenHBand="false" w:oddHBand="true" w:firstRow="false"/>
        </w:trPr>
        <w:tc>
          <w:tcPr>
            <w:cnfStyle w:evenVBand="false" w:oddVBand="true" w:firstColumn="false"/>
            <w:tcW w:w="33.333333%" w:type="pct"/>
          </w:tcPr>
          <w:p>
            <w:pPr>
              <w:ind w:leftChars="0" w:left="0" w:right="0"/>
            </w:pPr>
            <w:r>
              <w:t>TSCD</w:t>
            </w:r>
          </w:p>
        </w:tc>
        <w:tc>
          <w:tcPr>
            <w:cnfStyle w:evenVBand="true" w:oddVBand="false" w:firstColumn="false"/>
            <w:tcW w:w="33.333333%" w:type="pct"/>
          </w:tcPr>
          <w:p>
            <w:pPr>
              <w:ind w:leftChars="0" w:left="0" w:right="0"/>
            </w:pPr>
            <w:r>
              <w:t>TSCD</w:t>
            </w:r>
          </w:p>
        </w:tc>
        <w:tc>
          <w:tcPr>
            <w:cnfStyle w:evenVBand="false" w:oddVBand="true" w:firstColumn="false"/>
            <w:tcW w:w="33.333333%" w:type="pct"/>
          </w:tcPr>
          <w:p>
            <w:pPr>
              <w:ind w:leftChars="0" w:left="0" w:right="0"/>
            </w:pPr>
            <w:r>
              <w:t>TP UK OTF - CREDIT DERIVATIVES</w:t>
            </w:r>
          </w:p>
        </w:tc>
      </w:tr>
      <w:tr>
        <w:trPr>
          <w:cnfStyle w:evenHBand="true" w:oddHBand="false" w:firstRow="false"/>
        </w:trPr>
        <w:tc>
          <w:tcPr>
            <w:cnfStyle w:evenVBand="false" w:oddVBand="true" w:firstColumn="false"/>
            <w:tcW w:w="33.333333%" w:type="pct"/>
          </w:tcPr>
          <w:p>
            <w:pPr>
              <w:ind w:leftChars="0" w:left="0" w:right="0"/>
            </w:pPr>
            <w:r>
              <w:t>TSED</w:t>
            </w:r>
          </w:p>
        </w:tc>
        <w:tc>
          <w:tcPr>
            <w:cnfStyle w:evenVBand="true" w:oddVBand="false" w:firstColumn="false"/>
            <w:tcW w:w="33.333333%" w:type="pct"/>
          </w:tcPr>
          <w:p>
            <w:pPr>
              <w:ind w:leftChars="0" w:left="0" w:right="0"/>
            </w:pPr>
            <w:r>
              <w:t>TSED</w:t>
            </w:r>
          </w:p>
        </w:tc>
        <w:tc>
          <w:tcPr>
            <w:cnfStyle w:evenVBand="false" w:oddVBand="true" w:firstColumn="false"/>
            <w:tcW w:w="33.333333%" w:type="pct"/>
          </w:tcPr>
          <w:p>
            <w:pPr>
              <w:ind w:leftChars="0" w:left="0" w:right="0"/>
            </w:pPr>
            <w:r>
              <w:t>TP UK OTF - EQUITY DERIVATIVES</w:t>
            </w:r>
          </w:p>
        </w:tc>
      </w:tr>
      <w:tr>
        <w:trPr>
          <w:cnfStyle w:evenHBand="false" w:oddHBand="true" w:firstRow="false"/>
        </w:trPr>
        <w:tc>
          <w:tcPr>
            <w:cnfStyle w:evenVBand="false" w:oddVBand="true" w:firstColumn="false"/>
            <w:tcW w:w="33.333333%" w:type="pct"/>
          </w:tcPr>
          <w:p>
            <w:pPr>
              <w:ind w:leftChars="0" w:left="0" w:right="0"/>
            </w:pPr>
            <w:r>
              <w:t>TSEF</w:t>
            </w:r>
          </w:p>
        </w:tc>
        <w:tc>
          <w:tcPr>
            <w:cnfStyle w:evenVBand="true" w:oddVBand="false" w:firstColumn="false"/>
            <w:tcW w:w="33.333333%" w:type="pct"/>
          </w:tcPr>
          <w:p>
            <w:pPr>
              <w:ind w:leftChars="0" w:left="0" w:right="0"/>
            </w:pPr>
            <w:r>
              <w:t>TSEF</w:t>
            </w:r>
          </w:p>
        </w:tc>
        <w:tc>
          <w:tcPr>
            <w:cnfStyle w:evenVBand="false" w:oddVBand="true" w:firstColumn="false"/>
            <w:tcW w:w="33.333333%" w:type="pct"/>
          </w:tcPr>
          <w:p>
            <w:pPr>
              <w:ind w:leftChars="0" w:left="0" w:right="0"/>
            </w:pPr>
            <w:r>
              <w:t>TRADITION SEF</w:t>
            </w:r>
          </w:p>
        </w:tc>
      </w:tr>
      <w:tr>
        <w:trPr>
          <w:cnfStyle w:evenHBand="true" w:oddHBand="false" w:firstRow="false"/>
        </w:trPr>
        <w:tc>
          <w:tcPr>
            <w:cnfStyle w:evenVBand="false" w:oddVBand="true" w:firstColumn="false"/>
            <w:tcW w:w="33.333333%" w:type="pct"/>
          </w:tcPr>
          <w:p>
            <w:pPr>
              <w:ind w:leftChars="0" w:left="0" w:right="0"/>
            </w:pPr>
            <w:r>
              <w:t>TSFF</w:t>
            </w:r>
          </w:p>
        </w:tc>
        <w:tc>
          <w:tcPr>
            <w:cnfStyle w:evenVBand="true" w:oddVBand="false" w:firstColumn="false"/>
            <w:tcW w:w="33.333333%" w:type="pct"/>
          </w:tcPr>
          <w:p>
            <w:pPr>
              <w:ind w:leftChars="0" w:left="0" w:right="0"/>
            </w:pPr>
            <w:r>
              <w:t>TSFF</w:t>
            </w:r>
          </w:p>
        </w:tc>
        <w:tc>
          <w:tcPr>
            <w:cnfStyle w:evenVBand="false" w:oddVBand="true" w:firstColumn="false"/>
            <w:tcW w:w="33.333333%" w:type="pct"/>
          </w:tcPr>
          <w:p>
            <w:pPr>
              <w:ind w:leftChars="0" w:left="0" w:right="0"/>
            </w:pPr>
            <w:r>
              <w:t>TULLETT PREBON SECURITIES - FRANKFURT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TSFG</w:t>
            </w:r>
          </w:p>
        </w:tc>
        <w:tc>
          <w:tcPr>
            <w:cnfStyle w:evenVBand="true" w:oddVBand="false" w:firstColumn="false"/>
            <w:tcW w:w="33.333333%" w:type="pct"/>
          </w:tcPr>
          <w:p>
            <w:pPr>
              <w:ind w:leftChars="0" w:left="0" w:right="0"/>
            </w:pPr>
            <w:r>
              <w:t>TSFG</w:t>
            </w:r>
          </w:p>
        </w:tc>
        <w:tc>
          <w:tcPr>
            <w:cnfStyle w:evenVBand="false" w:oddVBand="true" w:firstColumn="false"/>
            <w:tcW w:w="33.333333%" w:type="pct"/>
          </w:tcPr>
          <w:p>
            <w:pPr>
              <w:ind w:leftChars="0" w:left="0" w:right="0"/>
            </w:pPr>
            <w:r>
              <w:t>TULLETT PREBON SECURITIES - FRANKFURT - OTF - GOVERNMENT BONDS - EX GILTS</w:t>
            </w:r>
          </w:p>
        </w:tc>
      </w:tr>
      <w:tr>
        <w:trPr>
          <w:cnfStyle w:evenHBand="true" w:oddHBand="false" w:firstRow="false"/>
        </w:trPr>
        <w:tc>
          <w:tcPr>
            <w:cnfStyle w:evenVBand="false" w:oddVBand="true" w:firstColumn="false"/>
            <w:tcW w:w="33.333333%" w:type="pct"/>
          </w:tcPr>
          <w:p>
            <w:pPr>
              <w:ind w:leftChars="0" w:left="0" w:right="0"/>
            </w:pPr>
            <w:r>
              <w:t>TSFI</w:t>
            </w:r>
          </w:p>
        </w:tc>
        <w:tc>
          <w:tcPr>
            <w:cnfStyle w:evenVBand="true" w:oddVBand="false" w:firstColumn="false"/>
            <w:tcW w:w="33.333333%" w:type="pct"/>
          </w:tcPr>
          <w:p>
            <w:pPr>
              <w:ind w:leftChars="0" w:left="0" w:right="0"/>
            </w:pPr>
            <w:r>
              <w:t>TSFI</w:t>
            </w:r>
          </w:p>
        </w:tc>
        <w:tc>
          <w:tcPr>
            <w:cnfStyle w:evenVBand="false" w:oddVBand="true" w:firstColumn="false"/>
            <w:tcW w:w="33.333333%" w:type="pct"/>
          </w:tcPr>
          <w:p>
            <w:pPr>
              <w:ind w:leftChars="0" w:left="0" w:right="0"/>
            </w:pPr>
            <w:r>
              <w:t>TP UK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TSFX</w:t>
            </w:r>
          </w:p>
        </w:tc>
        <w:tc>
          <w:tcPr>
            <w:cnfStyle w:evenVBand="true" w:oddVBand="false" w:firstColumn="false"/>
            <w:tcW w:w="33.333333%" w:type="pct"/>
          </w:tcPr>
          <w:p>
            <w:pPr>
              <w:ind w:leftChars="0" w:left="0" w:right="0"/>
            </w:pPr>
            <w:r>
              <w:t>TSFX</w:t>
            </w:r>
          </w:p>
        </w:tc>
        <w:tc>
          <w:tcPr>
            <w:cnfStyle w:evenVBand="false" w:oddVBand="true" w:firstColumn="false"/>
            <w:tcW w:w="33.333333%" w:type="pct"/>
          </w:tcPr>
          <w:p>
            <w:pPr>
              <w:ind w:leftChars="0" w:left="0" w:right="0"/>
            </w:pPr>
            <w:r>
              <w:t>TP UK OTF - FX DERIVATIVES</w:t>
            </w:r>
          </w:p>
        </w:tc>
      </w:tr>
      <w:tr>
        <w:trPr>
          <w:cnfStyle w:evenHBand="true" w:oddHBand="false" w:firstRow="false"/>
        </w:trPr>
        <w:tc>
          <w:tcPr>
            <w:cnfStyle w:evenVBand="false" w:oddVBand="true" w:firstColumn="false"/>
            <w:tcW w:w="33.333333%" w:type="pct"/>
          </w:tcPr>
          <w:p>
            <w:pPr>
              <w:ind w:leftChars="0" w:left="0" w:right="0"/>
            </w:pPr>
            <w:r>
              <w:t>TSGB</w:t>
            </w:r>
          </w:p>
        </w:tc>
        <w:tc>
          <w:tcPr>
            <w:cnfStyle w:evenVBand="true" w:oddVBand="false" w:firstColumn="false"/>
            <w:tcW w:w="33.333333%" w:type="pct"/>
          </w:tcPr>
          <w:p>
            <w:pPr>
              <w:ind w:leftChars="0" w:left="0" w:right="0"/>
            </w:pPr>
            <w:r>
              <w:t>TSGB</w:t>
            </w:r>
          </w:p>
        </w:tc>
        <w:tc>
          <w:tcPr>
            <w:cnfStyle w:evenVBand="false" w:oddVBand="true" w:firstColumn="false"/>
            <w:tcW w:w="33.333333%" w:type="pct"/>
          </w:tcPr>
          <w:p>
            <w:pPr>
              <w:ind w:leftChars="0" w:left="0" w:right="0"/>
            </w:pPr>
            <w:r>
              <w:t>TP UK OTF - GOVERNMENT BONDS EXCLUDING UK GILTS</w:t>
            </w:r>
          </w:p>
        </w:tc>
      </w:tr>
      <w:tr>
        <w:trPr>
          <w:cnfStyle w:evenHBand="false" w:oddHBand="true" w:firstRow="false"/>
        </w:trPr>
        <w:tc>
          <w:tcPr>
            <w:cnfStyle w:evenVBand="false" w:oddVBand="true" w:firstColumn="false"/>
            <w:tcW w:w="33.333333%" w:type="pct"/>
          </w:tcPr>
          <w:p>
            <w:pPr>
              <w:ind w:leftChars="0" w:left="0" w:right="0"/>
            </w:pPr>
            <w:r>
              <w:t>TSGI</w:t>
            </w:r>
          </w:p>
        </w:tc>
        <w:tc>
          <w:tcPr>
            <w:cnfStyle w:evenVBand="true" w:oddVBand="false" w:firstColumn="false"/>
            <w:tcW w:w="33.333333%" w:type="pct"/>
          </w:tcPr>
          <w:p>
            <w:pPr>
              <w:ind w:leftChars="0" w:left="0" w:right="0"/>
            </w:pPr>
            <w:r>
              <w:t>TSGI</w:t>
            </w:r>
          </w:p>
        </w:tc>
        <w:tc>
          <w:tcPr>
            <w:cnfStyle w:evenVBand="false" w:oddVBand="true" w:firstColumn="false"/>
            <w:tcW w:w="33.333333%" w:type="pct"/>
          </w:tcPr>
          <w:p>
            <w:pPr>
              <w:ind w:leftChars="0" w:left="0" w:right="0"/>
            </w:pPr>
            <w:r>
              <w:t>TP UK OTF - GOVERNMENT BONDS - UK GILTS</w:t>
            </w:r>
          </w:p>
        </w:tc>
      </w:tr>
      <w:tr>
        <w:trPr>
          <w:cnfStyle w:evenHBand="true" w:oddHBand="false" w:firstRow="false"/>
        </w:trPr>
        <w:tc>
          <w:tcPr>
            <w:cnfStyle w:evenVBand="false" w:oddVBand="true" w:firstColumn="false"/>
            <w:tcW w:w="33.333333%" w:type="pct"/>
          </w:tcPr>
          <w:p>
            <w:pPr>
              <w:ind w:leftChars="0" w:left="0" w:right="0"/>
            </w:pPr>
            <w:r>
              <w:t>TSIG</w:t>
            </w:r>
          </w:p>
        </w:tc>
        <w:tc>
          <w:tcPr>
            <w:cnfStyle w:evenVBand="true" w:oddVBand="false" w:firstColumn="false"/>
            <w:tcW w:w="33.333333%" w:type="pct"/>
          </w:tcPr>
          <w:p>
            <w:pPr>
              <w:ind w:leftChars="0" w:left="0" w:right="0"/>
            </w:pPr>
            <w:r>
              <w:t>TSIG</w:t>
            </w:r>
          </w:p>
        </w:tc>
        <w:tc>
          <w:tcPr>
            <w:cnfStyle w:evenVBand="false" w:oddVBand="true" w:firstColumn="false"/>
            <w:tcW w:w="33.333333%" w:type="pct"/>
          </w:tcPr>
          <w:p>
            <w:pPr>
              <w:ind w:leftChars="0" w:left="0" w:right="0"/>
            </w:pPr>
            <w:r>
              <w:t>TRADITION SINGAPORE PTE. LTD.</w:t>
            </w:r>
          </w:p>
        </w:tc>
      </w:tr>
      <w:tr>
        <w:trPr>
          <w:cnfStyle w:evenHBand="false" w:oddHBand="true" w:firstRow="false"/>
        </w:trPr>
        <w:tc>
          <w:tcPr>
            <w:cnfStyle w:evenVBand="false" w:oddVBand="true" w:firstColumn="false"/>
            <w:tcW w:w="33.333333%" w:type="pct"/>
          </w:tcPr>
          <w:p>
            <w:pPr>
              <w:ind w:leftChars="0" w:left="0" w:right="0"/>
            </w:pPr>
            <w:r>
              <w:t>TSIR</w:t>
            </w:r>
          </w:p>
        </w:tc>
        <w:tc>
          <w:tcPr>
            <w:cnfStyle w:evenVBand="true" w:oddVBand="false" w:firstColumn="false"/>
            <w:tcW w:w="33.333333%" w:type="pct"/>
          </w:tcPr>
          <w:p>
            <w:pPr>
              <w:ind w:leftChars="0" w:left="0" w:right="0"/>
            </w:pPr>
            <w:r>
              <w:t>TSIR</w:t>
            </w:r>
          </w:p>
        </w:tc>
        <w:tc>
          <w:tcPr>
            <w:cnfStyle w:evenVBand="false" w:oddVBand="true" w:firstColumn="false"/>
            <w:tcW w:w="33.333333%" w:type="pct"/>
          </w:tcPr>
          <w:p>
            <w:pPr>
              <w:ind w:leftChars="0" w:left="0" w:right="0"/>
            </w:pPr>
            <w:r>
              <w:t>TP UK OTF - INTEREST RATE DERIVATIVES</w:t>
            </w:r>
          </w:p>
        </w:tc>
      </w:tr>
      <w:tr>
        <w:trPr>
          <w:cnfStyle w:evenHBand="true" w:oddHBand="false" w:firstRow="false"/>
        </w:trPr>
        <w:tc>
          <w:tcPr>
            <w:cnfStyle w:evenVBand="false" w:oddVBand="true" w:firstColumn="false"/>
            <w:tcW w:w="33.333333%" w:type="pct"/>
          </w:tcPr>
          <w:p>
            <w:pPr>
              <w:ind w:leftChars="0" w:left="0" w:right="0"/>
            </w:pPr>
            <w:r>
              <w:t>TSMB</w:t>
            </w:r>
          </w:p>
        </w:tc>
        <w:tc>
          <w:tcPr>
            <w:cnfStyle w:evenVBand="true" w:oddVBand="false" w:firstColumn="false"/>
            <w:tcW w:w="33.333333%" w:type="pct"/>
          </w:tcPr>
          <w:p>
            <w:pPr>
              <w:ind w:leftChars="0" w:left="0" w:right="0"/>
            </w:pPr>
            <w:r>
              <w:t>TSMB</w:t>
            </w:r>
          </w:p>
        </w:tc>
        <w:tc>
          <w:tcPr>
            <w:cnfStyle w:evenVBand="false" w:oddVBand="true" w:firstColumn="false"/>
            <w:tcW w:w="33.333333%" w:type="pct"/>
          </w:tcPr>
          <w:p>
            <w:pPr>
              <w:ind w:leftChars="0" w:left="0" w:right="0"/>
            </w:pPr>
            <w:r>
              <w:t>TULLETT PREBON SECURITIES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TSMC</w:t>
            </w:r>
          </w:p>
        </w:tc>
        <w:tc>
          <w:tcPr>
            <w:cnfStyle w:evenVBand="true" w:oddVBand="false" w:firstColumn="false"/>
            <w:tcW w:w="33.333333%" w:type="pct"/>
          </w:tcPr>
          <w:p>
            <w:pPr>
              <w:ind w:leftChars="0" w:left="0" w:right="0"/>
            </w:pPr>
            <w:r>
              <w:t>TSMC</w:t>
            </w:r>
          </w:p>
        </w:tc>
        <w:tc>
          <w:tcPr>
            <w:cnfStyle w:evenVBand="false" w:oddVBand="true" w:firstColumn="false"/>
            <w:tcW w:w="33.333333%" w:type="pct"/>
          </w:tcPr>
          <w:p>
            <w:pPr>
              <w:ind w:leftChars="0" w:left="0" w:right="0"/>
            </w:pPr>
            <w:r>
              <w:t>TULLETT PREBON SECURITIES - MTF - CREDIT DERIVATIVES</w:t>
            </w:r>
          </w:p>
        </w:tc>
      </w:tr>
      <w:tr>
        <w:trPr>
          <w:cnfStyle w:evenHBand="true" w:oddHBand="false" w:firstRow="false"/>
        </w:trPr>
        <w:tc>
          <w:tcPr>
            <w:cnfStyle w:evenVBand="false" w:oddVBand="true" w:firstColumn="false"/>
            <w:tcW w:w="33.333333%" w:type="pct"/>
          </w:tcPr>
          <w:p>
            <w:pPr>
              <w:ind w:leftChars="0" w:left="0" w:right="0"/>
            </w:pPr>
            <w:r>
              <w:t>TSMG</w:t>
            </w:r>
          </w:p>
        </w:tc>
        <w:tc>
          <w:tcPr>
            <w:cnfStyle w:evenVBand="true" w:oddVBand="false" w:firstColumn="false"/>
            <w:tcW w:w="33.333333%" w:type="pct"/>
          </w:tcPr>
          <w:p>
            <w:pPr>
              <w:ind w:leftChars="0" w:left="0" w:right="0"/>
            </w:pPr>
            <w:r>
              <w:t>TSMG</w:t>
            </w:r>
          </w:p>
        </w:tc>
        <w:tc>
          <w:tcPr>
            <w:cnfStyle w:evenVBand="false" w:oddVBand="true" w:firstColumn="false"/>
            <w:tcW w:w="33.333333%" w:type="pct"/>
          </w:tcPr>
          <w:p>
            <w:pPr>
              <w:ind w:leftChars="0" w:left="0" w:right="0"/>
            </w:pPr>
            <w:r>
              <w:t>TULLETT PREBON SECURITIES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TSMI</w:t>
            </w:r>
          </w:p>
        </w:tc>
        <w:tc>
          <w:tcPr>
            <w:cnfStyle w:evenVBand="true" w:oddVBand="false" w:firstColumn="false"/>
            <w:tcW w:w="33.333333%" w:type="pct"/>
          </w:tcPr>
          <w:p>
            <w:pPr>
              <w:ind w:leftChars="0" w:left="0" w:right="0"/>
            </w:pPr>
            <w:r>
              <w:t>TSMI</w:t>
            </w:r>
          </w:p>
        </w:tc>
        <w:tc>
          <w:tcPr>
            <w:cnfStyle w:evenVBand="false" w:oddVBand="true" w:firstColumn="false"/>
            <w:tcW w:w="33.333333%" w:type="pct"/>
          </w:tcPr>
          <w:p>
            <w:pPr>
              <w:ind w:leftChars="0" w:left="0" w:right="0"/>
            </w:pPr>
            <w:r>
              <w:t>TULLETT PREBON SECURITIES - MTF - MONEY MARKET INSTRUMENTS</w:t>
            </w:r>
          </w:p>
        </w:tc>
      </w:tr>
      <w:tr>
        <w:trPr>
          <w:cnfStyle w:evenHBand="true" w:oddHBand="false" w:firstRow="false"/>
        </w:trPr>
        <w:tc>
          <w:tcPr>
            <w:cnfStyle w:evenVBand="false" w:oddVBand="true" w:firstColumn="false"/>
            <w:tcW w:w="33.333333%" w:type="pct"/>
          </w:tcPr>
          <w:p>
            <w:pPr>
              <w:ind w:leftChars="0" w:left="0" w:right="0"/>
            </w:pPr>
            <w:r>
              <w:t>TSMM</w:t>
            </w:r>
          </w:p>
        </w:tc>
        <w:tc>
          <w:tcPr>
            <w:cnfStyle w:evenVBand="true" w:oddVBand="false" w:firstColumn="false"/>
            <w:tcW w:w="33.333333%" w:type="pct"/>
          </w:tcPr>
          <w:p>
            <w:pPr>
              <w:ind w:leftChars="0" w:left="0" w:right="0"/>
            </w:pPr>
            <w:r>
              <w:t>TSMM</w:t>
            </w:r>
          </w:p>
        </w:tc>
        <w:tc>
          <w:tcPr>
            <w:cnfStyle w:evenVBand="false" w:oddVBand="true" w:firstColumn="false"/>
            <w:tcW w:w="33.333333%" w:type="pct"/>
          </w:tcPr>
          <w:p>
            <w:pPr>
              <w:ind w:leftChars="0" w:left="0" w:right="0"/>
            </w:pPr>
            <w:r>
              <w:t>TP UK OTF - MONEY MARKET INSTRUMENTS</w:t>
            </w:r>
          </w:p>
        </w:tc>
      </w:tr>
      <w:tr>
        <w:trPr>
          <w:cnfStyle w:evenHBand="false" w:oddHBand="true" w:firstRow="false"/>
        </w:trPr>
        <w:tc>
          <w:tcPr>
            <w:cnfStyle w:evenVBand="false" w:oddVBand="true" w:firstColumn="false"/>
            <w:tcW w:w="33.333333%" w:type="pct"/>
          </w:tcPr>
          <w:p>
            <w:pPr>
              <w:ind w:leftChars="0" w:left="0" w:right="0"/>
            </w:pPr>
            <w:r>
              <w:t>TSMR</w:t>
            </w:r>
          </w:p>
        </w:tc>
        <w:tc>
          <w:tcPr>
            <w:cnfStyle w:evenVBand="true" w:oddVBand="false" w:firstColumn="false"/>
            <w:tcW w:w="33.333333%" w:type="pct"/>
          </w:tcPr>
          <w:p>
            <w:pPr>
              <w:ind w:leftChars="0" w:left="0" w:right="0"/>
            </w:pPr>
            <w:r>
              <w:t>TSMR</w:t>
            </w:r>
          </w:p>
        </w:tc>
        <w:tc>
          <w:tcPr>
            <w:cnfStyle w:evenVBand="false" w:oddVBand="true" w:firstColumn="false"/>
            <w:tcW w:w="33.333333%" w:type="pct"/>
          </w:tcPr>
          <w:p>
            <w:pPr>
              <w:ind w:leftChars="0" w:left="0" w:right="0"/>
            </w:pPr>
            <w:r>
              <w:t>TULLETT PREBON SECURITIES - MTF - REPOS</w:t>
            </w:r>
          </w:p>
        </w:tc>
      </w:tr>
      <w:tr>
        <w:trPr>
          <w:cnfStyle w:evenHBand="true" w:oddHBand="false" w:firstRow="false"/>
        </w:trPr>
        <w:tc>
          <w:tcPr>
            <w:cnfStyle w:evenVBand="false" w:oddVBand="true" w:firstColumn="false"/>
            <w:tcW w:w="33.333333%" w:type="pct"/>
          </w:tcPr>
          <w:p>
            <w:pPr>
              <w:ind w:leftChars="0" w:left="0" w:right="0"/>
            </w:pPr>
            <w:r>
              <w:t>TSRE</w:t>
            </w:r>
          </w:p>
        </w:tc>
        <w:tc>
          <w:tcPr>
            <w:cnfStyle w:evenVBand="true" w:oddVBand="false" w:firstColumn="false"/>
            <w:tcW w:w="33.333333%" w:type="pct"/>
          </w:tcPr>
          <w:p>
            <w:pPr>
              <w:ind w:leftChars="0" w:left="0" w:right="0"/>
            </w:pPr>
            <w:r>
              <w:t>TSRE</w:t>
            </w:r>
          </w:p>
        </w:tc>
        <w:tc>
          <w:tcPr>
            <w:cnfStyle w:evenVBand="false" w:oddVBand="true" w:firstColumn="false"/>
            <w:tcW w:w="33.333333%" w:type="pct"/>
          </w:tcPr>
          <w:p>
            <w:pPr>
              <w:ind w:leftChars="0" w:left="0" w:right="0"/>
            </w:pPr>
            <w:r>
              <w:t>TP UK OTF - REPOS</w:t>
            </w:r>
          </w:p>
        </w:tc>
      </w:tr>
      <w:tr>
        <w:trPr>
          <w:cnfStyle w:evenHBand="false" w:oddHBand="true" w:firstRow="false"/>
        </w:trPr>
        <w:tc>
          <w:tcPr>
            <w:cnfStyle w:evenVBand="false" w:oddVBand="true" w:firstColumn="false"/>
            <w:tcW w:w="33.333333%" w:type="pct"/>
          </w:tcPr>
          <w:p>
            <w:pPr>
              <w:ind w:leftChars="0" w:left="0" w:right="0"/>
            </w:pPr>
            <w:r>
              <w:t>TSUK</w:t>
            </w:r>
          </w:p>
        </w:tc>
        <w:tc>
          <w:tcPr>
            <w:cnfStyle w:evenVBand="true" w:oddVBand="false" w:firstColumn="false"/>
            <w:tcW w:w="33.333333%" w:type="pct"/>
          </w:tcPr>
          <w:p>
            <w:pPr>
              <w:ind w:leftChars="0" w:left="0" w:right="0"/>
            </w:pPr>
            <w:r>
              <w:t>TSUK</w:t>
            </w:r>
          </w:p>
        </w:tc>
        <w:tc>
          <w:tcPr>
            <w:cnfStyle w:evenVBand="false" w:oddVBand="true" w:firstColumn="false"/>
            <w:tcW w:w="33.333333%" w:type="pct"/>
          </w:tcPr>
          <w:p>
            <w:pPr>
              <w:ind w:leftChars="0" w:left="0" w:right="0"/>
            </w:pPr>
            <w:r>
              <w:t>TULLETT PREBON SECURITIES - MTF - GOVERNMENT BONDS - UK GILTS</w:t>
            </w:r>
          </w:p>
        </w:tc>
      </w:tr>
      <w:tr>
        <w:trPr>
          <w:cnfStyle w:evenHBand="true" w:oddHBand="false" w:firstRow="false"/>
        </w:trPr>
        <w:tc>
          <w:tcPr>
            <w:cnfStyle w:evenVBand="false" w:oddVBand="true" w:firstColumn="false"/>
            <w:tcW w:w="33.333333%" w:type="pct"/>
          </w:tcPr>
          <w:p>
            <w:pPr>
              <w:ind w:leftChars="0" w:left="0" w:right="0"/>
            </w:pPr>
            <w:r>
              <w:t>TUOB</w:t>
            </w:r>
          </w:p>
        </w:tc>
        <w:tc>
          <w:tcPr>
            <w:cnfStyle w:evenVBand="true" w:oddVBand="false" w:firstColumn="false"/>
            <w:tcW w:w="33.333333%" w:type="pct"/>
          </w:tcPr>
          <w:p>
            <w:pPr>
              <w:ind w:leftChars="0" w:left="0" w:right="0"/>
            </w:pPr>
            <w:r>
              <w:t>TUOB</w:t>
            </w:r>
          </w:p>
        </w:tc>
        <w:tc>
          <w:tcPr>
            <w:cnfStyle w:evenVBand="false" w:oddVBand="true" w:firstColumn="false"/>
            <w:tcW w:w="33.333333%" w:type="pct"/>
          </w:tcPr>
          <w:p>
            <w:pPr>
              <w:ind w:leftChars="0" w:left="0" w:right="0"/>
            </w:pPr>
            <w:r>
              <w:t>TP UK OTF - ORDERBOOK</w:t>
            </w:r>
          </w:p>
        </w:tc>
      </w:tr>
      <w:tr>
        <w:trPr>
          <w:cnfStyle w:evenHBand="false" w:oddHBand="true" w:firstRow="false"/>
        </w:trPr>
        <w:tc>
          <w:tcPr>
            <w:cnfStyle w:evenVBand="false" w:oddVBand="true" w:firstColumn="false"/>
            <w:tcW w:w="33.333333%" w:type="pct"/>
          </w:tcPr>
          <w:p>
            <w:pPr>
              <w:ind w:leftChars="0" w:left="0" w:right="0"/>
            </w:pPr>
            <w:r>
              <w:t>TWEA</w:t>
            </w:r>
          </w:p>
        </w:tc>
        <w:tc>
          <w:tcPr>
            <w:cnfStyle w:evenVBand="true" w:oddVBand="false" w:firstColumn="false"/>
            <w:tcW w:w="33.333333%" w:type="pct"/>
          </w:tcPr>
          <w:p>
            <w:pPr>
              <w:ind w:leftChars="0" w:left="0" w:right="0"/>
            </w:pPr>
            <w:r>
              <w:t>TWEA</w:t>
            </w:r>
          </w:p>
        </w:tc>
        <w:tc>
          <w:tcPr>
            <w:cnfStyle w:evenVBand="false" w:oddVBand="true" w:firstColumn="false"/>
            <w:tcW w:w="33.333333%" w:type="pct"/>
          </w:tcPr>
          <w:p>
            <w:pPr>
              <w:ind w:leftChars="0" w:left="0" w:right="0"/>
            </w:pPr>
            <w:r>
              <w:t>TRADEWEB EU BV - APA</w:t>
            </w:r>
          </w:p>
        </w:tc>
      </w:tr>
      <w:tr>
        <w:trPr>
          <w:cnfStyle w:evenHBand="true" w:oddHBand="false" w:firstRow="false"/>
        </w:trPr>
        <w:tc>
          <w:tcPr>
            <w:cnfStyle w:evenVBand="false" w:oddVBand="true" w:firstColumn="false"/>
            <w:tcW w:w="33.333333%" w:type="pct"/>
          </w:tcPr>
          <w:p>
            <w:pPr>
              <w:ind w:leftChars="0" w:left="0" w:right="0"/>
            </w:pPr>
            <w:r>
              <w:t>TWEM</w:t>
            </w:r>
          </w:p>
        </w:tc>
        <w:tc>
          <w:tcPr>
            <w:cnfStyle w:evenVBand="true" w:oddVBand="false" w:firstColumn="false"/>
            <w:tcW w:w="33.333333%" w:type="pct"/>
          </w:tcPr>
          <w:p>
            <w:pPr>
              <w:ind w:leftChars="0" w:left="0" w:right="0"/>
            </w:pPr>
            <w:r>
              <w:t>TWEM</w:t>
            </w:r>
          </w:p>
        </w:tc>
        <w:tc>
          <w:tcPr>
            <w:cnfStyle w:evenVBand="false" w:oddVBand="true" w:firstColumn="false"/>
            <w:tcW w:w="33.333333%" w:type="pct"/>
          </w:tcPr>
          <w:p>
            <w:pPr>
              <w:ind w:leftChars="0" w:left="0" w:right="0"/>
            </w:pPr>
            <w:r>
              <w:t>TRADEWEB EU BV - MTF</w:t>
            </w:r>
          </w:p>
        </w:tc>
      </w:tr>
      <w:tr>
        <w:trPr>
          <w:cnfStyle w:evenHBand="false" w:oddHBand="true" w:firstRow="false"/>
        </w:trPr>
        <w:tc>
          <w:tcPr>
            <w:cnfStyle w:evenVBand="false" w:oddVBand="true" w:firstColumn="false"/>
            <w:tcW w:w="33.333333%" w:type="pct"/>
          </w:tcPr>
          <w:p>
            <w:pPr>
              <w:ind w:leftChars="0" w:left="0" w:right="0"/>
            </w:pPr>
            <w:r>
              <w:t>TWEO</w:t>
            </w:r>
          </w:p>
        </w:tc>
        <w:tc>
          <w:tcPr>
            <w:cnfStyle w:evenVBand="true" w:oddVBand="false" w:firstColumn="false"/>
            <w:tcW w:w="33.333333%" w:type="pct"/>
          </w:tcPr>
          <w:p>
            <w:pPr>
              <w:ind w:leftChars="0" w:left="0" w:right="0"/>
            </w:pPr>
            <w:r>
              <w:t>TWEO</w:t>
            </w:r>
          </w:p>
        </w:tc>
        <w:tc>
          <w:tcPr>
            <w:cnfStyle w:evenVBand="false" w:oddVBand="true" w:firstColumn="false"/>
            <w:tcW w:w="33.333333%" w:type="pct"/>
          </w:tcPr>
          <w:p>
            <w:pPr>
              <w:ind w:leftChars="0" w:left="0" w:right="0"/>
            </w:pPr>
            <w:r>
              <w:t>TRADEWEB EU BV - OTF</w:t>
            </w:r>
          </w:p>
        </w:tc>
      </w:tr>
      <w:tr>
        <w:trPr>
          <w:cnfStyle w:evenHBand="true" w:oddHBand="false" w:firstRow="false"/>
        </w:trPr>
        <w:tc>
          <w:tcPr>
            <w:cnfStyle w:evenVBand="false" w:oddVBand="true" w:firstColumn="false"/>
            <w:tcW w:w="33.333333%" w:type="pct"/>
          </w:tcPr>
          <w:p>
            <w:pPr>
              <w:ind w:leftChars="0" w:left="0" w:right="0"/>
            </w:pPr>
            <w:r>
              <w:t>TWEU</w:t>
            </w:r>
          </w:p>
        </w:tc>
        <w:tc>
          <w:tcPr>
            <w:cnfStyle w:evenVBand="true" w:oddVBand="false" w:firstColumn="false"/>
            <w:tcW w:w="33.333333%" w:type="pct"/>
          </w:tcPr>
          <w:p>
            <w:pPr>
              <w:ind w:leftChars="0" w:left="0" w:right="0"/>
            </w:pPr>
            <w:r>
              <w:t>TWEU</w:t>
            </w:r>
          </w:p>
        </w:tc>
        <w:tc>
          <w:tcPr>
            <w:cnfStyle w:evenVBand="false" w:oddVBand="true" w:firstColumn="false"/>
            <w:tcW w:w="33.333333%" w:type="pct"/>
          </w:tcPr>
          <w:p>
            <w:pPr>
              <w:ind w:leftChars="0" w:left="0" w:right="0"/>
            </w:pPr>
            <w:r>
              <w:t>TRADEWEB EU BV</w:t>
            </w:r>
          </w:p>
        </w:tc>
      </w:tr>
      <w:tr>
        <w:trPr>
          <w:cnfStyle w:evenHBand="false" w:oddHBand="true" w:firstRow="false"/>
        </w:trPr>
        <w:tc>
          <w:tcPr>
            <w:cnfStyle w:evenVBand="false" w:oddVBand="true" w:firstColumn="false"/>
            <w:tcW w:w="33.333333%" w:type="pct"/>
          </w:tcPr>
          <w:p>
            <w:pPr>
              <w:ind w:leftChars="0" w:left="0" w:right="0"/>
            </w:pPr>
            <w:r>
              <w:t>TWGP</w:t>
            </w:r>
          </w:p>
        </w:tc>
        <w:tc>
          <w:tcPr>
            <w:cnfStyle w:evenVBand="true" w:oddVBand="false" w:firstColumn="false"/>
            <w:tcW w:w="33.333333%" w:type="pct"/>
          </w:tcPr>
          <w:p>
            <w:pPr>
              <w:ind w:leftChars="0" w:left="0" w:right="0"/>
            </w:pPr>
            <w:r>
              <w:t>TWGP</w:t>
            </w:r>
          </w:p>
        </w:tc>
        <w:tc>
          <w:tcPr>
            <w:cnfStyle w:evenVBand="false" w:oddVBand="true" w:firstColumn="false"/>
            <w:tcW w:w="33.333333%" w:type="pct"/>
          </w:tcPr>
          <w:p>
            <w:pPr>
              <w:ind w:leftChars="0" w:left="0" w:right="0"/>
            </w:pPr>
            <w:r>
              <w:t>TRADEWEB EUROPE LIMITED - GLOBAL TRADING PLATFORM</w:t>
            </w:r>
          </w:p>
        </w:tc>
      </w:tr>
      <w:tr>
        <w:trPr>
          <w:cnfStyle w:evenHBand="true" w:oddHBand="false" w:firstRow="false"/>
        </w:trPr>
        <w:tc>
          <w:tcPr>
            <w:cnfStyle w:evenVBand="false" w:oddVBand="true" w:firstColumn="false"/>
            <w:tcW w:w="33.333333%" w:type="pct"/>
          </w:tcPr>
          <w:p>
            <w:pPr>
              <w:ind w:leftChars="0" w:left="0" w:right="0"/>
            </w:pPr>
            <w:r>
              <w:t>TWHK</w:t>
            </w:r>
          </w:p>
        </w:tc>
        <w:tc>
          <w:tcPr>
            <w:cnfStyle w:evenVBand="true" w:oddVBand="false" w:firstColumn="false"/>
            <w:tcW w:w="33.333333%" w:type="pct"/>
          </w:tcPr>
          <w:p>
            <w:pPr>
              <w:ind w:leftChars="0" w:left="0" w:right="0"/>
            </w:pPr>
            <w:r>
              <w:t>TWHK</w:t>
            </w:r>
          </w:p>
        </w:tc>
        <w:tc>
          <w:tcPr>
            <w:cnfStyle w:evenVBand="false" w:oddVBand="true" w:firstColumn="false"/>
            <w:tcW w:w="33.333333%" w:type="pct"/>
          </w:tcPr>
          <w:p>
            <w:pPr>
              <w:ind w:leftChars="0" w:left="0" w:right="0"/>
            </w:pPr>
            <w:r>
              <w:t>TRADEWEB EUROPE LIMITED - HONG KONG</w:t>
            </w:r>
          </w:p>
        </w:tc>
      </w:tr>
      <w:tr>
        <w:trPr>
          <w:cnfStyle w:evenHBand="false" w:oddHBand="true" w:firstRow="false"/>
        </w:trPr>
        <w:tc>
          <w:tcPr>
            <w:cnfStyle w:evenVBand="false" w:oddVBand="true" w:firstColumn="false"/>
            <w:tcW w:w="33.333333%" w:type="pct"/>
          </w:tcPr>
          <w:p>
            <w:pPr>
              <w:ind w:leftChars="0" w:left="0" w:right="0"/>
            </w:pPr>
            <w:r>
              <w:t>TWJP</w:t>
            </w:r>
          </w:p>
        </w:tc>
        <w:tc>
          <w:tcPr>
            <w:cnfStyle w:evenVBand="true" w:oddVBand="false" w:firstColumn="false"/>
            <w:tcW w:w="33.333333%" w:type="pct"/>
          </w:tcPr>
          <w:p>
            <w:pPr>
              <w:ind w:leftChars="0" w:left="0" w:right="0"/>
            </w:pPr>
            <w:r>
              <w:t>TWJP</w:t>
            </w:r>
          </w:p>
        </w:tc>
        <w:tc>
          <w:tcPr>
            <w:cnfStyle w:evenVBand="false" w:oddVBand="true" w:firstColumn="false"/>
            <w:tcW w:w="33.333333%" w:type="pct"/>
          </w:tcPr>
          <w:p>
            <w:pPr>
              <w:ind w:leftChars="0" w:left="0" w:right="0"/>
            </w:pPr>
            <w:r>
              <w:t>TRADEWEB JAPAN KK - PTS</w:t>
            </w:r>
          </w:p>
        </w:tc>
      </w:tr>
      <w:tr>
        <w:trPr>
          <w:cnfStyle w:evenHBand="true" w:oddHBand="false" w:firstRow="false"/>
        </w:trPr>
        <w:tc>
          <w:tcPr>
            <w:cnfStyle w:evenVBand="false" w:oddVBand="true" w:firstColumn="false"/>
            <w:tcW w:w="33.333333%" w:type="pct"/>
          </w:tcPr>
          <w:p>
            <w:pPr>
              <w:ind w:leftChars="0" w:left="0" w:right="0"/>
            </w:pPr>
            <w:r>
              <w:t>TWJT</w:t>
            </w:r>
          </w:p>
        </w:tc>
        <w:tc>
          <w:tcPr>
            <w:cnfStyle w:evenVBand="true" w:oddVBand="false" w:firstColumn="false"/>
            <w:tcW w:w="33.333333%" w:type="pct"/>
          </w:tcPr>
          <w:p>
            <w:pPr>
              <w:ind w:leftChars="0" w:left="0" w:right="0"/>
            </w:pPr>
            <w:r>
              <w:t>TWJT</w:t>
            </w:r>
          </w:p>
        </w:tc>
        <w:tc>
          <w:tcPr>
            <w:cnfStyle w:evenVBand="false" w:oddVBand="true" w:firstColumn="false"/>
            <w:tcW w:w="33.333333%" w:type="pct"/>
          </w:tcPr>
          <w:p>
            <w:pPr>
              <w:ind w:leftChars="0" w:left="0" w:right="0"/>
            </w:pPr>
            <w:r>
              <w:t>TRADEWEB JAPAN KK - ETP</w:t>
            </w:r>
          </w:p>
        </w:tc>
      </w:tr>
      <w:tr>
        <w:trPr>
          <w:cnfStyle w:evenHBand="false" w:oddHBand="true" w:firstRow="false"/>
        </w:trPr>
        <w:tc>
          <w:tcPr>
            <w:cnfStyle w:evenVBand="false" w:oddVBand="true" w:firstColumn="false"/>
            <w:tcW w:w="33.333333%" w:type="pct"/>
          </w:tcPr>
          <w:p>
            <w:pPr>
              <w:ind w:leftChars="0" w:left="0" w:right="0"/>
            </w:pPr>
            <w:r>
              <w:t>TWSF</w:t>
            </w:r>
          </w:p>
        </w:tc>
        <w:tc>
          <w:tcPr>
            <w:cnfStyle w:evenVBand="true" w:oddVBand="false" w:firstColumn="false"/>
            <w:tcW w:w="33.333333%" w:type="pct"/>
          </w:tcPr>
          <w:p>
            <w:pPr>
              <w:ind w:leftChars="0" w:left="0" w:right="0"/>
            </w:pPr>
            <w:r>
              <w:t>TWSF</w:t>
            </w:r>
          </w:p>
        </w:tc>
        <w:tc>
          <w:tcPr>
            <w:cnfStyle w:evenVBand="false" w:oddVBand="true" w:firstColumn="false"/>
            <w:tcW w:w="33.333333%" w:type="pct"/>
          </w:tcPr>
          <w:p>
            <w:pPr>
              <w:ind w:leftChars="0" w:left="0" w:right="0"/>
            </w:pPr>
            <w:r>
              <w:t>TW SEF LLC</w:t>
            </w:r>
          </w:p>
        </w:tc>
      </w:tr>
      <w:tr>
        <w:trPr>
          <w:cnfStyle w:evenHBand="true" w:oddHBand="false" w:firstRow="false"/>
        </w:trPr>
        <w:tc>
          <w:tcPr>
            <w:cnfStyle w:evenVBand="false" w:oddVBand="true" w:firstColumn="false"/>
            <w:tcW w:w="33.333333%" w:type="pct"/>
          </w:tcPr>
          <w:p>
            <w:pPr>
              <w:ind w:leftChars="0" w:left="0" w:right="0"/>
            </w:pPr>
            <w:r>
              <w:t>TWSG</w:t>
            </w:r>
          </w:p>
        </w:tc>
        <w:tc>
          <w:tcPr>
            <w:cnfStyle w:evenVBand="true" w:oddVBand="false" w:firstColumn="false"/>
            <w:tcW w:w="33.333333%" w:type="pct"/>
          </w:tcPr>
          <w:p>
            <w:pPr>
              <w:ind w:leftChars="0" w:left="0" w:right="0"/>
            </w:pPr>
            <w:r>
              <w:t>TWSG</w:t>
            </w:r>
          </w:p>
        </w:tc>
        <w:tc>
          <w:tcPr>
            <w:cnfStyle w:evenVBand="false" w:oddVBand="true" w:firstColumn="false"/>
            <w:tcW w:w="33.333333%" w:type="pct"/>
          </w:tcPr>
          <w:p>
            <w:pPr>
              <w:ind w:leftChars="0" w:left="0" w:right="0"/>
            </w:pPr>
            <w:r>
              <w:t>TRADEWEB EUROPE LIMITED - SINGAPORE</w:t>
            </w:r>
          </w:p>
        </w:tc>
      </w:tr>
      <w:tr>
        <w:trPr>
          <w:cnfStyle w:evenHBand="false" w:oddHBand="true" w:firstRow="false"/>
        </w:trPr>
        <w:tc>
          <w:tcPr>
            <w:cnfStyle w:evenVBand="false" w:oddVBand="true" w:firstColumn="false"/>
            <w:tcW w:w="33.333333%" w:type="pct"/>
          </w:tcPr>
          <w:p>
            <w:pPr>
              <w:ind w:leftChars="0" w:left="0" w:right="0"/>
            </w:pPr>
            <w:r>
              <w:t>UBCZ</w:t>
            </w:r>
          </w:p>
        </w:tc>
        <w:tc>
          <w:tcPr>
            <w:cnfStyle w:evenVBand="true" w:oddVBand="false" w:firstColumn="false"/>
            <w:tcW w:w="33.333333%" w:type="pct"/>
          </w:tcPr>
          <w:p>
            <w:pPr>
              <w:ind w:leftChars="0" w:left="0" w:right="0"/>
            </w:pPr>
            <w:r>
              <w:t>UBCZ</w:t>
            </w:r>
          </w:p>
        </w:tc>
        <w:tc>
          <w:tcPr>
            <w:cnfStyle w:evenVBand="false" w:oddVBand="true" w:firstColumn="false"/>
            <w:tcW w:w="33.333333%" w:type="pct"/>
          </w:tcPr>
          <w:p>
            <w:pPr>
              <w:ind w:leftChars="0" w:left="0" w:right="0"/>
            </w:pPr>
            <w:r>
              <w:t>UNICREDIT BANK CZECH REPUBLIC AND SLOVAKIA, A.S.</w:t>
            </w:r>
          </w:p>
        </w:tc>
      </w:tr>
      <w:tr>
        <w:trPr>
          <w:cnfStyle w:evenHBand="true" w:oddHBand="false" w:firstRow="false"/>
        </w:trPr>
        <w:tc>
          <w:tcPr>
            <w:cnfStyle w:evenVBand="false" w:oddVBand="true" w:firstColumn="false"/>
            <w:tcW w:w="33.333333%" w:type="pct"/>
          </w:tcPr>
          <w:p>
            <w:pPr>
              <w:ind w:leftChars="0" w:left="0" w:right="0"/>
            </w:pPr>
            <w:r>
              <w:t>UBEC</w:t>
            </w:r>
          </w:p>
        </w:tc>
        <w:tc>
          <w:tcPr>
            <w:cnfStyle w:evenVBand="true" w:oddVBand="false" w:firstColumn="false"/>
            <w:tcW w:w="33.333333%" w:type="pct"/>
          </w:tcPr>
          <w:p>
            <w:pPr>
              <w:ind w:leftChars="0" w:left="0" w:right="0"/>
            </w:pPr>
            <w:r>
              <w:t>UBEC</w:t>
            </w:r>
          </w:p>
        </w:tc>
        <w:tc>
          <w:tcPr>
            <w:cnfStyle w:evenVBand="false" w:oddVBand="true" w:firstColumn="false"/>
            <w:tcW w:w="33.333333%" w:type="pct"/>
          </w:tcPr>
          <w:p>
            <w:pPr>
              <w:ind w:leftChars="0" w:left="0" w:right="0"/>
            </w:pPr>
            <w:r>
              <w:t>UNIVERSAL BARTER EXCHANGE CREDIT UNION</w:t>
            </w:r>
          </w:p>
        </w:tc>
      </w:tr>
      <w:tr>
        <w:trPr>
          <w:cnfStyle w:evenHBand="false" w:oddHBand="true" w:firstRow="false"/>
        </w:trPr>
        <w:tc>
          <w:tcPr>
            <w:cnfStyle w:evenVBand="false" w:oddVBand="true" w:firstColumn="false"/>
            <w:tcW w:w="33.333333%" w:type="pct"/>
          </w:tcPr>
          <w:p>
            <w:pPr>
              <w:ind w:leftChars="0" w:left="0" w:right="0"/>
            </w:pPr>
            <w:r>
              <w:t>UBIM</w:t>
            </w:r>
          </w:p>
        </w:tc>
        <w:tc>
          <w:tcPr>
            <w:cnfStyle w:evenVBand="true" w:oddVBand="false" w:firstColumn="false"/>
            <w:tcW w:w="33.333333%" w:type="pct"/>
          </w:tcPr>
          <w:p>
            <w:pPr>
              <w:ind w:leftChars="0" w:left="0" w:right="0"/>
            </w:pPr>
            <w:r>
              <w:t>UBIM</w:t>
            </w:r>
          </w:p>
        </w:tc>
        <w:tc>
          <w:tcPr>
            <w:cnfStyle w:evenVBand="false" w:oddVBand="true" w:firstColumn="false"/>
            <w:tcW w:w="33.333333%" w:type="pct"/>
          </w:tcPr>
          <w:p>
            <w:pPr>
              <w:ind w:leftChars="0" w:left="0" w:right="0"/>
            </w:pPr>
            <w:r>
              <w:t>UBI BANCA - SYSTEMATIC INTERNALISER</w:t>
            </w:r>
          </w:p>
        </w:tc>
      </w:tr>
      <w:tr>
        <w:trPr>
          <w:cnfStyle w:evenHBand="true" w:oddHBand="false" w:firstRow="false"/>
        </w:trPr>
        <w:tc>
          <w:tcPr>
            <w:cnfStyle w:evenVBand="false" w:oddVBand="true" w:firstColumn="false"/>
            <w:tcW w:w="33.333333%" w:type="pct"/>
          </w:tcPr>
          <w:p>
            <w:pPr>
              <w:ind w:leftChars="0" w:left="0" w:right="0"/>
            </w:pPr>
            <w:r>
              <w:t>UBIN</w:t>
            </w:r>
          </w:p>
        </w:tc>
        <w:tc>
          <w:tcPr>
            <w:cnfStyle w:evenVBand="true" w:oddVBand="false" w:firstColumn="false"/>
            <w:tcW w:w="33.333333%" w:type="pct"/>
          </w:tcPr>
          <w:p>
            <w:pPr>
              <w:ind w:leftChars="0" w:left="0" w:right="0"/>
            </w:pPr>
            <w:r>
              <w:t>UBIN</w:t>
            </w:r>
          </w:p>
        </w:tc>
        <w:tc>
          <w:tcPr>
            <w:cnfStyle w:evenVBand="false" w:oddVBand="true" w:firstColumn="false"/>
            <w:tcW w:w="33.333333%" w:type="pct"/>
          </w:tcPr>
          <w:p>
            <w:pPr>
              <w:ind w:leftChars="0" w:left="0" w:right="0"/>
            </w:pPr>
            <w:r>
              <w:t>UNION BANK OF INDIA UK LTD</w:t>
            </w:r>
          </w:p>
        </w:tc>
      </w:tr>
      <w:tr>
        <w:trPr>
          <w:cnfStyle w:evenHBand="false" w:oddHBand="true" w:firstRow="false"/>
        </w:trPr>
        <w:tc>
          <w:tcPr>
            <w:cnfStyle w:evenVBand="false" w:oddVBand="true" w:firstColumn="false"/>
            <w:tcW w:w="33.333333%" w:type="pct"/>
          </w:tcPr>
          <w:p>
            <w:pPr>
              <w:ind w:leftChars="0" w:left="0" w:right="0"/>
            </w:pPr>
            <w:r>
              <w:t>UBIS</w:t>
            </w:r>
          </w:p>
        </w:tc>
        <w:tc>
          <w:tcPr>
            <w:cnfStyle w:evenVBand="true" w:oddVBand="false" w:firstColumn="false"/>
            <w:tcW w:w="33.333333%" w:type="pct"/>
          </w:tcPr>
          <w:p>
            <w:pPr>
              <w:ind w:leftChars="0" w:left="0" w:right="0"/>
            </w:pPr>
            <w:r>
              <w:t>UBIS</w:t>
            </w:r>
          </w:p>
        </w:tc>
        <w:tc>
          <w:tcPr>
            <w:cnfStyle w:evenVBand="false" w:oddVBand="true" w:firstColumn="false"/>
            <w:tcW w:w="33.333333%" w:type="pct"/>
          </w:tcPr>
          <w:p>
            <w:pPr>
              <w:ind w:leftChars="0" w:left="0" w:right="0"/>
            </w:pPr>
            <w:r>
              <w:t>UNIPOL BANCA S.P.A.</w:t>
            </w:r>
          </w:p>
        </w:tc>
      </w:tr>
      <w:tr>
        <w:trPr>
          <w:cnfStyle w:evenHBand="true" w:oddHBand="false" w:firstRow="false"/>
        </w:trPr>
        <w:tc>
          <w:tcPr>
            <w:cnfStyle w:evenVBand="false" w:oddVBand="true" w:firstColumn="false"/>
            <w:tcW w:w="33.333333%" w:type="pct"/>
          </w:tcPr>
          <w:p>
            <w:pPr>
              <w:ind w:leftChars="0" w:left="0" w:right="0"/>
            </w:pPr>
            <w:r>
              <w:t>UBSA</w:t>
            </w:r>
          </w:p>
        </w:tc>
        <w:tc>
          <w:tcPr>
            <w:cnfStyle w:evenVBand="true" w:oddVBand="false" w:firstColumn="false"/>
            <w:tcW w:w="33.333333%" w:type="pct"/>
          </w:tcPr>
          <w:p>
            <w:pPr>
              <w:ind w:leftChars="0" w:left="0" w:right="0"/>
            </w:pPr>
            <w:r>
              <w:t>UBSA</w:t>
            </w:r>
          </w:p>
        </w:tc>
        <w:tc>
          <w:tcPr>
            <w:cnfStyle w:evenVBand="false" w:oddVBand="true" w:firstColumn="false"/>
            <w:tcW w:w="33.333333%" w:type="pct"/>
          </w:tcPr>
          <w:p>
            <w:pPr>
              <w:ind w:leftChars="0" w:left="0" w:right="0"/>
            </w:pPr>
            <w:r>
              <w:t>UBS ATS</w:t>
            </w:r>
          </w:p>
        </w:tc>
      </w:tr>
      <w:tr>
        <w:trPr>
          <w:cnfStyle w:evenHBand="false" w:oddHBand="true" w:firstRow="false"/>
        </w:trPr>
        <w:tc>
          <w:tcPr>
            <w:cnfStyle w:evenVBand="false" w:oddVBand="true" w:firstColumn="false"/>
            <w:tcW w:w="33.333333%" w:type="pct"/>
          </w:tcPr>
          <w:p>
            <w:pPr>
              <w:ind w:leftChars="0" w:left="0" w:right="0"/>
            </w:pPr>
            <w:r>
              <w:t>UBSB</w:t>
            </w:r>
          </w:p>
        </w:tc>
        <w:tc>
          <w:tcPr>
            <w:cnfStyle w:evenVBand="true" w:oddVBand="false" w:firstColumn="false"/>
            <w:tcW w:w="33.333333%" w:type="pct"/>
          </w:tcPr>
          <w:p>
            <w:pPr>
              <w:ind w:leftChars="0" w:left="0" w:right="0"/>
            </w:pPr>
            <w:r>
              <w:t>UBSB</w:t>
            </w:r>
          </w:p>
        </w:tc>
        <w:tc>
          <w:tcPr>
            <w:cnfStyle w:evenVBand="false" w:oddVBand="true" w:firstColumn="false"/>
            <w:tcW w:w="33.333333%" w:type="pct"/>
          </w:tcPr>
          <w:p>
            <w:pPr>
              <w:ind w:leftChars="0" w:left="0" w:right="0"/>
            </w:pPr>
            <w:r>
              <w:t>UBS AG LONDON BRANCH - TRADING</w:t>
            </w:r>
          </w:p>
        </w:tc>
      </w:tr>
      <w:tr>
        <w:trPr>
          <w:cnfStyle w:evenHBand="true" w:oddHBand="false" w:firstRow="false"/>
        </w:trPr>
        <w:tc>
          <w:tcPr>
            <w:cnfStyle w:evenVBand="false" w:oddVBand="true" w:firstColumn="false"/>
            <w:tcW w:w="33.333333%" w:type="pct"/>
          </w:tcPr>
          <w:p>
            <w:pPr>
              <w:ind w:leftChars="0" w:left="0" w:right="0"/>
            </w:pPr>
            <w:r>
              <w:t>UBSC</w:t>
            </w:r>
          </w:p>
        </w:tc>
        <w:tc>
          <w:tcPr>
            <w:cnfStyle w:evenVBand="true" w:oddVBand="false" w:firstColumn="false"/>
            <w:tcW w:w="33.333333%" w:type="pct"/>
          </w:tcPr>
          <w:p>
            <w:pPr>
              <w:ind w:leftChars="0" w:left="0" w:right="0"/>
            </w:pPr>
            <w:r>
              <w:t>UBSC</w:t>
            </w:r>
          </w:p>
        </w:tc>
        <w:tc>
          <w:tcPr>
            <w:cnfStyle w:evenVBand="false" w:oddVBand="true" w:firstColumn="false"/>
            <w:tcW w:w="33.333333%" w:type="pct"/>
          </w:tcPr>
          <w:p>
            <w:pPr>
              <w:ind w:leftChars="0" w:left="0" w:right="0"/>
            </w:pPr>
            <w:r>
              <w:t>UBS PIN-FX</w:t>
            </w:r>
          </w:p>
        </w:tc>
      </w:tr>
      <w:tr>
        <w:trPr>
          <w:cnfStyle w:evenHBand="false" w:oddHBand="true" w:firstRow="false"/>
        </w:trPr>
        <w:tc>
          <w:tcPr>
            <w:cnfStyle w:evenVBand="false" w:oddVBand="true" w:firstColumn="false"/>
            <w:tcW w:w="33.333333%" w:type="pct"/>
          </w:tcPr>
          <w:p>
            <w:pPr>
              <w:ind w:leftChars="0" w:left="0" w:right="0"/>
            </w:pPr>
            <w:r>
              <w:t>UBSD</w:t>
            </w:r>
          </w:p>
        </w:tc>
        <w:tc>
          <w:tcPr>
            <w:cnfStyle w:evenVBand="true" w:oddVBand="false" w:firstColumn="false"/>
            <w:tcW w:w="33.333333%" w:type="pct"/>
          </w:tcPr>
          <w:p>
            <w:pPr>
              <w:ind w:leftChars="0" w:left="0" w:right="0"/>
            </w:pPr>
            <w:r>
              <w:t>UBSD</w:t>
            </w:r>
          </w:p>
        </w:tc>
        <w:tc>
          <w:tcPr>
            <w:cnfStyle w:evenVBand="false" w:oddVBand="true" w:firstColumn="false"/>
            <w:tcW w:w="33.333333%" w:type="pct"/>
          </w:tcPr>
          <w:p>
            <w:pPr>
              <w:ind w:leftChars="0" w:left="0" w:right="0"/>
            </w:pPr>
            <w:r>
              <w:t>UBS EUROPE SE</w:t>
            </w:r>
          </w:p>
        </w:tc>
      </w:tr>
      <w:tr>
        <w:trPr>
          <w:cnfStyle w:evenHBand="true" w:oddHBand="false" w:firstRow="false"/>
        </w:trPr>
        <w:tc>
          <w:tcPr>
            <w:cnfStyle w:evenVBand="false" w:oddVBand="true" w:firstColumn="false"/>
            <w:tcW w:w="33.333333%" w:type="pct"/>
          </w:tcPr>
          <w:p>
            <w:pPr>
              <w:ind w:leftChars="0" w:left="0" w:right="0"/>
            </w:pPr>
            <w:r>
              <w:t>UBSE</w:t>
            </w:r>
          </w:p>
        </w:tc>
        <w:tc>
          <w:tcPr>
            <w:cnfStyle w:evenVBand="true" w:oddVBand="false" w:firstColumn="false"/>
            <w:tcW w:w="33.333333%" w:type="pct"/>
          </w:tcPr>
          <w:p>
            <w:pPr>
              <w:ind w:leftChars="0" w:left="0" w:right="0"/>
            </w:pPr>
            <w:r>
              <w:t>UBSE</w:t>
            </w:r>
          </w:p>
        </w:tc>
        <w:tc>
          <w:tcPr>
            <w:cnfStyle w:evenVBand="false" w:oddVBand="true" w:firstColumn="false"/>
            <w:tcW w:w="33.333333%" w:type="pct"/>
          </w:tcPr>
          <w:p>
            <w:pPr>
              <w:ind w:leftChars="0" w:left="0" w:right="0"/>
            </w:pPr>
            <w:r>
              <w:t>UBS PIN (EMEA)</w:t>
            </w:r>
          </w:p>
        </w:tc>
      </w:tr>
      <w:tr>
        <w:trPr>
          <w:cnfStyle w:evenHBand="false" w:oddHBand="true" w:firstRow="false"/>
        </w:trPr>
        <w:tc>
          <w:tcPr>
            <w:cnfStyle w:evenVBand="false" w:oddVBand="true" w:firstColumn="false"/>
            <w:tcW w:w="33.333333%" w:type="pct"/>
          </w:tcPr>
          <w:p>
            <w:pPr>
              <w:ind w:leftChars="0" w:left="0" w:right="0"/>
            </w:pPr>
            <w:r>
              <w:t>UBSF</w:t>
            </w:r>
          </w:p>
        </w:tc>
        <w:tc>
          <w:tcPr>
            <w:cnfStyle w:evenVBand="true" w:oddVBand="false" w:firstColumn="false"/>
            <w:tcW w:w="33.333333%" w:type="pct"/>
          </w:tcPr>
          <w:p>
            <w:pPr>
              <w:ind w:leftChars="0" w:left="0" w:right="0"/>
            </w:pPr>
            <w:r>
              <w:t>UBSF</w:t>
            </w:r>
          </w:p>
        </w:tc>
        <w:tc>
          <w:tcPr>
            <w:cnfStyle w:evenVBand="false" w:oddVBand="true" w:firstColumn="false"/>
            <w:tcW w:w="33.333333%" w:type="pct"/>
          </w:tcPr>
          <w:p>
            <w:pPr>
              <w:ind w:leftChars="0" w:left="0" w:right="0"/>
            </w:pPr>
            <w:r>
              <w:t>UBS FX</w:t>
            </w:r>
          </w:p>
        </w:tc>
      </w:tr>
      <w:tr>
        <w:trPr>
          <w:cnfStyle w:evenHBand="true" w:oddHBand="false" w:firstRow="false"/>
        </w:trPr>
        <w:tc>
          <w:tcPr>
            <w:cnfStyle w:evenVBand="false" w:oddVBand="true" w:firstColumn="false"/>
            <w:tcW w:w="33.333333%" w:type="pct"/>
          </w:tcPr>
          <w:p>
            <w:pPr>
              <w:ind w:leftChars="0" w:left="0" w:right="0"/>
            </w:pPr>
            <w:r>
              <w:t>UBSG</w:t>
            </w:r>
          </w:p>
        </w:tc>
        <w:tc>
          <w:tcPr>
            <w:cnfStyle w:evenVBand="true" w:oddVBand="false" w:firstColumn="false"/>
            <w:tcW w:w="33.333333%" w:type="pct"/>
          </w:tcPr>
          <w:p>
            <w:pPr>
              <w:ind w:leftChars="0" w:left="0" w:right="0"/>
            </w:pPr>
            <w:r>
              <w:t>UBSG</w:t>
            </w:r>
          </w:p>
        </w:tc>
        <w:tc>
          <w:tcPr>
            <w:cnfStyle w:evenVBand="false" w:oddVBand="true" w:firstColumn="false"/>
            <w:tcW w:w="33.333333%" w:type="pct"/>
          </w:tcPr>
          <w:p>
            <w:pPr>
              <w:ind w:leftChars="0" w:left="0" w:right="0"/>
            </w:pPr>
            <w:r>
              <w:t>UBS TRADING</w:t>
            </w:r>
          </w:p>
        </w:tc>
      </w:tr>
      <w:tr>
        <w:trPr>
          <w:cnfStyle w:evenHBand="false" w:oddHBand="true" w:firstRow="false"/>
        </w:trPr>
        <w:tc>
          <w:tcPr>
            <w:cnfStyle w:evenVBand="false" w:oddVBand="true" w:firstColumn="false"/>
            <w:tcW w:w="33.333333%" w:type="pct"/>
          </w:tcPr>
          <w:p>
            <w:pPr>
              <w:ind w:leftChars="0" w:left="0" w:right="0"/>
            </w:pPr>
            <w:r>
              <w:t>UBSI</w:t>
            </w:r>
          </w:p>
        </w:tc>
        <w:tc>
          <w:tcPr>
            <w:cnfStyle w:evenVBand="true" w:oddVBand="false" w:firstColumn="false"/>
            <w:tcW w:w="33.333333%" w:type="pct"/>
          </w:tcPr>
          <w:p>
            <w:pPr>
              <w:ind w:leftChars="0" w:left="0" w:right="0"/>
            </w:pPr>
            <w:r>
              <w:t>UBSI</w:t>
            </w:r>
          </w:p>
        </w:tc>
        <w:tc>
          <w:tcPr>
            <w:cnfStyle w:evenVBand="false" w:oddVBand="true" w:firstColumn="false"/>
            <w:tcW w:w="33.333333%" w:type="pct"/>
          </w:tcPr>
          <w:p>
            <w:pPr>
              <w:ind w:leftChars="0" w:left="0" w:right="0"/>
            </w:pPr>
            <w:r>
              <w:t>UBS EUROPE SE - SYSTEMATIC INTERNALISER</w:t>
            </w:r>
          </w:p>
        </w:tc>
      </w:tr>
      <w:tr>
        <w:trPr>
          <w:cnfStyle w:evenHBand="true" w:oddHBand="false" w:firstRow="false"/>
        </w:trPr>
        <w:tc>
          <w:tcPr>
            <w:cnfStyle w:evenVBand="false" w:oddVBand="true" w:firstColumn="false"/>
            <w:tcW w:w="33.333333%" w:type="pct"/>
          </w:tcPr>
          <w:p>
            <w:pPr>
              <w:ind w:leftChars="0" w:left="0" w:right="0"/>
            </w:pPr>
            <w:r>
              <w:t>UBSL</w:t>
            </w:r>
          </w:p>
        </w:tc>
        <w:tc>
          <w:tcPr>
            <w:cnfStyle w:evenVBand="true" w:oddVBand="false" w:firstColumn="false"/>
            <w:tcW w:w="33.333333%" w:type="pct"/>
          </w:tcPr>
          <w:p>
            <w:pPr>
              <w:ind w:leftChars="0" w:left="0" w:right="0"/>
            </w:pPr>
            <w:r>
              <w:t>UBSL</w:t>
            </w:r>
          </w:p>
        </w:tc>
        <w:tc>
          <w:tcPr>
            <w:cnfStyle w:evenVBand="false" w:oddVBand="true" w:firstColumn="false"/>
            <w:tcW w:w="33.333333%" w:type="pct"/>
          </w:tcPr>
          <w:p>
            <w:pPr>
              <w:ind w:leftChars="0" w:left="0" w:right="0"/>
            </w:pPr>
            <w:r>
              <w:t>UBS EUROPE SE - TRADING</w:t>
            </w:r>
          </w:p>
        </w:tc>
      </w:tr>
      <w:tr>
        <w:trPr>
          <w:cnfStyle w:evenHBand="false" w:oddHBand="true" w:firstRow="false"/>
        </w:trPr>
        <w:tc>
          <w:tcPr>
            <w:cnfStyle w:evenVBand="false" w:oddVBand="true" w:firstColumn="false"/>
            <w:tcW w:w="33.333333%" w:type="pct"/>
          </w:tcPr>
          <w:p>
            <w:pPr>
              <w:ind w:leftChars="0" w:left="0" w:right="0"/>
            </w:pPr>
            <w:r>
              <w:t>UBSP</w:t>
            </w:r>
          </w:p>
        </w:tc>
        <w:tc>
          <w:tcPr>
            <w:cnfStyle w:evenVBand="true" w:oddVBand="false" w:firstColumn="false"/>
            <w:tcW w:w="33.333333%" w:type="pct"/>
          </w:tcPr>
          <w:p>
            <w:pPr>
              <w:ind w:leftChars="0" w:left="0" w:right="0"/>
            </w:pPr>
            <w:r>
              <w:t>UBSP</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UBSS</w:t>
            </w:r>
          </w:p>
        </w:tc>
        <w:tc>
          <w:tcPr>
            <w:cnfStyle w:evenVBand="true" w:oddVBand="false" w:firstColumn="false"/>
            <w:tcW w:w="33.333333%" w:type="pct"/>
          </w:tcPr>
          <w:p>
            <w:pPr>
              <w:ind w:leftChars="0" w:left="0" w:right="0"/>
            </w:pPr>
            <w:r>
              <w:t>UBSS</w:t>
            </w:r>
          </w:p>
        </w:tc>
        <w:tc>
          <w:tcPr>
            <w:cnfStyle w:evenVBand="false" w:oddVBand="true" w:firstColumn="false"/>
            <w:tcW w:w="33.333333%" w:type="pct"/>
          </w:tcPr>
          <w:p>
            <w:pPr>
              <w:ind w:leftChars="0" w:left="0" w:right="0"/>
            </w:pPr>
            <w:r>
              <w:t>UBS SECURITIES LLC</w:t>
            </w:r>
          </w:p>
        </w:tc>
      </w:tr>
      <w:tr>
        <w:trPr>
          <w:cnfStyle w:evenHBand="false" w:oddHBand="true" w:firstRow="false"/>
        </w:trPr>
        <w:tc>
          <w:tcPr>
            <w:cnfStyle w:evenVBand="false" w:oddVBand="true" w:firstColumn="false"/>
            <w:tcW w:w="33.333333%" w:type="pct"/>
          </w:tcPr>
          <w:p>
            <w:pPr>
              <w:ind w:leftChars="0" w:left="0" w:right="0"/>
            </w:pPr>
            <w:r>
              <w:t>UBST</w:t>
            </w:r>
          </w:p>
        </w:tc>
        <w:tc>
          <w:tcPr>
            <w:cnfStyle w:evenVBand="true" w:oddVBand="false" w:firstColumn="false"/>
            <w:tcW w:w="33.333333%" w:type="pct"/>
          </w:tcPr>
          <w:p>
            <w:pPr>
              <w:ind w:leftChars="0" w:left="0" w:right="0"/>
            </w:pPr>
            <w:r>
              <w:t>UBST</w:t>
            </w:r>
          </w:p>
        </w:tc>
        <w:tc>
          <w:tcPr>
            <w:cnfStyle w:evenVBand="false" w:oddVBand="true" w:firstColumn="false"/>
            <w:tcW w:w="33.333333%" w:type="pct"/>
          </w:tcPr>
          <w:p>
            <w:pPr>
              <w:ind w:leftChars="0" w:left="0" w:right="0"/>
            </w:pPr>
            <w:r>
              <w:t>UBS TRADING</w:t>
            </w:r>
          </w:p>
        </w:tc>
      </w:tr>
      <w:tr>
        <w:trPr>
          <w:cnfStyle w:evenHBand="true" w:oddHBand="false" w:firstRow="false"/>
        </w:trPr>
        <w:tc>
          <w:tcPr>
            <w:cnfStyle w:evenVBand="false" w:oddVBand="true" w:firstColumn="false"/>
            <w:tcW w:w="33.333333%" w:type="pct"/>
          </w:tcPr>
          <w:p>
            <w:pPr>
              <w:ind w:leftChars="0" w:left="0" w:right="0"/>
            </w:pPr>
            <w:r>
              <w:t>UBSX</w:t>
            </w:r>
          </w:p>
        </w:tc>
        <w:tc>
          <w:tcPr>
            <w:cnfStyle w:evenVBand="true" w:oddVBand="false" w:firstColumn="false"/>
            <w:tcW w:w="33.333333%" w:type="pct"/>
          </w:tcPr>
          <w:p>
            <w:pPr>
              <w:ind w:leftChars="0" w:left="0" w:right="0"/>
            </w:pPr>
            <w:r>
              <w:t>UBSX</w:t>
            </w:r>
          </w:p>
        </w:tc>
        <w:tc>
          <w:tcPr>
            <w:cnfStyle w:evenVBand="false" w:oddVBand="true" w:firstColumn="false"/>
            <w:tcW w:w="33.333333%" w:type="pct"/>
          </w:tcPr>
          <w:p>
            <w:pPr>
              <w:ind w:leftChars="0" w:left="0" w:right="0"/>
            </w:pPr>
            <w:r>
              <w:t>UBS CROSS</w:t>
            </w:r>
          </w:p>
        </w:tc>
      </w:tr>
      <w:tr>
        <w:trPr>
          <w:cnfStyle w:evenHBand="false" w:oddHBand="true" w:firstRow="false"/>
        </w:trPr>
        <w:tc>
          <w:tcPr>
            <w:cnfStyle w:evenVBand="false" w:oddVBand="true" w:firstColumn="false"/>
            <w:tcW w:w="33.333333%" w:type="pct"/>
          </w:tcPr>
          <w:p>
            <w:pPr>
              <w:ind w:leftChars="0" w:left="0" w:right="0"/>
            </w:pPr>
            <w:r>
              <w:t>UBSY</w:t>
            </w:r>
          </w:p>
        </w:tc>
        <w:tc>
          <w:tcPr>
            <w:cnfStyle w:evenVBand="true" w:oddVBand="false" w:firstColumn="false"/>
            <w:tcW w:w="33.333333%" w:type="pct"/>
          </w:tcPr>
          <w:p>
            <w:pPr>
              <w:ind w:leftChars="0" w:left="0" w:right="0"/>
            </w:pPr>
            <w:r>
              <w:t>UBSY</w:t>
            </w:r>
          </w:p>
        </w:tc>
        <w:tc>
          <w:tcPr>
            <w:cnfStyle w:evenVBand="false" w:oddVBand="true" w:firstColumn="false"/>
            <w:tcW w:w="33.333333%" w:type="pct"/>
          </w:tcPr>
          <w:p>
            <w:pPr>
              <w:ind w:leftChars="0" w:left="0" w:right="0"/>
            </w:pPr>
            <w:r>
              <w:t>UBS AG LONDON BRANCH - SYSTEMATIC INTERNALISER</w:t>
            </w:r>
          </w:p>
        </w:tc>
      </w:tr>
      <w:tr>
        <w:trPr>
          <w:cnfStyle w:evenHBand="true" w:oddHBand="false" w:firstRow="false"/>
        </w:trPr>
        <w:tc>
          <w:tcPr>
            <w:cnfStyle w:evenVBand="false" w:oddVBand="true" w:firstColumn="false"/>
            <w:tcW w:w="33.333333%" w:type="pct"/>
          </w:tcPr>
          <w:p>
            <w:pPr>
              <w:ind w:leftChars="0" w:left="0" w:right="0"/>
            </w:pPr>
            <w:r>
              <w:t>UCBA</w:t>
            </w:r>
          </w:p>
        </w:tc>
        <w:tc>
          <w:tcPr>
            <w:cnfStyle w:evenVBand="true" w:oddVBand="false" w:firstColumn="false"/>
            <w:tcW w:w="33.333333%" w:type="pct"/>
          </w:tcPr>
          <w:p>
            <w:pPr>
              <w:ind w:leftChars="0" w:left="0" w:right="0"/>
            </w:pPr>
            <w:r>
              <w:t>UCBA</w:t>
            </w:r>
          </w:p>
        </w:tc>
        <w:tc>
          <w:tcPr>
            <w:cnfStyle w:evenVBand="false" w:oddVBand="true" w:firstColumn="false"/>
            <w:tcW w:w="33.333333%" w:type="pct"/>
          </w:tcPr>
          <w:p>
            <w:pPr>
              <w:ind w:leftChars="0" w:left="0" w:right="0"/>
            </w:pPr>
            <w:r>
              <w:t>UNICREDIT BANK AUSTRIA AG</w:t>
            </w:r>
          </w:p>
        </w:tc>
      </w:tr>
      <w:tr>
        <w:trPr>
          <w:cnfStyle w:evenHBand="false" w:oddHBand="true" w:firstRow="false"/>
        </w:trPr>
        <w:tc>
          <w:tcPr>
            <w:cnfStyle w:evenVBand="false" w:oddVBand="true" w:firstColumn="false"/>
            <w:tcW w:w="33.333333%" w:type="pct"/>
          </w:tcPr>
          <w:p>
            <w:pPr>
              <w:ind w:leftChars="0" w:left="0" w:right="0"/>
            </w:pPr>
            <w:r>
              <w:t>UCBG</w:t>
            </w:r>
          </w:p>
        </w:tc>
        <w:tc>
          <w:tcPr>
            <w:cnfStyle w:evenVBand="true" w:oddVBand="false" w:firstColumn="false"/>
            <w:tcW w:w="33.333333%" w:type="pct"/>
          </w:tcPr>
          <w:p>
            <w:pPr>
              <w:ind w:leftChars="0" w:left="0" w:right="0"/>
            </w:pPr>
            <w:r>
              <w:t>UCBG</w:t>
            </w:r>
          </w:p>
        </w:tc>
        <w:tc>
          <w:tcPr>
            <w:cnfStyle w:evenVBand="false" w:oddVBand="true" w:firstColumn="false"/>
            <w:tcW w:w="33.333333%" w:type="pct"/>
          </w:tcPr>
          <w:p>
            <w:pPr>
              <w:ind w:leftChars="0" w:left="0" w:right="0"/>
            </w:pPr>
            <w:r>
              <w:t>UNICREDIT BULBANK AD - SYSTEMATIC INTERNALISER</w:t>
            </w:r>
          </w:p>
        </w:tc>
      </w:tr>
      <w:tr>
        <w:trPr>
          <w:cnfStyle w:evenHBand="true" w:oddHBand="false" w:firstRow="false"/>
        </w:trPr>
        <w:tc>
          <w:tcPr>
            <w:cnfStyle w:evenVBand="false" w:oddVBand="true" w:firstColumn="false"/>
            <w:tcW w:w="33.333333%" w:type="pct"/>
          </w:tcPr>
          <w:p>
            <w:pPr>
              <w:ind w:leftChars="0" w:left="0" w:right="0"/>
            </w:pPr>
            <w:r>
              <w:t>UCDE</w:t>
            </w:r>
          </w:p>
        </w:tc>
        <w:tc>
          <w:tcPr>
            <w:cnfStyle w:evenVBand="true" w:oddVBand="false" w:firstColumn="false"/>
            <w:tcW w:w="33.333333%" w:type="pct"/>
          </w:tcPr>
          <w:p>
            <w:pPr>
              <w:ind w:leftChars="0" w:left="0" w:right="0"/>
            </w:pPr>
            <w:r>
              <w:t>UCDE</w:t>
            </w:r>
          </w:p>
        </w:tc>
        <w:tc>
          <w:tcPr>
            <w:cnfStyle w:evenVBand="false" w:oddVBand="true" w:firstColumn="false"/>
            <w:tcW w:w="33.333333%" w:type="pct"/>
          </w:tcPr>
          <w:p>
            <w:pPr>
              <w:ind w:leftChars="0" w:left="0" w:right="0"/>
            </w:pPr>
            <w:r>
              <w:t>UNICREDIT BANK AG - SYSTEMATIC INTERNALISER</w:t>
            </w:r>
          </w:p>
        </w:tc>
      </w:tr>
      <w:tr>
        <w:trPr>
          <w:cnfStyle w:evenHBand="false" w:oddHBand="true" w:firstRow="false"/>
        </w:trPr>
        <w:tc>
          <w:tcPr>
            <w:cnfStyle w:evenVBand="false" w:oddVBand="true" w:firstColumn="false"/>
            <w:tcW w:w="33.333333%" w:type="pct"/>
          </w:tcPr>
          <w:p>
            <w:pPr>
              <w:ind w:leftChars="0" w:left="0" w:right="0"/>
            </w:pPr>
            <w:r>
              <w:t>UCHU</w:t>
            </w:r>
          </w:p>
        </w:tc>
        <w:tc>
          <w:tcPr>
            <w:cnfStyle w:evenVBand="true" w:oddVBand="false" w:firstColumn="false"/>
            <w:tcW w:w="33.333333%" w:type="pct"/>
          </w:tcPr>
          <w:p>
            <w:pPr>
              <w:ind w:leftChars="0" w:left="0" w:right="0"/>
            </w:pPr>
            <w:r>
              <w:t>UCHU</w:t>
            </w:r>
          </w:p>
        </w:tc>
        <w:tc>
          <w:tcPr>
            <w:cnfStyle w:evenVBand="false" w:oddVBand="true" w:firstColumn="false"/>
            <w:tcW w:w="33.333333%" w:type="pct"/>
          </w:tcPr>
          <w:p>
            <w:pPr>
              <w:ind w:leftChars="0" w:left="0" w:right="0"/>
            </w:pPr>
            <w:r>
              <w:t>UNICREDIT BANK HUNGARY ZRT. - SYSTEMATIC INTERNALISER</w:t>
            </w:r>
          </w:p>
        </w:tc>
      </w:tr>
      <w:tr>
        <w:trPr>
          <w:cnfStyle w:evenHBand="true" w:oddHBand="false" w:firstRow="false"/>
        </w:trPr>
        <w:tc>
          <w:tcPr>
            <w:cnfStyle w:evenVBand="false" w:oddVBand="true" w:firstColumn="false"/>
            <w:tcW w:w="33.333333%" w:type="pct"/>
          </w:tcPr>
          <w:p>
            <w:pPr>
              <w:ind w:leftChars="0" w:left="0" w:right="0"/>
            </w:pPr>
            <w:r>
              <w:t>UCIT</w:t>
            </w:r>
          </w:p>
        </w:tc>
        <w:tc>
          <w:tcPr>
            <w:cnfStyle w:evenVBand="true" w:oddVBand="false" w:firstColumn="false"/>
            <w:tcW w:w="33.333333%" w:type="pct"/>
          </w:tcPr>
          <w:p>
            <w:pPr>
              <w:ind w:leftChars="0" w:left="0" w:right="0"/>
            </w:pPr>
            <w:r>
              <w:t>UCIT</w:t>
            </w:r>
          </w:p>
        </w:tc>
        <w:tc>
          <w:tcPr>
            <w:cnfStyle w:evenVBand="false" w:oddVBand="true" w:firstColumn="false"/>
            <w:tcW w:w="33.333333%" w:type="pct"/>
          </w:tcPr>
          <w:p>
            <w:pPr>
              <w:ind w:leftChars="0" w:left="0" w:right="0"/>
            </w:pPr>
            <w:r>
              <w:t>UNICREDIT SPA - SYSTEMATIC INTERNALISER</w:t>
            </w:r>
          </w:p>
        </w:tc>
      </w:tr>
      <w:tr>
        <w:trPr>
          <w:cnfStyle w:evenHBand="false" w:oddHBand="true" w:firstRow="false"/>
        </w:trPr>
        <w:tc>
          <w:tcPr>
            <w:cnfStyle w:evenVBand="false" w:oddVBand="true" w:firstColumn="false"/>
            <w:tcW w:w="33.333333%" w:type="pct"/>
          </w:tcPr>
          <w:p>
            <w:pPr>
              <w:ind w:leftChars="0" w:left="0" w:right="0"/>
            </w:pPr>
            <w:r>
              <w:t>UFEX</w:t>
            </w:r>
          </w:p>
        </w:tc>
        <w:tc>
          <w:tcPr>
            <w:cnfStyle w:evenVBand="true" w:oddVBand="false" w:firstColumn="false"/>
            <w:tcW w:w="33.333333%" w:type="pct"/>
          </w:tcPr>
          <w:p>
            <w:pPr>
              <w:ind w:leftChars="0" w:left="0" w:right="0"/>
            </w:pPr>
            <w:r>
              <w:t>UFEX</w:t>
            </w:r>
          </w:p>
        </w:tc>
        <w:tc>
          <w:tcPr>
            <w:cnfStyle w:evenVBand="false" w:oddVBand="true" w:firstColumn="false"/>
            <w:tcW w:w="33.333333%" w:type="pct"/>
          </w:tcPr>
          <w:p>
            <w:pPr>
              <w:ind w:leftChars="0" w:left="0" w:right="0"/>
            </w:pPr>
            <w:r>
              <w:t>UFEX</w:t>
            </w:r>
          </w:p>
        </w:tc>
      </w:tr>
      <w:tr>
        <w:trPr>
          <w:cnfStyle w:evenHBand="true" w:oddHBand="false" w:firstRow="false"/>
        </w:trPr>
        <w:tc>
          <w:tcPr>
            <w:cnfStyle w:evenVBand="false" w:oddVBand="true" w:firstColumn="false"/>
            <w:tcW w:w="33.333333%" w:type="pct"/>
          </w:tcPr>
          <w:p>
            <w:pPr>
              <w:ind w:leftChars="0" w:left="0" w:right="0"/>
            </w:pPr>
            <w:r>
              <w:t>UGEN</w:t>
            </w:r>
          </w:p>
        </w:tc>
        <w:tc>
          <w:tcPr>
            <w:cnfStyle w:evenVBand="true" w:oddVBand="false" w:firstColumn="false"/>
            <w:tcW w:w="33.333333%" w:type="pct"/>
          </w:tcPr>
          <w:p>
            <w:pPr>
              <w:ind w:leftChars="0" w:left="0" w:right="0"/>
            </w:pPr>
            <w:r>
              <w:t>UGEN</w:t>
            </w:r>
          </w:p>
        </w:tc>
        <w:tc>
          <w:tcPr>
            <w:cnfStyle w:evenVBand="false" w:oddVBand="true" w:firstColumn="false"/>
            <w:tcW w:w="33.333333%" w:type="pct"/>
          </w:tcPr>
          <w:p>
            <w:pPr>
              <w:ind w:leftChars="0" w:left="0" w:right="0"/>
            </w:pPr>
            <w:r>
              <w:t>UNITEDBLOCKTRADE</w:t>
            </w:r>
          </w:p>
        </w:tc>
      </w:tr>
      <w:tr>
        <w:trPr>
          <w:cnfStyle w:evenHBand="false" w:oddHBand="true" w:firstRow="false"/>
        </w:trPr>
        <w:tc>
          <w:tcPr>
            <w:cnfStyle w:evenVBand="false" w:oddVBand="true" w:firstColumn="false"/>
            <w:tcW w:w="33.333333%" w:type="pct"/>
          </w:tcPr>
          <w:p>
            <w:pPr>
              <w:ind w:leftChars="0" w:left="0" w:right="0"/>
            </w:pPr>
            <w:r>
              <w:t>UICE</w:t>
            </w:r>
          </w:p>
        </w:tc>
        <w:tc>
          <w:tcPr>
            <w:cnfStyle w:evenVBand="true" w:oddVBand="false" w:firstColumn="false"/>
            <w:tcW w:w="33.333333%" w:type="pct"/>
          </w:tcPr>
          <w:p>
            <w:pPr>
              <w:ind w:leftChars="0" w:left="0" w:right="0"/>
            </w:pPr>
            <w:r>
              <w:t>UICE</w:t>
            </w:r>
          </w:p>
        </w:tc>
        <w:tc>
          <w:tcPr>
            <w:cnfStyle w:evenVBand="false" w:oddVBand="true" w:firstColumn="false"/>
            <w:tcW w:w="33.333333%" w:type="pct"/>
          </w:tcPr>
          <w:p>
            <w:pPr>
              <w:ind w:leftChars="0" w:left="0" w:right="0"/>
            </w:pPr>
            <w:r>
              <w:t>UKRAINIAN INTERBANK CURRENCY EXCHANGE</w:t>
            </w:r>
          </w:p>
        </w:tc>
      </w:tr>
      <w:tr>
        <w:trPr>
          <w:cnfStyle w:evenHBand="true" w:oddHBand="false" w:firstRow="false"/>
        </w:trPr>
        <w:tc>
          <w:tcPr>
            <w:cnfStyle w:evenVBand="false" w:oddVBand="true" w:firstColumn="false"/>
            <w:tcW w:w="33.333333%" w:type="pct"/>
          </w:tcPr>
          <w:p>
            <w:pPr>
              <w:ind w:leftChars="0" w:left="0" w:right="0"/>
            </w:pPr>
            <w:r>
              <w:t>UKCA</w:t>
            </w:r>
          </w:p>
        </w:tc>
        <w:tc>
          <w:tcPr>
            <w:cnfStyle w:evenVBand="true" w:oddVBand="false" w:firstColumn="false"/>
            <w:tcW w:w="33.333333%" w:type="pct"/>
          </w:tcPr>
          <w:p>
            <w:pPr>
              <w:ind w:leftChars="0" w:left="0" w:right="0"/>
            </w:pPr>
            <w:r>
              <w:t>UKCA</w:t>
            </w:r>
          </w:p>
        </w:tc>
        <w:tc>
          <w:tcPr>
            <w:cnfStyle w:evenVBand="false" w:oddVBand="true" w:firstColumn="false"/>
            <w:tcW w:w="33.333333%" w:type="pct"/>
          </w:tcPr>
          <w:p>
            <w:pPr>
              <w:ind w:leftChars="0" w:left="0" w:right="0"/>
            </w:pPr>
            <w:r>
              <w:t>CREDIT AGRICOLE CIB UK BRANCH - SYSTEMATIC INTERNALISER</w:t>
            </w:r>
          </w:p>
        </w:tc>
      </w:tr>
      <w:tr>
        <w:trPr>
          <w:cnfStyle w:evenHBand="false" w:oddHBand="true" w:firstRow="false"/>
        </w:trPr>
        <w:tc>
          <w:tcPr>
            <w:cnfStyle w:evenVBand="false" w:oddVBand="true" w:firstColumn="false"/>
            <w:tcW w:w="33.333333%" w:type="pct"/>
          </w:tcPr>
          <w:p>
            <w:pPr>
              <w:ind w:leftChars="0" w:left="0" w:right="0"/>
            </w:pPr>
            <w:r>
              <w:t>UKEX</w:t>
            </w:r>
          </w:p>
        </w:tc>
        <w:tc>
          <w:tcPr>
            <w:cnfStyle w:evenVBand="true" w:oddVBand="false" w:firstColumn="false"/>
            <w:tcW w:w="33.333333%" w:type="pct"/>
          </w:tcPr>
          <w:p>
            <w:pPr>
              <w:ind w:leftChars="0" w:left="0" w:right="0"/>
            </w:pPr>
            <w:r>
              <w:t>UKEX</w:t>
            </w:r>
          </w:p>
        </w:tc>
        <w:tc>
          <w:tcPr>
            <w:cnfStyle w:evenVBand="false" w:oddVBand="true" w:firstColumn="false"/>
            <w:tcW w:w="33.333333%" w:type="pct"/>
          </w:tcPr>
          <w:p>
            <w:pPr>
              <w:ind w:leftChars="0" w:left="0" w:right="0"/>
            </w:pPr>
            <w:r>
              <w:t>UKRAINIAN EXCHANGE</w:t>
            </w:r>
          </w:p>
        </w:tc>
      </w:tr>
      <w:tr>
        <w:trPr>
          <w:cnfStyle w:evenHBand="true" w:oddHBand="false" w:firstRow="false"/>
        </w:trPr>
        <w:tc>
          <w:tcPr>
            <w:cnfStyle w:evenVBand="false" w:oddVBand="true" w:firstColumn="false"/>
            <w:tcW w:w="33.333333%" w:type="pct"/>
          </w:tcPr>
          <w:p>
            <w:pPr>
              <w:ind w:leftChars="0" w:left="0" w:right="0"/>
            </w:pPr>
            <w:r>
              <w:t>UKGD</w:t>
            </w:r>
          </w:p>
        </w:tc>
        <w:tc>
          <w:tcPr>
            <w:cnfStyle w:evenVBand="true" w:oddVBand="false" w:firstColumn="false"/>
            <w:tcW w:w="33.333333%" w:type="pct"/>
          </w:tcPr>
          <w:p>
            <w:pPr>
              <w:ind w:leftChars="0" w:left="0" w:right="0"/>
            </w:pPr>
            <w:r>
              <w:t>UKGD</w:t>
            </w:r>
          </w:p>
        </w:tc>
        <w:tc>
          <w:tcPr>
            <w:cnfStyle w:evenVBand="false" w:oddVBand="true" w:firstColumn="false"/>
            <w:tcW w:w="33.333333%" w:type="pct"/>
          </w:tcPr>
          <w:p>
            <w:pPr>
              <w:ind w:leftChars="0" w:left="0" w:right="0"/>
            </w:pPr>
            <w:r>
              <w:t>MTS UK</w:t>
            </w:r>
          </w:p>
        </w:tc>
      </w:tr>
      <w:tr>
        <w:trPr>
          <w:cnfStyle w:evenHBand="false" w:oddHBand="true" w:firstRow="false"/>
        </w:trPr>
        <w:tc>
          <w:tcPr>
            <w:cnfStyle w:evenVBand="false" w:oddVBand="true" w:firstColumn="false"/>
            <w:tcW w:w="33.333333%" w:type="pct"/>
          </w:tcPr>
          <w:p>
            <w:pPr>
              <w:ind w:leftChars="0" w:left="0" w:right="0"/>
            </w:pPr>
            <w:r>
              <w:t>UKOR</w:t>
            </w:r>
          </w:p>
        </w:tc>
        <w:tc>
          <w:tcPr>
            <w:cnfStyle w:evenVBand="true" w:oddVBand="false" w:firstColumn="false"/>
            <w:tcW w:w="33.333333%" w:type="pct"/>
          </w:tcPr>
          <w:p>
            <w:pPr>
              <w:ind w:leftChars="0" w:left="0" w:right="0"/>
            </w:pPr>
            <w:r>
              <w:t>UKOR</w:t>
            </w:r>
          </w:p>
        </w:tc>
        <w:tc>
          <w:tcPr>
            <w:cnfStyle w:evenVBand="false" w:oddVBand="true" w:firstColumn="false"/>
            <w:tcW w:w="33.333333%" w:type="pct"/>
          </w:tcPr>
          <w:p>
            <w:pPr>
              <w:ind w:leftChars="0" w:left="0" w:right="0"/>
            </w:pPr>
            <w:r>
              <w:t>TP ICAP UK MTF - ORDERBOOK</w:t>
            </w:r>
          </w:p>
        </w:tc>
      </w:tr>
      <w:tr>
        <w:trPr>
          <w:cnfStyle w:evenHBand="true" w:oddHBand="false" w:firstRow="false"/>
        </w:trPr>
        <w:tc>
          <w:tcPr>
            <w:cnfStyle w:evenVBand="false" w:oddVBand="true" w:firstColumn="false"/>
            <w:tcW w:w="33.333333%" w:type="pct"/>
          </w:tcPr>
          <w:p>
            <w:pPr>
              <w:ind w:leftChars="0" w:left="0" w:right="0"/>
            </w:pPr>
            <w:r>
              <w:t>UKPX</w:t>
            </w:r>
          </w:p>
        </w:tc>
        <w:tc>
          <w:tcPr>
            <w:cnfStyle w:evenVBand="true" w:oddVBand="false" w:firstColumn="false"/>
            <w:tcW w:w="33.333333%" w:type="pct"/>
          </w:tcPr>
          <w:p>
            <w:pPr>
              <w:ind w:leftChars="0" w:left="0" w:right="0"/>
            </w:pPr>
            <w:r>
              <w:t>UKPX</w:t>
            </w:r>
          </w:p>
        </w:tc>
        <w:tc>
          <w:tcPr>
            <w:cnfStyle w:evenVBand="false" w:oddVBand="true" w:firstColumn="false"/>
            <w:tcW w:w="33.333333%" w:type="pct"/>
          </w:tcPr>
          <w:p>
            <w:pPr>
              <w:ind w:leftChars="0" w:left="0" w:right="0"/>
            </w:pPr>
            <w:r>
              <w:t>APX POWER UK</w:t>
            </w:r>
          </w:p>
        </w:tc>
      </w:tr>
      <w:tr>
        <w:trPr>
          <w:cnfStyle w:evenHBand="false" w:oddHBand="true" w:firstRow="false"/>
        </w:trPr>
        <w:tc>
          <w:tcPr>
            <w:cnfStyle w:evenVBand="false" w:oddVBand="true" w:firstColumn="false"/>
            <w:tcW w:w="33.333333%" w:type="pct"/>
          </w:tcPr>
          <w:p>
            <w:pPr>
              <w:ind w:leftChars="0" w:left="0" w:right="0"/>
            </w:pPr>
            <w:r>
              <w:t>UKRE</w:t>
            </w:r>
          </w:p>
        </w:tc>
        <w:tc>
          <w:tcPr>
            <w:cnfStyle w:evenVBand="true" w:oddVBand="false" w:firstColumn="false"/>
            <w:tcW w:w="33.333333%" w:type="pct"/>
          </w:tcPr>
          <w:p>
            <w:pPr>
              <w:ind w:leftChars="0" w:left="0" w:right="0"/>
            </w:pPr>
            <w:r>
              <w:t>UKRE</w:t>
            </w:r>
          </w:p>
        </w:tc>
        <w:tc>
          <w:tcPr>
            <w:cnfStyle w:evenVBand="false" w:oddVBand="true" w:firstColumn="false"/>
            <w:tcW w:w="33.333333%" w:type="pct"/>
          </w:tcPr>
          <w:p>
            <w:pPr>
              <w:ind w:leftChars="0" w:left="0" w:right="0"/>
            </w:pPr>
            <w:r>
              <w:t>TP ICAP UK MTF - REGISTRATION</w:t>
            </w:r>
          </w:p>
        </w:tc>
      </w:tr>
      <w:tr>
        <w:trPr>
          <w:cnfStyle w:evenHBand="true" w:oddHBand="false" w:firstRow="false"/>
        </w:trPr>
        <w:tc>
          <w:tcPr>
            <w:cnfStyle w:evenVBand="false" w:oddVBand="true" w:firstColumn="false"/>
            <w:tcW w:w="33.333333%" w:type="pct"/>
          </w:tcPr>
          <w:p>
            <w:pPr>
              <w:ind w:leftChars="0" w:left="0" w:right="0"/>
            </w:pPr>
            <w:r>
              <w:t>ULTX</w:t>
            </w:r>
          </w:p>
        </w:tc>
        <w:tc>
          <w:tcPr>
            <w:cnfStyle w:evenVBand="true" w:oddVBand="false" w:firstColumn="false"/>
            <w:tcW w:w="33.333333%" w:type="pct"/>
          </w:tcPr>
          <w:p>
            <w:pPr>
              <w:ind w:leftChars="0" w:left="0" w:right="0"/>
            </w:pPr>
            <w:r>
              <w:t>ULTX</w:t>
            </w:r>
          </w:p>
        </w:tc>
        <w:tc>
          <w:tcPr>
            <w:cnfStyle w:evenVBand="false" w:oddVBand="true" w:firstColumn="false"/>
            <w:tcW w:w="33.333333%" w:type="pct"/>
          </w:tcPr>
          <w:p>
            <w:pPr>
              <w:ind w:leftChars="0" w:left="0" w:right="0"/>
            </w:pPr>
            <w:r>
              <w:t>ALT XCHANGE (U)</w:t>
            </w:r>
          </w:p>
        </w:tc>
      </w:tr>
      <w:tr>
        <w:trPr>
          <w:cnfStyle w:evenHBand="false" w:oddHBand="true" w:firstRow="false"/>
        </w:trPr>
        <w:tc>
          <w:tcPr>
            <w:cnfStyle w:evenVBand="false" w:oddVBand="true" w:firstColumn="false"/>
            <w:tcW w:w="33.333333%" w:type="pct"/>
          </w:tcPr>
          <w:p>
            <w:pPr>
              <w:ind w:leftChars="0" w:left="0" w:right="0"/>
            </w:pPr>
            <w:r>
              <w:t>UMTS</w:t>
            </w:r>
          </w:p>
        </w:tc>
        <w:tc>
          <w:tcPr>
            <w:cnfStyle w:evenVBand="true" w:oddVBand="false" w:firstColumn="false"/>
            <w:tcW w:w="33.333333%" w:type="pct"/>
          </w:tcPr>
          <w:p>
            <w:pPr>
              <w:ind w:leftChars="0" w:left="0" w:right="0"/>
            </w:pPr>
            <w:r>
              <w:t>UMTS</w:t>
            </w:r>
          </w:p>
        </w:tc>
        <w:tc>
          <w:tcPr>
            <w:cnfStyle w:evenVBand="false" w:oddVBand="true" w:firstColumn="false"/>
            <w:tcW w:w="33.333333%" w:type="pct"/>
          </w:tcPr>
          <w:p>
            <w:pPr>
              <w:ind w:leftChars="0" w:left="0" w:right="0"/>
            </w:pPr>
            <w:r>
              <w:t>MTS CEDULAS MARKET</w:t>
            </w:r>
          </w:p>
        </w:tc>
      </w:tr>
      <w:tr>
        <w:trPr>
          <w:cnfStyle w:evenHBand="true" w:oddHBand="false" w:firstRow="false"/>
        </w:trPr>
        <w:tc>
          <w:tcPr>
            <w:cnfStyle w:evenVBand="false" w:oddVBand="true" w:firstColumn="false"/>
            <w:tcW w:w="33.333333%" w:type="pct"/>
          </w:tcPr>
          <w:p>
            <w:pPr>
              <w:ind w:leftChars="0" w:left="0" w:right="0"/>
            </w:pPr>
            <w:r>
              <w:t>UNGB</w:t>
            </w:r>
          </w:p>
        </w:tc>
        <w:tc>
          <w:tcPr>
            <w:cnfStyle w:evenVBand="true" w:oddVBand="false" w:firstColumn="false"/>
            <w:tcW w:w="33.333333%" w:type="pct"/>
          </w:tcPr>
          <w:p>
            <w:pPr>
              <w:ind w:leftChars="0" w:left="0" w:right="0"/>
            </w:pPr>
            <w:r>
              <w:t>UNGB</w:t>
            </w:r>
          </w:p>
        </w:tc>
        <w:tc>
          <w:tcPr>
            <w:cnfStyle w:evenVBand="false" w:oddVBand="true" w:firstColumn="false"/>
            <w:tcW w:w="33.333333%" w:type="pct"/>
          </w:tcPr>
          <w:p>
            <w:pPr>
              <w:ind w:leftChars="0" w:left="0" w:right="0"/>
            </w:pPr>
            <w:r>
              <w:t>UNICREDIT BANK AG - LONDON BRANCH - UK SYSTEMATIC INTERNALISER</w:t>
            </w:r>
          </w:p>
        </w:tc>
      </w:tr>
      <w:tr>
        <w:trPr>
          <w:cnfStyle w:evenHBand="false" w:oddHBand="true" w:firstRow="false"/>
        </w:trPr>
        <w:tc>
          <w:tcPr>
            <w:cnfStyle w:evenVBand="false" w:oddVBand="true" w:firstColumn="false"/>
            <w:tcW w:w="33.333333%" w:type="pct"/>
          </w:tcPr>
          <w:p>
            <w:pPr>
              <w:ind w:leftChars="0" w:left="0" w:right="0"/>
            </w:pPr>
            <w:r>
              <w:t>URCE</w:t>
            </w:r>
          </w:p>
        </w:tc>
        <w:tc>
          <w:tcPr>
            <w:cnfStyle w:evenVBand="true" w:oddVBand="false" w:firstColumn="false"/>
            <w:tcW w:w="33.333333%" w:type="pct"/>
          </w:tcPr>
          <w:p>
            <w:pPr>
              <w:ind w:leftChars="0" w:left="0" w:right="0"/>
            </w:pPr>
            <w:r>
              <w:t>URCE</w:t>
            </w:r>
          </w:p>
        </w:tc>
        <w:tc>
          <w:tcPr>
            <w:cnfStyle w:evenVBand="false" w:oddVBand="true" w:firstColumn="false"/>
            <w:tcW w:w="33.333333%" w:type="pct"/>
          </w:tcPr>
          <w:p>
            <w:pPr>
              <w:ind w:leftChars="0" w:left="0" w:right="0"/>
            </w:pPr>
            <w:r>
              <w:t>REGIONAL EXCHANGE CENTRE - MICEX URAL</w:t>
            </w:r>
          </w:p>
        </w:tc>
      </w:tr>
      <w:tr>
        <w:trPr>
          <w:cnfStyle w:evenHBand="true" w:oddHBand="false" w:firstRow="false"/>
        </w:trPr>
        <w:tc>
          <w:tcPr>
            <w:cnfStyle w:evenVBand="false" w:oddVBand="true" w:firstColumn="false"/>
            <w:tcW w:w="33.333333%" w:type="pct"/>
          </w:tcPr>
          <w:p>
            <w:pPr>
              <w:ind w:leftChars="0" w:left="0" w:right="0"/>
            </w:pPr>
            <w:r>
              <w:t>USEF</w:t>
            </w:r>
          </w:p>
        </w:tc>
        <w:tc>
          <w:tcPr>
            <w:cnfStyle w:evenVBand="true" w:oddVBand="false" w:firstColumn="false"/>
            <w:tcW w:w="33.333333%" w:type="pct"/>
          </w:tcPr>
          <w:p>
            <w:pPr>
              <w:ind w:leftChars="0" w:left="0" w:right="0"/>
            </w:pPr>
            <w:r>
              <w:t>USEF</w:t>
            </w:r>
          </w:p>
        </w:tc>
        <w:tc>
          <w:tcPr>
            <w:cnfStyle w:evenVBand="false" w:oddVBand="true" w:firstColumn="false"/>
            <w:tcW w:w="33.333333%" w:type="pct"/>
          </w:tcPr>
          <w:p>
            <w:pPr>
              <w:ind w:leftChars="0" w:left="0" w:right="0"/>
            </w:pPr>
            <w:r>
              <w:t>360 TRADING NETWORKS INC.</w:t>
            </w:r>
          </w:p>
        </w:tc>
      </w:tr>
      <w:tr>
        <w:trPr>
          <w:cnfStyle w:evenHBand="false" w:oddHBand="true" w:firstRow="false"/>
        </w:trPr>
        <w:tc>
          <w:tcPr>
            <w:cnfStyle w:evenVBand="false" w:oddVBand="true" w:firstColumn="false"/>
            <w:tcW w:w="33.333333%" w:type="pct"/>
          </w:tcPr>
          <w:p>
            <w:pPr>
              <w:ind w:leftChars="0" w:left="0" w:right="0"/>
            </w:pPr>
            <w:r>
              <w:t>USOB</w:t>
            </w:r>
          </w:p>
        </w:tc>
        <w:tc>
          <w:tcPr>
            <w:cnfStyle w:evenVBand="true" w:oddVBand="false" w:firstColumn="false"/>
            <w:tcW w:w="33.333333%" w:type="pct"/>
          </w:tcPr>
          <w:p>
            <w:pPr>
              <w:ind w:leftChars="0" w:left="0" w:right="0"/>
            </w:pPr>
            <w:r>
              <w:t>USOB</w:t>
            </w:r>
          </w:p>
        </w:tc>
        <w:tc>
          <w:tcPr>
            <w:cnfStyle w:evenVBand="false" w:oddVBand="true" w:firstColumn="false"/>
            <w:tcW w:w="33.333333%" w:type="pct"/>
          </w:tcPr>
          <w:p>
            <w:pPr>
              <w:ind w:leftChars="0" w:left="0" w:right="0"/>
            </w:pPr>
            <w:r>
              <w:t>NASDAQ STOCKHOLM AB - OTC USD WB EQ DERIVATIVES</w:t>
            </w:r>
          </w:p>
        </w:tc>
      </w:tr>
      <w:tr>
        <w:trPr>
          <w:cnfStyle w:evenHBand="true" w:oddHBand="false" w:firstRow="false"/>
        </w:trPr>
        <w:tc>
          <w:tcPr>
            <w:cnfStyle w:evenVBand="false" w:oddVBand="true" w:firstColumn="false"/>
            <w:tcW w:w="33.333333%" w:type="pct"/>
          </w:tcPr>
          <w:p>
            <w:pPr>
              <w:ind w:leftChars="0" w:left="0" w:right="0"/>
            </w:pPr>
            <w:r>
              <w:t>USWB</w:t>
            </w:r>
          </w:p>
        </w:tc>
        <w:tc>
          <w:tcPr>
            <w:cnfStyle w:evenVBand="true" w:oddVBand="false" w:firstColumn="false"/>
            <w:tcW w:w="33.333333%" w:type="pct"/>
          </w:tcPr>
          <w:p>
            <w:pPr>
              <w:ind w:leftChars="0" w:left="0" w:right="0"/>
            </w:pPr>
            <w:r>
              <w:t>USWB</w:t>
            </w:r>
          </w:p>
        </w:tc>
        <w:tc>
          <w:tcPr>
            <w:cnfStyle w:evenVBand="false" w:oddVBand="true" w:firstColumn="false"/>
            <w:tcW w:w="33.333333%" w:type="pct"/>
          </w:tcPr>
          <w:p>
            <w:pPr>
              <w:ind w:leftChars="0" w:left="0" w:right="0"/>
            </w:pPr>
            <w:r>
              <w:t>NASDAQ STOCKHOLM AB - USD WB EQ DERIVATIVES</w:t>
            </w:r>
          </w:p>
        </w:tc>
      </w:tr>
      <w:tr>
        <w:trPr>
          <w:cnfStyle w:evenHBand="false" w:oddHBand="true" w:firstRow="false"/>
        </w:trPr>
        <w:tc>
          <w:tcPr>
            <w:cnfStyle w:evenVBand="false" w:oddVBand="true" w:firstColumn="false"/>
            <w:tcW w:w="33.333333%" w:type="pct"/>
          </w:tcPr>
          <w:p>
            <w:pPr>
              <w:ind w:leftChars="0" w:left="0" w:right="0"/>
            </w:pPr>
            <w:r>
              <w:t>USWP</w:t>
            </w:r>
          </w:p>
        </w:tc>
        <w:tc>
          <w:tcPr>
            <w:cnfStyle w:evenVBand="true" w:oddVBand="false" w:firstColumn="false"/>
            <w:tcW w:w="33.333333%" w:type="pct"/>
          </w:tcPr>
          <w:p>
            <w:pPr>
              <w:ind w:leftChars="0" w:left="0" w:right="0"/>
            </w:pPr>
            <w:r>
              <w:t>USWP</w:t>
            </w:r>
          </w:p>
        </w:tc>
        <w:tc>
          <w:tcPr>
            <w:cnfStyle w:evenVBand="false" w:oddVBand="true" w:firstColumn="false"/>
            <w:tcW w:w="33.333333%" w:type="pct"/>
          </w:tcPr>
          <w:p>
            <w:pPr>
              <w:ind w:leftChars="0" w:left="0" w:right="0"/>
            </w:pPr>
            <w:r>
              <w:t>EUROMTS LIMITED</w:t>
            </w:r>
          </w:p>
        </w:tc>
      </w:tr>
      <w:tr>
        <w:trPr>
          <w:cnfStyle w:evenHBand="true" w:oddHBand="false" w:firstRow="false"/>
        </w:trPr>
        <w:tc>
          <w:tcPr>
            <w:cnfStyle w:evenVBand="false" w:oddVBand="true" w:firstColumn="false"/>
            <w:tcW w:w="33.333333%" w:type="pct"/>
          </w:tcPr>
          <w:p>
            <w:pPr>
              <w:ind w:leftChars="0" w:left="0" w:right="0"/>
            </w:pPr>
            <w:r>
              <w:t>UTSL</w:t>
            </w:r>
          </w:p>
        </w:tc>
        <w:tc>
          <w:tcPr>
            <w:cnfStyle w:evenVBand="true" w:oddVBand="false" w:firstColumn="false"/>
            <w:tcW w:w="33.333333%" w:type="pct"/>
          </w:tcPr>
          <w:p>
            <w:pPr>
              <w:ind w:leftChars="0" w:left="0" w:right="0"/>
            </w:pPr>
            <w:r>
              <w:t>UTSL</w:t>
            </w:r>
          </w:p>
        </w:tc>
        <w:tc>
          <w:tcPr>
            <w:cnfStyle w:evenVBand="false" w:oddVBand="true" w:firstColumn="false"/>
            <w:tcW w:w="33.333333%" w:type="pct"/>
          </w:tcPr>
          <w:p>
            <w:pPr>
              <w:ind w:leftChars="0" w:left="0" w:right="0"/>
            </w:pPr>
            <w:r>
              <w:t>UEDA TRADITION SECURITIES LTD.</w:t>
            </w:r>
          </w:p>
        </w:tc>
      </w:tr>
      <w:tr>
        <w:trPr>
          <w:cnfStyle w:evenHBand="false" w:oddHBand="true" w:firstRow="false"/>
        </w:trPr>
        <w:tc>
          <w:tcPr>
            <w:cnfStyle w:evenVBand="false" w:oddVBand="true" w:firstColumn="false"/>
            <w:tcW w:w="33.333333%" w:type="pct"/>
          </w:tcPr>
          <w:p>
            <w:pPr>
              <w:ind w:leftChars="0" w:left="0" w:right="0"/>
            </w:pPr>
            <w:r>
              <w:t>VABD</w:t>
            </w:r>
          </w:p>
        </w:tc>
        <w:tc>
          <w:tcPr>
            <w:cnfStyle w:evenVBand="true" w:oddVBand="false" w:firstColumn="false"/>
            <w:tcW w:w="33.333333%" w:type="pct"/>
          </w:tcPr>
          <w:p>
            <w:pPr>
              <w:ind w:leftChars="0" w:left="0" w:right="0"/>
            </w:pPr>
            <w:r>
              <w:t>VABD</w:t>
            </w:r>
          </w:p>
        </w:tc>
        <w:tc>
          <w:tcPr>
            <w:cnfStyle w:evenVBand="false" w:oddVBand="true" w:firstColumn="false"/>
            <w:tcW w:w="33.333333%" w:type="pct"/>
          </w:tcPr>
          <w:p>
            <w:pPr>
              <w:ind w:leftChars="0" w:left="0" w:right="0"/>
            </w:pPr>
            <w:r>
              <w:t>ICE BONDPOINT</w:t>
            </w:r>
          </w:p>
        </w:tc>
      </w:tr>
      <w:tr>
        <w:trPr>
          <w:cnfStyle w:evenHBand="true" w:oddHBand="false" w:firstRow="false"/>
        </w:trPr>
        <w:tc>
          <w:tcPr>
            <w:cnfStyle w:evenVBand="false" w:oddVBand="true" w:firstColumn="false"/>
            <w:tcW w:w="33.333333%" w:type="pct"/>
          </w:tcPr>
          <w:p>
            <w:pPr>
              <w:ind w:leftChars="0" w:left="0" w:right="0"/>
            </w:pPr>
            <w:r>
              <w:t>VAGL</w:t>
            </w:r>
          </w:p>
        </w:tc>
        <w:tc>
          <w:tcPr>
            <w:cnfStyle w:evenVBand="true" w:oddVBand="false" w:firstColumn="false"/>
            <w:tcW w:w="33.333333%" w:type="pct"/>
          </w:tcPr>
          <w:p>
            <w:pPr>
              <w:ind w:leftChars="0" w:left="0" w:right="0"/>
            </w:pPr>
            <w:r>
              <w:t>VAGL</w:t>
            </w:r>
          </w:p>
        </w:tc>
        <w:tc>
          <w:tcPr>
            <w:cnfStyle w:evenVBand="false" w:oddVBand="true" w:firstColumn="false"/>
            <w:tcW w:w="33.333333%" w:type="pct"/>
          </w:tcPr>
          <w:p>
            <w:pPr>
              <w:ind w:leftChars="0" w:left="0" w:right="0"/>
            </w:pPr>
            <w:r>
              <w:t>VIRTUAL AUCTION GLOBAL LIMITED</w:t>
            </w:r>
          </w:p>
        </w:tc>
      </w:tr>
      <w:tr>
        <w:trPr>
          <w:cnfStyle w:evenHBand="false" w:oddHBand="true" w:firstRow="false"/>
        </w:trPr>
        <w:tc>
          <w:tcPr>
            <w:cnfStyle w:evenVBand="false" w:oddVBand="true" w:firstColumn="false"/>
            <w:tcW w:w="33.333333%" w:type="pct"/>
          </w:tcPr>
          <w:p>
            <w:pPr>
              <w:ind w:leftChars="0" w:left="0" w:right="0"/>
            </w:pPr>
            <w:r>
              <w:t>VAGM</w:t>
            </w:r>
          </w:p>
        </w:tc>
        <w:tc>
          <w:tcPr>
            <w:cnfStyle w:evenVBand="true" w:oddVBand="false" w:firstColumn="false"/>
            <w:tcW w:w="33.333333%" w:type="pct"/>
          </w:tcPr>
          <w:p>
            <w:pPr>
              <w:ind w:leftChars="0" w:left="0" w:right="0"/>
            </w:pPr>
            <w:r>
              <w:t>VAGM</w:t>
            </w:r>
          </w:p>
        </w:tc>
        <w:tc>
          <w:tcPr>
            <w:cnfStyle w:evenVBand="false" w:oddVBand="true" w:firstColumn="false"/>
            <w:tcW w:w="33.333333%" w:type="pct"/>
          </w:tcPr>
          <w:p>
            <w:pPr>
              <w:ind w:leftChars="0" w:left="0" w:right="0"/>
            </w:pPr>
            <w:r>
              <w:t>VIRTUAL AUCTION GLOBAL MARKETS - MTF</w:t>
            </w:r>
          </w:p>
        </w:tc>
      </w:tr>
      <w:tr>
        <w:trPr>
          <w:cnfStyle w:evenHBand="true" w:oddHBand="false" w:firstRow="false"/>
        </w:trPr>
        <w:tc>
          <w:tcPr>
            <w:cnfStyle w:evenVBand="false" w:oddVBand="true" w:firstColumn="false"/>
            <w:tcW w:w="33.333333%" w:type="pct"/>
          </w:tcPr>
          <w:p>
            <w:pPr>
              <w:ind w:leftChars="0" w:left="0" w:right="0"/>
            </w:pPr>
            <w:r>
              <w:t>VALX</w:t>
            </w:r>
          </w:p>
        </w:tc>
        <w:tc>
          <w:tcPr>
            <w:cnfStyle w:evenVBand="true" w:oddVBand="false" w:firstColumn="false"/>
            <w:tcW w:w="33.333333%" w:type="pct"/>
          </w:tcPr>
          <w:p>
            <w:pPr>
              <w:ind w:leftChars="0" w:left="0" w:right="0"/>
            </w:pPr>
            <w:r>
              <w:t>VALX</w:t>
            </w:r>
          </w:p>
        </w:tc>
        <w:tc>
          <w:tcPr>
            <w:cnfStyle w:evenVBand="false" w:oddVBand="true" w:firstColumn="false"/>
            <w:tcW w:w="33.333333%" w:type="pct"/>
          </w:tcPr>
          <w:p>
            <w:pPr>
              <w:ind w:leftChars="0" w:left="0" w:right="0"/>
            </w:pPr>
            <w:r>
              <w:t>VIRTU CLIENT MARKET MAKING</w:t>
            </w:r>
          </w:p>
        </w:tc>
      </w:tr>
      <w:tr>
        <w:trPr>
          <w:cnfStyle w:evenHBand="false" w:oddHBand="true" w:firstRow="false"/>
        </w:trPr>
        <w:tc>
          <w:tcPr>
            <w:cnfStyle w:evenVBand="false" w:oddVBand="true" w:firstColumn="false"/>
            <w:tcW w:w="33.333333%" w:type="pct"/>
          </w:tcPr>
          <w:p>
            <w:pPr>
              <w:ind w:leftChars="0" w:left="0" w:right="0"/>
            </w:pPr>
            <w:r>
              <w:t>VCMO</w:t>
            </w:r>
          </w:p>
        </w:tc>
        <w:tc>
          <w:tcPr>
            <w:cnfStyle w:evenVBand="true" w:oddVBand="false" w:firstColumn="false"/>
            <w:tcW w:w="33.333333%" w:type="pct"/>
          </w:tcPr>
          <w:p>
            <w:pPr>
              <w:ind w:leftChars="0" w:left="0" w:right="0"/>
            </w:pPr>
            <w:r>
              <w:t>VCMO</w:t>
            </w:r>
          </w:p>
        </w:tc>
        <w:tc>
          <w:tcPr>
            <w:cnfStyle w:evenVBand="false" w:oddVBand="true" w:firstColumn="false"/>
            <w:tcW w:w="33.333333%" w:type="pct"/>
          </w:tcPr>
          <w:p>
            <w:pPr>
              <w:ind w:leftChars="0" w:left="0" w:right="0"/>
            </w:pPr>
            <w:r>
              <w:t>VANTAGE CAPITAL MARKETS LLP - OTF</w:t>
            </w:r>
          </w:p>
        </w:tc>
      </w:tr>
      <w:tr>
        <w:trPr>
          <w:cnfStyle w:evenHBand="true" w:oddHBand="false" w:firstRow="false"/>
        </w:trPr>
        <w:tc>
          <w:tcPr>
            <w:cnfStyle w:evenVBand="false" w:oddVBand="true" w:firstColumn="false"/>
            <w:tcW w:w="33.333333%" w:type="pct"/>
          </w:tcPr>
          <w:p>
            <w:pPr>
              <w:ind w:leftChars="0" w:left="0" w:right="0"/>
            </w:pPr>
            <w:r>
              <w:t>VCRS</w:t>
            </w:r>
          </w:p>
        </w:tc>
        <w:tc>
          <w:tcPr>
            <w:cnfStyle w:evenVBand="true" w:oddVBand="false" w:firstColumn="false"/>
            <w:tcW w:w="33.333333%" w:type="pct"/>
          </w:tcPr>
          <w:p>
            <w:pPr>
              <w:ind w:leftChars="0" w:left="0" w:right="0"/>
            </w:pPr>
            <w:r>
              <w:t>VCRS</w:t>
            </w:r>
          </w:p>
        </w:tc>
        <w:tc>
          <w:tcPr>
            <w:cnfStyle w:evenVBand="false" w:oddVBand="true" w:firstColumn="false"/>
            <w:tcW w:w="33.333333%" w:type="pct"/>
          </w:tcPr>
          <w:p>
            <w:pPr>
              <w:ind w:leftChars="0" w:left="0" w:right="0"/>
            </w:pPr>
            <w:r>
              <w:t>VIRTU MATCHIT - CONDITIONAL ROOM</w:t>
            </w:r>
          </w:p>
        </w:tc>
      </w:tr>
      <w:tr>
        <w:trPr>
          <w:cnfStyle w:evenHBand="false" w:oddHBand="true" w:firstRow="false"/>
        </w:trPr>
        <w:tc>
          <w:tcPr>
            <w:cnfStyle w:evenVBand="false" w:oddVBand="true" w:firstColumn="false"/>
            <w:tcW w:w="33.333333%" w:type="pct"/>
          </w:tcPr>
          <w:p>
            <w:pPr>
              <w:ind w:leftChars="0" w:left="0" w:right="0"/>
            </w:pPr>
            <w:r>
              <w:t>VDRK</w:t>
            </w:r>
          </w:p>
        </w:tc>
        <w:tc>
          <w:tcPr>
            <w:cnfStyle w:evenVBand="true" w:oddVBand="false" w:firstColumn="false"/>
            <w:tcW w:w="33.333333%" w:type="pct"/>
          </w:tcPr>
          <w:p>
            <w:pPr>
              <w:ind w:leftChars="0" w:left="0" w:right="0"/>
            </w:pPr>
            <w:r>
              <w:t>VDRK</w:t>
            </w:r>
          </w:p>
        </w:tc>
        <w:tc>
          <w:tcPr>
            <w:cnfStyle w:evenVBand="false" w:oddVBand="true" w:firstColumn="false"/>
            <w:tcW w:w="33.333333%" w:type="pct"/>
          </w:tcPr>
          <w:p>
            <w:pPr>
              <w:ind w:leftChars="0" w:left="0" w:right="0"/>
            </w:pPr>
            <w:r>
              <w:t>TSX VENTURE EXCHANGE - DRK</w:t>
            </w:r>
          </w:p>
        </w:tc>
      </w:tr>
      <w:tr>
        <w:trPr>
          <w:cnfStyle w:evenHBand="true" w:oddHBand="false" w:firstRow="false"/>
        </w:trPr>
        <w:tc>
          <w:tcPr>
            <w:cnfStyle w:evenVBand="false" w:oddVBand="true" w:firstColumn="false"/>
            <w:tcW w:w="33.333333%" w:type="pct"/>
          </w:tcPr>
          <w:p>
            <w:pPr>
              <w:ind w:leftChars="0" w:left="0" w:right="0"/>
            </w:pPr>
            <w:r>
              <w:t>VEGA</w:t>
            </w:r>
          </w:p>
        </w:tc>
        <w:tc>
          <w:tcPr>
            <w:cnfStyle w:evenVBand="true" w:oddVBand="false" w:firstColumn="false"/>
            <w:tcW w:w="33.333333%" w:type="pct"/>
          </w:tcPr>
          <w:p>
            <w:pPr>
              <w:ind w:leftChars="0" w:left="0" w:right="0"/>
            </w:pPr>
            <w:r>
              <w:t>VEGA</w:t>
            </w:r>
          </w:p>
        </w:tc>
        <w:tc>
          <w:tcPr>
            <w:cnfStyle w:evenVBand="false" w:oddVBand="true" w:firstColumn="false"/>
            <w:tcW w:w="33.333333%" w:type="pct"/>
          </w:tcPr>
          <w:p>
            <w:pPr>
              <w:ind w:leftChars="0" w:left="0" w:right="0"/>
            </w:pPr>
            <w:r>
              <w:t>VEGA-CHI</w:t>
            </w:r>
          </w:p>
        </w:tc>
      </w:tr>
      <w:tr>
        <w:trPr>
          <w:cnfStyle w:evenHBand="false" w:oddHBand="true" w:firstRow="false"/>
        </w:trPr>
        <w:tc>
          <w:tcPr>
            <w:cnfStyle w:evenVBand="false" w:oddVBand="true" w:firstColumn="false"/>
            <w:tcW w:w="33.333333%" w:type="pct"/>
          </w:tcPr>
          <w:p>
            <w:pPr>
              <w:ind w:leftChars="0" w:left="0" w:right="0"/>
            </w:pPr>
            <w:r>
              <w:t>VERT</w:t>
            </w:r>
          </w:p>
        </w:tc>
        <w:tc>
          <w:tcPr>
            <w:cnfStyle w:evenVBand="true" w:oddVBand="false" w:firstColumn="false"/>
            <w:tcW w:w="33.333333%" w:type="pct"/>
          </w:tcPr>
          <w:p>
            <w:pPr>
              <w:ind w:leftChars="0" w:left="0" w:right="0"/>
            </w:pPr>
            <w:r>
              <w:t>VERT</w:t>
            </w:r>
          </w:p>
        </w:tc>
        <w:tc>
          <w:tcPr>
            <w:cnfStyle w:evenVBand="false" w:oddVBand="true" w:firstColumn="false"/>
            <w:tcW w:w="33.333333%" w:type="pct"/>
          </w:tcPr>
          <w:p>
            <w:pPr>
              <w:ind w:leftChars="0" w:left="0" w:right="0"/>
            </w:pPr>
            <w:r>
              <w:t>VERTICAL</w:t>
            </w:r>
          </w:p>
        </w:tc>
      </w:tr>
      <w:tr>
        <w:trPr>
          <w:cnfStyle w:evenHBand="true" w:oddHBand="false" w:firstRow="false"/>
        </w:trPr>
        <w:tc>
          <w:tcPr>
            <w:cnfStyle w:evenVBand="false" w:oddVBand="true" w:firstColumn="false"/>
            <w:tcW w:w="33.333333%" w:type="pct"/>
          </w:tcPr>
          <w:p>
            <w:pPr>
              <w:ind w:leftChars="0" w:left="0" w:right="0"/>
            </w:pPr>
            <w:r>
              <w:t>VFCM</w:t>
            </w:r>
          </w:p>
        </w:tc>
        <w:tc>
          <w:tcPr>
            <w:cnfStyle w:evenVBand="true" w:oddVBand="false" w:firstColumn="false"/>
            <w:tcW w:w="33.333333%" w:type="pct"/>
          </w:tcPr>
          <w:p>
            <w:pPr>
              <w:ind w:leftChars="0" w:left="0" w:right="0"/>
            </w:pPr>
            <w:r>
              <w:t>VFCM</w:t>
            </w:r>
          </w:p>
        </w:tc>
        <w:tc>
          <w:tcPr>
            <w:cnfStyle w:evenVBand="false" w:oddVBand="true" w:firstColumn="false"/>
            <w:tcW w:w="33.333333%" w:type="pct"/>
          </w:tcPr>
          <w:p>
            <w:pPr>
              <w:ind w:leftChars="0" w:left="0" w:right="0"/>
            </w:pPr>
            <w:r>
              <w:t>VIRTU FINANCIAL CAPITAL MARKETS LLC</w:t>
            </w:r>
          </w:p>
        </w:tc>
      </w:tr>
      <w:tr>
        <w:trPr>
          <w:cnfStyle w:evenHBand="false" w:oddHBand="true" w:firstRow="false"/>
        </w:trPr>
        <w:tc>
          <w:tcPr>
            <w:cnfStyle w:evenVBand="false" w:oddVBand="true" w:firstColumn="false"/>
            <w:tcW w:w="33.333333%" w:type="pct"/>
          </w:tcPr>
          <w:p>
            <w:pPr>
              <w:ind w:leftChars="0" w:left="0" w:right="0"/>
            </w:pPr>
            <w:r>
              <w:t>VFEX</w:t>
            </w:r>
          </w:p>
        </w:tc>
        <w:tc>
          <w:tcPr>
            <w:cnfStyle w:evenVBand="true" w:oddVBand="false" w:firstColumn="false"/>
            <w:tcW w:w="33.333333%" w:type="pct"/>
          </w:tcPr>
          <w:p>
            <w:pPr>
              <w:ind w:leftChars="0" w:left="0" w:right="0"/>
            </w:pPr>
            <w:r>
              <w:t>VFEX</w:t>
            </w:r>
          </w:p>
        </w:tc>
        <w:tc>
          <w:tcPr>
            <w:cnfStyle w:evenVBand="false" w:oddVBand="true" w:firstColumn="false"/>
            <w:tcW w:w="33.333333%" w:type="pct"/>
          </w:tcPr>
          <w:p>
            <w:pPr>
              <w:ind w:leftChars="0" w:left="0" w:right="0"/>
            </w:pPr>
            <w:r>
              <w:t>VICTORIA FALLS STOCK EXCHANGE</w:t>
            </w:r>
          </w:p>
        </w:tc>
      </w:tr>
      <w:tr>
        <w:trPr>
          <w:cnfStyle w:evenHBand="true" w:oddHBand="false" w:firstRow="false"/>
        </w:trPr>
        <w:tc>
          <w:tcPr>
            <w:cnfStyle w:evenVBand="false" w:oddVBand="true" w:firstColumn="false"/>
            <w:tcW w:w="33.333333%" w:type="pct"/>
          </w:tcPr>
          <w:p>
            <w:pPr>
              <w:ind w:leftChars="0" w:left="0" w:right="0"/>
            </w:pPr>
            <w:r>
              <w:t>VFGB</w:t>
            </w:r>
          </w:p>
        </w:tc>
        <w:tc>
          <w:tcPr>
            <w:cnfStyle w:evenVBand="true" w:oddVBand="false" w:firstColumn="false"/>
            <w:tcW w:w="33.333333%" w:type="pct"/>
          </w:tcPr>
          <w:p>
            <w:pPr>
              <w:ind w:leftChars="0" w:left="0" w:right="0"/>
            </w:pPr>
            <w:r>
              <w:t>VFGB</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VFIL</w:t>
            </w:r>
          </w:p>
        </w:tc>
        <w:tc>
          <w:tcPr>
            <w:cnfStyle w:evenVBand="true" w:oddVBand="false" w:firstColumn="false"/>
            <w:tcW w:w="33.333333%" w:type="pct"/>
          </w:tcPr>
          <w:p>
            <w:pPr>
              <w:ind w:leftChars="0" w:left="0" w:right="0"/>
            </w:pPr>
            <w:r>
              <w:t>VFIL</w:t>
            </w:r>
          </w:p>
        </w:tc>
        <w:tc>
          <w:tcPr>
            <w:cnfStyle w:evenVBand="false" w:oddVBand="true" w:firstColumn="false"/>
            <w:tcW w:w="33.333333%" w:type="pct"/>
          </w:tcPr>
          <w:p>
            <w:pPr>
              <w:ind w:leftChars="0" w:left="0" w:right="0"/>
            </w:pPr>
            <w:r>
              <w:t>VIRTU FINANCIAL IRELAND LIMITED</w:t>
            </w:r>
          </w:p>
        </w:tc>
      </w:tr>
      <w:tr>
        <w:trPr>
          <w:cnfStyle w:evenHBand="true" w:oddHBand="false" w:firstRow="false"/>
        </w:trPr>
        <w:tc>
          <w:tcPr>
            <w:cnfStyle w:evenVBand="false" w:oddVBand="true" w:firstColumn="false"/>
            <w:tcW w:w="33.333333%" w:type="pct"/>
          </w:tcPr>
          <w:p>
            <w:pPr>
              <w:ind w:leftChars="0" w:left="0" w:right="0"/>
            </w:pPr>
            <w:r>
              <w:t>VFMI</w:t>
            </w:r>
          </w:p>
        </w:tc>
        <w:tc>
          <w:tcPr>
            <w:cnfStyle w:evenVBand="true" w:oddVBand="false" w:firstColumn="false"/>
            <w:tcW w:w="33.333333%" w:type="pct"/>
          </w:tcPr>
          <w:p>
            <w:pPr>
              <w:ind w:leftChars="0" w:left="0" w:right="0"/>
            </w:pPr>
            <w:r>
              <w:t>VFMI</w:t>
            </w:r>
          </w:p>
        </w:tc>
        <w:tc>
          <w:tcPr>
            <w:cnfStyle w:evenVBand="false" w:oddVBand="true" w:firstColumn="false"/>
            <w:tcW w:w="33.333333%" w:type="pct"/>
          </w:tcPr>
          <w:p>
            <w:pPr>
              <w:ind w:leftChars="0" w:left="0" w:right="0"/>
            </w:pPr>
            <w:r>
              <w:t>VIRTU MATCHIT - MAIN CROSSING SESSION</w:t>
            </w:r>
          </w:p>
        </w:tc>
      </w:tr>
      <w:tr>
        <w:trPr>
          <w:cnfStyle w:evenHBand="false" w:oddHBand="true" w:firstRow="false"/>
        </w:trPr>
        <w:tc>
          <w:tcPr>
            <w:cnfStyle w:evenVBand="false" w:oddVBand="true" w:firstColumn="false"/>
            <w:tcW w:w="33.333333%" w:type="pct"/>
          </w:tcPr>
          <w:p>
            <w:pPr>
              <w:ind w:leftChars="0" w:left="0" w:right="0"/>
            </w:pPr>
            <w:r>
              <w:t>VFSI</w:t>
            </w:r>
          </w:p>
        </w:tc>
        <w:tc>
          <w:tcPr>
            <w:cnfStyle w:evenVBand="true" w:oddVBand="false" w:firstColumn="false"/>
            <w:tcW w:w="33.333333%" w:type="pct"/>
          </w:tcPr>
          <w:p>
            <w:pPr>
              <w:ind w:leftChars="0" w:left="0" w:right="0"/>
            </w:pPr>
            <w:r>
              <w:t>VFSI</w:t>
            </w:r>
          </w:p>
        </w:tc>
        <w:tc>
          <w:tcPr>
            <w:cnfStyle w:evenVBand="false" w:oddVBand="true" w:firstColumn="false"/>
            <w:tcW w:w="33.333333%" w:type="pct"/>
          </w:tcPr>
          <w:p>
            <w:pPr>
              <w:ind w:leftChars="0" w:left="0" w:right="0"/>
            </w:pPr>
            <w:r>
              <w:t>VIRTU FINANCIAL IRELAND LIMITED - SYSTEMATIC INTERNALISER</w:t>
            </w:r>
          </w:p>
        </w:tc>
      </w:tr>
      <w:tr>
        <w:trPr>
          <w:cnfStyle w:evenHBand="true" w:oddHBand="false" w:firstRow="false"/>
        </w:trPr>
        <w:tc>
          <w:tcPr>
            <w:cnfStyle w:evenVBand="false" w:oddVBand="true" w:firstColumn="false"/>
            <w:tcW w:w="33.333333%" w:type="pct"/>
          </w:tcPr>
          <w:p>
            <w:pPr>
              <w:ind w:leftChars="0" w:left="0" w:right="0"/>
            </w:pPr>
            <w:r>
              <w:t>VFUK</w:t>
            </w:r>
          </w:p>
        </w:tc>
        <w:tc>
          <w:tcPr>
            <w:cnfStyle w:evenVBand="true" w:oddVBand="false" w:firstColumn="false"/>
            <w:tcW w:w="33.333333%" w:type="pct"/>
          </w:tcPr>
          <w:p>
            <w:pPr>
              <w:ind w:leftChars="0" w:left="0" w:right="0"/>
            </w:pPr>
            <w:r>
              <w:t>VFUK</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VFXO</w:t>
            </w:r>
          </w:p>
        </w:tc>
        <w:tc>
          <w:tcPr>
            <w:cnfStyle w:evenVBand="true" w:oddVBand="false" w:firstColumn="false"/>
            <w:tcW w:w="33.333333%" w:type="pct"/>
          </w:tcPr>
          <w:p>
            <w:pPr>
              <w:ind w:leftChars="0" w:left="0" w:right="0"/>
            </w:pPr>
            <w:r>
              <w:t>VFXO</w:t>
            </w:r>
          </w:p>
        </w:tc>
        <w:tc>
          <w:tcPr>
            <w:cnfStyle w:evenVBand="false" w:oddVBand="true" w:firstColumn="false"/>
            <w:tcW w:w="33.333333%" w:type="pct"/>
          </w:tcPr>
          <w:p>
            <w:pPr>
              <w:ind w:leftChars="0" w:left="0" w:right="0"/>
            </w:pPr>
            <w:r>
              <w:t>VIRTU FINANCIAL IRELAND LIMITED - OTC</w:t>
            </w:r>
          </w:p>
        </w:tc>
      </w:tr>
      <w:tr>
        <w:trPr>
          <w:cnfStyle w:evenHBand="true" w:oddHBand="false" w:firstRow="false"/>
        </w:trPr>
        <w:tc>
          <w:tcPr>
            <w:cnfStyle w:evenVBand="false" w:oddVBand="true" w:firstColumn="false"/>
            <w:tcW w:w="33.333333%" w:type="pct"/>
          </w:tcPr>
          <w:p>
            <w:pPr>
              <w:ind w:leftChars="0" w:left="0" w:right="0"/>
            </w:pPr>
            <w:r>
              <w:t>VIRT</w:t>
            </w:r>
          </w:p>
        </w:tc>
        <w:tc>
          <w:tcPr>
            <w:cnfStyle w:evenVBand="true" w:oddVBand="false" w:firstColumn="false"/>
            <w:tcW w:w="33.333333%" w:type="pct"/>
          </w:tcPr>
          <w:p>
            <w:pPr>
              <w:ind w:leftChars="0" w:left="0" w:right="0"/>
            </w:pPr>
            <w:r>
              <w:t>VIRT</w:t>
            </w:r>
          </w:p>
        </w:tc>
        <w:tc>
          <w:tcPr>
            <w:cnfStyle w:evenVBand="false" w:oddVBand="true" w:firstColumn="false"/>
            <w:tcW w:w="33.333333%" w:type="pct"/>
          </w:tcPr>
          <w:p>
            <w:pPr>
              <w:ind w:leftChars="0" w:left="0" w:right="0"/>
            </w:pPr>
            <w:r>
              <w:t>VIRTU FINANCIAL BD</w:t>
            </w:r>
          </w:p>
        </w:tc>
      </w:tr>
      <w:tr>
        <w:trPr>
          <w:cnfStyle w:evenHBand="false" w:oddHBand="true" w:firstRow="false"/>
        </w:trPr>
        <w:tc>
          <w:tcPr>
            <w:cnfStyle w:evenVBand="false" w:oddVBand="true" w:firstColumn="false"/>
            <w:tcW w:w="33.333333%" w:type="pct"/>
          </w:tcPr>
          <w:p>
            <w:pPr>
              <w:ind w:leftChars="0" w:left="0" w:right="0"/>
            </w:pPr>
            <w:r>
              <w:t>VIUK</w:t>
            </w:r>
          </w:p>
        </w:tc>
        <w:tc>
          <w:tcPr>
            <w:cnfStyle w:evenVBand="true" w:oddVBand="false" w:firstColumn="false"/>
            <w:tcW w:w="33.333333%" w:type="pct"/>
          </w:tcPr>
          <w:p>
            <w:pPr>
              <w:ind w:leftChars="0" w:left="0" w:right="0"/>
            </w:pPr>
            <w:r>
              <w:t>VIUK</w:t>
            </w:r>
          </w:p>
        </w:tc>
        <w:tc>
          <w:tcPr>
            <w:cnfStyle w:evenVBand="false" w:oddVBand="true" w:firstColumn="false"/>
            <w:tcW w:w="33.333333%" w:type="pct"/>
          </w:tcPr>
          <w:p>
            <w:pPr>
              <w:ind w:leftChars="0" w:left="0" w:right="0"/>
            </w:pPr>
            <w:r>
              <w:t>POSIT UK</w:t>
            </w:r>
          </w:p>
        </w:tc>
      </w:tr>
      <w:tr>
        <w:trPr>
          <w:cnfStyle w:evenHBand="true" w:oddHBand="false" w:firstRow="false"/>
        </w:trPr>
        <w:tc>
          <w:tcPr>
            <w:cnfStyle w:evenVBand="false" w:oddVBand="true" w:firstColumn="false"/>
            <w:tcW w:w="33.333333%" w:type="pct"/>
          </w:tcPr>
          <w:p>
            <w:pPr>
              <w:ind w:leftChars="0" w:left="0" w:right="0"/>
            </w:pPr>
            <w:r>
              <w:t>VKAB</w:t>
            </w:r>
          </w:p>
        </w:tc>
        <w:tc>
          <w:tcPr>
            <w:cnfStyle w:evenVBand="true" w:oddVBand="false" w:firstColumn="false"/>
            <w:tcW w:w="33.333333%" w:type="pct"/>
          </w:tcPr>
          <w:p>
            <w:pPr>
              <w:ind w:leftChars="0" w:left="0" w:right="0"/>
            </w:pPr>
            <w:r>
              <w:t>VKAB</w:t>
            </w:r>
          </w:p>
        </w:tc>
        <w:tc>
          <w:tcPr>
            <w:cnfStyle w:evenVBand="false" w:oddVBand="true" w:firstColumn="false"/>
            <w:tcW w:w="33.333333%" w:type="pct"/>
          </w:tcPr>
          <w:p>
            <w:pPr>
              <w:ind w:leftChars="0" w:left="0" w:right="0"/>
            </w:pPr>
            <w:r>
              <w:t>KABU.COMPTS-VWAP</w:t>
            </w:r>
          </w:p>
        </w:tc>
      </w:tr>
      <w:tr>
        <w:trPr>
          <w:cnfStyle w:evenHBand="false" w:oddHBand="true" w:firstRow="false"/>
        </w:trPr>
        <w:tc>
          <w:tcPr>
            <w:cnfStyle w:evenVBand="false" w:oddVBand="true" w:firstColumn="false"/>
            <w:tcW w:w="33.333333%" w:type="pct"/>
          </w:tcPr>
          <w:p>
            <w:pPr>
              <w:ind w:leftChars="0" w:left="0" w:right="0"/>
            </w:pPr>
            <w:r>
              <w:t>VLEX</w:t>
            </w:r>
          </w:p>
        </w:tc>
        <w:tc>
          <w:tcPr>
            <w:cnfStyle w:evenVBand="true" w:oddVBand="false" w:firstColumn="false"/>
            <w:tcW w:w="33.333333%" w:type="pct"/>
          </w:tcPr>
          <w:p>
            <w:pPr>
              <w:ind w:leftChars="0" w:left="0" w:right="0"/>
            </w:pPr>
            <w:r>
              <w:t>VLEX</w:t>
            </w:r>
          </w:p>
        </w:tc>
        <w:tc>
          <w:tcPr>
            <w:cnfStyle w:evenVBand="false" w:oddVBand="true" w:firstColumn="false"/>
            <w:tcW w:w="33.333333%" w:type="pct"/>
          </w:tcPr>
          <w:p>
            <w:pPr>
              <w:ind w:leftChars="0" w:left="0" w:right="0"/>
            </w:pPr>
            <w:r>
              <w:t>VONTOBEL LIQUIDITY EXTENDER</w:t>
            </w:r>
          </w:p>
        </w:tc>
      </w:tr>
      <w:tr>
        <w:trPr>
          <w:cnfStyle w:evenHBand="true" w:oddHBand="false" w:firstRow="false"/>
        </w:trPr>
        <w:tc>
          <w:tcPr>
            <w:cnfStyle w:evenVBand="false" w:oddVBand="true" w:firstColumn="false"/>
            <w:tcW w:w="33.333333%" w:type="pct"/>
          </w:tcPr>
          <w:p>
            <w:pPr>
              <w:ind w:leftChars="0" w:left="0" w:right="0"/>
            </w:pPr>
            <w:r>
              <w:t>VMFX</w:t>
            </w:r>
          </w:p>
        </w:tc>
        <w:tc>
          <w:tcPr>
            <w:cnfStyle w:evenVBand="true" w:oddVBand="false" w:firstColumn="false"/>
            <w:tcW w:w="33.333333%" w:type="pct"/>
          </w:tcPr>
          <w:p>
            <w:pPr>
              <w:ind w:leftChars="0" w:left="0" w:right="0"/>
            </w:pPr>
            <w:r>
              <w:t>VMFX</w:t>
            </w:r>
          </w:p>
        </w:tc>
        <w:tc>
          <w:tcPr>
            <w:cnfStyle w:evenVBand="false" w:oddVBand="true" w:firstColumn="false"/>
            <w:tcW w:w="33.333333%" w:type="pct"/>
          </w:tcPr>
          <w:p>
            <w:pPr>
              <w:ind w:leftChars="0" w:left="0" w:right="0"/>
            </w:pPr>
            <w:r>
              <w:t>THE FAROESE SECURITIES MARKET</w:t>
            </w:r>
          </w:p>
        </w:tc>
      </w:tr>
      <w:tr>
        <w:trPr>
          <w:cnfStyle w:evenHBand="false" w:oddHBand="true" w:firstRow="false"/>
        </w:trPr>
        <w:tc>
          <w:tcPr>
            <w:cnfStyle w:evenVBand="false" w:oddVBand="true" w:firstColumn="false"/>
            <w:tcW w:w="33.333333%" w:type="pct"/>
          </w:tcPr>
          <w:p>
            <w:pPr>
              <w:ind w:leftChars="0" w:left="0" w:right="0"/>
            </w:pPr>
            <w:r>
              <w:t>VMTS</w:t>
            </w:r>
          </w:p>
        </w:tc>
        <w:tc>
          <w:tcPr>
            <w:cnfStyle w:evenVBand="true" w:oddVBand="false" w:firstColumn="false"/>
            <w:tcW w:w="33.333333%" w:type="pct"/>
          </w:tcPr>
          <w:p>
            <w:pPr>
              <w:ind w:leftChars="0" w:left="0" w:right="0"/>
            </w:pPr>
            <w:r>
              <w:t>VMTS</w:t>
            </w:r>
          </w:p>
        </w:tc>
        <w:tc>
          <w:tcPr>
            <w:cnfStyle w:evenVBand="false" w:oddVBand="true" w:firstColumn="false"/>
            <w:tcW w:w="33.333333%" w:type="pct"/>
          </w:tcPr>
          <w:p>
            <w:pPr>
              <w:ind w:leftChars="0" w:left="0" w:right="0"/>
            </w:pPr>
            <w:r>
              <w:t>MTS SLOVENIA</w:t>
            </w:r>
          </w:p>
        </w:tc>
      </w:tr>
      <w:tr>
        <w:trPr>
          <w:cnfStyle w:evenHBand="true" w:oddHBand="false" w:firstRow="false"/>
        </w:trPr>
        <w:tc>
          <w:tcPr>
            <w:cnfStyle w:evenVBand="false" w:oddVBand="true" w:firstColumn="false"/>
            <w:tcW w:w="33.333333%" w:type="pct"/>
          </w:tcPr>
          <w:p>
            <w:pPr>
              <w:ind w:leftChars="0" w:left="0" w:right="0"/>
            </w:pPr>
            <w:r>
              <w:t>VNDM</w:t>
            </w:r>
          </w:p>
        </w:tc>
        <w:tc>
          <w:tcPr>
            <w:cnfStyle w:evenVBand="true" w:oddVBand="false" w:firstColumn="false"/>
            <w:tcW w:w="33.333333%" w:type="pct"/>
          </w:tcPr>
          <w:p>
            <w:pPr>
              <w:ind w:leftChars="0" w:left="0" w:right="0"/>
            </w:pPr>
            <w:r>
              <w:t>VNDM</w:t>
            </w:r>
          </w:p>
        </w:tc>
        <w:tc>
          <w:tcPr>
            <w:cnfStyle w:evenVBand="false" w:oddVBand="true" w:firstColumn="false"/>
            <w:tcW w:w="33.333333%" w:type="pct"/>
          </w:tcPr>
          <w:p>
            <w:pPr>
              <w:ind w:leftChars="0" w:left="0" w:right="0"/>
            </w:pPr>
            <w:r>
              <w:t>WALL STREET ACCESS NYC - VNDM</w:t>
            </w:r>
          </w:p>
        </w:tc>
      </w:tr>
      <w:tr>
        <w:trPr>
          <w:cnfStyle w:evenHBand="false" w:oddHBand="true" w:firstRow="false"/>
        </w:trPr>
        <w:tc>
          <w:tcPr>
            <w:cnfStyle w:evenVBand="false" w:oddVBand="true" w:firstColumn="false"/>
            <w:tcW w:w="33.333333%" w:type="pct"/>
          </w:tcPr>
          <w:p>
            <w:pPr>
              <w:ind w:leftChars="0" w:left="0" w:right="0"/>
            </w:pPr>
            <w:r>
              <w:t>VOLA</w:t>
            </w:r>
          </w:p>
        </w:tc>
        <w:tc>
          <w:tcPr>
            <w:cnfStyle w:evenVBand="true" w:oddVBand="false" w:firstColumn="false"/>
            <w:tcW w:w="33.333333%" w:type="pct"/>
          </w:tcPr>
          <w:p>
            <w:pPr>
              <w:ind w:leftChars="0" w:left="0" w:right="0"/>
            </w:pPr>
            <w:r>
              <w:t>VOLA</w:t>
            </w:r>
          </w:p>
        </w:tc>
        <w:tc>
          <w:tcPr>
            <w:cnfStyle w:evenVBand="false" w:oddVBand="true" w:firstColumn="false"/>
            <w:tcW w:w="33.333333%" w:type="pct"/>
          </w:tcPr>
          <w:p>
            <w:pPr>
              <w:ind w:leftChars="0" w:left="0" w:right="0"/>
            </w:pPr>
            <w:r>
              <w:t>TRADITION - VOLATIS</w:t>
            </w:r>
          </w:p>
        </w:tc>
      </w:tr>
      <w:tr>
        <w:trPr>
          <w:cnfStyle w:evenHBand="true" w:oddHBand="false" w:firstRow="false"/>
        </w:trPr>
        <w:tc>
          <w:tcPr>
            <w:cnfStyle w:evenVBand="false" w:oddVBand="true" w:firstColumn="false"/>
            <w:tcW w:w="33.333333%" w:type="pct"/>
          </w:tcPr>
          <w:p>
            <w:pPr>
              <w:ind w:leftChars="0" w:left="0" w:right="0"/>
            </w:pPr>
            <w:r>
              <w:t>VONT</w:t>
            </w:r>
          </w:p>
        </w:tc>
        <w:tc>
          <w:tcPr>
            <w:cnfStyle w:evenVBand="true" w:oddVBand="false" w:firstColumn="false"/>
            <w:tcW w:w="33.333333%" w:type="pct"/>
          </w:tcPr>
          <w:p>
            <w:pPr>
              <w:ind w:leftChars="0" w:left="0" w:right="0"/>
            </w:pPr>
            <w:r>
              <w:t>VONT</w:t>
            </w:r>
          </w:p>
        </w:tc>
        <w:tc>
          <w:tcPr>
            <w:cnfStyle w:evenVBand="false" w:oddVBand="true" w:firstColumn="false"/>
            <w:tcW w:w="33.333333%" w:type="pct"/>
          </w:tcPr>
          <w:p>
            <w:pPr>
              <w:ind w:leftChars="0" w:left="0" w:right="0"/>
            </w:pPr>
            <w:r>
              <w:t>BANK VONTOBEL EUROPE AG - SYSTEMATIC INTERNALISER</w:t>
            </w:r>
          </w:p>
        </w:tc>
      </w:tr>
      <w:tr>
        <w:trPr>
          <w:cnfStyle w:evenHBand="false" w:oddHBand="true" w:firstRow="false"/>
        </w:trPr>
        <w:tc>
          <w:tcPr>
            <w:cnfStyle w:evenVBand="false" w:oddVBand="true" w:firstColumn="false"/>
            <w:tcW w:w="33.333333%" w:type="pct"/>
          </w:tcPr>
          <w:p>
            <w:pPr>
              <w:ind w:leftChars="0" w:left="0" w:right="0"/>
            </w:pPr>
            <w:r>
              <w:t>VPXB</w:t>
            </w:r>
          </w:p>
        </w:tc>
        <w:tc>
          <w:tcPr>
            <w:cnfStyle w:evenVBand="true" w:oddVBand="false" w:firstColumn="false"/>
            <w:tcW w:w="33.333333%" w:type="pct"/>
          </w:tcPr>
          <w:p>
            <w:pPr>
              <w:ind w:leftChars="0" w:left="0" w:right="0"/>
            </w:pPr>
            <w:r>
              <w:t>VPXB</w:t>
            </w:r>
          </w:p>
        </w:tc>
        <w:tc>
          <w:tcPr>
            <w:cnfStyle w:evenVBand="false" w:oddVBand="true" w:firstColumn="false"/>
            <w:tcW w:w="33.333333%" w:type="pct"/>
          </w:tcPr>
          <w:p>
            <w:pPr>
              <w:ind w:leftChars="0" w:left="0" w:right="0"/>
            </w:pPr>
            <w:r>
              <w:t>EURONEXT - VENTES PUBLIQUES BRUSSELS</w:t>
            </w:r>
          </w:p>
        </w:tc>
      </w:tr>
      <w:tr>
        <w:trPr>
          <w:cnfStyle w:evenHBand="true" w:oddHBand="false" w:firstRow="false"/>
        </w:trPr>
        <w:tc>
          <w:tcPr>
            <w:cnfStyle w:evenVBand="false" w:oddVBand="true" w:firstColumn="false"/>
            <w:tcW w:w="33.333333%" w:type="pct"/>
          </w:tcPr>
          <w:p>
            <w:pPr>
              <w:ind w:leftChars="0" w:left="0" w:right="0"/>
            </w:pPr>
            <w:r>
              <w:t>VRXP</w:t>
            </w:r>
          </w:p>
        </w:tc>
        <w:tc>
          <w:tcPr>
            <w:cnfStyle w:evenVBand="true" w:oddVBand="false" w:firstColumn="false"/>
            <w:tcW w:w="33.333333%" w:type="pct"/>
          </w:tcPr>
          <w:p>
            <w:pPr>
              <w:ind w:leftChars="0" w:left="0" w:right="0"/>
            </w:pPr>
            <w:r>
              <w:t>VRXP</w:t>
            </w:r>
          </w:p>
        </w:tc>
        <w:tc>
          <w:tcPr>
            <w:cnfStyle w:evenVBand="false" w:oddVBand="true" w:firstColumn="false"/>
            <w:tcW w:w="33.333333%" w:type="pct"/>
          </w:tcPr>
          <w:p>
            <w:pPr>
              <w:ind w:leftChars="0" w:left="0" w:right="0"/>
            </w:pPr>
            <w:r>
              <w:t>NYSE EURONEXT - COMPARTIMENT DES VALEURS RADIEES PARIS</w:t>
            </w:r>
          </w:p>
        </w:tc>
      </w:tr>
      <w:tr>
        <w:trPr>
          <w:cnfStyle w:evenHBand="false" w:oddHBand="true" w:firstRow="false"/>
        </w:trPr>
        <w:tc>
          <w:tcPr>
            <w:cnfStyle w:evenVBand="false" w:oddVBand="true" w:firstColumn="false"/>
            <w:tcW w:w="33.333333%" w:type="pct"/>
          </w:tcPr>
          <w:p>
            <w:pPr>
              <w:ind w:leftChars="0" w:left="0" w:right="0"/>
            </w:pPr>
            <w:r>
              <w:t>VTBC</w:t>
            </w:r>
          </w:p>
        </w:tc>
        <w:tc>
          <w:tcPr>
            <w:cnfStyle w:evenVBand="true" w:oddVBand="false" w:firstColumn="false"/>
            <w:tcW w:w="33.333333%" w:type="pct"/>
          </w:tcPr>
          <w:p>
            <w:pPr>
              <w:ind w:leftChars="0" w:left="0" w:right="0"/>
            </w:pPr>
            <w:r>
              <w:t>VTBC</w:t>
            </w:r>
          </w:p>
        </w:tc>
        <w:tc>
          <w:tcPr>
            <w:cnfStyle w:evenVBand="false" w:oddVBand="true" w:firstColumn="false"/>
            <w:tcW w:w="33.333333%" w:type="pct"/>
          </w:tcPr>
          <w:p>
            <w:pPr>
              <w:ind w:leftChars="0" w:left="0" w:right="0"/>
            </w:pPr>
            <w:r>
              <w:t>VTB CAPITAL PLC - SYSTEMATIC INTERNALISER</w:t>
            </w:r>
          </w:p>
        </w:tc>
      </w:tr>
      <w:tr>
        <w:trPr>
          <w:cnfStyle w:evenHBand="true" w:oddHBand="false" w:firstRow="false"/>
        </w:trPr>
        <w:tc>
          <w:tcPr>
            <w:cnfStyle w:evenVBand="false" w:oddVBand="true" w:firstColumn="false"/>
            <w:tcW w:w="33.333333%" w:type="pct"/>
          </w:tcPr>
          <w:p>
            <w:pPr>
              <w:ind w:leftChars="0" w:left="0" w:right="0"/>
            </w:pPr>
            <w:r>
              <w:t>VTEX</w:t>
            </w:r>
          </w:p>
        </w:tc>
        <w:tc>
          <w:tcPr>
            <w:cnfStyle w:evenVBand="true" w:oddVBand="false" w:firstColumn="false"/>
            <w:tcW w:w="33.333333%" w:type="pct"/>
          </w:tcPr>
          <w:p>
            <w:pPr>
              <w:ind w:leftChars="0" w:left="0" w:right="0"/>
            </w:pPr>
            <w:r>
              <w:t>VTEX</w:t>
            </w:r>
          </w:p>
        </w:tc>
        <w:tc>
          <w:tcPr>
            <w:cnfStyle w:evenVBand="false" w:oddVBand="true" w:firstColumn="false"/>
            <w:tcW w:w="33.333333%" w:type="pct"/>
          </w:tcPr>
          <w:p>
            <w:pPr>
              <w:ind w:leftChars="0" w:left="0" w:right="0"/>
            </w:pPr>
            <w:r>
              <w:t>VORTEX</w:t>
            </w:r>
          </w:p>
        </w:tc>
      </w:tr>
      <w:tr>
        <w:trPr>
          <w:cnfStyle w:evenHBand="false" w:oddHBand="true" w:firstRow="false"/>
        </w:trPr>
        <w:tc>
          <w:tcPr>
            <w:cnfStyle w:evenVBand="false" w:oddVBand="true" w:firstColumn="false"/>
            <w:tcW w:w="33.333333%" w:type="pct"/>
          </w:tcPr>
          <w:p>
            <w:pPr>
              <w:ind w:leftChars="0" w:left="0" w:right="0"/>
            </w:pPr>
            <w:r>
              <w:t>VTLS</w:t>
            </w:r>
          </w:p>
        </w:tc>
        <w:tc>
          <w:tcPr>
            <w:cnfStyle w:evenVBand="true" w:oddVBand="false" w:firstColumn="false"/>
            <w:tcW w:w="33.333333%" w:type="pct"/>
          </w:tcPr>
          <w:p>
            <w:pPr>
              <w:ind w:leftChars="0" w:left="0" w:right="0"/>
            </w:pPr>
            <w:r>
              <w:t>VTLS</w:t>
            </w:r>
          </w:p>
        </w:tc>
        <w:tc>
          <w:tcPr>
            <w:cnfStyle w:evenVBand="false" w:oddVBand="true" w:firstColumn="false"/>
            <w:tcW w:w="33.333333%" w:type="pct"/>
          </w:tcPr>
          <w:p>
            <w:pPr>
              <w:ind w:leftChars="0" w:left="0" w:right="0"/>
            </w:pPr>
            <w:r>
              <w:t>TRADELINK</w:t>
            </w:r>
          </w:p>
        </w:tc>
      </w:tr>
      <w:tr>
        <w:trPr>
          <w:cnfStyle w:evenHBand="true" w:oddHBand="false" w:firstRow="false"/>
        </w:trPr>
        <w:tc>
          <w:tcPr>
            <w:cnfStyle w:evenVBand="false" w:oddVBand="true" w:firstColumn="false"/>
            <w:tcW w:w="33.333333%" w:type="pct"/>
          </w:tcPr>
          <w:p>
            <w:pPr>
              <w:ind w:leftChars="0" w:left="0" w:right="0"/>
            </w:pPr>
            <w:r>
              <w:t>VTPS</w:t>
            </w:r>
          </w:p>
        </w:tc>
        <w:tc>
          <w:tcPr>
            <w:cnfStyle w:evenVBand="true" w:oddVBand="false" w:firstColumn="false"/>
            <w:tcW w:w="33.333333%" w:type="pct"/>
          </w:tcPr>
          <w:p>
            <w:pPr>
              <w:ind w:leftChars="0" w:left="0" w:right="0"/>
            </w:pPr>
            <w:r>
              <w:t>VTPS</w:t>
            </w:r>
          </w:p>
        </w:tc>
        <w:tc>
          <w:tcPr>
            <w:cnfStyle w:evenVBand="false" w:oddVBand="true" w:firstColumn="false"/>
            <w:tcW w:w="33.333333%" w:type="pct"/>
          </w:tcPr>
          <w:p>
            <w:pPr>
              <w:ind w:leftChars="0" w:left="0" w:right="0"/>
            </w:pPr>
            <w:r>
              <w:t>TRADEPLUS</w:t>
            </w:r>
          </w:p>
        </w:tc>
      </w:tr>
      <w:tr>
        <w:trPr>
          <w:cnfStyle w:evenHBand="false" w:oddHBand="true" w:firstRow="false"/>
        </w:trPr>
        <w:tc>
          <w:tcPr>
            <w:cnfStyle w:evenVBand="false" w:oddVBand="true" w:firstColumn="false"/>
            <w:tcW w:w="33.333333%" w:type="pct"/>
          </w:tcPr>
          <w:p>
            <w:pPr>
              <w:ind w:leftChars="0" w:left="0" w:right="0"/>
            </w:pPr>
            <w:r>
              <w:t>VUSA</w:t>
            </w:r>
          </w:p>
        </w:tc>
        <w:tc>
          <w:tcPr>
            <w:cnfStyle w:evenVBand="true" w:oddVBand="false" w:firstColumn="false"/>
            <w:tcW w:w="33.333333%" w:type="pct"/>
          </w:tcPr>
          <w:p>
            <w:pPr>
              <w:ind w:leftChars="0" w:left="0" w:right="0"/>
            </w:pPr>
            <w:r>
              <w:t>VUSA</w:t>
            </w:r>
          </w:p>
        </w:tc>
        <w:tc>
          <w:tcPr>
            <w:cnfStyle w:evenVBand="false" w:oddVBand="true" w:firstColumn="false"/>
            <w:tcW w:w="33.333333%" w:type="pct"/>
          </w:tcPr>
          <w:p>
            <w:pPr>
              <w:ind w:leftChars="0" w:left="0" w:right="0"/>
            </w:pPr>
            <w:r>
              <w:t>VIRTU AMERICAS LLC</w:t>
            </w:r>
          </w:p>
        </w:tc>
      </w:tr>
      <w:tr>
        <w:trPr>
          <w:cnfStyle w:evenHBand="true" w:oddHBand="false" w:firstRow="false"/>
        </w:trPr>
        <w:tc>
          <w:tcPr>
            <w:cnfStyle w:evenVBand="false" w:oddVBand="true" w:firstColumn="false"/>
            <w:tcW w:w="33.333333%" w:type="pct"/>
          </w:tcPr>
          <w:p>
            <w:pPr>
              <w:ind w:leftChars="0" w:left="0" w:right="0"/>
            </w:pPr>
            <w:r>
              <w:t>VWDA</w:t>
            </w:r>
          </w:p>
        </w:tc>
        <w:tc>
          <w:tcPr>
            <w:cnfStyle w:evenVBand="true" w:oddVBand="false" w:firstColumn="false"/>
            <w:tcW w:w="33.333333%" w:type="pct"/>
          </w:tcPr>
          <w:p>
            <w:pPr>
              <w:ind w:leftChars="0" w:left="0" w:right="0"/>
            </w:pPr>
            <w:r>
              <w:t>VWDA</w:t>
            </w:r>
          </w:p>
        </w:tc>
        <w:tc>
          <w:tcPr>
            <w:cnfStyle w:evenVBand="false" w:oddVBand="true" w:firstColumn="false"/>
            <w:tcW w:w="33.333333%" w:type="pct"/>
          </w:tcPr>
          <w:p>
            <w:pPr>
              <w:ind w:leftChars="0" w:left="0" w:right="0"/>
            </w:pPr>
            <w:r>
              <w:t>VWD - APA SERVICE</w:t>
            </w:r>
          </w:p>
        </w:tc>
      </w:tr>
      <w:tr>
        <w:trPr>
          <w:cnfStyle w:evenHBand="false" w:oddHBand="true" w:firstRow="false"/>
        </w:trPr>
        <w:tc>
          <w:tcPr>
            <w:cnfStyle w:evenVBand="false" w:oddVBand="true" w:firstColumn="false"/>
            <w:tcW w:w="33.333333%" w:type="pct"/>
          </w:tcPr>
          <w:p>
            <w:pPr>
              <w:ind w:leftChars="0" w:left="0" w:right="0"/>
            </w:pPr>
            <w:r>
              <w:t>VWDX</w:t>
            </w:r>
          </w:p>
        </w:tc>
        <w:tc>
          <w:tcPr>
            <w:cnfStyle w:evenVBand="true" w:oddVBand="false" w:firstColumn="false"/>
            <w:tcW w:w="33.333333%" w:type="pct"/>
          </w:tcPr>
          <w:p>
            <w:pPr>
              <w:ind w:leftChars="0" w:left="0" w:right="0"/>
            </w:pPr>
            <w:r>
              <w:t>VWDX</w:t>
            </w:r>
          </w:p>
        </w:tc>
        <w:tc>
          <w:tcPr>
            <w:cnfStyle w:evenVBand="false" w:oddVBand="true" w:firstColumn="false"/>
            <w:tcW w:w="33.333333%" w:type="pct"/>
          </w:tcPr>
          <w:p>
            <w:pPr>
              <w:ind w:leftChars="0" w:left="0" w:right="0"/>
            </w:pPr>
            <w:r>
              <w:t>VWD TRANSACTIONSOLUTIONS AG</w:t>
            </w:r>
          </w:p>
        </w:tc>
      </w:tr>
      <w:tr>
        <w:trPr>
          <w:cnfStyle w:evenHBand="true" w:oddHBand="false" w:firstRow="false"/>
        </w:trPr>
        <w:tc>
          <w:tcPr>
            <w:cnfStyle w:evenVBand="false" w:oddVBand="true" w:firstColumn="false"/>
            <w:tcW w:w="33.333333%" w:type="pct"/>
          </w:tcPr>
          <w:p>
            <w:pPr>
              <w:ind w:leftChars="0" w:left="0" w:right="0"/>
            </w:pPr>
            <w:r>
              <w:t>WABR</w:t>
            </w:r>
          </w:p>
        </w:tc>
        <w:tc>
          <w:tcPr>
            <w:cnfStyle w:evenVBand="true" w:oddVBand="false" w:firstColumn="false"/>
            <w:tcW w:w="33.333333%" w:type="pct"/>
          </w:tcPr>
          <w:p>
            <w:pPr>
              <w:ind w:leftChars="0" w:left="0" w:right="0"/>
            </w:pPr>
            <w:r>
              <w:t>WABR</w:t>
            </w:r>
          </w:p>
        </w:tc>
        <w:tc>
          <w:tcPr>
            <w:cnfStyle w:evenVBand="false" w:oddVBand="true" w:firstColumn="false"/>
            <w:tcW w:w="33.333333%" w:type="pct"/>
          </w:tcPr>
          <w:p>
            <w:pPr>
              <w:ind w:leftChars="0" w:left="0" w:right="0"/>
            </w:pPr>
            <w:r>
              <w:t>WALL STREET ACCESS NYC</w:t>
            </w:r>
          </w:p>
        </w:tc>
      </w:tr>
      <w:tr>
        <w:trPr>
          <w:cnfStyle w:evenHBand="false" w:oddHBand="true" w:firstRow="false"/>
        </w:trPr>
        <w:tc>
          <w:tcPr>
            <w:cnfStyle w:evenVBand="false" w:oddVBand="true" w:firstColumn="false"/>
            <w:tcW w:w="33.333333%" w:type="pct"/>
          </w:tcPr>
          <w:p>
            <w:pPr>
              <w:ind w:leftChars="0" w:left="0" w:right="0"/>
            </w:pPr>
            <w:r>
              <w:t>WBAH</w:t>
            </w:r>
          </w:p>
        </w:tc>
        <w:tc>
          <w:tcPr>
            <w:cnfStyle w:evenVBand="true" w:oddVBand="false" w:firstColumn="false"/>
            <w:tcW w:w="33.333333%" w:type="pct"/>
          </w:tcPr>
          <w:p>
            <w:pPr>
              <w:ind w:leftChars="0" w:left="0" w:right="0"/>
            </w:pPr>
            <w:r>
              <w:t>WBAH</w:t>
            </w:r>
          </w:p>
        </w:tc>
        <w:tc>
          <w:tcPr>
            <w:cnfStyle w:evenVBand="false" w:oddVBand="true" w:firstColumn="false"/>
            <w:tcW w:w="33.333333%" w:type="pct"/>
          </w:tcPr>
          <w:p>
            <w:pPr>
              <w:ind w:leftChars="0" w:left="0" w:right="0"/>
            </w:pPr>
            <w:r>
              <w:t>WIENER BOERSE AG AMTLICHER HANDEL (OFFICIAL MARKET)</w:t>
            </w:r>
          </w:p>
        </w:tc>
      </w:tr>
      <w:tr>
        <w:trPr>
          <w:cnfStyle w:evenHBand="true" w:oddHBand="false" w:firstRow="false"/>
        </w:trPr>
        <w:tc>
          <w:tcPr>
            <w:cnfStyle w:evenVBand="false" w:oddVBand="true" w:firstColumn="false"/>
            <w:tcW w:w="33.333333%" w:type="pct"/>
          </w:tcPr>
          <w:p>
            <w:pPr>
              <w:ind w:leftChars="0" w:left="0" w:right="0"/>
            </w:pPr>
            <w:r>
              <w:t>WBCL</w:t>
            </w:r>
          </w:p>
        </w:tc>
        <w:tc>
          <w:tcPr>
            <w:cnfStyle w:evenVBand="true" w:oddVBand="false" w:firstColumn="false"/>
            <w:tcW w:w="33.333333%" w:type="pct"/>
          </w:tcPr>
          <w:p>
            <w:pPr>
              <w:ind w:leftChars="0" w:left="0" w:right="0"/>
            </w:pPr>
            <w:r>
              <w:t>WBCL</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WBDM</w:t>
            </w:r>
          </w:p>
        </w:tc>
        <w:tc>
          <w:tcPr>
            <w:cnfStyle w:evenVBand="true" w:oddVBand="false" w:firstColumn="false"/>
            <w:tcW w:w="33.333333%" w:type="pct"/>
          </w:tcPr>
          <w:p>
            <w:pPr>
              <w:ind w:leftChars="0" w:left="0" w:right="0"/>
            </w:pPr>
            <w:r>
              <w:t>WBDM</w:t>
            </w:r>
          </w:p>
        </w:tc>
        <w:tc>
          <w:tcPr>
            <w:cnfStyle w:evenVBand="false" w:oddVBand="true" w:firstColumn="false"/>
            <w:tcW w:w="33.333333%" w:type="pct"/>
          </w:tcPr>
          <w:p>
            <w:pPr>
              <w:ind w:leftChars="0" w:left="0" w:right="0"/>
            </w:pPr>
            <w:r>
              <w:t>WIENER BOERSE AG VIENNA MTF (VIENNA MTF)</w:t>
            </w:r>
          </w:p>
        </w:tc>
      </w:tr>
      <w:tr>
        <w:trPr>
          <w:cnfStyle w:evenHBand="true" w:oddHBand="false" w:firstRow="false"/>
        </w:trPr>
        <w:tc>
          <w:tcPr>
            <w:cnfStyle w:evenVBand="false" w:oddVBand="true" w:firstColumn="false"/>
            <w:tcW w:w="33.333333%" w:type="pct"/>
          </w:tcPr>
          <w:p>
            <w:pPr>
              <w:ind w:leftChars="0" w:left="0" w:right="0"/>
            </w:pPr>
            <w:r>
              <w:t>WBGF</w:t>
            </w:r>
          </w:p>
        </w:tc>
        <w:tc>
          <w:tcPr>
            <w:cnfStyle w:evenVBand="true" w:oddVBand="false" w:firstColumn="false"/>
            <w:tcW w:w="33.333333%" w:type="pct"/>
          </w:tcPr>
          <w:p>
            <w:pPr>
              <w:ind w:leftChars="0" w:left="0" w:right="0"/>
            </w:pPr>
            <w:r>
              <w:t>WBGF</w:t>
            </w:r>
          </w:p>
        </w:tc>
        <w:tc>
          <w:tcPr>
            <w:cnfStyle w:evenVBand="false" w:oddVBand="true" w:firstColumn="false"/>
            <w:tcW w:w="33.333333%" w:type="pct"/>
          </w:tcPr>
          <w:p>
            <w:pPr>
              <w:ind w:leftChars="0" w:left="0" w:right="0"/>
            </w:pPr>
            <w:r>
              <w:t>WIENER BOERSE AG GEREGELTER FREIVERKEHR (SECOND REGULATED MARKET)</w:t>
            </w:r>
          </w:p>
        </w:tc>
      </w:tr>
      <w:tr>
        <w:trPr>
          <w:cnfStyle w:evenHBand="false" w:oddHBand="true" w:firstRow="false"/>
        </w:trPr>
        <w:tc>
          <w:tcPr>
            <w:cnfStyle w:evenVBand="false" w:oddVBand="true" w:firstColumn="false"/>
            <w:tcW w:w="33.333333%" w:type="pct"/>
          </w:tcPr>
          <w:p>
            <w:pPr>
              <w:ind w:leftChars="0" w:left="0" w:right="0"/>
            </w:pPr>
            <w:r>
              <w:t>WBKP</w:t>
            </w:r>
          </w:p>
        </w:tc>
        <w:tc>
          <w:tcPr>
            <w:cnfStyle w:evenVBand="true" w:oddVBand="false" w:firstColumn="false"/>
            <w:tcW w:w="33.333333%" w:type="pct"/>
          </w:tcPr>
          <w:p>
            <w:pPr>
              <w:ind w:leftChars="0" w:left="0" w:right="0"/>
            </w:pPr>
            <w:r>
              <w:t>WBKP</w:t>
            </w:r>
          </w:p>
        </w:tc>
        <w:tc>
          <w:tcPr>
            <w:cnfStyle w:evenVBand="false" w:oddVBand="true" w:firstColumn="false"/>
            <w:tcW w:w="33.333333%" w:type="pct"/>
          </w:tcPr>
          <w:p>
            <w:pPr>
              <w:ind w:leftChars="0" w:left="0" w:right="0"/>
            </w:pPr>
            <w:r>
              <w:t>BANK ZACHODNI WBK S.A. - SYSTEMATIC INTERNALISER</w:t>
            </w:r>
          </w:p>
        </w:tc>
      </w:tr>
      <w:tr>
        <w:trPr>
          <w:cnfStyle w:evenHBand="true" w:oddHBand="false" w:firstRow="false"/>
        </w:trPr>
        <w:tc>
          <w:tcPr>
            <w:cnfStyle w:evenVBand="false" w:oddVBand="true" w:firstColumn="false"/>
            <w:tcW w:w="33.333333%" w:type="pct"/>
          </w:tcPr>
          <w:p>
            <w:pPr>
              <w:ind w:leftChars="0" w:left="0" w:right="0"/>
            </w:pPr>
            <w:r>
              <w:t>WBLC</w:t>
            </w:r>
          </w:p>
        </w:tc>
        <w:tc>
          <w:tcPr>
            <w:cnfStyle w:evenVBand="true" w:oddVBand="false" w:firstColumn="false"/>
            <w:tcW w:w="33.333333%" w:type="pct"/>
          </w:tcPr>
          <w:p>
            <w:pPr>
              <w:ind w:leftChars="0" w:left="0" w:right="0"/>
            </w:pPr>
            <w:r>
              <w:t>WBLC</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WBON</w:t>
            </w:r>
          </w:p>
        </w:tc>
        <w:tc>
          <w:tcPr>
            <w:cnfStyle w:evenVBand="true" w:oddVBand="false" w:firstColumn="false"/>
            <w:tcW w:w="33.333333%" w:type="pct"/>
          </w:tcPr>
          <w:p>
            <w:pPr>
              <w:ind w:leftChars="0" w:left="0" w:right="0"/>
            </w:pPr>
            <w:r>
              <w:t>WBON</w:t>
            </w:r>
          </w:p>
        </w:tc>
        <w:tc>
          <w:tcPr>
            <w:cnfStyle w:evenVBand="false" w:oddVBand="true" w:firstColumn="false"/>
            <w:tcW w:w="33.333333%" w:type="pct"/>
          </w:tcPr>
          <w:p>
            <w:pPr>
              <w:ind w:leftChars="0" w:left="0" w:right="0"/>
            </w:pPr>
            <w:r>
              <w:t>WARSAW STOCK EXCHANGE/ BONDS/CATALYST/MAIN MARKET</w:t>
            </w:r>
          </w:p>
        </w:tc>
      </w:tr>
      <w:tr>
        <w:trPr>
          <w:cnfStyle w:evenHBand="true" w:oddHBand="false" w:firstRow="false"/>
        </w:trPr>
        <w:tc>
          <w:tcPr>
            <w:cnfStyle w:evenVBand="false" w:oddVBand="true" w:firstColumn="false"/>
            <w:tcW w:w="33.333333%" w:type="pct"/>
          </w:tcPr>
          <w:p>
            <w:pPr>
              <w:ind w:leftChars="0" w:left="0" w:right="0"/>
            </w:pPr>
            <w:r>
              <w:t>WCDE</w:t>
            </w:r>
          </w:p>
        </w:tc>
        <w:tc>
          <w:tcPr>
            <w:cnfStyle w:evenVBand="true" w:oddVBand="false" w:firstColumn="false"/>
            <w:tcW w:w="33.333333%" w:type="pct"/>
          </w:tcPr>
          <w:p>
            <w:pPr>
              <w:ind w:leftChars="0" w:left="0" w:right="0"/>
            </w:pPr>
            <w:r>
              <w:t>WCDE</w:t>
            </w:r>
          </w:p>
        </w:tc>
        <w:tc>
          <w:tcPr>
            <w:cnfStyle w:evenVBand="false" w:oddVBand="true" w:firstColumn="false"/>
            <w:tcW w:w="33.333333%" w:type="pct"/>
          </w:tcPr>
          <w:p>
            <w:pPr>
              <w:ind w:leftChars="0" w:left="0" w:right="0"/>
            </w:pPr>
            <w:r>
              <w:t>WARSAW STOCK EXCHANGE/COMMODITY DERIVATIVES</w:t>
            </w:r>
          </w:p>
        </w:tc>
      </w:tr>
      <w:tr>
        <w:trPr>
          <w:cnfStyle w:evenHBand="false" w:oddHBand="true" w:firstRow="false"/>
        </w:trPr>
        <w:tc>
          <w:tcPr>
            <w:cnfStyle w:evenVBand="false" w:oddVBand="true" w:firstColumn="false"/>
            <w:tcW w:w="33.333333%" w:type="pct"/>
          </w:tcPr>
          <w:p>
            <w:pPr>
              <w:ind w:leftChars="0" w:left="0" w:right="0"/>
            </w:pPr>
            <w:r>
              <w:t>WCLK</w:t>
            </w:r>
          </w:p>
        </w:tc>
        <w:tc>
          <w:tcPr>
            <w:cnfStyle w:evenVBand="true" w:oddVBand="false" w:firstColumn="false"/>
            <w:tcW w:w="33.333333%" w:type="pct"/>
          </w:tcPr>
          <w:p>
            <w:pPr>
              <w:ind w:leftChars="0" w:left="0" w:right="0"/>
            </w:pPr>
            <w:r>
              <w:t>WCLK</w:t>
            </w:r>
          </w:p>
        </w:tc>
        <w:tc>
          <w:tcPr>
            <w:cnfStyle w:evenVBand="false" w:oddVBand="true" w:firstColumn="false"/>
            <w:tcW w:w="33.333333%" w:type="pct"/>
          </w:tcPr>
          <w:p>
            <w:pPr>
              <w:ind w:leftChars="0" w:left="0" w:right="0"/>
            </w:pPr>
            <w:r>
              <w:t>ICAP WCLK</w:t>
            </w:r>
          </w:p>
        </w:tc>
      </w:tr>
      <w:tr>
        <w:trPr>
          <w:cnfStyle w:evenHBand="true" w:oddHBand="false" w:firstRow="false"/>
        </w:trPr>
        <w:tc>
          <w:tcPr>
            <w:cnfStyle w:evenVBand="false" w:oddVBand="true" w:firstColumn="false"/>
            <w:tcW w:w="33.333333%" w:type="pct"/>
          </w:tcPr>
          <w:p>
            <w:pPr>
              <w:ind w:leftChars="0" w:left="0" w:right="0"/>
            </w:pPr>
            <w:r>
              <w:t>WDER</w:t>
            </w:r>
          </w:p>
        </w:tc>
        <w:tc>
          <w:tcPr>
            <w:cnfStyle w:evenVBand="true" w:oddVBand="false" w:firstColumn="false"/>
            <w:tcW w:w="33.333333%" w:type="pct"/>
          </w:tcPr>
          <w:p>
            <w:pPr>
              <w:ind w:leftChars="0" w:left="0" w:right="0"/>
            </w:pPr>
            <w:r>
              <w:t>WDER</w:t>
            </w:r>
          </w:p>
        </w:tc>
        <w:tc>
          <w:tcPr>
            <w:cnfStyle w:evenVBand="false" w:oddVBand="true" w:firstColumn="false"/>
            <w:tcW w:w="33.333333%" w:type="pct"/>
          </w:tcPr>
          <w:p>
            <w:pPr>
              <w:ind w:leftChars="0" w:left="0" w:right="0"/>
            </w:pPr>
            <w:r>
              <w:t>WARSAW STOCK EXCHANGE/FINANCIAL DERIVATIVES</w:t>
            </w:r>
          </w:p>
        </w:tc>
      </w:tr>
      <w:tr>
        <w:trPr>
          <w:cnfStyle w:evenHBand="false" w:oddHBand="true" w:firstRow="false"/>
        </w:trPr>
        <w:tc>
          <w:tcPr>
            <w:cnfStyle w:evenVBand="false" w:oddVBand="true" w:firstColumn="false"/>
            <w:tcW w:w="33.333333%" w:type="pct"/>
          </w:tcPr>
          <w:p>
            <w:pPr>
              <w:ind w:leftChars="0" w:left="0" w:right="0"/>
            </w:pPr>
            <w:r>
              <w:t>WEED</w:t>
            </w:r>
          </w:p>
        </w:tc>
        <w:tc>
          <w:tcPr>
            <w:cnfStyle w:evenVBand="true" w:oddVBand="false" w:firstColumn="false"/>
            <w:tcW w:w="33.333333%" w:type="pct"/>
          </w:tcPr>
          <w:p>
            <w:pPr>
              <w:ind w:leftChars="0" w:left="0" w:right="0"/>
            </w:pPr>
            <w:r>
              <w:t>WEED</w:t>
            </w:r>
          </w:p>
        </w:tc>
        <w:tc>
          <w:tcPr>
            <w:cnfStyle w:evenVBand="false" w:oddVBand="true" w:firstColumn="false"/>
            <w:tcW w:w="33.333333%" w:type="pct"/>
          </w:tcPr>
          <w:p>
            <w:pPr>
              <w:ind w:leftChars="0" w:left="0" w:right="0"/>
            </w:pPr>
            <w:r>
              <w:t>WEEDEN AND CO MARKETS</w:t>
            </w:r>
          </w:p>
        </w:tc>
      </w:tr>
      <w:tr>
        <w:trPr>
          <w:cnfStyle w:evenHBand="true" w:oddHBand="false" w:firstRow="false"/>
        </w:trPr>
        <w:tc>
          <w:tcPr>
            <w:cnfStyle w:evenVBand="false" w:oddVBand="true" w:firstColumn="false"/>
            <w:tcW w:w="33.333333%" w:type="pct"/>
          </w:tcPr>
          <w:p>
            <w:pPr>
              <w:ind w:leftChars="0" w:left="0" w:right="0"/>
            </w:pPr>
            <w:r>
              <w:t>WELN</w:t>
            </w:r>
          </w:p>
        </w:tc>
        <w:tc>
          <w:tcPr>
            <w:cnfStyle w:evenVBand="true" w:oddVBand="false" w:firstColumn="false"/>
            <w:tcW w:w="33.333333%" w:type="pct"/>
          </w:tcPr>
          <w:p>
            <w:pPr>
              <w:ind w:leftChars="0" w:left="0" w:right="0"/>
            </w:pPr>
            <w:r>
              <w:t>WELN</w:t>
            </w:r>
          </w:p>
        </w:tc>
        <w:tc>
          <w:tcPr>
            <w:cnfStyle w:evenVBand="false" w:oddVBand="true" w:firstColumn="false"/>
            <w:tcW w:w="33.333333%" w:type="pct"/>
          </w:tcPr>
          <w:p>
            <w:pPr>
              <w:ind w:leftChars="0" w:left="0" w:right="0"/>
            </w:pPr>
            <w:r>
              <w:t>WEL - SYSTEMATIC INTERNALISER</w:t>
            </w:r>
          </w:p>
        </w:tc>
      </w:tr>
      <w:tr>
        <w:trPr>
          <w:cnfStyle w:evenHBand="false" w:oddHBand="true" w:firstRow="false"/>
        </w:trPr>
        <w:tc>
          <w:tcPr>
            <w:cnfStyle w:evenVBand="false" w:oddVBand="true" w:firstColumn="false"/>
            <w:tcW w:w="33.333333%" w:type="pct"/>
          </w:tcPr>
          <w:p>
            <w:pPr>
              <w:ind w:leftChars="0" w:left="0" w:right="0"/>
            </w:pPr>
            <w:r>
              <w:t>WELS</w:t>
            </w:r>
          </w:p>
        </w:tc>
        <w:tc>
          <w:tcPr>
            <w:cnfStyle w:evenVBand="true" w:oddVBand="false" w:firstColumn="false"/>
            <w:tcW w:w="33.333333%" w:type="pct"/>
          </w:tcPr>
          <w:p>
            <w:pPr>
              <w:ind w:leftChars="0" w:left="0" w:right="0"/>
            </w:pPr>
            <w:r>
              <w:t>WELS</w:t>
            </w:r>
          </w:p>
        </w:tc>
        <w:tc>
          <w:tcPr>
            <w:cnfStyle w:evenVBand="false" w:oddVBand="true" w:firstColumn="false"/>
            <w:tcW w:w="33.333333%" w:type="pct"/>
          </w:tcPr>
          <w:p>
            <w:pPr>
              <w:ind w:leftChars="0" w:left="0" w:right="0"/>
            </w:pPr>
            <w:r>
              <w:t>WELLS FARGO SECURITIES, LLC - CASH EQUITIES</w:t>
            </w:r>
          </w:p>
        </w:tc>
      </w:tr>
      <w:tr>
        <w:trPr>
          <w:cnfStyle w:evenHBand="true" w:oddHBand="false" w:firstRow="false"/>
        </w:trPr>
        <w:tc>
          <w:tcPr>
            <w:cnfStyle w:evenVBand="false" w:oddVBand="true" w:firstColumn="false"/>
            <w:tcW w:w="33.333333%" w:type="pct"/>
          </w:tcPr>
          <w:p>
            <w:pPr>
              <w:ind w:leftChars="0" w:left="0" w:right="0"/>
            </w:pPr>
            <w:r>
              <w:t>WELX</w:t>
            </w:r>
          </w:p>
        </w:tc>
        <w:tc>
          <w:tcPr>
            <w:cnfStyle w:evenVBand="true" w:oddVBand="false" w:firstColumn="false"/>
            <w:tcW w:w="33.333333%" w:type="pct"/>
          </w:tcPr>
          <w:p>
            <w:pPr>
              <w:ind w:leftChars="0" w:left="0" w:right="0"/>
            </w:pPr>
            <w:r>
              <w:t>WELX</w:t>
            </w:r>
          </w:p>
        </w:tc>
        <w:tc>
          <w:tcPr>
            <w:cnfStyle w:evenVBand="false" w:oddVBand="true" w:firstColumn="false"/>
            <w:tcW w:w="33.333333%" w:type="pct"/>
          </w:tcPr>
          <w:p>
            <w:pPr>
              <w:ind w:leftChars="0" w:left="0" w:right="0"/>
            </w:pPr>
            <w:r>
              <w:t>WELLS FARGO LIQUIDITY CROSS ATS</w:t>
            </w:r>
          </w:p>
        </w:tc>
      </w:tr>
      <w:tr>
        <w:trPr>
          <w:cnfStyle w:evenHBand="false" w:oddHBand="true" w:firstRow="false"/>
        </w:trPr>
        <w:tc>
          <w:tcPr>
            <w:cnfStyle w:evenVBand="false" w:oddVBand="true" w:firstColumn="false"/>
            <w:tcW w:w="33.333333%" w:type="pct"/>
          </w:tcPr>
          <w:p>
            <w:pPr>
              <w:ind w:leftChars="0" w:left="0" w:right="0"/>
            </w:pPr>
            <w:r>
              <w:t>WETP</w:t>
            </w:r>
          </w:p>
        </w:tc>
        <w:tc>
          <w:tcPr>
            <w:cnfStyle w:evenVBand="true" w:oddVBand="false" w:firstColumn="false"/>
            <w:tcW w:w="33.333333%" w:type="pct"/>
          </w:tcPr>
          <w:p>
            <w:pPr>
              <w:ind w:leftChars="0" w:left="0" w:right="0"/>
            </w:pPr>
            <w:r>
              <w:t>WETP</w:t>
            </w:r>
          </w:p>
        </w:tc>
        <w:tc>
          <w:tcPr>
            <w:cnfStyle w:evenVBand="false" w:oddVBand="true" w:firstColumn="false"/>
            <w:tcW w:w="33.333333%" w:type="pct"/>
          </w:tcPr>
          <w:p>
            <w:pPr>
              <w:ind w:leftChars="0" w:left="0" w:right="0"/>
            </w:pPr>
            <w:r>
              <w:t>WARSAW STOCK EXCHANGE/ ETPS</w:t>
            </w:r>
          </w:p>
        </w:tc>
      </w:tr>
      <w:tr>
        <w:trPr>
          <w:cnfStyle w:evenHBand="true" w:oddHBand="false" w:firstRow="false"/>
        </w:trPr>
        <w:tc>
          <w:tcPr>
            <w:cnfStyle w:evenVBand="false" w:oddVBand="true" w:firstColumn="false"/>
            <w:tcW w:w="33.333333%" w:type="pct"/>
          </w:tcPr>
          <w:p>
            <w:pPr>
              <w:ind w:leftChars="0" w:left="0" w:right="0"/>
            </w:pPr>
            <w:r>
              <w:t>WFLB</w:t>
            </w:r>
          </w:p>
        </w:tc>
        <w:tc>
          <w:tcPr>
            <w:cnfStyle w:evenVBand="true" w:oddVBand="false" w:firstColumn="false"/>
            <w:tcW w:w="33.333333%" w:type="pct"/>
          </w:tcPr>
          <w:p>
            <w:pPr>
              <w:ind w:leftChars="0" w:left="0" w:right="0"/>
            </w:pPr>
            <w:r>
              <w:t>WFLB</w:t>
            </w:r>
          </w:p>
        </w:tc>
        <w:tc>
          <w:tcPr>
            <w:cnfStyle w:evenVBand="false" w:oddVBand="true" w:firstColumn="false"/>
            <w:tcW w:w="33.333333%" w:type="pct"/>
          </w:tcPr>
          <w:p>
            <w:pPr>
              <w:ind w:leftChars="0" w:left="0" w:right="0"/>
            </w:pPr>
            <w:r>
              <w:t>WELLS FARGO BANK NA - LONDON BRANCH - SYSTEMATIC INTERNALISER</w:t>
            </w:r>
          </w:p>
        </w:tc>
      </w:tr>
      <w:tr>
        <w:trPr>
          <w:cnfStyle w:evenHBand="false" w:oddHBand="true" w:firstRow="false"/>
        </w:trPr>
        <w:tc>
          <w:tcPr>
            <w:cnfStyle w:evenVBand="false" w:oddVBand="true" w:firstColumn="false"/>
            <w:tcW w:w="33.333333%" w:type="pct"/>
          </w:tcPr>
          <w:p>
            <w:pPr>
              <w:ind w:leftChars="0" w:left="0" w:right="0"/>
            </w:pPr>
            <w:r>
              <w:t>WFSE</w:t>
            </w:r>
          </w:p>
        </w:tc>
        <w:tc>
          <w:tcPr>
            <w:cnfStyle w:evenVBand="true" w:oddVBand="false" w:firstColumn="false"/>
            <w:tcW w:w="33.333333%" w:type="pct"/>
          </w:tcPr>
          <w:p>
            <w:pPr>
              <w:ind w:leftChars="0" w:left="0" w:right="0"/>
            </w:pPr>
            <w:r>
              <w:t>WFSE</w:t>
            </w:r>
          </w:p>
        </w:tc>
        <w:tc>
          <w:tcPr>
            <w:cnfStyle w:evenVBand="false" w:oddVBand="true" w:firstColumn="false"/>
            <w:tcW w:w="33.333333%" w:type="pct"/>
          </w:tcPr>
          <w:p>
            <w:pPr>
              <w:ind w:leftChars="0" w:left="0" w:right="0"/>
            </w:pPr>
            <w:r>
              <w:t>WELLS FARGO SECURITIES EUROPE, S.A.</w:t>
            </w:r>
          </w:p>
        </w:tc>
      </w:tr>
      <w:tr>
        <w:trPr>
          <w:cnfStyle w:evenHBand="true" w:oddHBand="false" w:firstRow="false"/>
        </w:trPr>
        <w:tc>
          <w:tcPr>
            <w:cnfStyle w:evenVBand="false" w:oddVBand="true" w:firstColumn="false"/>
            <w:tcW w:w="33.333333%" w:type="pct"/>
          </w:tcPr>
          <w:p>
            <w:pPr>
              <w:ind w:leftChars="0" w:left="0" w:right="0"/>
            </w:pPr>
            <w:r>
              <w:t>WGAS</w:t>
            </w:r>
          </w:p>
        </w:tc>
        <w:tc>
          <w:tcPr>
            <w:cnfStyle w:evenVBand="true" w:oddVBand="false" w:firstColumn="false"/>
            <w:tcW w:w="33.333333%" w:type="pct"/>
          </w:tcPr>
          <w:p>
            <w:pPr>
              <w:ind w:leftChars="0" w:left="0" w:right="0"/>
            </w:pPr>
            <w:r>
              <w:t>WGAS</w:t>
            </w:r>
          </w:p>
        </w:tc>
        <w:tc>
          <w:tcPr>
            <w:cnfStyle w:evenVBand="false" w:oddVBand="true" w:firstColumn="false"/>
            <w:tcW w:w="33.333333%" w:type="pct"/>
          </w:tcPr>
          <w:p>
            <w:pPr>
              <w:ind w:leftChars="0" w:left="0" w:right="0"/>
            </w:pPr>
            <w:r>
              <w:t>WARSAW STOCK EXCHANGE/COMMODITIES/POLISH POWER EXCHANGE/GAS</w:t>
            </w:r>
          </w:p>
        </w:tc>
      </w:tr>
      <w:tr>
        <w:trPr>
          <w:cnfStyle w:evenHBand="false" w:oddHBand="true" w:firstRow="false"/>
        </w:trPr>
        <w:tc>
          <w:tcPr>
            <w:cnfStyle w:evenVBand="false" w:oddVBand="true" w:firstColumn="false"/>
            <w:tcW w:w="33.333333%" w:type="pct"/>
          </w:tcPr>
          <w:p>
            <w:pPr>
              <w:ind w:leftChars="0" w:left="0" w:right="0"/>
            </w:pPr>
            <w:r>
              <w:t>WIND</w:t>
            </w:r>
          </w:p>
        </w:tc>
        <w:tc>
          <w:tcPr>
            <w:cnfStyle w:evenVBand="true" w:oddVBand="false" w:firstColumn="false"/>
            <w:tcW w:w="33.333333%" w:type="pct"/>
          </w:tcPr>
          <w:p>
            <w:pPr>
              <w:ind w:leftChars="0" w:left="0" w:right="0"/>
            </w:pPr>
            <w:r>
              <w:t>WIND</w:t>
            </w:r>
          </w:p>
        </w:tc>
        <w:tc>
          <w:tcPr>
            <w:cnfStyle w:evenVBand="false" w:oddVBand="true" w:firstColumn="false"/>
            <w:tcW w:w="33.333333%" w:type="pct"/>
          </w:tcPr>
          <w:p>
            <w:pPr>
              <w:ind w:leftChars="0" w:left="0" w:right="0"/>
            </w:pPr>
            <w:r>
              <w:t>WARSAW STOCK EXCHANGE/INDICES</w:t>
            </w:r>
          </w:p>
        </w:tc>
      </w:tr>
      <w:tr>
        <w:trPr>
          <w:cnfStyle w:evenHBand="true" w:oddHBand="false" w:firstRow="false"/>
        </w:trPr>
        <w:tc>
          <w:tcPr>
            <w:cnfStyle w:evenVBand="false" w:oddVBand="true" w:firstColumn="false"/>
            <w:tcW w:w="33.333333%" w:type="pct"/>
          </w:tcPr>
          <w:p>
            <w:pPr>
              <w:ind w:leftChars="0" w:left="0" w:right="0"/>
            </w:pPr>
            <w:r>
              <w:t>WINS</w:t>
            </w:r>
          </w:p>
        </w:tc>
        <w:tc>
          <w:tcPr>
            <w:cnfStyle w:evenVBand="true" w:oddVBand="false" w:firstColumn="false"/>
            <w:tcW w:w="33.333333%" w:type="pct"/>
          </w:tcPr>
          <w:p>
            <w:pPr>
              <w:ind w:leftChars="0" w:left="0" w:right="0"/>
            </w:pPr>
            <w:r>
              <w:t>WINS</w:t>
            </w:r>
          </w:p>
        </w:tc>
        <w:tc>
          <w:tcPr>
            <w:cnfStyle w:evenVBand="false" w:oddVBand="true" w:firstColumn="false"/>
            <w:tcW w:w="33.333333%" w:type="pct"/>
          </w:tcPr>
          <w:p>
            <w:pPr>
              <w:ind w:leftChars="0" w:left="0" w:right="0"/>
            </w:pPr>
            <w:r>
              <w:t>WINTERFLOOD SECURITIES LIMITED - ELECTRONIC PLATFORM</w:t>
            </w:r>
          </w:p>
        </w:tc>
      </w:tr>
      <w:tr>
        <w:trPr>
          <w:cnfStyle w:evenHBand="false" w:oddHBand="true" w:firstRow="false"/>
        </w:trPr>
        <w:tc>
          <w:tcPr>
            <w:cnfStyle w:evenVBand="false" w:oddVBand="true" w:firstColumn="false"/>
            <w:tcW w:w="33.333333%" w:type="pct"/>
          </w:tcPr>
          <w:p>
            <w:pPr>
              <w:ind w:leftChars="0" w:left="0" w:right="0"/>
            </w:pPr>
            <w:r>
              <w:t>WINX</w:t>
            </w:r>
          </w:p>
        </w:tc>
        <w:tc>
          <w:tcPr>
            <w:cnfStyle w:evenVBand="true" w:oddVBand="false" w:firstColumn="false"/>
            <w:tcW w:w="33.333333%" w:type="pct"/>
          </w:tcPr>
          <w:p>
            <w:pPr>
              <w:ind w:leftChars="0" w:left="0" w:right="0"/>
            </w:pPr>
            <w:r>
              <w:t>WINX</w:t>
            </w:r>
          </w:p>
        </w:tc>
        <w:tc>
          <w:tcPr>
            <w:cnfStyle w:evenVBand="false" w:oddVBand="true" w:firstColumn="false"/>
            <w:tcW w:w="33.333333%" w:type="pct"/>
          </w:tcPr>
          <w:p>
            <w:pPr>
              <w:ind w:leftChars="0" w:left="0" w:right="0"/>
            </w:pPr>
            <w:r>
              <w:t>WINTERFLOOD SECURITIES LIMITED - MANUAL TRADING</w:t>
            </w:r>
          </w:p>
        </w:tc>
      </w:tr>
      <w:tr>
        <w:trPr>
          <w:cnfStyle w:evenHBand="true" w:oddHBand="false" w:firstRow="false"/>
        </w:trPr>
        <w:tc>
          <w:tcPr>
            <w:cnfStyle w:evenVBand="false" w:oddVBand="true" w:firstColumn="false"/>
            <w:tcW w:w="33.333333%" w:type="pct"/>
          </w:tcPr>
          <w:p>
            <w:pPr>
              <w:ind w:leftChars="0" w:left="0" w:right="0"/>
            </w:pPr>
            <w:r>
              <w:t>WIPO</w:t>
            </w:r>
          </w:p>
        </w:tc>
        <w:tc>
          <w:tcPr>
            <w:cnfStyle w:evenVBand="true" w:oddVBand="false" w:firstColumn="false"/>
            <w:tcW w:w="33.333333%" w:type="pct"/>
          </w:tcPr>
          <w:p>
            <w:pPr>
              <w:ind w:leftChars="0" w:left="0" w:right="0"/>
            </w:pPr>
            <w:r>
              <w:t>WIPO</w:t>
            </w:r>
          </w:p>
        </w:tc>
        <w:tc>
          <w:tcPr>
            <w:cnfStyle w:evenVBand="false" w:oddVBand="true" w:firstColumn="false"/>
            <w:tcW w:w="33.333333%" w:type="pct"/>
          </w:tcPr>
          <w:p>
            <w:pPr>
              <w:ind w:leftChars="0" w:left="0" w:right="0"/>
            </w:pPr>
            <w:r>
              <w:t>WARSAW STOCK EXCHANGE - OTHER THAN XOFF OR XXXX</w:t>
            </w:r>
          </w:p>
        </w:tc>
      </w:tr>
      <w:tr>
        <w:trPr>
          <w:cnfStyle w:evenHBand="false" w:oddHBand="true" w:firstRow="false"/>
        </w:trPr>
        <w:tc>
          <w:tcPr>
            <w:cnfStyle w:evenVBand="false" w:oddVBand="true" w:firstColumn="false"/>
            <w:tcW w:w="33.333333%" w:type="pct"/>
          </w:tcPr>
          <w:p>
            <w:pPr>
              <w:ind w:leftChars="0" w:left="0" w:right="0"/>
            </w:pPr>
            <w:r>
              <w:t>WMTF</w:t>
            </w:r>
          </w:p>
        </w:tc>
        <w:tc>
          <w:tcPr>
            <w:cnfStyle w:evenVBand="true" w:oddVBand="false" w:firstColumn="false"/>
            <w:tcW w:w="33.333333%" w:type="pct"/>
          </w:tcPr>
          <w:p>
            <w:pPr>
              <w:ind w:leftChars="0" w:left="0" w:right="0"/>
            </w:pPr>
            <w:r>
              <w:t>WMTF</w:t>
            </w:r>
          </w:p>
        </w:tc>
        <w:tc>
          <w:tcPr>
            <w:cnfStyle w:evenVBand="false" w:oddVBand="true" w:firstColumn="false"/>
            <w:tcW w:w="33.333333%" w:type="pct"/>
          </w:tcPr>
          <w:p>
            <w:pPr>
              <w:ind w:leftChars="0" w:left="0" w:right="0"/>
            </w:pPr>
            <w:r>
              <w:t>WARSAW STOCK EXCHANGE/BONDS/CATALYST/MTF</w:t>
            </w:r>
          </w:p>
        </w:tc>
      </w:tr>
      <w:tr>
        <w:trPr>
          <w:cnfStyle w:evenHBand="true" w:oddHBand="false" w:firstRow="false"/>
        </w:trPr>
        <w:tc>
          <w:tcPr>
            <w:cnfStyle w:evenVBand="false" w:oddVBand="true" w:firstColumn="false"/>
            <w:tcW w:w="33.333333%" w:type="pct"/>
          </w:tcPr>
          <w:p>
            <w:pPr>
              <w:ind w:leftChars="0" w:left="0" w:right="0"/>
            </w:pPr>
            <w:r>
              <w:t>WOOD</w:t>
            </w:r>
          </w:p>
        </w:tc>
        <w:tc>
          <w:tcPr>
            <w:cnfStyle w:evenVBand="true" w:oddVBand="false" w:firstColumn="false"/>
            <w:tcW w:w="33.333333%" w:type="pct"/>
          </w:tcPr>
          <w:p>
            <w:pPr>
              <w:ind w:leftChars="0" w:left="0" w:right="0"/>
            </w:pPr>
            <w:r>
              <w:t>WOOD</w:t>
            </w:r>
          </w:p>
        </w:tc>
        <w:tc>
          <w:tcPr>
            <w:cnfStyle w:evenVBand="false" w:oddVBand="true" w:firstColumn="false"/>
            <w:tcW w:w="33.333333%" w:type="pct"/>
          </w:tcPr>
          <w:p>
            <w:pPr>
              <w:ind w:leftChars="0" w:left="0" w:right="0"/>
            </w:pPr>
            <w:r>
              <w:t>WOOD &amp; COMPANY FINANCIAL SERVICES, A.S. - SYSTEMATIC INTERNALISER</w:t>
            </w:r>
          </w:p>
        </w:tc>
      </w:tr>
      <w:tr>
        <w:trPr>
          <w:cnfStyle w:evenHBand="false" w:oddHBand="true" w:firstRow="false"/>
        </w:trPr>
        <w:tc>
          <w:tcPr>
            <w:cnfStyle w:evenVBand="false" w:oddVBand="true" w:firstColumn="false"/>
            <w:tcW w:w="33.333333%" w:type="pct"/>
          </w:tcPr>
          <w:p>
            <w:pPr>
              <w:ind w:leftChars="0" w:left="0" w:right="0"/>
            </w:pPr>
            <w:r>
              <w:t>WOPO</w:t>
            </w:r>
          </w:p>
        </w:tc>
        <w:tc>
          <w:tcPr>
            <w:cnfStyle w:evenVBand="true" w:oddVBand="false" w:firstColumn="false"/>
            <w:tcW w:w="33.333333%" w:type="pct"/>
          </w:tcPr>
          <w:p>
            <w:pPr>
              <w:ind w:leftChars="0" w:left="0" w:right="0"/>
            </w:pPr>
            <w:r>
              <w:t>WOPO</w:t>
            </w:r>
          </w:p>
        </w:tc>
        <w:tc>
          <w:tcPr>
            <w:cnfStyle w:evenVBand="false" w:oddVBand="true" w:firstColumn="false"/>
            <w:tcW w:w="33.333333%" w:type="pct"/>
          </w:tcPr>
          <w:p>
            <w:pPr>
              <w:ind w:leftChars="0" w:left="0" w:right="0"/>
            </w:pPr>
            <w:r>
              <w:t>WARSAW STOCK EXCHANGE - SPO BOOK BUILDING</w:t>
            </w:r>
          </w:p>
        </w:tc>
      </w:tr>
      <w:tr>
        <w:trPr>
          <w:cnfStyle w:evenHBand="true" w:oddHBand="false" w:firstRow="false"/>
        </w:trPr>
        <w:tc>
          <w:tcPr>
            <w:cnfStyle w:evenVBand="false" w:oddVBand="true" w:firstColumn="false"/>
            <w:tcW w:w="33.333333%" w:type="pct"/>
          </w:tcPr>
          <w:p>
            <w:pPr>
              <w:ind w:leftChars="0" w:left="0" w:right="0"/>
            </w:pPr>
            <w:r>
              <w:t>WQXL</w:t>
            </w:r>
          </w:p>
        </w:tc>
        <w:tc>
          <w:tcPr>
            <w:cnfStyle w:evenVBand="true" w:oddVBand="false" w:firstColumn="false"/>
            <w:tcW w:w="33.333333%" w:type="pct"/>
          </w:tcPr>
          <w:p>
            <w:pPr>
              <w:ind w:leftChars="0" w:left="0" w:right="0"/>
            </w:pPr>
            <w:r>
              <w:t>WQXL</w:t>
            </w:r>
          </w:p>
        </w:tc>
        <w:tc>
          <w:tcPr>
            <w:cnfStyle w:evenVBand="false" w:oddVBand="true" w:firstColumn="false"/>
            <w:tcW w:w="33.333333%" w:type="pct"/>
          </w:tcPr>
          <w:p>
            <w:pPr>
              <w:ind w:leftChars="0" w:left="0" w:right="0"/>
            </w:pPr>
            <w:r>
              <w:t>EURONEXT - MARKET WITHOUT QUOTATIONS LISBON</w:t>
            </w:r>
          </w:p>
        </w:tc>
      </w:tr>
      <w:tr>
        <w:trPr>
          <w:cnfStyle w:evenHBand="false" w:oddHBand="true" w:firstRow="false"/>
        </w:trPr>
        <w:tc>
          <w:tcPr>
            <w:cnfStyle w:evenVBand="false" w:oddVBand="true" w:firstColumn="false"/>
            <w:tcW w:w="33.333333%" w:type="pct"/>
          </w:tcPr>
          <w:p>
            <w:pPr>
              <w:ind w:leftChars="0" w:left="0" w:right="0"/>
            </w:pPr>
            <w:r>
              <w:t>WSAG</w:t>
            </w:r>
          </w:p>
        </w:tc>
        <w:tc>
          <w:tcPr>
            <w:cnfStyle w:evenVBand="true" w:oddVBand="false" w:firstColumn="false"/>
            <w:tcW w:w="33.333333%" w:type="pct"/>
          </w:tcPr>
          <w:p>
            <w:pPr>
              <w:ind w:leftChars="0" w:left="0" w:right="0"/>
            </w:pPr>
            <w:r>
              <w:t>WSAG</w:t>
            </w:r>
          </w:p>
        </w:tc>
        <w:tc>
          <w:tcPr>
            <w:cnfStyle w:evenVBand="false" w:oddVBand="true" w:firstColumn="false"/>
            <w:tcW w:w="33.333333%" w:type="pct"/>
          </w:tcPr>
          <w:p>
            <w:pPr>
              <w:ind w:leftChars="0" w:left="0" w:right="0"/>
            </w:pPr>
            <w:r>
              <w:t>WALL STREET ACCESS</w:t>
            </w:r>
          </w:p>
        </w:tc>
      </w:tr>
      <w:tr>
        <w:trPr>
          <w:cnfStyle w:evenHBand="true" w:oddHBand="false" w:firstRow="false"/>
        </w:trPr>
        <w:tc>
          <w:tcPr>
            <w:cnfStyle w:evenVBand="false" w:oddVBand="true" w:firstColumn="false"/>
            <w:tcW w:w="33.333333%" w:type="pct"/>
          </w:tcPr>
          <w:p>
            <w:pPr>
              <w:ind w:leftChars="0" w:left="0" w:right="0"/>
            </w:pPr>
            <w:r>
              <w:t>WSIL</w:t>
            </w:r>
          </w:p>
        </w:tc>
        <w:tc>
          <w:tcPr>
            <w:cnfStyle w:evenVBand="true" w:oddVBand="false" w:firstColumn="false"/>
            <w:tcW w:w="33.333333%" w:type="pct"/>
          </w:tcPr>
          <w:p>
            <w:pPr>
              <w:ind w:leftChars="0" w:left="0" w:right="0"/>
            </w:pPr>
            <w:r>
              <w:t>WSIL</w:t>
            </w:r>
          </w:p>
        </w:tc>
        <w:tc>
          <w:tcPr>
            <w:cnfStyle w:evenVBand="false" w:oddVBand="true" w:firstColumn="false"/>
            <w:tcW w:w="33.333333%" w:type="pct"/>
          </w:tcPr>
          <w:p>
            <w:pPr>
              <w:ind w:leftChars="0" w:left="0" w:right="0"/>
            </w:pPr>
            <w:r>
              <w:t>WELLS FARGO SECURITIES INTERNATIONAL</w:t>
            </w:r>
          </w:p>
        </w:tc>
      </w:tr>
      <w:tr>
        <w:trPr>
          <w:cnfStyle w:evenHBand="false" w:oddHBand="true" w:firstRow="false"/>
        </w:trPr>
        <w:tc>
          <w:tcPr>
            <w:cnfStyle w:evenVBand="false" w:oddVBand="true" w:firstColumn="false"/>
            <w:tcW w:w="33.333333%" w:type="pct"/>
          </w:tcPr>
          <w:p>
            <w:pPr>
              <w:ind w:leftChars="0" w:left="0" w:right="0"/>
            </w:pPr>
            <w:r>
              <w:t>WSIN</w:t>
            </w:r>
          </w:p>
        </w:tc>
        <w:tc>
          <w:tcPr>
            <w:cnfStyle w:evenVBand="true" w:oddVBand="false" w:firstColumn="false"/>
            <w:tcW w:w="33.333333%" w:type="pct"/>
          </w:tcPr>
          <w:p>
            <w:pPr>
              <w:ind w:leftChars="0" w:left="0" w:right="0"/>
            </w:pPr>
            <w:r>
              <w:t>WSIN</w:t>
            </w:r>
          </w:p>
        </w:tc>
        <w:tc>
          <w:tcPr>
            <w:cnfStyle w:evenVBand="false" w:oddVBand="true" w:firstColumn="false"/>
            <w:tcW w:w="33.333333%" w:type="pct"/>
          </w:tcPr>
          <w:p>
            <w:pPr>
              <w:ind w:leftChars="0" w:left="0" w:right="0"/>
            </w:pPr>
            <w:r>
              <w:t>WESTPAC BANKING CORPORATION - SYSTEMATIC INTERNALISER</w:t>
            </w:r>
          </w:p>
        </w:tc>
      </w:tr>
      <w:tr>
        <w:trPr>
          <w:cnfStyle w:evenHBand="true" w:oddHBand="false" w:firstRow="false"/>
        </w:trPr>
        <w:tc>
          <w:tcPr>
            <w:cnfStyle w:evenVBand="false" w:oddVBand="true" w:firstColumn="false"/>
            <w:tcW w:w="33.333333%" w:type="pct"/>
          </w:tcPr>
          <w:p>
            <w:pPr>
              <w:ind w:leftChars="0" w:left="0" w:right="0"/>
            </w:pPr>
            <w:r>
              <w:t>XA1X</w:t>
            </w:r>
          </w:p>
        </w:tc>
        <w:tc>
          <w:tcPr>
            <w:cnfStyle w:evenVBand="true" w:oddVBand="false" w:firstColumn="false"/>
            <w:tcW w:w="33.333333%" w:type="pct"/>
          </w:tcPr>
          <w:p>
            <w:pPr>
              <w:ind w:leftChars="0" w:left="0" w:right="0"/>
            </w:pPr>
            <w:r>
              <w:t>XA1X</w:t>
            </w:r>
          </w:p>
        </w:tc>
        <w:tc>
          <w:tcPr>
            <w:cnfStyle w:evenVBand="false" w:oddVBand="true" w:firstColumn="false"/>
            <w:tcW w:w="33.333333%" w:type="pct"/>
          </w:tcPr>
          <w:p>
            <w:pPr>
              <w:ind w:leftChars="0" w:left="0" w:right="0"/>
            </w:pPr>
            <w:r>
              <w:t>A1</w:t>
            </w:r>
          </w:p>
        </w:tc>
      </w:tr>
      <w:tr>
        <w:trPr>
          <w:cnfStyle w:evenHBand="false" w:oddHBand="true" w:firstRow="false"/>
        </w:trPr>
        <w:tc>
          <w:tcPr>
            <w:cnfStyle w:evenVBand="false" w:oddVBand="true" w:firstColumn="false"/>
            <w:tcW w:w="33.333333%" w:type="pct"/>
          </w:tcPr>
          <w:p>
            <w:pPr>
              <w:ind w:leftChars="0" w:left="0" w:right="0"/>
            </w:pPr>
            <w:r>
              <w:t>XABC</w:t>
            </w:r>
          </w:p>
        </w:tc>
        <w:tc>
          <w:tcPr>
            <w:cnfStyle w:evenVBand="true" w:oddVBand="false" w:firstColumn="false"/>
            <w:tcW w:w="33.333333%" w:type="pct"/>
          </w:tcPr>
          <w:p>
            <w:pPr>
              <w:ind w:leftChars="0" w:left="0" w:right="0"/>
            </w:pPr>
            <w:r>
              <w:t>XABC</w:t>
            </w:r>
          </w:p>
        </w:tc>
        <w:tc>
          <w:tcPr>
            <w:cnfStyle w:evenVBand="false" w:oddVBand="true" w:firstColumn="false"/>
            <w:tcW w:w="33.333333%" w:type="pct"/>
          </w:tcPr>
          <w:p>
            <w:pPr>
              <w:ind w:leftChars="0" w:left="0" w:right="0"/>
            </w:pPr>
            <w:r>
              <w:t>ABG SUNDAL COLLIER AB - SYSTEMATIC INTERNALISER</w:t>
            </w:r>
          </w:p>
        </w:tc>
      </w:tr>
      <w:tr>
        <w:trPr>
          <w:cnfStyle w:evenHBand="true" w:oddHBand="false" w:firstRow="false"/>
        </w:trPr>
        <w:tc>
          <w:tcPr>
            <w:cnfStyle w:evenVBand="false" w:oddVBand="true" w:firstColumn="false"/>
            <w:tcW w:w="33.333333%" w:type="pct"/>
          </w:tcPr>
          <w:p>
            <w:pPr>
              <w:ind w:leftChars="0" w:left="0" w:right="0"/>
            </w:pPr>
            <w:r>
              <w:t>XABG</w:t>
            </w:r>
          </w:p>
        </w:tc>
        <w:tc>
          <w:tcPr>
            <w:cnfStyle w:evenVBand="true" w:oddVBand="false" w:firstColumn="false"/>
            <w:tcW w:w="33.333333%" w:type="pct"/>
          </w:tcPr>
          <w:p>
            <w:pPr>
              <w:ind w:leftChars="0" w:left="0" w:right="0"/>
            </w:pPr>
            <w:r>
              <w:t>XABG</w:t>
            </w:r>
          </w:p>
        </w:tc>
        <w:tc>
          <w:tcPr>
            <w:cnfStyle w:evenVBand="false" w:oddVBand="true" w:firstColumn="false"/>
            <w:tcW w:w="33.333333%" w:type="pct"/>
          </w:tcPr>
          <w:p>
            <w:pPr>
              <w:ind w:leftChars="0" w:left="0" w:right="0"/>
            </w:pPr>
            <w:r>
              <w:t>ABG SUNDAL COLLIER ASA - SYSTEMATIC INTERNALISER</w:t>
            </w:r>
          </w:p>
        </w:tc>
      </w:tr>
      <w:tr>
        <w:trPr>
          <w:cnfStyle w:evenHBand="false" w:oddHBand="true" w:firstRow="false"/>
        </w:trPr>
        <w:tc>
          <w:tcPr>
            <w:cnfStyle w:evenVBand="false" w:oddVBand="true" w:firstColumn="false"/>
            <w:tcW w:w="33.333333%" w:type="pct"/>
          </w:tcPr>
          <w:p>
            <w:pPr>
              <w:ind w:leftChars="0" w:left="0" w:right="0"/>
            </w:pPr>
            <w:r>
              <w:t>XABJ</w:t>
            </w:r>
          </w:p>
        </w:tc>
        <w:tc>
          <w:tcPr>
            <w:cnfStyle w:evenVBand="true" w:oddVBand="false" w:firstColumn="false"/>
            <w:tcW w:w="33.333333%" w:type="pct"/>
          </w:tcPr>
          <w:p>
            <w:pPr>
              <w:ind w:leftChars="0" w:left="0" w:right="0"/>
            </w:pPr>
            <w:r>
              <w:t>XABJ</w:t>
            </w:r>
          </w:p>
        </w:tc>
        <w:tc>
          <w:tcPr>
            <w:cnfStyle w:evenVBand="false" w:oddVBand="true" w:firstColumn="false"/>
            <w:tcW w:w="33.333333%" w:type="pct"/>
          </w:tcPr>
          <w:p>
            <w:pPr>
              <w:ind w:leftChars="0" w:left="0" w:right="0"/>
            </w:pPr>
            <w:r>
              <w:t>BOURSE DES VALEURS ABIDJAN</w:t>
            </w:r>
          </w:p>
        </w:tc>
      </w:tr>
      <w:tr>
        <w:trPr>
          <w:cnfStyle w:evenHBand="true" w:oddHBand="false" w:firstRow="false"/>
        </w:trPr>
        <w:tc>
          <w:tcPr>
            <w:cnfStyle w:evenVBand="false" w:oddVBand="true" w:firstColumn="false"/>
            <w:tcW w:w="33.333333%" w:type="pct"/>
          </w:tcPr>
          <w:p>
            <w:pPr>
              <w:ind w:leftChars="0" w:left="0" w:right="0"/>
            </w:pPr>
            <w:r>
              <w:t>XABX</w:t>
            </w:r>
          </w:p>
        </w:tc>
        <w:tc>
          <w:tcPr>
            <w:cnfStyle w:evenVBand="true" w:oddVBand="false" w:firstColumn="false"/>
            <w:tcW w:w="33.333333%" w:type="pct"/>
          </w:tcPr>
          <w:p>
            <w:pPr>
              <w:ind w:leftChars="0" w:left="0" w:right="0"/>
            </w:pPr>
            <w:r>
              <w:t>XABX</w:t>
            </w:r>
          </w:p>
        </w:tc>
        <w:tc>
          <w:tcPr>
            <w:cnfStyle w:evenVBand="false" w:oddVBand="true" w:firstColumn="false"/>
            <w:tcW w:w="33.333333%" w:type="pct"/>
          </w:tcPr>
          <w:p>
            <w:pPr>
              <w:ind w:leftChars="0" w:left="0" w:right="0"/>
            </w:pPr>
            <w:r>
              <w:t>ABAXX EXCHANGE</w:t>
            </w:r>
          </w:p>
        </w:tc>
      </w:tr>
      <w:tr>
        <w:trPr>
          <w:cnfStyle w:evenHBand="false" w:oddHBand="true" w:firstRow="false"/>
        </w:trPr>
        <w:tc>
          <w:tcPr>
            <w:cnfStyle w:evenVBand="false" w:oddVBand="true" w:firstColumn="false"/>
            <w:tcW w:w="33.333333%" w:type="pct"/>
          </w:tcPr>
          <w:p>
            <w:pPr>
              <w:ind w:leftChars="0" w:left="0" w:right="0"/>
            </w:pPr>
            <w:r>
              <w:t>XACE</w:t>
            </w:r>
          </w:p>
        </w:tc>
        <w:tc>
          <w:tcPr>
            <w:cnfStyle w:evenVBand="true" w:oddVBand="false" w:firstColumn="false"/>
            <w:tcW w:w="33.333333%" w:type="pct"/>
          </w:tcPr>
          <w:p>
            <w:pPr>
              <w:ind w:leftChars="0" w:left="0" w:right="0"/>
            </w:pPr>
            <w:r>
              <w:t>XACE</w:t>
            </w:r>
          </w:p>
        </w:tc>
        <w:tc>
          <w:tcPr>
            <w:cnfStyle w:evenVBand="false" w:oddVBand="true" w:firstColumn="false"/>
            <w:tcW w:w="33.333333%" w:type="pct"/>
          </w:tcPr>
          <w:p>
            <w:pPr>
              <w:ind w:leftChars="0" w:left="0" w:right="0"/>
            </w:pPr>
            <w:r>
              <w:t>AMSTERDAM COMMODITY EXCHANGE</w:t>
            </w:r>
          </w:p>
        </w:tc>
      </w:tr>
      <w:tr>
        <w:trPr>
          <w:cnfStyle w:evenHBand="true" w:oddHBand="false" w:firstRow="false"/>
        </w:trPr>
        <w:tc>
          <w:tcPr>
            <w:cnfStyle w:evenVBand="false" w:oddVBand="true" w:firstColumn="false"/>
            <w:tcW w:w="33.333333%" w:type="pct"/>
          </w:tcPr>
          <w:p>
            <w:pPr>
              <w:ind w:leftChars="0" w:left="0" w:right="0"/>
            </w:pPr>
            <w:r>
              <w:t>XADE</w:t>
            </w:r>
          </w:p>
        </w:tc>
        <w:tc>
          <w:tcPr>
            <w:cnfStyle w:evenVBand="true" w:oddVBand="false" w:firstColumn="false"/>
            <w:tcW w:w="33.333333%" w:type="pct"/>
          </w:tcPr>
          <w:p>
            <w:pPr>
              <w:ind w:leftChars="0" w:left="0" w:right="0"/>
            </w:pPr>
            <w:r>
              <w:t>XADE</w:t>
            </w:r>
          </w:p>
        </w:tc>
        <w:tc>
          <w:tcPr>
            <w:cnfStyle w:evenVBand="false" w:oddVBand="true" w:firstColumn="false"/>
            <w:tcW w:w="33.333333%" w:type="pct"/>
          </w:tcPr>
          <w:p>
            <w:pPr>
              <w:ind w:leftChars="0" w:left="0" w:right="0"/>
            </w:pPr>
            <w:r>
              <w:t>ATHENS EXCHANGE S.A. DERIVATIVES MARKET</w:t>
            </w:r>
          </w:p>
        </w:tc>
      </w:tr>
      <w:tr>
        <w:trPr>
          <w:cnfStyle w:evenHBand="false" w:oddHBand="true" w:firstRow="false"/>
        </w:trPr>
        <w:tc>
          <w:tcPr>
            <w:cnfStyle w:evenVBand="false" w:oddVBand="true" w:firstColumn="false"/>
            <w:tcW w:w="33.333333%" w:type="pct"/>
          </w:tcPr>
          <w:p>
            <w:pPr>
              <w:ind w:leftChars="0" w:left="0" w:right="0"/>
            </w:pPr>
            <w:r>
              <w:t>XADF</w:t>
            </w:r>
          </w:p>
        </w:tc>
        <w:tc>
          <w:tcPr>
            <w:cnfStyle w:evenVBand="true" w:oddVBand="false" w:firstColumn="false"/>
            <w:tcW w:w="33.333333%" w:type="pct"/>
          </w:tcPr>
          <w:p>
            <w:pPr>
              <w:ind w:leftChars="0" w:left="0" w:right="0"/>
            </w:pPr>
            <w:r>
              <w:t>XADF</w:t>
            </w:r>
          </w:p>
        </w:tc>
        <w:tc>
          <w:tcPr>
            <w:cnfStyle w:evenVBand="false" w:oddVBand="true" w:firstColumn="false"/>
            <w:tcW w:w="33.333333%" w:type="pct"/>
          </w:tcPr>
          <w:p>
            <w:pPr>
              <w:ind w:leftChars="0" w:left="0" w:right="0"/>
            </w:pPr>
            <w:r>
              <w:t>FINRA ALTERNATIVE DISPLAY FACILITY (ADF)</w:t>
            </w:r>
          </w:p>
        </w:tc>
      </w:tr>
      <w:tr>
        <w:trPr>
          <w:cnfStyle w:evenHBand="true" w:oddHBand="false" w:firstRow="false"/>
        </w:trPr>
        <w:tc>
          <w:tcPr>
            <w:cnfStyle w:evenVBand="false" w:oddVBand="true" w:firstColumn="false"/>
            <w:tcW w:w="33.333333%" w:type="pct"/>
          </w:tcPr>
          <w:p>
            <w:pPr>
              <w:ind w:leftChars="0" w:left="0" w:right="0"/>
            </w:pPr>
            <w:r>
              <w:t>XADS</w:t>
            </w:r>
          </w:p>
        </w:tc>
        <w:tc>
          <w:tcPr>
            <w:cnfStyle w:evenVBand="true" w:oddVBand="false" w:firstColumn="false"/>
            <w:tcW w:w="33.333333%" w:type="pct"/>
          </w:tcPr>
          <w:p>
            <w:pPr>
              <w:ind w:leftChars="0" w:left="0" w:right="0"/>
            </w:pPr>
            <w:r>
              <w:t>XADS</w:t>
            </w:r>
          </w:p>
        </w:tc>
        <w:tc>
          <w:tcPr>
            <w:cnfStyle w:evenVBand="false" w:oddVBand="true" w:firstColumn="false"/>
            <w:tcW w:w="33.333333%" w:type="pct"/>
          </w:tcPr>
          <w:p>
            <w:pPr>
              <w:ind w:leftChars="0" w:left="0" w:right="0"/>
            </w:pPr>
            <w:r>
              <w:t>ABU DHABI SECURITIES EXCHANGE</w:t>
            </w:r>
          </w:p>
        </w:tc>
      </w:tr>
      <w:tr>
        <w:trPr>
          <w:cnfStyle w:evenHBand="false" w:oddHBand="true" w:firstRow="false"/>
        </w:trPr>
        <w:tc>
          <w:tcPr>
            <w:cnfStyle w:evenVBand="false" w:oddVBand="true" w:firstColumn="false"/>
            <w:tcW w:w="33.333333%" w:type="pct"/>
          </w:tcPr>
          <w:p>
            <w:pPr>
              <w:ind w:leftChars="0" w:left="0" w:right="0"/>
            </w:pPr>
            <w:r>
              <w:t>XAEX</w:t>
            </w:r>
          </w:p>
        </w:tc>
        <w:tc>
          <w:tcPr>
            <w:cnfStyle w:evenVBand="true" w:oddVBand="false" w:firstColumn="false"/>
            <w:tcW w:w="33.333333%" w:type="pct"/>
          </w:tcPr>
          <w:p>
            <w:pPr>
              <w:ind w:leftChars="0" w:left="0" w:right="0"/>
            </w:pPr>
            <w:r>
              <w:t>XAEX</w:t>
            </w:r>
          </w:p>
        </w:tc>
        <w:tc>
          <w:tcPr>
            <w:cnfStyle w:evenVBand="false" w:oddVBand="true" w:firstColumn="false"/>
            <w:tcW w:w="33.333333%" w:type="pct"/>
          </w:tcPr>
          <w:p>
            <w:pPr>
              <w:ind w:leftChars="0" w:left="0" w:right="0"/>
            </w:pPr>
            <w:r>
              <w:t>AEX-AGRICULTURAL FUTURES EXCHANGE</w:t>
            </w:r>
          </w:p>
        </w:tc>
      </w:tr>
      <w:tr>
        <w:trPr>
          <w:cnfStyle w:evenHBand="true" w:oddHBand="false" w:firstRow="false"/>
        </w:trPr>
        <w:tc>
          <w:tcPr>
            <w:cnfStyle w:evenVBand="false" w:oddVBand="true" w:firstColumn="false"/>
            <w:tcW w:w="33.333333%" w:type="pct"/>
          </w:tcPr>
          <w:p>
            <w:pPr>
              <w:ind w:leftChars="0" w:left="0" w:right="0"/>
            </w:pPr>
            <w:r>
              <w:t>XAFR</w:t>
            </w:r>
          </w:p>
        </w:tc>
        <w:tc>
          <w:tcPr>
            <w:cnfStyle w:evenVBand="true" w:oddVBand="false" w:firstColumn="false"/>
            <w:tcW w:w="33.333333%" w:type="pct"/>
          </w:tcPr>
          <w:p>
            <w:pPr>
              <w:ind w:leftChars="0" w:left="0" w:right="0"/>
            </w:pPr>
            <w:r>
              <w:t>XAFR</w:t>
            </w:r>
          </w:p>
        </w:tc>
        <w:tc>
          <w:tcPr>
            <w:cnfStyle w:evenVBand="false" w:oddVBand="true" w:firstColumn="false"/>
            <w:tcW w:w="33.333333%" w:type="pct"/>
          </w:tcPr>
          <w:p>
            <w:pPr>
              <w:ind w:leftChars="0" w:left="0" w:right="0"/>
            </w:pPr>
            <w:r>
              <w:t>ALTERNATIVA FRANCE</w:t>
            </w:r>
          </w:p>
        </w:tc>
      </w:tr>
      <w:tr>
        <w:trPr>
          <w:cnfStyle w:evenHBand="false" w:oddHBand="true" w:firstRow="false"/>
        </w:trPr>
        <w:tc>
          <w:tcPr>
            <w:cnfStyle w:evenVBand="false" w:oddVBand="true" w:firstColumn="false"/>
            <w:tcW w:w="33.333333%" w:type="pct"/>
          </w:tcPr>
          <w:p>
            <w:pPr>
              <w:ind w:leftChars="0" w:left="0" w:right="0"/>
            </w:pPr>
            <w:r>
              <w:t>XAFX</w:t>
            </w:r>
          </w:p>
        </w:tc>
        <w:tc>
          <w:tcPr>
            <w:cnfStyle w:evenVBand="true" w:oddVBand="false" w:firstColumn="false"/>
            <w:tcW w:w="33.333333%" w:type="pct"/>
          </w:tcPr>
          <w:p>
            <w:pPr>
              <w:ind w:leftChars="0" w:left="0" w:right="0"/>
            </w:pPr>
            <w:r>
              <w:t>XAFX</w:t>
            </w:r>
          </w:p>
        </w:tc>
        <w:tc>
          <w:tcPr>
            <w:cnfStyle w:evenVBand="false" w:oddVBand="true" w:firstColumn="false"/>
            <w:tcW w:w="33.333333%" w:type="pct"/>
          </w:tcPr>
          <w:p>
            <w:pPr>
              <w:ind w:leftChars="0" w:left="0" w:right="0"/>
            </w:pPr>
            <w:r>
              <w:t>AFRICAN STOCK EXCHANGE</w:t>
            </w:r>
          </w:p>
        </w:tc>
      </w:tr>
      <w:tr>
        <w:trPr>
          <w:cnfStyle w:evenHBand="true" w:oddHBand="false" w:firstRow="false"/>
        </w:trPr>
        <w:tc>
          <w:tcPr>
            <w:cnfStyle w:evenVBand="false" w:oddVBand="true" w:firstColumn="false"/>
            <w:tcW w:w="33.333333%" w:type="pct"/>
          </w:tcPr>
          <w:p>
            <w:pPr>
              <w:ind w:leftChars="0" w:left="0" w:right="0"/>
            </w:pPr>
            <w:r>
              <w:t>XAIM</w:t>
            </w:r>
          </w:p>
        </w:tc>
        <w:tc>
          <w:tcPr>
            <w:cnfStyle w:evenVBand="true" w:oddVBand="false" w:firstColumn="false"/>
            <w:tcW w:w="33.333333%" w:type="pct"/>
          </w:tcPr>
          <w:p>
            <w:pPr>
              <w:ind w:leftChars="0" w:left="0" w:right="0"/>
            </w:pPr>
            <w:r>
              <w:t>XAIM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XALB</w:t>
            </w:r>
          </w:p>
        </w:tc>
        <w:tc>
          <w:tcPr>
            <w:cnfStyle w:evenVBand="true" w:oddVBand="false" w:firstColumn="false"/>
            <w:tcW w:w="33.333333%" w:type="pct"/>
          </w:tcPr>
          <w:p>
            <w:pPr>
              <w:ind w:leftChars="0" w:left="0" w:right="0"/>
            </w:pPr>
            <w:r>
              <w:t>XALB</w:t>
            </w:r>
          </w:p>
        </w:tc>
        <w:tc>
          <w:tcPr>
            <w:cnfStyle w:evenVBand="false" w:oddVBand="true" w:firstColumn="false"/>
            <w:tcW w:w="33.333333%" w:type="pct"/>
          </w:tcPr>
          <w:p>
            <w:pPr>
              <w:ind w:leftChars="0" w:left="0" w:right="0"/>
            </w:pPr>
            <w:r>
              <w:t>ALBERTA STOCK EXCHANGE, THE</w:t>
            </w:r>
          </w:p>
        </w:tc>
      </w:tr>
      <w:tr>
        <w:trPr>
          <w:cnfStyle w:evenHBand="true" w:oddHBand="false" w:firstRow="false"/>
        </w:trPr>
        <w:tc>
          <w:tcPr>
            <w:cnfStyle w:evenVBand="false" w:oddVBand="true" w:firstColumn="false"/>
            <w:tcW w:w="33.333333%" w:type="pct"/>
          </w:tcPr>
          <w:p>
            <w:pPr>
              <w:ind w:leftChars="0" w:left="0" w:right="0"/>
            </w:pPr>
            <w:r>
              <w:t>XALG</w:t>
            </w:r>
          </w:p>
        </w:tc>
        <w:tc>
          <w:tcPr>
            <w:cnfStyle w:evenVBand="true" w:oddVBand="false" w:firstColumn="false"/>
            <w:tcW w:w="33.333333%" w:type="pct"/>
          </w:tcPr>
          <w:p>
            <w:pPr>
              <w:ind w:leftChars="0" w:left="0" w:right="0"/>
            </w:pPr>
            <w:r>
              <w:t>XALG</w:t>
            </w:r>
          </w:p>
        </w:tc>
        <w:tc>
          <w:tcPr>
            <w:cnfStyle w:evenVBand="false" w:oddVBand="true" w:firstColumn="false"/>
            <w:tcW w:w="33.333333%" w:type="pct"/>
          </w:tcPr>
          <w:p>
            <w:pPr>
              <w:ind w:leftChars="0" w:left="0" w:right="0"/>
            </w:pPr>
            <w:r>
              <w:t>ALGIERS STOCK EXCHANGE</w:t>
            </w:r>
          </w:p>
        </w:tc>
      </w:tr>
      <w:tr>
        <w:trPr>
          <w:cnfStyle w:evenHBand="false" w:oddHBand="true" w:firstRow="false"/>
        </w:trPr>
        <w:tc>
          <w:tcPr>
            <w:cnfStyle w:evenVBand="false" w:oddVBand="true" w:firstColumn="false"/>
            <w:tcW w:w="33.333333%" w:type="pct"/>
          </w:tcPr>
          <w:p>
            <w:pPr>
              <w:ind w:leftChars="0" w:left="0" w:right="0"/>
            </w:pPr>
            <w:r>
              <w:t>XALS</w:t>
            </w:r>
          </w:p>
        </w:tc>
        <w:tc>
          <w:tcPr>
            <w:cnfStyle w:evenVBand="true" w:oddVBand="false" w:firstColumn="false"/>
            <w:tcW w:w="33.333333%" w:type="pct"/>
          </w:tcPr>
          <w:p>
            <w:pPr>
              <w:ind w:leftChars="0" w:left="0" w:right="0"/>
            </w:pPr>
            <w:r>
              <w:t>XALS</w:t>
            </w:r>
          </w:p>
        </w:tc>
        <w:tc>
          <w:tcPr>
            <w:cnfStyle w:evenVBand="false" w:oddVBand="true" w:firstColumn="false"/>
            <w:tcW w:w="33.333333%" w:type="pct"/>
          </w:tcPr>
          <w:p>
            <w:pPr>
              <w:ind w:leftChars="0" w:left="0" w:right="0"/>
            </w:pPr>
            <w:r>
              <w:t>ALBANIA SECURITIES EXCHANGE</w:t>
            </w:r>
          </w:p>
        </w:tc>
      </w:tr>
      <w:tr>
        <w:trPr>
          <w:cnfStyle w:evenHBand="true" w:oddHBand="false" w:firstRow="false"/>
        </w:trPr>
        <w:tc>
          <w:tcPr>
            <w:cnfStyle w:evenVBand="false" w:oddVBand="true" w:firstColumn="false"/>
            <w:tcW w:w="33.333333%" w:type="pct"/>
          </w:tcPr>
          <w:p>
            <w:pPr>
              <w:ind w:leftChars="0" w:left="0" w:right="0"/>
            </w:pPr>
            <w:r>
              <w:t>XALT</w:t>
            </w:r>
          </w:p>
        </w:tc>
        <w:tc>
          <w:tcPr>
            <w:cnfStyle w:evenVBand="true" w:oddVBand="false" w:firstColumn="false"/>
            <w:tcW w:w="33.333333%" w:type="pct"/>
          </w:tcPr>
          <w:p>
            <w:pPr>
              <w:ind w:leftChars="0" w:left="0" w:right="0"/>
            </w:pPr>
            <w:r>
              <w:t>XALT</w:t>
            </w:r>
          </w:p>
        </w:tc>
        <w:tc>
          <w:tcPr>
            <w:cnfStyle w:evenVBand="false" w:oddVBand="true" w:firstColumn="false"/>
            <w:tcW w:w="33.333333%" w:type="pct"/>
          </w:tcPr>
          <w:p>
            <w:pPr>
              <w:ind w:leftChars="0" w:left="0" w:right="0"/>
            </w:pPr>
            <w:r>
              <w:t>ALTEX - ATS</w:t>
            </w:r>
          </w:p>
        </w:tc>
      </w:tr>
      <w:tr>
        <w:trPr>
          <w:cnfStyle w:evenHBand="false" w:oddHBand="true" w:firstRow="false"/>
        </w:trPr>
        <w:tc>
          <w:tcPr>
            <w:cnfStyle w:evenVBand="false" w:oddVBand="true" w:firstColumn="false"/>
            <w:tcW w:w="33.333333%" w:type="pct"/>
          </w:tcPr>
          <w:p>
            <w:pPr>
              <w:ind w:leftChars="0" w:left="0" w:right="0"/>
            </w:pPr>
            <w:r>
              <w:t>XAMM</w:t>
            </w:r>
          </w:p>
        </w:tc>
        <w:tc>
          <w:tcPr>
            <w:cnfStyle w:evenVBand="true" w:oddVBand="false" w:firstColumn="false"/>
            <w:tcW w:w="33.333333%" w:type="pct"/>
          </w:tcPr>
          <w:p>
            <w:pPr>
              <w:ind w:leftChars="0" w:left="0" w:right="0"/>
            </w:pPr>
            <w:r>
              <w:t>XAMM</w:t>
            </w:r>
          </w:p>
        </w:tc>
        <w:tc>
          <w:tcPr>
            <w:cnfStyle w:evenVBand="false" w:oddVBand="true" w:firstColumn="false"/>
            <w:tcW w:w="33.333333%" w:type="pct"/>
          </w:tcPr>
          <w:p>
            <w:pPr>
              <w:ind w:leftChars="0" w:left="0" w:right="0"/>
            </w:pPr>
            <w:r>
              <w:t>AMMAN STOCK EXCHANGE</w:t>
            </w:r>
          </w:p>
        </w:tc>
      </w:tr>
      <w:tr>
        <w:trPr>
          <w:cnfStyle w:evenHBand="true" w:oddHBand="false" w:firstRow="false"/>
        </w:trPr>
        <w:tc>
          <w:tcPr>
            <w:cnfStyle w:evenVBand="false" w:oddVBand="true" w:firstColumn="false"/>
            <w:tcW w:w="33.333333%" w:type="pct"/>
          </w:tcPr>
          <w:p>
            <w:pPr>
              <w:ind w:leftChars="0" w:left="0" w:right="0"/>
            </w:pPr>
            <w:r>
              <w:t>XAMS</w:t>
            </w:r>
          </w:p>
        </w:tc>
        <w:tc>
          <w:tcPr>
            <w:cnfStyle w:evenVBand="true" w:oddVBand="false" w:firstColumn="false"/>
            <w:tcW w:w="33.333333%" w:type="pct"/>
          </w:tcPr>
          <w:p>
            <w:pPr>
              <w:ind w:leftChars="0" w:left="0" w:right="0"/>
            </w:pPr>
            <w:r>
              <w:t>XAMS</w:t>
            </w:r>
          </w:p>
        </w:tc>
        <w:tc>
          <w:tcPr>
            <w:cnfStyle w:evenVBand="false" w:oddVBand="true" w:firstColumn="false"/>
            <w:tcW w:w="33.333333%" w:type="pct"/>
          </w:tcPr>
          <w:p>
            <w:pPr>
              <w:ind w:leftChars="0" w:left="0" w:right="0"/>
            </w:pPr>
            <w:r>
              <w:t>EURONEXT - EURONEXT AMSTERDAM</w:t>
            </w:r>
          </w:p>
        </w:tc>
      </w:tr>
      <w:tr>
        <w:trPr>
          <w:cnfStyle w:evenHBand="false" w:oddHBand="true" w:firstRow="false"/>
        </w:trPr>
        <w:tc>
          <w:tcPr>
            <w:cnfStyle w:evenVBand="false" w:oddVBand="true" w:firstColumn="false"/>
            <w:tcW w:w="33.333333%" w:type="pct"/>
          </w:tcPr>
          <w:p>
            <w:pPr>
              <w:ind w:leftChars="0" w:left="0" w:right="0"/>
            </w:pPr>
            <w:r>
              <w:t>XANT</w:t>
            </w:r>
          </w:p>
        </w:tc>
        <w:tc>
          <w:tcPr>
            <w:cnfStyle w:evenVBand="true" w:oddVBand="false" w:firstColumn="false"/>
            <w:tcW w:w="33.333333%" w:type="pct"/>
          </w:tcPr>
          <w:p>
            <w:pPr>
              <w:ind w:leftChars="0" w:left="0" w:right="0"/>
            </w:pPr>
            <w:r>
              <w:t>XANT</w:t>
            </w:r>
          </w:p>
        </w:tc>
        <w:tc>
          <w:tcPr>
            <w:cnfStyle w:evenVBand="false" w:oddVBand="true" w:firstColumn="false"/>
            <w:tcW w:w="33.333333%" w:type="pct"/>
          </w:tcPr>
          <w:p>
            <w:pPr>
              <w:ind w:leftChars="0" w:left="0" w:right="0"/>
            </w:pPr>
            <w:r>
              <w:t>BEURS VAN ANTWERPEN (ANTWERP STOCK EXCHANGE)</w:t>
            </w:r>
          </w:p>
        </w:tc>
      </w:tr>
      <w:tr>
        <w:trPr>
          <w:cnfStyle w:evenHBand="true" w:oddHBand="false" w:firstRow="false"/>
        </w:trPr>
        <w:tc>
          <w:tcPr>
            <w:cnfStyle w:evenVBand="false" w:oddVBand="true" w:firstColumn="false"/>
            <w:tcW w:w="33.333333%" w:type="pct"/>
          </w:tcPr>
          <w:p>
            <w:pPr>
              <w:ind w:leftChars="0" w:left="0" w:right="0"/>
            </w:pPr>
            <w:r>
              <w:t>XAOM</w:t>
            </w:r>
          </w:p>
        </w:tc>
        <w:tc>
          <w:tcPr>
            <w:cnfStyle w:evenVBand="true" w:oddVBand="false" w:firstColumn="false"/>
            <w:tcW w:w="33.333333%" w:type="pct"/>
          </w:tcPr>
          <w:p>
            <w:pPr>
              <w:ind w:leftChars="0" w:left="0" w:right="0"/>
            </w:pPr>
            <w:r>
              <w:t>XAOM</w:t>
            </w:r>
          </w:p>
        </w:tc>
        <w:tc>
          <w:tcPr>
            <w:cnfStyle w:evenVBand="false" w:oddVBand="true" w:firstColumn="false"/>
            <w:tcW w:w="33.333333%" w:type="pct"/>
          </w:tcPr>
          <w:p>
            <w:pPr>
              <w:ind w:leftChars="0" w:left="0" w:right="0"/>
            </w:pPr>
            <w:r>
              <w:t>AUSTRALIAN OPTIONS MARKET</w:t>
            </w:r>
          </w:p>
        </w:tc>
      </w:tr>
      <w:tr>
        <w:trPr>
          <w:cnfStyle w:evenHBand="false" w:oddHBand="true" w:firstRow="false"/>
        </w:trPr>
        <w:tc>
          <w:tcPr>
            <w:cnfStyle w:evenVBand="false" w:oddVBand="true" w:firstColumn="false"/>
            <w:tcW w:w="33.333333%" w:type="pct"/>
          </w:tcPr>
          <w:p>
            <w:pPr>
              <w:ind w:leftChars="0" w:left="0" w:right="0"/>
            </w:pPr>
            <w:r>
              <w:t>XAPA</w:t>
            </w:r>
          </w:p>
        </w:tc>
        <w:tc>
          <w:tcPr>
            <w:cnfStyle w:evenVBand="true" w:oddVBand="false" w:firstColumn="false"/>
            <w:tcW w:w="33.333333%" w:type="pct"/>
          </w:tcPr>
          <w:p>
            <w:pPr>
              <w:ind w:leftChars="0" w:left="0" w:right="0"/>
            </w:pPr>
            <w:r>
              <w:t>XAPA</w:t>
            </w:r>
          </w:p>
        </w:tc>
        <w:tc>
          <w:tcPr>
            <w:cnfStyle w:evenVBand="false" w:oddVBand="true" w:firstColumn="false"/>
            <w:tcW w:w="33.333333%" w:type="pct"/>
          </w:tcPr>
          <w:p>
            <w:pPr>
              <w:ind w:leftChars="0" w:left="0" w:right="0"/>
            </w:pPr>
            <w:r>
              <w:t>EURONEXT - APA</w:t>
            </w:r>
          </w:p>
        </w:tc>
      </w:tr>
      <w:tr>
        <w:trPr>
          <w:cnfStyle w:evenHBand="true" w:oddHBand="false" w:firstRow="false"/>
        </w:trPr>
        <w:tc>
          <w:tcPr>
            <w:cnfStyle w:evenVBand="false" w:oddVBand="true" w:firstColumn="false"/>
            <w:tcW w:w="33.333333%" w:type="pct"/>
          </w:tcPr>
          <w:p>
            <w:pPr>
              <w:ind w:leftChars="0" w:left="0" w:right="0"/>
            </w:pPr>
            <w:r>
              <w:t>XAPI</w:t>
            </w:r>
          </w:p>
        </w:tc>
        <w:tc>
          <w:tcPr>
            <w:cnfStyle w:evenVBand="true" w:oddVBand="false" w:firstColumn="false"/>
            <w:tcW w:w="33.333333%" w:type="pct"/>
          </w:tcPr>
          <w:p>
            <w:pPr>
              <w:ind w:leftChars="0" w:left="0" w:right="0"/>
            </w:pPr>
            <w:r>
              <w:t>XAPI</w:t>
            </w:r>
          </w:p>
        </w:tc>
        <w:tc>
          <w:tcPr>
            <w:cnfStyle w:evenVBand="false" w:oddVBand="true" w:firstColumn="false"/>
            <w:tcW w:w="33.333333%" w:type="pct"/>
          </w:tcPr>
          <w:p>
            <w:pPr>
              <w:ind w:leftChars="0" w:left="0" w:right="0"/>
            </w:pPr>
            <w:r>
              <w:t>REGIONAL EXCHANGE CENTRE - MICEX FAR EAST</w:t>
            </w:r>
          </w:p>
        </w:tc>
      </w:tr>
      <w:tr>
        <w:trPr>
          <w:cnfStyle w:evenHBand="false" w:oddHBand="true" w:firstRow="false"/>
        </w:trPr>
        <w:tc>
          <w:tcPr>
            <w:cnfStyle w:evenVBand="false" w:oddVBand="true" w:firstColumn="false"/>
            <w:tcW w:w="33.333333%" w:type="pct"/>
          </w:tcPr>
          <w:p>
            <w:pPr>
              <w:ind w:leftChars="0" w:left="0" w:right="0"/>
            </w:pPr>
            <w:r>
              <w:t>XAQS</w:t>
            </w:r>
          </w:p>
        </w:tc>
        <w:tc>
          <w:tcPr>
            <w:cnfStyle w:evenVBand="true" w:oddVBand="false" w:firstColumn="false"/>
            <w:tcW w:w="33.333333%" w:type="pct"/>
          </w:tcPr>
          <w:p>
            <w:pPr>
              <w:ind w:leftChars="0" w:left="0" w:right="0"/>
            </w:pPr>
            <w:r>
              <w:t>XAQS</w:t>
            </w:r>
          </w:p>
        </w:tc>
        <w:tc>
          <w:tcPr>
            <w:cnfStyle w:evenVBand="false" w:oddVBand="true" w:firstColumn="false"/>
            <w:tcW w:w="33.333333%" w:type="pct"/>
          </w:tcPr>
          <w:p>
            <w:pPr>
              <w:ind w:leftChars="0" w:left="0" w:right="0"/>
            </w:pPr>
            <w:r>
              <w:t>AUTOMATED EQUITY FINANCE MARKETS</w:t>
            </w:r>
          </w:p>
        </w:tc>
      </w:tr>
      <w:tr>
        <w:trPr>
          <w:cnfStyle w:evenHBand="true" w:oddHBand="false" w:firstRow="false"/>
        </w:trPr>
        <w:tc>
          <w:tcPr>
            <w:cnfStyle w:evenVBand="false" w:oddVBand="true" w:firstColumn="false"/>
            <w:tcW w:w="33.333333%" w:type="pct"/>
          </w:tcPr>
          <w:p>
            <w:pPr>
              <w:ind w:leftChars="0" w:left="0" w:right="0"/>
            </w:pPr>
            <w:r>
              <w:t>XARC</w:t>
            </w:r>
          </w:p>
        </w:tc>
        <w:tc>
          <w:tcPr>
            <w:cnfStyle w:evenVBand="true" w:oddVBand="false" w:firstColumn="false"/>
            <w:tcW w:w="33.333333%" w:type="pct"/>
          </w:tcPr>
          <w:p>
            <w:pPr>
              <w:ind w:leftChars="0" w:left="0" w:right="0"/>
            </w:pPr>
            <w:r>
              <w:t>XARC</w:t>
            </w:r>
          </w:p>
        </w:tc>
        <w:tc>
          <w:tcPr>
            <w:cnfStyle w:evenVBand="false" w:oddVBand="true" w:firstColumn="false"/>
            <w:tcW w:w="33.333333%" w:type="pct"/>
          </w:tcPr>
          <w:p>
            <w:pPr>
              <w:ind w:leftChars="0" w:left="0" w:right="0"/>
            </w:pPr>
            <w:r>
              <w:t>THE ARCHIPELAGO ECN</w:t>
            </w:r>
          </w:p>
        </w:tc>
      </w:tr>
      <w:tr>
        <w:trPr>
          <w:cnfStyle w:evenHBand="false" w:oddHBand="true" w:firstRow="false"/>
        </w:trPr>
        <w:tc>
          <w:tcPr>
            <w:cnfStyle w:evenVBand="false" w:oddVBand="true" w:firstColumn="false"/>
            <w:tcW w:w="33.333333%" w:type="pct"/>
          </w:tcPr>
          <w:p>
            <w:pPr>
              <w:ind w:leftChars="0" w:left="0" w:right="0"/>
            </w:pPr>
            <w:r>
              <w:t>XARM</w:t>
            </w:r>
          </w:p>
        </w:tc>
        <w:tc>
          <w:tcPr>
            <w:cnfStyle w:evenVBand="true" w:oddVBand="false" w:firstColumn="false"/>
            <w:tcW w:w="33.333333%" w:type="pct"/>
          </w:tcPr>
          <w:p>
            <w:pPr>
              <w:ind w:leftChars="0" w:left="0" w:right="0"/>
            </w:pPr>
            <w:r>
              <w:t>XARM</w:t>
            </w:r>
          </w:p>
        </w:tc>
        <w:tc>
          <w:tcPr>
            <w:cnfStyle w:evenVBand="false" w:oddVBand="true" w:firstColumn="false"/>
            <w:tcW w:w="33.333333%" w:type="pct"/>
          </w:tcPr>
          <w:p>
            <w:pPr>
              <w:ind w:leftChars="0" w:left="0" w:right="0"/>
            </w:pPr>
            <w:r>
              <w:t>ARMENIA SECURITIES EXCHANGE</w:t>
            </w:r>
          </w:p>
        </w:tc>
      </w:tr>
      <w:tr>
        <w:trPr>
          <w:cnfStyle w:evenHBand="true" w:oddHBand="false" w:firstRow="false"/>
        </w:trPr>
        <w:tc>
          <w:tcPr>
            <w:cnfStyle w:evenVBand="false" w:oddVBand="true" w:firstColumn="false"/>
            <w:tcW w:w="33.333333%" w:type="pct"/>
          </w:tcPr>
          <w:p>
            <w:pPr>
              <w:ind w:leftChars="0" w:left="0" w:right="0"/>
            </w:pPr>
            <w:r>
              <w:t>XASE</w:t>
            </w:r>
          </w:p>
        </w:tc>
        <w:tc>
          <w:tcPr>
            <w:cnfStyle w:evenVBand="true" w:oddVBand="false" w:firstColumn="false"/>
            <w:tcW w:w="33.333333%" w:type="pct"/>
          </w:tcPr>
          <w:p>
            <w:pPr>
              <w:ind w:leftChars="0" w:left="0" w:right="0"/>
            </w:pPr>
            <w:r>
              <w:t>XASE</w:t>
            </w:r>
          </w:p>
        </w:tc>
        <w:tc>
          <w:tcPr>
            <w:cnfStyle w:evenVBand="false" w:oddVBand="true" w:firstColumn="false"/>
            <w:tcW w:w="33.333333%" w:type="pct"/>
          </w:tcPr>
          <w:p>
            <w:pPr>
              <w:ind w:leftChars="0" w:left="0" w:right="0"/>
            </w:pPr>
            <w:r>
              <w:t>NYSE MKT LLC</w:t>
            </w:r>
          </w:p>
        </w:tc>
      </w:tr>
      <w:tr>
        <w:trPr>
          <w:cnfStyle w:evenHBand="false" w:oddHBand="true" w:firstRow="false"/>
        </w:trPr>
        <w:tc>
          <w:tcPr>
            <w:cnfStyle w:evenVBand="false" w:oddVBand="true" w:firstColumn="false"/>
            <w:tcW w:w="33.333333%" w:type="pct"/>
          </w:tcPr>
          <w:p>
            <w:pPr>
              <w:ind w:leftChars="0" w:left="0" w:right="0"/>
            </w:pPr>
            <w:r>
              <w:t>XASM</w:t>
            </w:r>
          </w:p>
        </w:tc>
        <w:tc>
          <w:tcPr>
            <w:cnfStyle w:evenVBand="true" w:oddVBand="false" w:firstColumn="false"/>
            <w:tcW w:w="33.333333%" w:type="pct"/>
          </w:tcPr>
          <w:p>
            <w:pPr>
              <w:ind w:leftChars="0" w:left="0" w:right="0"/>
            </w:pPr>
            <w:r>
              <w:t>XASM</w:t>
            </w:r>
          </w:p>
        </w:tc>
        <w:tc>
          <w:tcPr>
            <w:cnfStyle w:evenVBand="false" w:oddVBand="true" w:firstColumn="false"/>
            <w:tcW w:w="33.333333%" w:type="pct"/>
          </w:tcPr>
          <w:p>
            <w:pPr>
              <w:ind w:leftChars="0" w:left="0" w:right="0"/>
            </w:pPr>
            <w:r>
              <w:t>IRISH STOCK EXCHANGE - GLOBAL EXCHANGE MARKET</w:t>
            </w:r>
          </w:p>
        </w:tc>
      </w:tr>
      <w:tr>
        <w:trPr>
          <w:cnfStyle w:evenHBand="true" w:oddHBand="false" w:firstRow="false"/>
        </w:trPr>
        <w:tc>
          <w:tcPr>
            <w:cnfStyle w:evenVBand="false" w:oddVBand="true" w:firstColumn="false"/>
            <w:tcW w:w="33.333333%" w:type="pct"/>
          </w:tcPr>
          <w:p>
            <w:pPr>
              <w:ind w:leftChars="0" w:left="0" w:right="0"/>
            </w:pPr>
            <w:r>
              <w:t>XASX</w:t>
            </w:r>
          </w:p>
        </w:tc>
        <w:tc>
          <w:tcPr>
            <w:cnfStyle w:evenVBand="true" w:oddVBand="false" w:firstColumn="false"/>
            <w:tcW w:w="33.333333%" w:type="pct"/>
          </w:tcPr>
          <w:p>
            <w:pPr>
              <w:ind w:leftChars="0" w:left="0" w:right="0"/>
            </w:pPr>
            <w:r>
              <w:t>XASX</w:t>
            </w:r>
          </w:p>
        </w:tc>
        <w:tc>
          <w:tcPr>
            <w:cnfStyle w:evenVBand="false" w:oddVBand="true" w:firstColumn="false"/>
            <w:tcW w:w="33.333333%" w:type="pct"/>
          </w:tcPr>
          <w:p>
            <w:pPr>
              <w:ind w:leftChars="0" w:left="0" w:right="0"/>
            </w:pPr>
            <w:r>
              <w:t>ASX - ALL MARKETS</w:t>
            </w:r>
          </w:p>
        </w:tc>
      </w:tr>
      <w:tr>
        <w:trPr>
          <w:cnfStyle w:evenHBand="false" w:oddHBand="true" w:firstRow="false"/>
        </w:trPr>
        <w:tc>
          <w:tcPr>
            <w:cnfStyle w:evenVBand="false" w:oddVBand="true" w:firstColumn="false"/>
            <w:tcW w:w="33.333333%" w:type="pct"/>
          </w:tcPr>
          <w:p>
            <w:pPr>
              <w:ind w:leftChars="0" w:left="0" w:right="0"/>
            </w:pPr>
            <w:r>
              <w:t>XATH</w:t>
            </w:r>
          </w:p>
        </w:tc>
        <w:tc>
          <w:tcPr>
            <w:cnfStyle w:evenVBand="true" w:oddVBand="false" w:firstColumn="false"/>
            <w:tcW w:w="33.333333%" w:type="pct"/>
          </w:tcPr>
          <w:p>
            <w:pPr>
              <w:ind w:leftChars="0" w:left="0" w:right="0"/>
            </w:pPr>
            <w:r>
              <w:t>XATH</w:t>
            </w:r>
          </w:p>
        </w:tc>
        <w:tc>
          <w:tcPr>
            <w:cnfStyle w:evenVBand="false" w:oddVBand="true" w:firstColumn="false"/>
            <w:tcW w:w="33.333333%" w:type="pct"/>
          </w:tcPr>
          <w:p>
            <w:pPr>
              <w:ind w:leftChars="0" w:left="0" w:right="0"/>
            </w:pPr>
            <w:r>
              <w:t>ATHENS EXCHANGE S.A. CASH MARKET</w:t>
            </w:r>
          </w:p>
        </w:tc>
      </w:tr>
      <w:tr>
        <w:trPr>
          <w:cnfStyle w:evenHBand="true" w:oddHBand="false" w:firstRow="false"/>
        </w:trPr>
        <w:tc>
          <w:tcPr>
            <w:cnfStyle w:evenVBand="false" w:oddVBand="true" w:firstColumn="false"/>
            <w:tcW w:w="33.333333%" w:type="pct"/>
          </w:tcPr>
          <w:p>
            <w:pPr>
              <w:ind w:leftChars="0" w:left="0" w:right="0"/>
            </w:pPr>
            <w:r>
              <w:t>XATL</w:t>
            </w:r>
          </w:p>
        </w:tc>
        <w:tc>
          <w:tcPr>
            <w:cnfStyle w:evenVBand="true" w:oddVBand="false" w:firstColumn="false"/>
            <w:tcW w:w="33.333333%" w:type="pct"/>
          </w:tcPr>
          <w:p>
            <w:pPr>
              <w:ind w:leftChars="0" w:left="0" w:right="0"/>
            </w:pPr>
            <w:r>
              <w:t>XATL</w:t>
            </w:r>
          </w:p>
        </w:tc>
        <w:tc>
          <w:tcPr>
            <w:cnfStyle w:evenVBand="false" w:oddVBand="true" w:firstColumn="false"/>
            <w:tcW w:w="33.333333%" w:type="pct"/>
          </w:tcPr>
          <w:p>
            <w:pPr>
              <w:ind w:leftChars="0" w:left="0" w:right="0"/>
            </w:pPr>
            <w:r>
              <w:t>ATLANTIC SECURITIES MARKET</w:t>
            </w:r>
          </w:p>
        </w:tc>
      </w:tr>
      <w:tr>
        <w:trPr>
          <w:cnfStyle w:evenHBand="false" w:oddHBand="true" w:firstRow="false"/>
        </w:trPr>
        <w:tc>
          <w:tcPr>
            <w:cnfStyle w:evenVBand="false" w:oddVBand="true" w:firstColumn="false"/>
            <w:tcW w:w="33.333333%" w:type="pct"/>
          </w:tcPr>
          <w:p>
            <w:pPr>
              <w:ind w:leftChars="0" w:left="0" w:right="0"/>
            </w:pPr>
            <w:r>
              <w:t>XATS</w:t>
            </w:r>
          </w:p>
        </w:tc>
        <w:tc>
          <w:tcPr>
            <w:cnfStyle w:evenVBand="true" w:oddVBand="false" w:firstColumn="false"/>
            <w:tcW w:w="33.333333%" w:type="pct"/>
          </w:tcPr>
          <w:p>
            <w:pPr>
              <w:ind w:leftChars="0" w:left="0" w:right="0"/>
            </w:pPr>
            <w:r>
              <w:t>XATS</w:t>
            </w:r>
          </w:p>
        </w:tc>
        <w:tc>
          <w:tcPr>
            <w:cnfStyle w:evenVBand="false" w:oddVBand="true" w:firstColumn="false"/>
            <w:tcW w:w="33.333333%" w:type="pct"/>
          </w:tcPr>
          <w:p>
            <w:pPr>
              <w:ind w:leftChars="0" w:left="0" w:right="0"/>
            </w:pPr>
            <w:r>
              <w:t>ALPHA EXCHANGE</w:t>
            </w:r>
          </w:p>
        </w:tc>
      </w:tr>
      <w:tr>
        <w:trPr>
          <w:cnfStyle w:evenHBand="true" w:oddHBand="false" w:firstRow="false"/>
        </w:trPr>
        <w:tc>
          <w:tcPr>
            <w:cnfStyle w:evenVBand="false" w:oddVBand="true" w:firstColumn="false"/>
            <w:tcW w:w="33.333333%" w:type="pct"/>
          </w:tcPr>
          <w:p>
            <w:pPr>
              <w:ind w:leftChars="0" w:left="0" w:right="0"/>
            </w:pPr>
            <w:r>
              <w:t>XAUK</w:t>
            </w:r>
          </w:p>
        </w:tc>
        <w:tc>
          <w:tcPr>
            <w:cnfStyle w:evenVBand="true" w:oddVBand="false" w:firstColumn="false"/>
            <w:tcW w:w="33.333333%" w:type="pct"/>
          </w:tcPr>
          <w:p>
            <w:pPr>
              <w:ind w:leftChars="0" w:left="0" w:right="0"/>
            </w:pPr>
            <w:r>
              <w:t>XAUK</w:t>
            </w:r>
          </w:p>
        </w:tc>
        <w:tc>
          <w:tcPr>
            <w:cnfStyle w:evenVBand="false" w:oddVBand="true" w:firstColumn="false"/>
            <w:tcW w:w="33.333333%" w:type="pct"/>
          </w:tcPr>
          <w:p>
            <w:pPr>
              <w:ind w:leftChars="0" w:left="0" w:right="0"/>
            </w:pPr>
            <w:r>
              <w:t>NEW ZEALAND STOCK EXCHANGE - AUCKLAND</w:t>
            </w:r>
          </w:p>
        </w:tc>
      </w:tr>
      <w:tr>
        <w:trPr>
          <w:cnfStyle w:evenHBand="false" w:oddHBand="true" w:firstRow="false"/>
        </w:trPr>
        <w:tc>
          <w:tcPr>
            <w:cnfStyle w:evenVBand="false" w:oddVBand="true" w:firstColumn="false"/>
            <w:tcW w:w="33.333333%" w:type="pct"/>
          </w:tcPr>
          <w:p>
            <w:pPr>
              <w:ind w:leftChars="0" w:left="0" w:right="0"/>
            </w:pPr>
            <w:r>
              <w:t>XAZX</w:t>
            </w:r>
          </w:p>
        </w:tc>
        <w:tc>
          <w:tcPr>
            <w:cnfStyle w:evenVBand="true" w:oddVBand="false" w:firstColumn="false"/>
            <w:tcW w:w="33.333333%" w:type="pct"/>
          </w:tcPr>
          <w:p>
            <w:pPr>
              <w:ind w:leftChars="0" w:left="0" w:right="0"/>
            </w:pPr>
            <w:r>
              <w:t>XAZX</w:t>
            </w:r>
          </w:p>
        </w:tc>
        <w:tc>
          <w:tcPr>
            <w:cnfStyle w:evenVBand="false" w:oddVBand="true" w:firstColumn="false"/>
            <w:tcW w:w="33.333333%" w:type="pct"/>
          </w:tcPr>
          <w:p>
            <w:pPr>
              <w:ind w:leftChars="0" w:left="0" w:right="0"/>
            </w:pPr>
            <w:r>
              <w:t>ARIZONA STOCK EXCHANGE</w:t>
            </w:r>
          </w:p>
        </w:tc>
      </w:tr>
      <w:tr>
        <w:trPr>
          <w:cnfStyle w:evenHBand="true" w:oddHBand="false" w:firstRow="false"/>
        </w:trPr>
        <w:tc>
          <w:tcPr>
            <w:cnfStyle w:evenVBand="false" w:oddVBand="true" w:firstColumn="false"/>
            <w:tcW w:w="33.333333%" w:type="pct"/>
          </w:tcPr>
          <w:p>
            <w:pPr>
              <w:ind w:leftChars="0" w:left="0" w:right="0"/>
            </w:pPr>
            <w:r>
              <w:t>XBAA</w:t>
            </w:r>
          </w:p>
        </w:tc>
        <w:tc>
          <w:tcPr>
            <w:cnfStyle w:evenVBand="true" w:oddVBand="false" w:firstColumn="false"/>
            <w:tcW w:w="33.333333%" w:type="pct"/>
          </w:tcPr>
          <w:p>
            <w:pPr>
              <w:ind w:leftChars="0" w:left="0" w:right="0"/>
            </w:pPr>
            <w:r>
              <w:t>XBAA</w:t>
            </w:r>
          </w:p>
        </w:tc>
        <w:tc>
          <w:tcPr>
            <w:cnfStyle w:evenVBand="false" w:oddVBand="true" w:firstColumn="false"/>
            <w:tcW w:w="33.333333%" w:type="pct"/>
          </w:tcPr>
          <w:p>
            <w:pPr>
              <w:ind w:leftChars="0" w:left="0" w:right="0"/>
            </w:pPr>
            <w:r>
              <w:t>BAHAMAS INTERNATIONAL SECURITIES EXCHANGE</w:t>
            </w:r>
          </w:p>
        </w:tc>
      </w:tr>
      <w:tr>
        <w:trPr>
          <w:cnfStyle w:evenHBand="false" w:oddHBand="true" w:firstRow="false"/>
        </w:trPr>
        <w:tc>
          <w:tcPr>
            <w:cnfStyle w:evenVBand="false" w:oddVBand="true" w:firstColumn="false"/>
            <w:tcW w:w="33.333333%" w:type="pct"/>
          </w:tcPr>
          <w:p>
            <w:pPr>
              <w:ind w:leftChars="0" w:left="0" w:right="0"/>
            </w:pPr>
            <w:r>
              <w:t>XBAB</w:t>
            </w:r>
          </w:p>
        </w:tc>
        <w:tc>
          <w:tcPr>
            <w:cnfStyle w:evenVBand="true" w:oddVBand="false" w:firstColumn="false"/>
            <w:tcW w:w="33.333333%" w:type="pct"/>
          </w:tcPr>
          <w:p>
            <w:pPr>
              <w:ind w:leftChars="0" w:left="0" w:right="0"/>
            </w:pPr>
            <w:r>
              <w:t>XBAB</w:t>
            </w:r>
          </w:p>
        </w:tc>
        <w:tc>
          <w:tcPr>
            <w:cnfStyle w:evenVBand="false" w:oddVBand="true" w:firstColumn="false"/>
            <w:tcW w:w="33.333333%" w:type="pct"/>
          </w:tcPr>
          <w:p>
            <w:pPr>
              <w:ind w:leftChars="0" w:left="0" w:right="0"/>
            </w:pPr>
            <w:r>
              <w:t>BARBADOS STOCK EXCHANGE</w:t>
            </w:r>
          </w:p>
        </w:tc>
      </w:tr>
      <w:tr>
        <w:trPr>
          <w:cnfStyle w:evenHBand="true" w:oddHBand="false" w:firstRow="false"/>
        </w:trPr>
        <w:tc>
          <w:tcPr>
            <w:cnfStyle w:evenVBand="false" w:oddVBand="true" w:firstColumn="false"/>
            <w:tcW w:w="33.333333%" w:type="pct"/>
          </w:tcPr>
          <w:p>
            <w:pPr>
              <w:ind w:leftChars="0" w:left="0" w:right="0"/>
            </w:pPr>
            <w:r>
              <w:t>XBAH</w:t>
            </w:r>
          </w:p>
        </w:tc>
        <w:tc>
          <w:tcPr>
            <w:cnfStyle w:evenVBand="true" w:oddVBand="false" w:firstColumn="false"/>
            <w:tcW w:w="33.333333%" w:type="pct"/>
          </w:tcPr>
          <w:p>
            <w:pPr>
              <w:ind w:leftChars="0" w:left="0" w:right="0"/>
            </w:pPr>
            <w:r>
              <w:t>XBAH</w:t>
            </w:r>
          </w:p>
        </w:tc>
        <w:tc>
          <w:tcPr>
            <w:cnfStyle w:evenVBand="false" w:oddVBand="true" w:firstColumn="false"/>
            <w:tcW w:w="33.333333%" w:type="pct"/>
          </w:tcPr>
          <w:p>
            <w:pPr>
              <w:ind w:leftChars="0" w:left="0" w:right="0"/>
            </w:pPr>
            <w:r>
              <w:t>BAHRAIN BOURSE</w:t>
            </w:r>
          </w:p>
        </w:tc>
      </w:tr>
      <w:tr>
        <w:trPr>
          <w:cnfStyle w:evenHBand="false" w:oddHBand="true" w:firstRow="false"/>
        </w:trPr>
        <w:tc>
          <w:tcPr>
            <w:cnfStyle w:evenVBand="false" w:oddVBand="true" w:firstColumn="false"/>
            <w:tcW w:w="33.333333%" w:type="pct"/>
          </w:tcPr>
          <w:p>
            <w:pPr>
              <w:ind w:leftChars="0" w:left="0" w:right="0"/>
            </w:pPr>
            <w:r>
              <w:t>XBAN</w:t>
            </w:r>
          </w:p>
        </w:tc>
        <w:tc>
          <w:tcPr>
            <w:cnfStyle w:evenVBand="true" w:oddVBand="false" w:firstColumn="false"/>
            <w:tcW w:w="33.333333%" w:type="pct"/>
          </w:tcPr>
          <w:p>
            <w:pPr>
              <w:ind w:leftChars="0" w:left="0" w:right="0"/>
            </w:pPr>
            <w:r>
              <w:t>XBAN</w:t>
            </w:r>
          </w:p>
        </w:tc>
        <w:tc>
          <w:tcPr>
            <w:cnfStyle w:evenVBand="false" w:oddVBand="true" w:firstColumn="false"/>
            <w:tcW w:w="33.333333%" w:type="pct"/>
          </w:tcPr>
          <w:p>
            <w:pPr>
              <w:ind w:leftChars="0" w:left="0" w:right="0"/>
            </w:pPr>
            <w:r>
              <w:t>BANGALORE STOCK EXCHANGE LTD</w:t>
            </w:r>
          </w:p>
        </w:tc>
      </w:tr>
      <w:tr>
        <w:trPr>
          <w:cnfStyle w:evenHBand="true" w:oddHBand="false" w:firstRow="false"/>
        </w:trPr>
        <w:tc>
          <w:tcPr>
            <w:cnfStyle w:evenVBand="false" w:oddVBand="true" w:firstColumn="false"/>
            <w:tcW w:w="33.333333%" w:type="pct"/>
          </w:tcPr>
          <w:p>
            <w:pPr>
              <w:ind w:leftChars="0" w:left="0" w:right="0"/>
            </w:pPr>
            <w:r>
              <w:t>XBAR</w:t>
            </w:r>
          </w:p>
        </w:tc>
        <w:tc>
          <w:tcPr>
            <w:cnfStyle w:evenVBand="true" w:oddVBand="false" w:firstColumn="false"/>
            <w:tcW w:w="33.333333%" w:type="pct"/>
          </w:tcPr>
          <w:p>
            <w:pPr>
              <w:ind w:leftChars="0" w:left="0" w:right="0"/>
            </w:pPr>
            <w:r>
              <w:t>XBAR</w:t>
            </w:r>
          </w:p>
        </w:tc>
        <w:tc>
          <w:tcPr>
            <w:cnfStyle w:evenVBand="false" w:oddVBand="true" w:firstColumn="false"/>
            <w:tcW w:w="33.333333%" w:type="pct"/>
          </w:tcPr>
          <w:p>
            <w:pPr>
              <w:ind w:leftChars="0" w:left="0" w:right="0"/>
            </w:pPr>
            <w:r>
              <w:t>BOLSA DE BARCELONA</w:t>
            </w:r>
          </w:p>
        </w:tc>
      </w:tr>
      <w:tr>
        <w:trPr>
          <w:cnfStyle w:evenHBand="false" w:oddHBand="true" w:firstRow="false"/>
        </w:trPr>
        <w:tc>
          <w:tcPr>
            <w:cnfStyle w:evenVBand="false" w:oddVBand="true" w:firstColumn="false"/>
            <w:tcW w:w="33.333333%" w:type="pct"/>
          </w:tcPr>
          <w:p>
            <w:pPr>
              <w:ind w:leftChars="0" w:left="0" w:right="0"/>
            </w:pPr>
            <w:r>
              <w:t>XBAV</w:t>
            </w:r>
          </w:p>
        </w:tc>
        <w:tc>
          <w:tcPr>
            <w:cnfStyle w:evenVBand="true" w:oddVBand="false" w:firstColumn="false"/>
            <w:tcW w:w="33.333333%" w:type="pct"/>
          </w:tcPr>
          <w:p>
            <w:pPr>
              <w:ind w:leftChars="0" w:left="0" w:right="0"/>
            </w:pPr>
            <w:r>
              <w:t>XBAV</w:t>
            </w:r>
          </w:p>
        </w:tc>
        <w:tc>
          <w:tcPr>
            <w:cnfStyle w:evenVBand="false" w:oddVBand="true" w:firstColumn="false"/>
            <w:tcW w:w="33.333333%" w:type="pct"/>
          </w:tcPr>
          <w:p>
            <w:pPr>
              <w:ind w:leftChars="0" w:left="0" w:right="0"/>
            </w:pPr>
            <w:r>
              <w:t>MERCHBOLSA AGENCIA DE VALORES, S.A.</w:t>
            </w:r>
          </w:p>
        </w:tc>
      </w:tr>
      <w:tr>
        <w:trPr>
          <w:cnfStyle w:evenHBand="true" w:oddHBand="false" w:firstRow="false"/>
        </w:trPr>
        <w:tc>
          <w:tcPr>
            <w:cnfStyle w:evenVBand="false" w:oddVBand="true" w:firstColumn="false"/>
            <w:tcW w:w="33.333333%" w:type="pct"/>
          </w:tcPr>
          <w:p>
            <w:pPr>
              <w:ind w:leftChars="0" w:left="0" w:right="0"/>
            </w:pPr>
            <w:r>
              <w:t>XBBF</w:t>
            </w:r>
          </w:p>
        </w:tc>
        <w:tc>
          <w:tcPr>
            <w:cnfStyle w:evenVBand="true" w:oddVBand="false" w:firstColumn="false"/>
            <w:tcW w:w="33.333333%" w:type="pct"/>
          </w:tcPr>
          <w:p>
            <w:pPr>
              <w:ind w:leftChars="0" w:left="0" w:right="0"/>
            </w:pPr>
            <w:r>
              <w:t>XBBF</w:t>
            </w:r>
          </w:p>
        </w:tc>
        <w:tc>
          <w:tcPr>
            <w:cnfStyle w:evenVBand="false" w:oddVBand="true" w:firstColumn="false"/>
            <w:tcW w:w="33.333333%" w:type="pct"/>
          </w:tcPr>
          <w:p>
            <w:pPr>
              <w:ind w:leftChars="0" w:left="0" w:right="0"/>
            </w:pPr>
            <w:r>
              <w:t>BOLSA BRASILIERA DE FUTUROS</w:t>
            </w:r>
          </w:p>
        </w:tc>
      </w:tr>
      <w:tr>
        <w:trPr>
          <w:cnfStyle w:evenHBand="false" w:oddHBand="true" w:firstRow="false"/>
        </w:trPr>
        <w:tc>
          <w:tcPr>
            <w:cnfStyle w:evenVBand="false" w:oddVBand="true" w:firstColumn="false"/>
            <w:tcW w:w="33.333333%" w:type="pct"/>
          </w:tcPr>
          <w:p>
            <w:pPr>
              <w:ind w:leftChars="0" w:left="0" w:right="0"/>
            </w:pPr>
            <w:r>
              <w:t>XBBJ</w:t>
            </w:r>
          </w:p>
        </w:tc>
        <w:tc>
          <w:tcPr>
            <w:cnfStyle w:evenVBand="true" w:oddVBand="false" w:firstColumn="false"/>
            <w:tcW w:w="33.333333%" w:type="pct"/>
          </w:tcPr>
          <w:p>
            <w:pPr>
              <w:ind w:leftChars="0" w:left="0" w:right="0"/>
            </w:pPr>
            <w:r>
              <w:t>XBBJ</w:t>
            </w:r>
          </w:p>
        </w:tc>
        <w:tc>
          <w:tcPr>
            <w:cnfStyle w:evenVBand="false" w:oddVBand="true" w:firstColumn="false"/>
            <w:tcW w:w="33.333333%" w:type="pct"/>
          </w:tcPr>
          <w:p>
            <w:pPr>
              <w:ind w:leftChars="0" w:left="0" w:right="0"/>
            </w:pPr>
            <w:r>
              <w:t>JAKARTA FUTURES EXCHANGE (BURSA BERJANGKA JAKARTA)</w:t>
            </w:r>
          </w:p>
        </w:tc>
      </w:tr>
      <w:tr>
        <w:trPr>
          <w:cnfStyle w:evenHBand="true" w:oddHBand="false" w:firstRow="false"/>
        </w:trPr>
        <w:tc>
          <w:tcPr>
            <w:cnfStyle w:evenVBand="false" w:oddVBand="true" w:firstColumn="false"/>
            <w:tcW w:w="33.333333%" w:type="pct"/>
          </w:tcPr>
          <w:p>
            <w:pPr>
              <w:ind w:leftChars="0" w:left="0" w:right="0"/>
            </w:pPr>
            <w:r>
              <w:t>XBBK</w:t>
            </w:r>
          </w:p>
        </w:tc>
        <w:tc>
          <w:tcPr>
            <w:cnfStyle w:evenVBand="true" w:oddVBand="false" w:firstColumn="false"/>
            <w:tcW w:w="33.333333%" w:type="pct"/>
          </w:tcPr>
          <w:p>
            <w:pPr>
              <w:ind w:leftChars="0" w:left="0" w:right="0"/>
            </w:pPr>
            <w:r>
              <w:t>XBBK</w:t>
            </w:r>
          </w:p>
        </w:tc>
        <w:tc>
          <w:tcPr>
            <w:cnfStyle w:evenVBand="false" w:oddVBand="true" w:firstColumn="false"/>
            <w:tcW w:w="33.333333%" w:type="pct"/>
          </w:tcPr>
          <w:p>
            <w:pPr>
              <w:ind w:leftChars="0" w:left="0" w:right="0"/>
            </w:pPr>
            <w:r>
              <w:t>PERIMETER FINANCIAL CORP. - BLOCKBOOK ATS</w:t>
            </w:r>
          </w:p>
        </w:tc>
      </w:tr>
      <w:tr>
        <w:trPr>
          <w:cnfStyle w:evenHBand="false" w:oddHBand="true" w:firstRow="false"/>
        </w:trPr>
        <w:tc>
          <w:tcPr>
            <w:cnfStyle w:evenVBand="false" w:oddVBand="true" w:firstColumn="false"/>
            <w:tcW w:w="33.333333%" w:type="pct"/>
          </w:tcPr>
          <w:p>
            <w:pPr>
              <w:ind w:leftChars="0" w:left="0" w:right="0"/>
            </w:pPr>
            <w:r>
              <w:t>XBCC</w:t>
            </w:r>
          </w:p>
        </w:tc>
        <w:tc>
          <w:tcPr>
            <w:cnfStyle w:evenVBand="true" w:oddVBand="false" w:firstColumn="false"/>
            <w:tcW w:w="33.333333%" w:type="pct"/>
          </w:tcPr>
          <w:p>
            <w:pPr>
              <w:ind w:leftChars="0" w:left="0" w:right="0"/>
            </w:pPr>
            <w:r>
              <w:t>XBCC</w:t>
            </w:r>
          </w:p>
        </w:tc>
        <w:tc>
          <w:tcPr>
            <w:cnfStyle w:evenVBand="false" w:oddVBand="true" w:firstColumn="false"/>
            <w:tcW w:w="33.333333%" w:type="pct"/>
          </w:tcPr>
          <w:p>
            <w:pPr>
              <w:ind w:leftChars="0" w:left="0" w:right="0"/>
            </w:pPr>
            <w:r>
              <w:t>BOLSA DE COMERCIO DE CORDOBA</w:t>
            </w:r>
          </w:p>
        </w:tc>
      </w:tr>
      <w:tr>
        <w:trPr>
          <w:cnfStyle w:evenHBand="true" w:oddHBand="false" w:firstRow="false"/>
        </w:trPr>
        <w:tc>
          <w:tcPr>
            <w:cnfStyle w:evenVBand="false" w:oddVBand="true" w:firstColumn="false"/>
            <w:tcW w:w="33.333333%" w:type="pct"/>
          </w:tcPr>
          <w:p>
            <w:pPr>
              <w:ind w:leftChars="0" w:left="0" w:right="0"/>
            </w:pPr>
            <w:r>
              <w:t>XBCE</w:t>
            </w:r>
          </w:p>
        </w:tc>
        <w:tc>
          <w:tcPr>
            <w:cnfStyle w:evenVBand="true" w:oddVBand="false" w:firstColumn="false"/>
            <w:tcW w:w="33.333333%" w:type="pct"/>
          </w:tcPr>
          <w:p>
            <w:pPr>
              <w:ind w:leftChars="0" w:left="0" w:right="0"/>
            </w:pPr>
            <w:r>
              <w:t>XBCE</w:t>
            </w:r>
          </w:p>
        </w:tc>
        <w:tc>
          <w:tcPr>
            <w:cnfStyle w:evenVBand="false" w:oddVBand="true" w:firstColumn="false"/>
            <w:tcW w:w="33.333333%" w:type="pct"/>
          </w:tcPr>
          <w:p>
            <w:pPr>
              <w:ind w:leftChars="0" w:left="0" w:right="0"/>
            </w:pPr>
            <w:r>
              <w:t>BUDAPEST COMMODITY EXCHANGE</w:t>
            </w:r>
          </w:p>
        </w:tc>
      </w:tr>
      <w:tr>
        <w:trPr>
          <w:cnfStyle w:evenHBand="false" w:oddHBand="true" w:firstRow="false"/>
        </w:trPr>
        <w:tc>
          <w:tcPr>
            <w:cnfStyle w:evenVBand="false" w:oddVBand="true" w:firstColumn="false"/>
            <w:tcW w:w="33.333333%" w:type="pct"/>
          </w:tcPr>
          <w:p>
            <w:pPr>
              <w:ind w:leftChars="0" w:left="0" w:right="0"/>
            </w:pPr>
            <w:r>
              <w:t>XBCL</w:t>
            </w:r>
          </w:p>
        </w:tc>
        <w:tc>
          <w:tcPr>
            <w:cnfStyle w:evenVBand="true" w:oddVBand="false" w:firstColumn="false"/>
            <w:tcW w:w="33.333333%" w:type="pct"/>
          </w:tcPr>
          <w:p>
            <w:pPr>
              <w:ind w:leftChars="0" w:left="0" w:right="0"/>
            </w:pPr>
            <w:r>
              <w:t>XBCL</w:t>
            </w:r>
          </w:p>
        </w:tc>
        <w:tc>
          <w:tcPr>
            <w:cnfStyle w:evenVBand="false" w:oddVBand="true" w:firstColumn="false"/>
            <w:tcW w:w="33.333333%" w:type="pct"/>
          </w:tcPr>
          <w:p>
            <w:pPr>
              <w:ind w:leftChars="0" w:left="0" w:right="0"/>
            </w:pPr>
            <w:r>
              <w:t>LA BOLSA ELECTRONICA DE CHILE</w:t>
            </w:r>
          </w:p>
        </w:tc>
      </w:tr>
      <w:tr>
        <w:trPr>
          <w:cnfStyle w:evenHBand="true" w:oddHBand="false" w:firstRow="false"/>
        </w:trPr>
        <w:tc>
          <w:tcPr>
            <w:cnfStyle w:evenVBand="false" w:oddVBand="true" w:firstColumn="false"/>
            <w:tcW w:w="33.333333%" w:type="pct"/>
          </w:tcPr>
          <w:p>
            <w:pPr>
              <w:ind w:leftChars="0" w:left="0" w:right="0"/>
            </w:pPr>
            <w:r>
              <w:t>XBCM</w:t>
            </w:r>
          </w:p>
        </w:tc>
        <w:tc>
          <w:tcPr>
            <w:cnfStyle w:evenVBand="true" w:oddVBand="false" w:firstColumn="false"/>
            <w:tcW w:w="33.333333%" w:type="pct"/>
          </w:tcPr>
          <w:p>
            <w:pPr>
              <w:ind w:leftChars="0" w:left="0" w:right="0"/>
            </w:pPr>
            <w:r>
              <w:t>XBCM</w:t>
            </w:r>
          </w:p>
        </w:tc>
        <w:tc>
          <w:tcPr>
            <w:cnfStyle w:evenVBand="false" w:oddVBand="true" w:firstColumn="false"/>
            <w:tcW w:w="33.333333%" w:type="pct"/>
          </w:tcPr>
          <w:p>
            <w:pPr>
              <w:ind w:leftChars="0" w:left="0" w:right="0"/>
            </w:pPr>
            <w:r>
              <w:t>BOLSA DE COMERCIO DE MENDOZA S.A.</w:t>
            </w:r>
          </w:p>
        </w:tc>
      </w:tr>
      <w:tr>
        <w:trPr>
          <w:cnfStyle w:evenHBand="false" w:oddHBand="true" w:firstRow="false"/>
        </w:trPr>
        <w:tc>
          <w:tcPr>
            <w:cnfStyle w:evenVBand="false" w:oddVBand="true" w:firstColumn="false"/>
            <w:tcW w:w="33.333333%" w:type="pct"/>
          </w:tcPr>
          <w:p>
            <w:pPr>
              <w:ind w:leftChars="0" w:left="0" w:right="0"/>
            </w:pPr>
            <w:r>
              <w:t>XBCV</w:t>
            </w:r>
          </w:p>
        </w:tc>
        <w:tc>
          <w:tcPr>
            <w:cnfStyle w:evenVBand="true" w:oddVBand="false" w:firstColumn="false"/>
            <w:tcW w:w="33.333333%" w:type="pct"/>
          </w:tcPr>
          <w:p>
            <w:pPr>
              <w:ind w:leftChars="0" w:left="0" w:right="0"/>
            </w:pPr>
            <w:r>
              <w:t>XBCV</w:t>
            </w:r>
          </w:p>
        </w:tc>
        <w:tc>
          <w:tcPr>
            <w:cnfStyle w:evenVBand="false" w:oddVBand="true" w:firstColumn="false"/>
            <w:tcW w:w="33.333333%" w:type="pct"/>
          </w:tcPr>
          <w:p>
            <w:pPr>
              <w:ind w:leftChars="0" w:left="0" w:right="0"/>
            </w:pPr>
            <w:r>
              <w:t>BOLSA CENTROAMERICANA DE VALORES S.A.</w:t>
            </w:r>
          </w:p>
        </w:tc>
      </w:tr>
      <w:tr>
        <w:trPr>
          <w:cnfStyle w:evenHBand="true" w:oddHBand="false" w:firstRow="false"/>
        </w:trPr>
        <w:tc>
          <w:tcPr>
            <w:cnfStyle w:evenVBand="false" w:oddVBand="true" w:firstColumn="false"/>
            <w:tcW w:w="33.333333%" w:type="pct"/>
          </w:tcPr>
          <w:p>
            <w:pPr>
              <w:ind w:leftChars="0" w:left="0" w:right="0"/>
            </w:pPr>
            <w:r>
              <w:t>XBCX</w:t>
            </w:r>
          </w:p>
        </w:tc>
        <w:tc>
          <w:tcPr>
            <w:cnfStyle w:evenVBand="true" w:oddVBand="false" w:firstColumn="false"/>
            <w:tcW w:w="33.333333%" w:type="pct"/>
          </w:tcPr>
          <w:p>
            <w:pPr>
              <w:ind w:leftChars="0" w:left="0" w:right="0"/>
            </w:pPr>
            <w:r>
              <w:t>XBCX</w:t>
            </w:r>
          </w:p>
        </w:tc>
        <w:tc>
          <w:tcPr>
            <w:cnfStyle w:evenVBand="false" w:oddVBand="true" w:firstColumn="false"/>
            <w:tcW w:w="33.333333%" w:type="pct"/>
          </w:tcPr>
          <w:p>
            <w:pPr>
              <w:ind w:leftChars="0" w:left="0" w:right="0"/>
            </w:pPr>
            <w:r>
              <w:t>MERCADO DE VALORES DE MENDOZA S.A.</w:t>
            </w:r>
          </w:p>
        </w:tc>
      </w:tr>
      <w:tr>
        <w:trPr>
          <w:cnfStyle w:evenHBand="false" w:oddHBand="true" w:firstRow="false"/>
        </w:trPr>
        <w:tc>
          <w:tcPr>
            <w:cnfStyle w:evenVBand="false" w:oddVBand="true" w:firstColumn="false"/>
            <w:tcW w:w="33.333333%" w:type="pct"/>
          </w:tcPr>
          <w:p>
            <w:pPr>
              <w:ind w:leftChars="0" w:left="0" w:right="0"/>
            </w:pPr>
            <w:r>
              <w:t>XBDA</w:t>
            </w:r>
          </w:p>
        </w:tc>
        <w:tc>
          <w:tcPr>
            <w:cnfStyle w:evenVBand="true" w:oddVBand="false" w:firstColumn="false"/>
            <w:tcW w:w="33.333333%" w:type="pct"/>
          </w:tcPr>
          <w:p>
            <w:pPr>
              <w:ind w:leftChars="0" w:left="0" w:right="0"/>
            </w:pPr>
            <w:r>
              <w:t>XBDA</w:t>
            </w:r>
          </w:p>
        </w:tc>
        <w:tc>
          <w:tcPr>
            <w:cnfStyle w:evenVBand="false" w:oddVBand="true" w:firstColumn="false"/>
            <w:tcW w:w="33.333333%" w:type="pct"/>
          </w:tcPr>
          <w:p>
            <w:pPr>
              <w:ind w:leftChars="0" w:left="0" w:right="0"/>
            </w:pPr>
            <w:r>
              <w:t>BERMUDA STOCK EXCHANGE LTD</w:t>
            </w:r>
          </w:p>
        </w:tc>
      </w:tr>
      <w:tr>
        <w:trPr>
          <w:cnfStyle w:evenHBand="true" w:oddHBand="false" w:firstRow="false"/>
        </w:trPr>
        <w:tc>
          <w:tcPr>
            <w:cnfStyle w:evenVBand="false" w:oddVBand="true" w:firstColumn="false"/>
            <w:tcW w:w="33.333333%" w:type="pct"/>
          </w:tcPr>
          <w:p>
            <w:pPr>
              <w:ind w:leftChars="0" w:left="0" w:right="0"/>
            </w:pPr>
            <w:r>
              <w:t>XBDV</w:t>
            </w:r>
          </w:p>
        </w:tc>
        <w:tc>
          <w:tcPr>
            <w:cnfStyle w:evenVBand="true" w:oddVBand="false" w:firstColumn="false"/>
            <w:tcW w:w="33.333333%" w:type="pct"/>
          </w:tcPr>
          <w:p>
            <w:pPr>
              <w:ind w:leftChars="0" w:left="0" w:right="0"/>
            </w:pPr>
            <w:r>
              <w:t>XBDV</w:t>
            </w:r>
          </w:p>
        </w:tc>
        <w:tc>
          <w:tcPr>
            <w:cnfStyle w:evenVBand="false" w:oddVBand="true" w:firstColumn="false"/>
            <w:tcW w:w="33.333333%" w:type="pct"/>
          </w:tcPr>
          <w:p>
            <w:pPr>
              <w:ind w:leftChars="0" w:left="0" w:right="0"/>
            </w:pPr>
            <w:r>
              <w:t>BOLSA DE DIVIDA E VALORES DE ANGOLA (BODIVA) - ANGOLA SECURITIES EXCHANGE</w:t>
            </w:r>
          </w:p>
        </w:tc>
      </w:tr>
      <w:tr>
        <w:trPr>
          <w:cnfStyle w:evenHBand="false" w:oddHBand="true" w:firstRow="false"/>
        </w:trPr>
        <w:tc>
          <w:tcPr>
            <w:cnfStyle w:evenVBand="false" w:oddVBand="true" w:firstColumn="false"/>
            <w:tcW w:w="33.333333%" w:type="pct"/>
          </w:tcPr>
          <w:p>
            <w:pPr>
              <w:ind w:leftChars="0" w:left="0" w:right="0"/>
            </w:pPr>
            <w:r>
              <w:t>XBEL</w:t>
            </w:r>
          </w:p>
        </w:tc>
        <w:tc>
          <w:tcPr>
            <w:cnfStyle w:evenVBand="true" w:oddVBand="false" w:firstColumn="false"/>
            <w:tcW w:w="33.333333%" w:type="pct"/>
          </w:tcPr>
          <w:p>
            <w:pPr>
              <w:ind w:leftChars="0" w:left="0" w:right="0"/>
            </w:pPr>
            <w:r>
              <w:t>XBEL</w:t>
            </w:r>
          </w:p>
        </w:tc>
        <w:tc>
          <w:tcPr>
            <w:cnfStyle w:evenVBand="false" w:oddVBand="true" w:firstColumn="false"/>
            <w:tcW w:w="33.333333%" w:type="pct"/>
          </w:tcPr>
          <w:p>
            <w:pPr>
              <w:ind w:leftChars="0" w:left="0" w:right="0"/>
            </w:pPr>
            <w:r>
              <w:t>BELGRADE STOCK EXCHANGE</w:t>
            </w:r>
          </w:p>
        </w:tc>
      </w:tr>
      <w:tr>
        <w:trPr>
          <w:cnfStyle w:evenHBand="true" w:oddHBand="false" w:firstRow="false"/>
        </w:trPr>
        <w:tc>
          <w:tcPr>
            <w:cnfStyle w:evenVBand="false" w:oddVBand="true" w:firstColumn="false"/>
            <w:tcW w:w="33.333333%" w:type="pct"/>
          </w:tcPr>
          <w:p>
            <w:pPr>
              <w:ind w:leftChars="0" w:left="0" w:right="0"/>
            </w:pPr>
            <w:r>
              <w:t>XBER</w:t>
            </w:r>
          </w:p>
        </w:tc>
        <w:tc>
          <w:tcPr>
            <w:cnfStyle w:evenVBand="true" w:oddVBand="false" w:firstColumn="false"/>
            <w:tcW w:w="33.333333%" w:type="pct"/>
          </w:tcPr>
          <w:p>
            <w:pPr>
              <w:ind w:leftChars="0" w:left="0" w:right="0"/>
            </w:pPr>
            <w:r>
              <w:t>XBER</w:t>
            </w:r>
          </w:p>
        </w:tc>
        <w:tc>
          <w:tcPr>
            <w:cnfStyle w:evenVBand="false" w:oddVBand="true" w:firstColumn="false"/>
            <w:tcW w:w="33.333333%" w:type="pct"/>
          </w:tcPr>
          <w:p>
            <w:pPr>
              <w:ind w:leftChars="0" w:left="0" w:right="0"/>
            </w:pPr>
            <w:r>
              <w:t>BOERSE BERLIN</w:t>
            </w:r>
          </w:p>
        </w:tc>
      </w:tr>
      <w:tr>
        <w:trPr>
          <w:cnfStyle w:evenHBand="false" w:oddHBand="true" w:firstRow="false"/>
        </w:trPr>
        <w:tc>
          <w:tcPr>
            <w:cnfStyle w:evenVBand="false" w:oddVBand="true" w:firstColumn="false"/>
            <w:tcW w:w="33.333333%" w:type="pct"/>
          </w:tcPr>
          <w:p>
            <w:pPr>
              <w:ind w:leftChars="0" w:left="0" w:right="0"/>
            </w:pPr>
            <w:r>
              <w:t>XBES</w:t>
            </w:r>
          </w:p>
        </w:tc>
        <w:tc>
          <w:tcPr>
            <w:cnfStyle w:evenVBand="true" w:oddVBand="false" w:firstColumn="false"/>
            <w:tcW w:w="33.333333%" w:type="pct"/>
          </w:tcPr>
          <w:p>
            <w:pPr>
              <w:ind w:leftChars="0" w:left="0" w:right="0"/>
            </w:pPr>
            <w:r>
              <w:t>XBES</w:t>
            </w:r>
          </w:p>
        </w:tc>
        <w:tc>
          <w:tcPr>
            <w:cnfStyle w:evenVBand="false" w:oddVBand="true" w:firstColumn="false"/>
            <w:tcW w:w="33.333333%" w:type="pct"/>
          </w:tcPr>
          <w:p>
            <w:pPr>
              <w:ind w:leftChars="0" w:left="0" w:right="0"/>
            </w:pPr>
            <w:r>
              <w:t>JSE CASH BOND MARKET</w:t>
            </w:r>
          </w:p>
        </w:tc>
      </w:tr>
      <w:tr>
        <w:trPr>
          <w:cnfStyle w:evenHBand="true" w:oddHBand="false" w:firstRow="false"/>
        </w:trPr>
        <w:tc>
          <w:tcPr>
            <w:cnfStyle w:evenVBand="false" w:oddVBand="true" w:firstColumn="false"/>
            <w:tcW w:w="33.333333%" w:type="pct"/>
          </w:tcPr>
          <w:p>
            <w:pPr>
              <w:ind w:leftChars="0" w:left="0" w:right="0"/>
            </w:pPr>
            <w:r>
              <w:t>XBEY</w:t>
            </w:r>
          </w:p>
        </w:tc>
        <w:tc>
          <w:tcPr>
            <w:cnfStyle w:evenVBand="true" w:oddVBand="false" w:firstColumn="false"/>
            <w:tcW w:w="33.333333%" w:type="pct"/>
          </w:tcPr>
          <w:p>
            <w:pPr>
              <w:ind w:leftChars="0" w:left="0" w:right="0"/>
            </w:pPr>
            <w:r>
              <w:t>XBEY</w:t>
            </w:r>
          </w:p>
        </w:tc>
        <w:tc>
          <w:tcPr>
            <w:cnfStyle w:evenVBand="false" w:oddVBand="true" w:firstColumn="false"/>
            <w:tcW w:w="33.333333%" w:type="pct"/>
          </w:tcPr>
          <w:p>
            <w:pPr>
              <w:ind w:leftChars="0" w:left="0" w:right="0"/>
            </w:pPr>
            <w:r>
              <w:t>BOURSE DE BEYROUTH - BEIRUT STOCK EXCHANGE</w:t>
            </w:r>
          </w:p>
        </w:tc>
      </w:tr>
      <w:tr>
        <w:trPr>
          <w:cnfStyle w:evenHBand="false" w:oddHBand="true" w:firstRow="false"/>
        </w:trPr>
        <w:tc>
          <w:tcPr>
            <w:cnfStyle w:evenVBand="false" w:oddVBand="true" w:firstColumn="false"/>
            <w:tcW w:w="33.333333%" w:type="pct"/>
          </w:tcPr>
          <w:p>
            <w:pPr>
              <w:ind w:leftChars="0" w:left="0" w:right="0"/>
            </w:pPr>
            <w:r>
              <w:t>XBFO</w:t>
            </w:r>
          </w:p>
        </w:tc>
        <w:tc>
          <w:tcPr>
            <w:cnfStyle w:evenVBand="true" w:oddVBand="false" w:firstColumn="false"/>
            <w:tcW w:w="33.333333%" w:type="pct"/>
          </w:tcPr>
          <w:p>
            <w:pPr>
              <w:ind w:leftChars="0" w:left="0" w:right="0"/>
            </w:pPr>
            <w:r>
              <w:t>XBFO</w:t>
            </w:r>
          </w:p>
        </w:tc>
        <w:tc>
          <w:tcPr>
            <w:cnfStyle w:evenVBand="false" w:oddVBand="true" w:firstColumn="false"/>
            <w:tcW w:w="33.333333%" w:type="pct"/>
          </w:tcPr>
          <w:p>
            <w:pPr>
              <w:ind w:leftChars="0" w:left="0" w:right="0"/>
            </w:pPr>
            <w:r>
              <w:t>BELGIAN FUTURES AND OPTIONS EXCHANGE</w:t>
            </w:r>
          </w:p>
        </w:tc>
      </w:tr>
      <w:tr>
        <w:trPr>
          <w:cnfStyle w:evenHBand="true" w:oddHBand="false" w:firstRow="false"/>
        </w:trPr>
        <w:tc>
          <w:tcPr>
            <w:cnfStyle w:evenVBand="false" w:oddVBand="true" w:firstColumn="false"/>
            <w:tcW w:w="33.333333%" w:type="pct"/>
          </w:tcPr>
          <w:p>
            <w:pPr>
              <w:ind w:leftChars="0" w:left="0" w:right="0"/>
            </w:pPr>
            <w:r>
              <w:t>XBIL</w:t>
            </w:r>
          </w:p>
        </w:tc>
        <w:tc>
          <w:tcPr>
            <w:cnfStyle w:evenVBand="true" w:oddVBand="false" w:firstColumn="false"/>
            <w:tcW w:w="33.333333%" w:type="pct"/>
          </w:tcPr>
          <w:p>
            <w:pPr>
              <w:ind w:leftChars="0" w:left="0" w:right="0"/>
            </w:pPr>
            <w:r>
              <w:t>XBIL</w:t>
            </w:r>
          </w:p>
        </w:tc>
        <w:tc>
          <w:tcPr>
            <w:cnfStyle w:evenVBand="false" w:oddVBand="true" w:firstColumn="false"/>
            <w:tcW w:w="33.333333%" w:type="pct"/>
          </w:tcPr>
          <w:p>
            <w:pPr>
              <w:ind w:leftChars="0" w:left="0" w:right="0"/>
            </w:pPr>
            <w:r>
              <w:t>BOLSA DE VALORES DE BILBAO</w:t>
            </w:r>
          </w:p>
        </w:tc>
      </w:tr>
      <w:tr>
        <w:trPr>
          <w:cnfStyle w:evenHBand="false" w:oddHBand="true" w:firstRow="false"/>
        </w:trPr>
        <w:tc>
          <w:tcPr>
            <w:cnfStyle w:evenVBand="false" w:oddVBand="true" w:firstColumn="false"/>
            <w:tcW w:w="33.333333%" w:type="pct"/>
          </w:tcPr>
          <w:p>
            <w:pPr>
              <w:ind w:leftChars="0" w:left="0" w:right="0"/>
            </w:pPr>
            <w:r>
              <w:t>XBIS</w:t>
            </w:r>
          </w:p>
        </w:tc>
        <w:tc>
          <w:tcPr>
            <w:cnfStyle w:evenVBand="true" w:oddVBand="false" w:firstColumn="false"/>
            <w:tcW w:w="33.333333%" w:type="pct"/>
          </w:tcPr>
          <w:p>
            <w:pPr>
              <w:ind w:leftChars="0" w:left="0" w:right="0"/>
            </w:pPr>
            <w:r>
              <w:t>XBIS</w:t>
            </w:r>
          </w:p>
        </w:tc>
        <w:tc>
          <w:tcPr>
            <w:cnfStyle w:evenVBand="false" w:oddVBand="true" w:firstColumn="false"/>
            <w:tcW w:w="33.333333%" w:type="pct"/>
          </w:tcPr>
          <w:p>
            <w:pPr>
              <w:ind w:leftChars="0" w:left="0" w:right="0"/>
            </w:pPr>
            <w:r>
              <w:t>BARBADOS STOCK EXCHANGE - INTERNATIONAL SECURITIES MARKET</w:t>
            </w:r>
          </w:p>
        </w:tc>
      </w:tr>
      <w:tr>
        <w:trPr>
          <w:cnfStyle w:evenHBand="true" w:oddHBand="false" w:firstRow="false"/>
        </w:trPr>
        <w:tc>
          <w:tcPr>
            <w:cnfStyle w:evenVBand="false" w:oddVBand="true" w:firstColumn="false"/>
            <w:tcW w:w="33.333333%" w:type="pct"/>
          </w:tcPr>
          <w:p>
            <w:pPr>
              <w:ind w:leftChars="0" w:left="0" w:right="0"/>
            </w:pPr>
            <w:r>
              <w:t>XBKF</w:t>
            </w:r>
          </w:p>
        </w:tc>
        <w:tc>
          <w:tcPr>
            <w:cnfStyle w:evenVBand="true" w:oddVBand="false" w:firstColumn="false"/>
            <w:tcW w:w="33.333333%" w:type="pct"/>
          </w:tcPr>
          <w:p>
            <w:pPr>
              <w:ind w:leftChars="0" w:left="0" w:right="0"/>
            </w:pPr>
            <w:r>
              <w:t>XBKF</w:t>
            </w:r>
          </w:p>
        </w:tc>
        <w:tc>
          <w:tcPr>
            <w:cnfStyle w:evenVBand="false" w:oddVBand="true" w:firstColumn="false"/>
            <w:tcW w:w="33.333333%" w:type="pct"/>
          </w:tcPr>
          <w:p>
            <w:pPr>
              <w:ind w:leftChars="0" w:left="0" w:right="0"/>
            </w:pPr>
            <w:r>
              <w:t>STOCK EXCHANGE OF THAILAND - FOREIGN BOARD</w:t>
            </w:r>
          </w:p>
        </w:tc>
      </w:tr>
      <w:tr>
        <w:trPr>
          <w:cnfStyle w:evenHBand="false" w:oddHBand="true" w:firstRow="false"/>
        </w:trPr>
        <w:tc>
          <w:tcPr>
            <w:cnfStyle w:evenVBand="false" w:oddVBand="true" w:firstColumn="false"/>
            <w:tcW w:w="33.333333%" w:type="pct"/>
          </w:tcPr>
          <w:p>
            <w:pPr>
              <w:ind w:leftChars="0" w:left="0" w:right="0"/>
            </w:pPr>
            <w:r>
              <w:t>XBKK</w:t>
            </w:r>
          </w:p>
        </w:tc>
        <w:tc>
          <w:tcPr>
            <w:cnfStyle w:evenVBand="true" w:oddVBand="false" w:firstColumn="false"/>
            <w:tcW w:w="33.333333%" w:type="pct"/>
          </w:tcPr>
          <w:p>
            <w:pPr>
              <w:ind w:leftChars="0" w:left="0" w:right="0"/>
            </w:pPr>
            <w:r>
              <w:t>XBKK</w:t>
            </w:r>
          </w:p>
        </w:tc>
        <w:tc>
          <w:tcPr>
            <w:cnfStyle w:evenVBand="false" w:oddVBand="true" w:firstColumn="false"/>
            <w:tcW w:w="33.333333%" w:type="pct"/>
          </w:tcPr>
          <w:p>
            <w:pPr>
              <w:ind w:leftChars="0" w:left="0" w:right="0"/>
            </w:pPr>
            <w:r>
              <w:t>STOCK EXCHANGE OF THAILAND</w:t>
            </w:r>
          </w:p>
        </w:tc>
      </w:tr>
      <w:tr>
        <w:trPr>
          <w:cnfStyle w:evenHBand="true" w:oddHBand="false" w:firstRow="false"/>
        </w:trPr>
        <w:tc>
          <w:tcPr>
            <w:cnfStyle w:evenVBand="false" w:oddVBand="true" w:firstColumn="false"/>
            <w:tcW w:w="33.333333%" w:type="pct"/>
          </w:tcPr>
          <w:p>
            <w:pPr>
              <w:ind w:leftChars="0" w:left="0" w:right="0"/>
            </w:pPr>
            <w:r>
              <w:t>XBLB</w:t>
            </w:r>
          </w:p>
        </w:tc>
        <w:tc>
          <w:tcPr>
            <w:cnfStyle w:evenVBand="true" w:oddVBand="false" w:firstColumn="false"/>
            <w:tcW w:w="33.333333%" w:type="pct"/>
          </w:tcPr>
          <w:p>
            <w:pPr>
              <w:ind w:leftChars="0" w:left="0" w:right="0"/>
            </w:pPr>
            <w:r>
              <w:t>XBLB</w:t>
            </w:r>
          </w:p>
        </w:tc>
        <w:tc>
          <w:tcPr>
            <w:cnfStyle w:evenVBand="false" w:oddVBand="true" w:firstColumn="false"/>
            <w:tcW w:w="33.333333%" w:type="pct"/>
          </w:tcPr>
          <w:p>
            <w:pPr>
              <w:ind w:leftChars="0" w:left="0" w:right="0"/>
            </w:pPr>
            <w:r>
              <w:t>BANJA LUKA STOCK EXCHANGE</w:t>
            </w:r>
          </w:p>
        </w:tc>
      </w:tr>
      <w:tr>
        <w:trPr>
          <w:cnfStyle w:evenHBand="false" w:oddHBand="true" w:firstRow="false"/>
        </w:trPr>
        <w:tc>
          <w:tcPr>
            <w:cnfStyle w:evenVBand="false" w:oddVBand="true" w:firstColumn="false"/>
            <w:tcW w:w="33.333333%" w:type="pct"/>
          </w:tcPr>
          <w:p>
            <w:pPr>
              <w:ind w:leftChars="0" w:left="0" w:right="0"/>
            </w:pPr>
            <w:r>
              <w:t>XBLK</w:t>
            </w:r>
          </w:p>
        </w:tc>
        <w:tc>
          <w:tcPr>
            <w:cnfStyle w:evenVBand="true" w:oddVBand="false" w:firstColumn="false"/>
            <w:tcW w:w="33.333333%" w:type="pct"/>
          </w:tcPr>
          <w:p>
            <w:pPr>
              <w:ind w:leftChars="0" w:left="0" w:right="0"/>
            </w:pPr>
            <w:r>
              <w:t>XBLK</w:t>
            </w:r>
          </w:p>
        </w:tc>
        <w:tc>
          <w:tcPr>
            <w:cnfStyle w:evenVBand="false" w:oddVBand="true" w:firstColumn="false"/>
            <w:tcW w:w="33.333333%" w:type="pct"/>
          </w:tcPr>
          <w:p>
            <w:pPr>
              <w:ind w:leftChars="0" w:left="0" w:right="0"/>
            </w:pPr>
            <w:r>
              <w:t>EURONEXT BLOCK 2</w:t>
            </w:r>
          </w:p>
        </w:tc>
      </w:tr>
      <w:tr>
        <w:trPr>
          <w:cnfStyle w:evenHBand="true" w:oddHBand="false" w:firstRow="false"/>
        </w:trPr>
        <w:tc>
          <w:tcPr>
            <w:cnfStyle w:evenVBand="false" w:oddVBand="true" w:firstColumn="false"/>
            <w:tcW w:w="33.333333%" w:type="pct"/>
          </w:tcPr>
          <w:p>
            <w:pPr>
              <w:ind w:leftChars="0" w:left="0" w:right="0"/>
            </w:pPr>
            <w:r>
              <w:t>XBLN</w:t>
            </w:r>
          </w:p>
        </w:tc>
        <w:tc>
          <w:tcPr>
            <w:cnfStyle w:evenVBand="true" w:oddVBand="false" w:firstColumn="false"/>
            <w:tcW w:w="33.333333%" w:type="pct"/>
          </w:tcPr>
          <w:p>
            <w:pPr>
              <w:ind w:leftChars="0" w:left="0" w:right="0"/>
            </w:pPr>
            <w:r>
              <w:t>XBLN</w:t>
            </w:r>
          </w:p>
        </w:tc>
        <w:tc>
          <w:tcPr>
            <w:cnfStyle w:evenVBand="false" w:oddVBand="true" w:firstColumn="false"/>
            <w:tcW w:w="33.333333%" w:type="pct"/>
          </w:tcPr>
          <w:p>
            <w:pPr>
              <w:ind w:leftChars="0" w:left="0" w:right="0"/>
            </w:pPr>
            <w:r>
              <w:t>BLUENEXT</w:t>
            </w:r>
          </w:p>
        </w:tc>
      </w:tr>
      <w:tr>
        <w:trPr>
          <w:cnfStyle w:evenHBand="false" w:oddHBand="true" w:firstRow="false"/>
        </w:trPr>
        <w:tc>
          <w:tcPr>
            <w:cnfStyle w:evenVBand="false" w:oddVBand="true" w:firstColumn="false"/>
            <w:tcW w:w="33.333333%" w:type="pct"/>
          </w:tcPr>
          <w:p>
            <w:pPr>
              <w:ind w:leftChars="0" w:left="0" w:right="0"/>
            </w:pPr>
            <w:r>
              <w:t>XBMF</w:t>
            </w:r>
          </w:p>
        </w:tc>
        <w:tc>
          <w:tcPr>
            <w:cnfStyle w:evenVBand="true" w:oddVBand="false" w:firstColumn="false"/>
            <w:tcW w:w="33.333333%" w:type="pct"/>
          </w:tcPr>
          <w:p>
            <w:pPr>
              <w:ind w:leftChars="0" w:left="0" w:right="0"/>
            </w:pPr>
            <w:r>
              <w:t>XBMF</w:t>
            </w:r>
          </w:p>
        </w:tc>
        <w:tc>
          <w:tcPr>
            <w:cnfStyle w:evenVBand="false" w:oddVBand="true" w:firstColumn="false"/>
            <w:tcW w:w="33.333333%" w:type="pct"/>
          </w:tcPr>
          <w:p>
            <w:pPr>
              <w:ind w:leftChars="0" w:left="0" w:right="0"/>
            </w:pPr>
            <w:r>
              <w:t>BOLSA DE MERCADORIAS E FUTUROS</w:t>
            </w:r>
          </w:p>
        </w:tc>
      </w:tr>
      <w:tr>
        <w:trPr>
          <w:cnfStyle w:evenHBand="true" w:oddHBand="false" w:firstRow="false"/>
        </w:trPr>
        <w:tc>
          <w:tcPr>
            <w:cnfStyle w:evenVBand="false" w:oddVBand="true" w:firstColumn="false"/>
            <w:tcW w:w="33.333333%" w:type="pct"/>
          </w:tcPr>
          <w:p>
            <w:pPr>
              <w:ind w:leftChars="0" w:left="0" w:right="0"/>
            </w:pPr>
            <w:r>
              <w:t>XBMK</w:t>
            </w:r>
          </w:p>
        </w:tc>
        <w:tc>
          <w:tcPr>
            <w:cnfStyle w:evenVBand="true" w:oddVBand="false" w:firstColumn="false"/>
            <w:tcW w:w="33.333333%" w:type="pct"/>
          </w:tcPr>
          <w:p>
            <w:pPr>
              <w:ind w:leftChars="0" w:left="0" w:right="0"/>
            </w:pPr>
            <w:r>
              <w:t>XBMK</w:t>
            </w:r>
          </w:p>
        </w:tc>
        <w:tc>
          <w:tcPr>
            <w:cnfStyle w:evenVBand="false" w:oddVBand="true" w:firstColumn="false"/>
            <w:tcW w:w="33.333333%" w:type="pct"/>
          </w:tcPr>
          <w:p>
            <w:pPr>
              <w:ind w:leftChars="0" w:left="0" w:right="0"/>
            </w:pPr>
            <w:r>
              <w:t>BONDMART</w:t>
            </w:r>
          </w:p>
        </w:tc>
      </w:tr>
      <w:tr>
        <w:trPr>
          <w:cnfStyle w:evenHBand="false" w:oddHBand="true" w:firstRow="false"/>
        </w:trPr>
        <w:tc>
          <w:tcPr>
            <w:cnfStyle w:evenVBand="false" w:oddVBand="true" w:firstColumn="false"/>
            <w:tcW w:w="33.333333%" w:type="pct"/>
          </w:tcPr>
          <w:p>
            <w:pPr>
              <w:ind w:leftChars="0" w:left="0" w:right="0"/>
            </w:pPr>
            <w:r>
              <w:t>XBND</w:t>
            </w:r>
          </w:p>
        </w:tc>
        <w:tc>
          <w:tcPr>
            <w:cnfStyle w:evenVBand="true" w:oddVBand="false" w:firstColumn="false"/>
            <w:tcW w:w="33.333333%" w:type="pct"/>
          </w:tcPr>
          <w:p>
            <w:pPr>
              <w:ind w:leftChars="0" w:left="0" w:right="0"/>
            </w:pPr>
            <w:r>
              <w:t>XBND</w:t>
            </w:r>
          </w:p>
        </w:tc>
        <w:tc>
          <w:tcPr>
            <w:cnfStyle w:evenVBand="false" w:oddVBand="true" w:firstColumn="false"/>
            <w:tcW w:w="33.333333%" w:type="pct"/>
          </w:tcPr>
          <w:p>
            <w:pPr>
              <w:ind w:leftChars="0" w:left="0" w:right="0"/>
            </w:pPr>
            <w:r>
              <w:t>BUDAPEST STOCK EXCHANGE - XBOND</w:t>
            </w:r>
          </w:p>
        </w:tc>
      </w:tr>
      <w:tr>
        <w:trPr>
          <w:cnfStyle w:evenHBand="true" w:oddHBand="false" w:firstRow="false"/>
        </w:trPr>
        <w:tc>
          <w:tcPr>
            <w:cnfStyle w:evenVBand="false" w:oddVBand="true" w:firstColumn="false"/>
            <w:tcW w:w="33.333333%" w:type="pct"/>
          </w:tcPr>
          <w:p>
            <w:pPr>
              <w:ind w:leftChars="0" w:left="0" w:right="0"/>
            </w:pPr>
            <w:r>
              <w:t>XBNV</w:t>
            </w:r>
          </w:p>
        </w:tc>
        <w:tc>
          <w:tcPr>
            <w:cnfStyle w:evenVBand="true" w:oddVBand="false" w:firstColumn="false"/>
            <w:tcW w:w="33.333333%" w:type="pct"/>
          </w:tcPr>
          <w:p>
            <w:pPr>
              <w:ind w:leftChars="0" w:left="0" w:right="0"/>
            </w:pPr>
            <w:r>
              <w:t>XBNV</w:t>
            </w:r>
          </w:p>
        </w:tc>
        <w:tc>
          <w:tcPr>
            <w:cnfStyle w:evenVBand="false" w:oddVBand="true" w:firstColumn="false"/>
            <w:tcW w:w="33.333333%" w:type="pct"/>
          </w:tcPr>
          <w:p>
            <w:pPr>
              <w:ind w:leftChars="0" w:left="0" w:right="0"/>
            </w:pPr>
            <w:r>
              <w:t>BOLSA NACIONAL DE VALORES, S.A.</w:t>
            </w:r>
          </w:p>
        </w:tc>
      </w:tr>
      <w:tr>
        <w:trPr>
          <w:cnfStyle w:evenHBand="false" w:oddHBand="true" w:firstRow="false"/>
        </w:trPr>
        <w:tc>
          <w:tcPr>
            <w:cnfStyle w:evenVBand="false" w:oddVBand="true" w:firstColumn="false"/>
            <w:tcW w:w="33.333333%" w:type="pct"/>
          </w:tcPr>
          <w:p>
            <w:pPr>
              <w:ind w:leftChars="0" w:left="0" w:right="0"/>
            </w:pPr>
            <w:r>
              <w:t>XBOG</w:t>
            </w:r>
          </w:p>
        </w:tc>
        <w:tc>
          <w:tcPr>
            <w:cnfStyle w:evenVBand="true" w:oddVBand="false" w:firstColumn="false"/>
            <w:tcW w:w="33.333333%" w:type="pct"/>
          </w:tcPr>
          <w:p>
            <w:pPr>
              <w:ind w:leftChars="0" w:left="0" w:right="0"/>
            </w:pPr>
            <w:r>
              <w:t>XBOG</w:t>
            </w:r>
          </w:p>
        </w:tc>
        <w:tc>
          <w:tcPr>
            <w:cnfStyle w:evenVBand="false" w:oddVBand="true" w:firstColumn="false"/>
            <w:tcW w:w="33.333333%" w:type="pct"/>
          </w:tcPr>
          <w:p>
            <w:pPr>
              <w:ind w:leftChars="0" w:left="0" w:right="0"/>
            </w:pPr>
            <w:r>
              <w:t>BOLSA DE VALORES DE COLOMBIA</w:t>
            </w:r>
          </w:p>
        </w:tc>
      </w:tr>
      <w:tr>
        <w:trPr>
          <w:cnfStyle w:evenHBand="true" w:oddHBand="false" w:firstRow="false"/>
        </w:trPr>
        <w:tc>
          <w:tcPr>
            <w:cnfStyle w:evenVBand="false" w:oddVBand="true" w:firstColumn="false"/>
            <w:tcW w:w="33.333333%" w:type="pct"/>
          </w:tcPr>
          <w:p>
            <w:pPr>
              <w:ind w:leftChars="0" w:left="0" w:right="0"/>
            </w:pPr>
            <w:r>
              <w:t>XBOL</w:t>
            </w:r>
          </w:p>
        </w:tc>
        <w:tc>
          <w:tcPr>
            <w:cnfStyle w:evenVBand="true" w:oddVBand="false" w:firstColumn="false"/>
            <w:tcW w:w="33.333333%" w:type="pct"/>
          </w:tcPr>
          <w:p>
            <w:pPr>
              <w:ind w:leftChars="0" w:left="0" w:right="0"/>
            </w:pPr>
            <w:r>
              <w:t>XBOL</w:t>
            </w:r>
          </w:p>
        </w:tc>
        <w:tc>
          <w:tcPr>
            <w:cnfStyle w:evenVBand="false" w:oddVBand="true" w:firstColumn="false"/>
            <w:tcW w:w="33.333333%" w:type="pct"/>
          </w:tcPr>
          <w:p>
            <w:pPr>
              <w:ind w:leftChars="0" w:left="0" w:right="0"/>
            </w:pPr>
            <w:r>
              <w:t>BOLSA BOLIVIANA DE VALORES S.A.</w:t>
            </w:r>
          </w:p>
        </w:tc>
      </w:tr>
      <w:tr>
        <w:trPr>
          <w:cnfStyle w:evenHBand="false" w:oddHBand="true" w:firstRow="false"/>
        </w:trPr>
        <w:tc>
          <w:tcPr>
            <w:cnfStyle w:evenVBand="false" w:oddVBand="true" w:firstColumn="false"/>
            <w:tcW w:w="33.333333%" w:type="pct"/>
          </w:tcPr>
          <w:p>
            <w:pPr>
              <w:ind w:leftChars="0" w:left="0" w:right="0"/>
            </w:pPr>
            <w:r>
              <w:t>XBOM</w:t>
            </w:r>
          </w:p>
        </w:tc>
        <w:tc>
          <w:tcPr>
            <w:cnfStyle w:evenVBand="true" w:oddVBand="false" w:firstColumn="false"/>
            <w:tcW w:w="33.333333%" w:type="pct"/>
          </w:tcPr>
          <w:p>
            <w:pPr>
              <w:ind w:leftChars="0" w:left="0" w:right="0"/>
            </w:pPr>
            <w:r>
              <w:t>XBOM</w:t>
            </w:r>
          </w:p>
        </w:tc>
        <w:tc>
          <w:tcPr>
            <w:cnfStyle w:evenVBand="false" w:oddVBand="true" w:firstColumn="false"/>
            <w:tcW w:w="33.333333%" w:type="pct"/>
          </w:tcPr>
          <w:p>
            <w:pPr>
              <w:ind w:leftChars="0" w:left="0" w:right="0"/>
            </w:pPr>
            <w:r>
              <w:t>BSE LTD</w:t>
            </w:r>
          </w:p>
        </w:tc>
      </w:tr>
      <w:tr>
        <w:trPr>
          <w:cnfStyle w:evenHBand="true" w:oddHBand="false" w:firstRow="false"/>
        </w:trPr>
        <w:tc>
          <w:tcPr>
            <w:cnfStyle w:evenVBand="false" w:oddVBand="true" w:firstColumn="false"/>
            <w:tcW w:w="33.333333%" w:type="pct"/>
          </w:tcPr>
          <w:p>
            <w:pPr>
              <w:ind w:leftChars="0" w:left="0" w:right="0"/>
            </w:pPr>
            <w:r>
              <w:t>XBOS</w:t>
            </w:r>
          </w:p>
        </w:tc>
        <w:tc>
          <w:tcPr>
            <w:cnfStyle w:evenVBand="true" w:oddVBand="false" w:firstColumn="false"/>
            <w:tcW w:w="33.333333%" w:type="pct"/>
          </w:tcPr>
          <w:p>
            <w:pPr>
              <w:ind w:leftChars="0" w:left="0" w:right="0"/>
            </w:pPr>
            <w:r>
              <w:t>XBOS</w:t>
            </w:r>
          </w:p>
        </w:tc>
        <w:tc>
          <w:tcPr>
            <w:cnfStyle w:evenVBand="false" w:oddVBand="true" w:firstColumn="false"/>
            <w:tcW w:w="33.333333%" w:type="pct"/>
          </w:tcPr>
          <w:p>
            <w:pPr>
              <w:ind w:leftChars="0" w:left="0" w:right="0"/>
            </w:pPr>
            <w:r>
              <w:t>NASDAQ OMX BX</w:t>
            </w:r>
          </w:p>
        </w:tc>
      </w:tr>
      <w:tr>
        <w:trPr>
          <w:cnfStyle w:evenHBand="false" w:oddHBand="true" w:firstRow="false"/>
        </w:trPr>
        <w:tc>
          <w:tcPr>
            <w:cnfStyle w:evenVBand="false" w:oddVBand="true" w:firstColumn="false"/>
            <w:tcW w:w="33.333333%" w:type="pct"/>
          </w:tcPr>
          <w:p>
            <w:pPr>
              <w:ind w:leftChars="0" w:left="0" w:right="0"/>
            </w:pPr>
            <w:r>
              <w:t>XBOT</w:t>
            </w:r>
          </w:p>
        </w:tc>
        <w:tc>
          <w:tcPr>
            <w:cnfStyle w:evenVBand="true" w:oddVBand="false" w:firstColumn="false"/>
            <w:tcW w:w="33.333333%" w:type="pct"/>
          </w:tcPr>
          <w:p>
            <w:pPr>
              <w:ind w:leftChars="0" w:left="0" w:right="0"/>
            </w:pPr>
            <w:r>
              <w:t>XBOT</w:t>
            </w:r>
          </w:p>
        </w:tc>
        <w:tc>
          <w:tcPr>
            <w:cnfStyle w:evenVBand="false" w:oddVBand="true" w:firstColumn="false"/>
            <w:tcW w:w="33.333333%" w:type="pct"/>
          </w:tcPr>
          <w:p>
            <w:pPr>
              <w:ind w:leftChars="0" w:left="0" w:right="0"/>
            </w:pPr>
            <w:r>
              <w:t>BOTSWANA STOCK EXCHANGE</w:t>
            </w:r>
          </w:p>
        </w:tc>
      </w:tr>
      <w:tr>
        <w:trPr>
          <w:cnfStyle w:evenHBand="true" w:oddHBand="false" w:firstRow="false"/>
        </w:trPr>
        <w:tc>
          <w:tcPr>
            <w:cnfStyle w:evenVBand="false" w:oddVBand="true" w:firstColumn="false"/>
            <w:tcW w:w="33.333333%" w:type="pct"/>
          </w:tcPr>
          <w:p>
            <w:pPr>
              <w:ind w:leftChars="0" w:left="0" w:right="0"/>
            </w:pPr>
            <w:r>
              <w:t>XBOX</w:t>
            </w:r>
          </w:p>
        </w:tc>
        <w:tc>
          <w:tcPr>
            <w:cnfStyle w:evenVBand="true" w:oddVBand="false" w:firstColumn="false"/>
            <w:tcW w:w="33.333333%" w:type="pct"/>
          </w:tcPr>
          <w:p>
            <w:pPr>
              <w:ind w:leftChars="0" w:left="0" w:right="0"/>
            </w:pPr>
            <w:r>
              <w:t>XBOX</w:t>
            </w:r>
          </w:p>
        </w:tc>
        <w:tc>
          <w:tcPr>
            <w:cnfStyle w:evenVBand="false" w:oddVBand="true" w:firstColumn="false"/>
            <w:tcW w:w="33.333333%" w:type="pct"/>
          </w:tcPr>
          <w:p>
            <w:pPr>
              <w:ind w:leftChars="0" w:left="0" w:right="0"/>
            </w:pPr>
            <w:r>
              <w:t>BOX OPTIONS EXCHANGE</w:t>
            </w:r>
          </w:p>
        </w:tc>
      </w:tr>
      <w:tr>
        <w:trPr>
          <w:cnfStyle w:evenHBand="false" w:oddHBand="true" w:firstRow="false"/>
        </w:trPr>
        <w:tc>
          <w:tcPr>
            <w:cnfStyle w:evenVBand="false" w:oddVBand="true" w:firstColumn="false"/>
            <w:tcW w:w="33.333333%" w:type="pct"/>
          </w:tcPr>
          <w:p>
            <w:pPr>
              <w:ind w:leftChars="0" w:left="0" w:right="0"/>
            </w:pPr>
            <w:r>
              <w:t>XBRA</w:t>
            </w:r>
          </w:p>
        </w:tc>
        <w:tc>
          <w:tcPr>
            <w:cnfStyle w:evenVBand="true" w:oddVBand="false" w:firstColumn="false"/>
            <w:tcW w:w="33.333333%" w:type="pct"/>
          </w:tcPr>
          <w:p>
            <w:pPr>
              <w:ind w:leftChars="0" w:left="0" w:right="0"/>
            </w:pPr>
            <w:r>
              <w:t>XBRA</w:t>
            </w:r>
          </w:p>
        </w:tc>
        <w:tc>
          <w:tcPr>
            <w:cnfStyle w:evenVBand="false" w:oddVBand="true" w:firstColumn="false"/>
            <w:tcW w:w="33.333333%" w:type="pct"/>
          </w:tcPr>
          <w:p>
            <w:pPr>
              <w:ind w:leftChars="0" w:left="0" w:right="0"/>
            </w:pPr>
            <w:r>
              <w:t>BRATISLAVA STOCK EXCHANGE</w:t>
            </w:r>
          </w:p>
        </w:tc>
      </w:tr>
      <w:tr>
        <w:trPr>
          <w:cnfStyle w:evenHBand="true" w:oddHBand="false" w:firstRow="false"/>
        </w:trPr>
        <w:tc>
          <w:tcPr>
            <w:cnfStyle w:evenVBand="false" w:oddVBand="true" w:firstColumn="false"/>
            <w:tcW w:w="33.333333%" w:type="pct"/>
          </w:tcPr>
          <w:p>
            <w:pPr>
              <w:ind w:leftChars="0" w:left="0" w:right="0"/>
            </w:pPr>
            <w:r>
              <w:t>XBRD</w:t>
            </w:r>
          </w:p>
        </w:tc>
        <w:tc>
          <w:tcPr>
            <w:cnfStyle w:evenVBand="true" w:oddVBand="false" w:firstColumn="false"/>
            <w:tcW w:w="33.333333%" w:type="pct"/>
          </w:tcPr>
          <w:p>
            <w:pPr>
              <w:ind w:leftChars="0" w:left="0" w:right="0"/>
            </w:pPr>
            <w:r>
              <w:t>XBRD</w:t>
            </w:r>
          </w:p>
        </w:tc>
        <w:tc>
          <w:tcPr>
            <w:cnfStyle w:evenVBand="false" w:oddVBand="true" w:firstColumn="false"/>
            <w:tcW w:w="33.333333%" w:type="pct"/>
          </w:tcPr>
          <w:p>
            <w:pPr>
              <w:ind w:leftChars="0" w:left="0" w:right="0"/>
            </w:pPr>
            <w:r>
              <w:t>EURONEXT - EURONEXT BRUSSELS - DERIVATIVES</w:t>
            </w:r>
          </w:p>
        </w:tc>
      </w:tr>
      <w:tr>
        <w:trPr>
          <w:cnfStyle w:evenHBand="false" w:oddHBand="true" w:firstRow="false"/>
        </w:trPr>
        <w:tc>
          <w:tcPr>
            <w:cnfStyle w:evenVBand="false" w:oddVBand="true" w:firstColumn="false"/>
            <w:tcW w:w="33.333333%" w:type="pct"/>
          </w:tcPr>
          <w:p>
            <w:pPr>
              <w:ind w:leftChars="0" w:left="0" w:right="0"/>
            </w:pPr>
            <w:r>
              <w:t>XBRE</w:t>
            </w:r>
          </w:p>
        </w:tc>
        <w:tc>
          <w:tcPr>
            <w:cnfStyle w:evenVBand="true" w:oddVBand="false" w:firstColumn="false"/>
            <w:tcW w:w="33.333333%" w:type="pct"/>
          </w:tcPr>
          <w:p>
            <w:pPr>
              <w:ind w:leftChars="0" w:left="0" w:right="0"/>
            </w:pPr>
            <w:r>
              <w:t>XBRE</w:t>
            </w:r>
          </w:p>
        </w:tc>
        <w:tc>
          <w:tcPr>
            <w:cnfStyle w:evenVBand="false" w:oddVBand="true" w:firstColumn="false"/>
            <w:tcW w:w="33.333333%" w:type="pct"/>
          </w:tcPr>
          <w:p>
            <w:pPr>
              <w:ind w:leftChars="0" w:left="0" w:right="0"/>
            </w:pPr>
            <w:r>
              <w:t>BREMER WERTPAPIERBOERSE</w:t>
            </w:r>
          </w:p>
        </w:tc>
      </w:tr>
      <w:tr>
        <w:trPr>
          <w:cnfStyle w:evenHBand="true" w:oddHBand="false" w:firstRow="false"/>
        </w:trPr>
        <w:tc>
          <w:tcPr>
            <w:cnfStyle w:evenVBand="false" w:oddVBand="true" w:firstColumn="false"/>
            <w:tcW w:w="33.333333%" w:type="pct"/>
          </w:tcPr>
          <w:p>
            <w:pPr>
              <w:ind w:leftChars="0" w:left="0" w:right="0"/>
            </w:pPr>
            <w:r>
              <w:t>XBRM</w:t>
            </w:r>
          </w:p>
        </w:tc>
        <w:tc>
          <w:tcPr>
            <w:cnfStyle w:evenVBand="true" w:oddVBand="false" w:firstColumn="false"/>
            <w:tcW w:w="33.333333%" w:type="pct"/>
          </w:tcPr>
          <w:p>
            <w:pPr>
              <w:ind w:leftChars="0" w:left="0" w:right="0"/>
            </w:pPr>
            <w:r>
              <w:t>XBRM</w:t>
            </w:r>
          </w:p>
        </w:tc>
        <w:tc>
          <w:tcPr>
            <w:cnfStyle w:evenVBand="false" w:oddVBand="true" w:firstColumn="false"/>
            <w:tcW w:w="33.333333%" w:type="pct"/>
          </w:tcPr>
          <w:p>
            <w:pPr>
              <w:ind w:leftChars="0" w:left="0" w:right="0"/>
            </w:pPr>
            <w:r>
              <w:t>ROMANIAN  COMMODITIES EXCHANGE</w:t>
            </w:r>
          </w:p>
        </w:tc>
      </w:tr>
      <w:tr>
        <w:trPr>
          <w:cnfStyle w:evenHBand="false" w:oddHBand="true" w:firstRow="false"/>
        </w:trPr>
        <w:tc>
          <w:tcPr>
            <w:cnfStyle w:evenVBand="false" w:oddVBand="true" w:firstColumn="false"/>
            <w:tcW w:w="33.333333%" w:type="pct"/>
          </w:tcPr>
          <w:p>
            <w:pPr>
              <w:ind w:leftChars="0" w:left="0" w:right="0"/>
            </w:pPr>
            <w:r>
              <w:t>XBRN</w:t>
            </w:r>
          </w:p>
        </w:tc>
        <w:tc>
          <w:tcPr>
            <w:cnfStyle w:evenVBand="true" w:oddVBand="false" w:firstColumn="false"/>
            <w:tcW w:w="33.333333%" w:type="pct"/>
          </w:tcPr>
          <w:p>
            <w:pPr>
              <w:ind w:leftChars="0" w:left="0" w:right="0"/>
            </w:pPr>
            <w:r>
              <w:t>XBRN</w:t>
            </w:r>
          </w:p>
        </w:tc>
        <w:tc>
          <w:tcPr>
            <w:cnfStyle w:evenVBand="false" w:oddVBand="true" w:firstColumn="false"/>
            <w:tcW w:w="33.333333%" w:type="pct"/>
          </w:tcPr>
          <w:p>
            <w:pPr>
              <w:ind w:leftChars="0" w:left="0" w:right="0"/>
            </w:pPr>
            <w:r>
              <w:t>BX SWISS AG</w:t>
            </w:r>
          </w:p>
        </w:tc>
      </w:tr>
      <w:tr>
        <w:trPr>
          <w:cnfStyle w:evenHBand="true" w:oddHBand="false" w:firstRow="false"/>
        </w:trPr>
        <w:tc>
          <w:tcPr>
            <w:cnfStyle w:evenVBand="false" w:oddVBand="true" w:firstColumn="false"/>
            <w:tcW w:w="33.333333%" w:type="pct"/>
          </w:tcPr>
          <w:p>
            <w:pPr>
              <w:ind w:leftChars="0" w:left="0" w:right="0"/>
            </w:pPr>
            <w:r>
              <w:t>XBRT</w:t>
            </w:r>
          </w:p>
        </w:tc>
        <w:tc>
          <w:tcPr>
            <w:cnfStyle w:evenVBand="true" w:oddVBand="false" w:firstColumn="false"/>
            <w:tcW w:w="33.333333%" w:type="pct"/>
          </w:tcPr>
          <w:p>
            <w:pPr>
              <w:ind w:leftChars="0" w:left="0" w:right="0"/>
            </w:pPr>
            <w:r>
              <w:t>XBRT</w:t>
            </w:r>
          </w:p>
        </w:tc>
        <w:tc>
          <w:tcPr>
            <w:cnfStyle w:evenVBand="false" w:oddVBand="true" w:firstColumn="false"/>
            <w:tcW w:w="33.333333%" w:type="pct"/>
          </w:tcPr>
          <w:p>
            <w:pPr>
              <w:ind w:leftChars="0" w:left="0" w:right="0"/>
            </w:pPr>
            <w:r>
              <w:t>BRUT ECN</w:t>
            </w:r>
          </w:p>
        </w:tc>
      </w:tr>
      <w:tr>
        <w:trPr>
          <w:cnfStyle w:evenHBand="false" w:oddHBand="true" w:firstRow="false"/>
        </w:trPr>
        <w:tc>
          <w:tcPr>
            <w:cnfStyle w:evenVBand="false" w:oddVBand="true" w:firstColumn="false"/>
            <w:tcW w:w="33.333333%" w:type="pct"/>
          </w:tcPr>
          <w:p>
            <w:pPr>
              <w:ind w:leftChars="0" w:left="0" w:right="0"/>
            </w:pPr>
            <w:r>
              <w:t>XBRU</w:t>
            </w:r>
          </w:p>
        </w:tc>
        <w:tc>
          <w:tcPr>
            <w:cnfStyle w:evenVBand="true" w:oddVBand="false" w:firstColumn="false"/>
            <w:tcW w:w="33.333333%" w:type="pct"/>
          </w:tcPr>
          <w:p>
            <w:pPr>
              <w:ind w:leftChars="0" w:left="0" w:right="0"/>
            </w:pPr>
            <w:r>
              <w:t>XBRU</w:t>
            </w:r>
          </w:p>
        </w:tc>
        <w:tc>
          <w:tcPr>
            <w:cnfStyle w:evenVBand="false" w:oddVBand="true" w:firstColumn="false"/>
            <w:tcW w:w="33.333333%" w:type="pct"/>
          </w:tcPr>
          <w:p>
            <w:pPr>
              <w:ind w:leftChars="0" w:left="0" w:right="0"/>
            </w:pPr>
            <w:r>
              <w:t>EURONEXT - EURONEXT BRUSSELS</w:t>
            </w:r>
          </w:p>
        </w:tc>
      </w:tr>
      <w:tr>
        <w:trPr>
          <w:cnfStyle w:evenHBand="true" w:oddHBand="false" w:firstRow="false"/>
        </w:trPr>
        <w:tc>
          <w:tcPr>
            <w:cnfStyle w:evenVBand="false" w:oddVBand="true" w:firstColumn="false"/>
            <w:tcW w:w="33.333333%" w:type="pct"/>
          </w:tcPr>
          <w:p>
            <w:pPr>
              <w:ind w:leftChars="0" w:left="0" w:right="0"/>
            </w:pPr>
            <w:r>
              <w:t>XBRV</w:t>
            </w:r>
          </w:p>
        </w:tc>
        <w:tc>
          <w:tcPr>
            <w:cnfStyle w:evenVBand="true" w:oddVBand="false" w:firstColumn="false"/>
            <w:tcW w:w="33.333333%" w:type="pct"/>
          </w:tcPr>
          <w:p>
            <w:pPr>
              <w:ind w:leftChars="0" w:left="0" w:right="0"/>
            </w:pPr>
            <w:r>
              <w:t>XBRV</w:t>
            </w:r>
          </w:p>
        </w:tc>
        <w:tc>
          <w:tcPr>
            <w:cnfStyle w:evenVBand="false" w:oddVBand="true" w:firstColumn="false"/>
            <w:tcW w:w="33.333333%" w:type="pct"/>
          </w:tcPr>
          <w:p>
            <w:pPr>
              <w:ind w:leftChars="0" w:left="0" w:right="0"/>
            </w:pPr>
            <w:r>
              <w:t>BOURSE REGIONALE DES VALEURS MOBILIERES</w:t>
            </w:r>
          </w:p>
        </w:tc>
      </w:tr>
      <w:tr>
        <w:trPr>
          <w:cnfStyle w:evenHBand="false" w:oddHBand="true" w:firstRow="false"/>
        </w:trPr>
        <w:tc>
          <w:tcPr>
            <w:cnfStyle w:evenVBand="false" w:oddVBand="true" w:firstColumn="false"/>
            <w:tcW w:w="33.333333%" w:type="pct"/>
          </w:tcPr>
          <w:p>
            <w:pPr>
              <w:ind w:leftChars="0" w:left="0" w:right="0"/>
            </w:pPr>
            <w:r>
              <w:t>XBSD</w:t>
            </w:r>
          </w:p>
        </w:tc>
        <w:tc>
          <w:tcPr>
            <w:cnfStyle w:evenVBand="true" w:oddVBand="false" w:firstColumn="false"/>
            <w:tcW w:w="33.333333%" w:type="pct"/>
          </w:tcPr>
          <w:p>
            <w:pPr>
              <w:ind w:leftChars="0" w:left="0" w:right="0"/>
            </w:pPr>
            <w:r>
              <w:t>XBSD</w:t>
            </w:r>
          </w:p>
        </w:tc>
        <w:tc>
          <w:tcPr>
            <w:cnfStyle w:evenVBand="false" w:oddVBand="true" w:firstColumn="false"/>
            <w:tcW w:w="33.333333%" w:type="pct"/>
          </w:tcPr>
          <w:p>
            <w:pPr>
              <w:ind w:leftChars="0" w:left="0" w:right="0"/>
            </w:pPr>
            <w:r>
              <w:t>DERIVATIVES REGULATED MARKET - BVB</w:t>
            </w:r>
          </w:p>
        </w:tc>
      </w:tr>
      <w:tr>
        <w:trPr>
          <w:cnfStyle w:evenHBand="true" w:oddHBand="false" w:firstRow="false"/>
        </w:trPr>
        <w:tc>
          <w:tcPr>
            <w:cnfStyle w:evenVBand="false" w:oddVBand="true" w:firstColumn="false"/>
            <w:tcW w:w="33.333333%" w:type="pct"/>
          </w:tcPr>
          <w:p>
            <w:pPr>
              <w:ind w:leftChars="0" w:left="0" w:right="0"/>
            </w:pPr>
            <w:r>
              <w:t>XBSE</w:t>
            </w:r>
          </w:p>
        </w:tc>
        <w:tc>
          <w:tcPr>
            <w:cnfStyle w:evenVBand="true" w:oddVBand="false" w:firstColumn="false"/>
            <w:tcW w:w="33.333333%" w:type="pct"/>
          </w:tcPr>
          <w:p>
            <w:pPr>
              <w:ind w:leftChars="0" w:left="0" w:right="0"/>
            </w:pPr>
            <w:r>
              <w:t>XBSE</w:t>
            </w:r>
          </w:p>
        </w:tc>
        <w:tc>
          <w:tcPr>
            <w:cnfStyle w:evenVBand="false" w:oddVBand="true" w:firstColumn="false"/>
            <w:tcW w:w="33.333333%" w:type="pct"/>
          </w:tcPr>
          <w:p>
            <w:pPr>
              <w:ind w:leftChars="0" w:left="0" w:right="0"/>
            </w:pPr>
            <w:r>
              <w:t>SPOT REGULATED MARKET - BVB</w:t>
            </w:r>
          </w:p>
        </w:tc>
      </w:tr>
      <w:tr>
        <w:trPr>
          <w:cnfStyle w:evenHBand="false" w:oddHBand="true" w:firstRow="false"/>
        </w:trPr>
        <w:tc>
          <w:tcPr>
            <w:cnfStyle w:evenVBand="false" w:oddVBand="true" w:firstColumn="false"/>
            <w:tcW w:w="33.333333%" w:type="pct"/>
          </w:tcPr>
          <w:p>
            <w:pPr>
              <w:ind w:leftChars="0" w:left="0" w:right="0"/>
            </w:pPr>
            <w:r>
              <w:t>XBSP</w:t>
            </w:r>
          </w:p>
        </w:tc>
        <w:tc>
          <w:tcPr>
            <w:cnfStyle w:evenVBand="true" w:oddVBand="false" w:firstColumn="false"/>
            <w:tcW w:w="33.333333%" w:type="pct"/>
          </w:tcPr>
          <w:p>
            <w:pPr>
              <w:ind w:leftChars="0" w:left="0" w:right="0"/>
            </w:pPr>
            <w:r>
              <w:t>XBSP</w:t>
            </w:r>
          </w:p>
        </w:tc>
        <w:tc>
          <w:tcPr>
            <w:cnfStyle w:evenVBand="false" w:oddVBand="true" w:firstColumn="false"/>
            <w:tcW w:w="33.333333%" w:type="pct"/>
          </w:tcPr>
          <w:p>
            <w:pPr>
              <w:ind w:leftChars="0" w:left="0" w:right="0"/>
            </w:pPr>
            <w:r>
              <w:t>BOLSA DE VALORES DE SAO PAULO</w:t>
            </w:r>
          </w:p>
        </w:tc>
      </w:tr>
      <w:tr>
        <w:trPr>
          <w:cnfStyle w:evenHBand="true" w:oddHBand="false" w:firstRow="false"/>
        </w:trPr>
        <w:tc>
          <w:tcPr>
            <w:cnfStyle w:evenVBand="false" w:oddVBand="true" w:firstColumn="false"/>
            <w:tcW w:w="33.333333%" w:type="pct"/>
          </w:tcPr>
          <w:p>
            <w:pPr>
              <w:ind w:leftChars="0" w:left="0" w:right="0"/>
            </w:pPr>
            <w:r>
              <w:t>XBTF</w:t>
            </w:r>
          </w:p>
        </w:tc>
        <w:tc>
          <w:tcPr>
            <w:cnfStyle w:evenVBand="true" w:oddVBand="false" w:firstColumn="false"/>
            <w:tcW w:w="33.333333%" w:type="pct"/>
          </w:tcPr>
          <w:p>
            <w:pPr>
              <w:ind w:leftChars="0" w:left="0" w:right="0"/>
            </w:pPr>
            <w:r>
              <w:t>XBTF</w:t>
            </w:r>
          </w:p>
        </w:tc>
        <w:tc>
          <w:tcPr>
            <w:cnfStyle w:evenVBand="false" w:oddVBand="true" w:firstColumn="false"/>
            <w:tcW w:w="33.333333%" w:type="pct"/>
          </w:tcPr>
          <w:p>
            <w:pPr>
              <w:ind w:leftChars="0" w:left="0" w:right="0"/>
            </w:pPr>
            <w:r>
              <w:t>BROKERTEC FUTURES EXCHANGE</w:t>
            </w:r>
          </w:p>
        </w:tc>
      </w:tr>
      <w:tr>
        <w:trPr>
          <w:cnfStyle w:evenHBand="false" w:oddHBand="true" w:firstRow="false"/>
        </w:trPr>
        <w:tc>
          <w:tcPr>
            <w:cnfStyle w:evenVBand="false" w:oddVBand="true" w:firstColumn="false"/>
            <w:tcW w:w="33.333333%" w:type="pct"/>
          </w:tcPr>
          <w:p>
            <w:pPr>
              <w:ind w:leftChars="0" w:left="0" w:right="0"/>
            </w:pPr>
            <w:r>
              <w:t>XBTR</w:t>
            </w:r>
          </w:p>
        </w:tc>
        <w:tc>
          <w:tcPr>
            <w:cnfStyle w:evenVBand="true" w:oddVBand="false" w:firstColumn="false"/>
            <w:tcW w:w="33.333333%" w:type="pct"/>
          </w:tcPr>
          <w:p>
            <w:pPr>
              <w:ind w:leftChars="0" w:left="0" w:right="0"/>
            </w:pPr>
            <w:r>
              <w:t>XBTR</w:t>
            </w:r>
          </w:p>
        </w:tc>
        <w:tc>
          <w:tcPr>
            <w:cnfStyle w:evenVBand="false" w:oddVBand="true" w:firstColumn="false"/>
            <w:tcW w:w="33.333333%" w:type="pct"/>
          </w:tcPr>
          <w:p>
            <w:pPr>
              <w:ind w:leftChars="0" w:left="0" w:right="0"/>
            </w:pPr>
            <w:r>
              <w:t>SIX SWISS BILATERAL TRADING PLATFORM FOR STRUCTURED OTC PRODUCTS</w:t>
            </w:r>
          </w:p>
        </w:tc>
      </w:tr>
      <w:tr>
        <w:trPr>
          <w:cnfStyle w:evenHBand="true" w:oddHBand="false" w:firstRow="false"/>
        </w:trPr>
        <w:tc>
          <w:tcPr>
            <w:cnfStyle w:evenVBand="false" w:oddVBand="true" w:firstColumn="false"/>
            <w:tcW w:w="33.333333%" w:type="pct"/>
          </w:tcPr>
          <w:p>
            <w:pPr>
              <w:ind w:leftChars="0" w:left="0" w:right="0"/>
            </w:pPr>
            <w:r>
              <w:t>XBUD</w:t>
            </w:r>
          </w:p>
        </w:tc>
        <w:tc>
          <w:tcPr>
            <w:cnfStyle w:evenVBand="true" w:oddVBand="false" w:firstColumn="false"/>
            <w:tcW w:w="33.333333%" w:type="pct"/>
          </w:tcPr>
          <w:p>
            <w:pPr>
              <w:ind w:leftChars="0" w:left="0" w:right="0"/>
            </w:pPr>
            <w:r>
              <w:t>XBUD</w:t>
            </w:r>
          </w:p>
        </w:tc>
        <w:tc>
          <w:tcPr>
            <w:cnfStyle w:evenVBand="false" w:oddVBand="true" w:firstColumn="false"/>
            <w:tcW w:w="33.333333%" w:type="pct"/>
          </w:tcPr>
          <w:p>
            <w:pPr>
              <w:ind w:leftChars="0" w:left="0" w:right="0"/>
            </w:pPr>
            <w:r>
              <w:t>BUDAPEST STOCK EXCHANGE</w:t>
            </w:r>
          </w:p>
        </w:tc>
      </w:tr>
      <w:tr>
        <w:trPr>
          <w:cnfStyle w:evenHBand="false" w:oddHBand="true" w:firstRow="false"/>
        </w:trPr>
        <w:tc>
          <w:tcPr>
            <w:cnfStyle w:evenVBand="false" w:oddVBand="true" w:firstColumn="false"/>
            <w:tcW w:w="33.333333%" w:type="pct"/>
          </w:tcPr>
          <w:p>
            <w:pPr>
              <w:ind w:leftChars="0" w:left="0" w:right="0"/>
            </w:pPr>
            <w:r>
              <w:t>XBUE</w:t>
            </w:r>
          </w:p>
        </w:tc>
        <w:tc>
          <w:tcPr>
            <w:cnfStyle w:evenVBand="true" w:oddVBand="false" w:firstColumn="false"/>
            <w:tcW w:w="33.333333%" w:type="pct"/>
          </w:tcPr>
          <w:p>
            <w:pPr>
              <w:ind w:leftChars="0" w:left="0" w:right="0"/>
            </w:pPr>
            <w:r>
              <w:t>XBUE</w:t>
            </w:r>
          </w:p>
        </w:tc>
        <w:tc>
          <w:tcPr>
            <w:cnfStyle w:evenVBand="false" w:oddVBand="true" w:firstColumn="false"/>
            <w:tcW w:w="33.333333%" w:type="pct"/>
          </w:tcPr>
          <w:p>
            <w:pPr>
              <w:ind w:leftChars="0" w:left="0" w:right="0"/>
            </w:pPr>
            <w:r>
              <w:t>BOLSA DE COMERCIO DE BUENOS AIRES</w:t>
            </w:r>
          </w:p>
        </w:tc>
      </w:tr>
      <w:tr>
        <w:trPr>
          <w:cnfStyle w:evenHBand="true" w:oddHBand="false" w:firstRow="false"/>
        </w:trPr>
        <w:tc>
          <w:tcPr>
            <w:cnfStyle w:evenVBand="false" w:oddVBand="true" w:firstColumn="false"/>
            <w:tcW w:w="33.333333%" w:type="pct"/>
          </w:tcPr>
          <w:p>
            <w:pPr>
              <w:ind w:leftChars="0" w:left="0" w:right="0"/>
            </w:pPr>
            <w:r>
              <w:t>XBUL</w:t>
            </w:r>
          </w:p>
        </w:tc>
        <w:tc>
          <w:tcPr>
            <w:cnfStyle w:evenVBand="true" w:oddVBand="false" w:firstColumn="false"/>
            <w:tcW w:w="33.333333%" w:type="pct"/>
          </w:tcPr>
          <w:p>
            <w:pPr>
              <w:ind w:leftChars="0" w:left="0" w:right="0"/>
            </w:pPr>
            <w:r>
              <w:t>XBUL</w:t>
            </w:r>
          </w:p>
        </w:tc>
        <w:tc>
          <w:tcPr>
            <w:cnfStyle w:evenVBand="false" w:oddVBand="true" w:firstColumn="false"/>
            <w:tcW w:w="33.333333%" w:type="pct"/>
          </w:tcPr>
          <w:p>
            <w:pPr>
              <w:ind w:leftChars="0" w:left="0" w:right="0"/>
            </w:pPr>
            <w:r>
              <w:t>BULGARIAN STOCK EXCHANGE</w:t>
            </w:r>
          </w:p>
        </w:tc>
      </w:tr>
      <w:tr>
        <w:trPr>
          <w:cnfStyle w:evenHBand="false" w:oddHBand="true" w:firstRow="false"/>
        </w:trPr>
        <w:tc>
          <w:tcPr>
            <w:cnfStyle w:evenVBand="false" w:oddVBand="true" w:firstColumn="false"/>
            <w:tcW w:w="33.333333%" w:type="pct"/>
          </w:tcPr>
          <w:p>
            <w:pPr>
              <w:ind w:leftChars="0" w:left="0" w:right="0"/>
            </w:pPr>
            <w:r>
              <w:t>XBVC</w:t>
            </w:r>
          </w:p>
        </w:tc>
        <w:tc>
          <w:tcPr>
            <w:cnfStyle w:evenVBand="true" w:oddVBand="false" w:firstColumn="false"/>
            <w:tcW w:w="33.333333%" w:type="pct"/>
          </w:tcPr>
          <w:p>
            <w:pPr>
              <w:ind w:leftChars="0" w:left="0" w:right="0"/>
            </w:pPr>
            <w:r>
              <w:t>XBVC</w:t>
            </w:r>
          </w:p>
        </w:tc>
        <w:tc>
          <w:tcPr>
            <w:cnfStyle w:evenVBand="false" w:oddVBand="true" w:firstColumn="false"/>
            <w:tcW w:w="33.333333%" w:type="pct"/>
          </w:tcPr>
          <w:p>
            <w:pPr>
              <w:ind w:leftChars="0" w:left="0" w:right="0"/>
            </w:pPr>
            <w:r>
              <w:t>CAPE VERDE STOCK EXCHANGE</w:t>
            </w:r>
          </w:p>
        </w:tc>
      </w:tr>
      <w:tr>
        <w:trPr>
          <w:cnfStyle w:evenHBand="true" w:oddHBand="false" w:firstRow="false"/>
        </w:trPr>
        <w:tc>
          <w:tcPr>
            <w:cnfStyle w:evenVBand="false" w:oddVBand="true" w:firstColumn="false"/>
            <w:tcW w:w="33.333333%" w:type="pct"/>
          </w:tcPr>
          <w:p>
            <w:pPr>
              <w:ind w:leftChars="0" w:left="0" w:right="0"/>
            </w:pPr>
            <w:r>
              <w:t>XBVM</w:t>
            </w:r>
          </w:p>
        </w:tc>
        <w:tc>
          <w:tcPr>
            <w:cnfStyle w:evenVBand="true" w:oddVBand="false" w:firstColumn="false"/>
            <w:tcW w:w="33.333333%" w:type="pct"/>
          </w:tcPr>
          <w:p>
            <w:pPr>
              <w:ind w:leftChars="0" w:left="0" w:right="0"/>
            </w:pPr>
            <w:r>
              <w:t>XBVM</w:t>
            </w:r>
          </w:p>
        </w:tc>
        <w:tc>
          <w:tcPr>
            <w:cnfStyle w:evenVBand="false" w:oddVBand="true" w:firstColumn="false"/>
            <w:tcW w:w="33.333333%" w:type="pct"/>
          </w:tcPr>
          <w:p>
            <w:pPr>
              <w:ind w:leftChars="0" w:left="0" w:right="0"/>
            </w:pPr>
            <w:r>
              <w:t>MOZAMBIQUE STOCK  EXCHANGE</w:t>
            </w:r>
          </w:p>
        </w:tc>
      </w:tr>
      <w:tr>
        <w:trPr>
          <w:cnfStyle w:evenHBand="false" w:oddHBand="true" w:firstRow="false"/>
        </w:trPr>
        <w:tc>
          <w:tcPr>
            <w:cnfStyle w:evenVBand="false" w:oddVBand="true" w:firstColumn="false"/>
            <w:tcW w:w="33.333333%" w:type="pct"/>
          </w:tcPr>
          <w:p>
            <w:pPr>
              <w:ind w:leftChars="0" w:left="0" w:right="0"/>
            </w:pPr>
            <w:r>
              <w:t>XBVP</w:t>
            </w:r>
          </w:p>
        </w:tc>
        <w:tc>
          <w:tcPr>
            <w:cnfStyle w:evenVBand="true" w:oddVBand="false" w:firstColumn="false"/>
            <w:tcW w:w="33.333333%" w:type="pct"/>
          </w:tcPr>
          <w:p>
            <w:pPr>
              <w:ind w:leftChars="0" w:left="0" w:right="0"/>
            </w:pPr>
            <w:r>
              <w:t>XBVP</w:t>
            </w:r>
          </w:p>
        </w:tc>
        <w:tc>
          <w:tcPr>
            <w:cnfStyle w:evenVBand="false" w:oddVBand="true" w:firstColumn="false"/>
            <w:tcW w:w="33.333333%" w:type="pct"/>
          </w:tcPr>
          <w:p>
            <w:pPr>
              <w:ind w:leftChars="0" w:left="0" w:right="0"/>
            </w:pPr>
            <w:r>
              <w:t>BOLSA DE VALORES DO PARANA</w:t>
            </w:r>
          </w:p>
        </w:tc>
      </w:tr>
      <w:tr>
        <w:trPr>
          <w:cnfStyle w:evenHBand="true" w:oddHBand="false" w:firstRow="false"/>
        </w:trPr>
        <w:tc>
          <w:tcPr>
            <w:cnfStyle w:evenVBand="false" w:oddVBand="true" w:firstColumn="false"/>
            <w:tcW w:w="33.333333%" w:type="pct"/>
          </w:tcPr>
          <w:p>
            <w:pPr>
              <w:ind w:leftChars="0" w:left="0" w:right="0"/>
            </w:pPr>
            <w:r>
              <w:t>XBVR</w:t>
            </w:r>
          </w:p>
        </w:tc>
        <w:tc>
          <w:tcPr>
            <w:cnfStyle w:evenVBand="true" w:oddVBand="false" w:firstColumn="false"/>
            <w:tcW w:w="33.333333%" w:type="pct"/>
          </w:tcPr>
          <w:p>
            <w:pPr>
              <w:ind w:leftChars="0" w:left="0" w:right="0"/>
            </w:pPr>
            <w:r>
              <w:t>XBVR</w:t>
            </w:r>
          </w:p>
        </w:tc>
        <w:tc>
          <w:tcPr>
            <w:cnfStyle w:evenVBand="false" w:oddVBand="true" w:firstColumn="false"/>
            <w:tcW w:w="33.333333%" w:type="pct"/>
          </w:tcPr>
          <w:p>
            <w:pPr>
              <w:ind w:leftChars="0" w:left="0" w:right="0"/>
            </w:pPr>
            <w:r>
              <w:t>BOLSA DE VALORES DE LA REPUBLICA DOMINICANA SA.</w:t>
            </w:r>
          </w:p>
        </w:tc>
      </w:tr>
      <w:tr>
        <w:trPr>
          <w:cnfStyle w:evenHBand="false" w:oddHBand="true" w:firstRow="false"/>
        </w:trPr>
        <w:tc>
          <w:tcPr>
            <w:cnfStyle w:evenVBand="false" w:oddVBand="true" w:firstColumn="false"/>
            <w:tcW w:w="33.333333%" w:type="pct"/>
          </w:tcPr>
          <w:p>
            <w:pPr>
              <w:ind w:leftChars="0" w:left="0" w:right="0"/>
            </w:pPr>
            <w:r>
              <w:t>XBXO</w:t>
            </w:r>
          </w:p>
        </w:tc>
        <w:tc>
          <w:tcPr>
            <w:cnfStyle w:evenVBand="true" w:oddVBand="false" w:firstColumn="false"/>
            <w:tcW w:w="33.333333%" w:type="pct"/>
          </w:tcPr>
          <w:p>
            <w:pPr>
              <w:ind w:leftChars="0" w:left="0" w:right="0"/>
            </w:pPr>
            <w:r>
              <w:t>XBXO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XCAI</w:t>
            </w:r>
          </w:p>
        </w:tc>
        <w:tc>
          <w:tcPr>
            <w:cnfStyle w:evenVBand="true" w:oddVBand="false" w:firstColumn="false"/>
            <w:tcW w:w="33.333333%" w:type="pct"/>
          </w:tcPr>
          <w:p>
            <w:pPr>
              <w:ind w:leftChars="0" w:left="0" w:right="0"/>
            </w:pPr>
            <w:r>
              <w:t>XCAI</w:t>
            </w:r>
          </w:p>
        </w:tc>
        <w:tc>
          <w:tcPr>
            <w:cnfStyle w:evenVBand="false" w:oddVBand="true" w:firstColumn="false"/>
            <w:tcW w:w="33.333333%" w:type="pct"/>
          </w:tcPr>
          <w:p>
            <w:pPr>
              <w:ind w:leftChars="0" w:left="0" w:right="0"/>
            </w:pPr>
            <w:r>
              <w:t>EGYPTIAN EXCHANGE</w:t>
            </w:r>
          </w:p>
        </w:tc>
      </w:tr>
      <w:tr>
        <w:trPr>
          <w:cnfStyle w:evenHBand="false" w:oddHBand="true" w:firstRow="false"/>
        </w:trPr>
        <w:tc>
          <w:tcPr>
            <w:cnfStyle w:evenVBand="false" w:oddVBand="true" w:firstColumn="false"/>
            <w:tcW w:w="33.333333%" w:type="pct"/>
          </w:tcPr>
          <w:p>
            <w:pPr>
              <w:ind w:leftChars="0" w:left="0" w:right="0"/>
            </w:pPr>
            <w:r>
              <w:t>XCAL</w:t>
            </w:r>
          </w:p>
        </w:tc>
        <w:tc>
          <w:tcPr>
            <w:cnfStyle w:evenVBand="true" w:oddVBand="false" w:firstColumn="false"/>
            <w:tcW w:w="33.333333%" w:type="pct"/>
          </w:tcPr>
          <w:p>
            <w:pPr>
              <w:ind w:leftChars="0" w:left="0" w:right="0"/>
            </w:pPr>
            <w:r>
              <w:t>XCAL</w:t>
            </w:r>
          </w:p>
        </w:tc>
        <w:tc>
          <w:tcPr>
            <w:cnfStyle w:evenVBand="false" w:oddVBand="true" w:firstColumn="false"/>
            <w:tcW w:w="33.333333%" w:type="pct"/>
          </w:tcPr>
          <w:p>
            <w:pPr>
              <w:ind w:leftChars="0" w:left="0" w:right="0"/>
            </w:pPr>
            <w:r>
              <w:t>CALCUTTA STOCK EXCHANGE</w:t>
            </w:r>
          </w:p>
        </w:tc>
      </w:tr>
      <w:tr>
        <w:trPr>
          <w:cnfStyle w:evenHBand="true" w:oddHBand="false" w:firstRow="false"/>
        </w:trPr>
        <w:tc>
          <w:tcPr>
            <w:cnfStyle w:evenVBand="false" w:oddVBand="true" w:firstColumn="false"/>
            <w:tcW w:w="33.333333%" w:type="pct"/>
          </w:tcPr>
          <w:p>
            <w:pPr>
              <w:ind w:leftChars="0" w:left="0" w:right="0"/>
            </w:pPr>
            <w:r>
              <w:t>XCAN</w:t>
            </w:r>
          </w:p>
        </w:tc>
        <w:tc>
          <w:tcPr>
            <w:cnfStyle w:evenVBand="true" w:oddVBand="false" w:firstColumn="false"/>
            <w:tcW w:w="33.333333%" w:type="pct"/>
          </w:tcPr>
          <w:p>
            <w:pPr>
              <w:ind w:leftChars="0" w:left="0" w:right="0"/>
            </w:pPr>
            <w:r>
              <w:t>XCAN</w:t>
            </w:r>
          </w:p>
        </w:tc>
        <w:tc>
          <w:tcPr>
            <w:cnfStyle w:evenVBand="false" w:oddVBand="true" w:firstColumn="false"/>
            <w:tcW w:w="33.333333%" w:type="pct"/>
          </w:tcPr>
          <w:p>
            <w:pPr>
              <w:ind w:leftChars="0" w:left="0" w:right="0"/>
            </w:pPr>
            <w:r>
              <w:t>CAN - ATS</w:t>
            </w:r>
          </w:p>
        </w:tc>
      </w:tr>
      <w:tr>
        <w:trPr>
          <w:cnfStyle w:evenHBand="false" w:oddHBand="true" w:firstRow="false"/>
        </w:trPr>
        <w:tc>
          <w:tcPr>
            <w:cnfStyle w:evenVBand="false" w:oddVBand="true" w:firstColumn="false"/>
            <w:tcW w:w="33.333333%" w:type="pct"/>
          </w:tcPr>
          <w:p>
            <w:pPr>
              <w:ind w:leftChars="0" w:left="0" w:right="0"/>
            </w:pPr>
            <w:r>
              <w:t>XCAR</w:t>
            </w:r>
          </w:p>
        </w:tc>
        <w:tc>
          <w:tcPr>
            <w:cnfStyle w:evenVBand="true" w:oddVBand="false" w:firstColumn="false"/>
            <w:tcW w:w="33.333333%" w:type="pct"/>
          </w:tcPr>
          <w:p>
            <w:pPr>
              <w:ind w:leftChars="0" w:left="0" w:right="0"/>
            </w:pPr>
            <w:r>
              <w:t>XCAR</w:t>
            </w:r>
          </w:p>
        </w:tc>
        <w:tc>
          <w:tcPr>
            <w:cnfStyle w:evenVBand="false" w:oddVBand="true" w:firstColumn="false"/>
            <w:tcW w:w="33.333333%" w:type="pct"/>
          </w:tcPr>
          <w:p>
            <w:pPr>
              <w:ind w:leftChars="0" w:left="0" w:right="0"/>
            </w:pPr>
            <w:r>
              <w:t>BOLSA DE VALORES DE CARACAS</w:t>
            </w:r>
          </w:p>
        </w:tc>
      </w:tr>
      <w:tr>
        <w:trPr>
          <w:cnfStyle w:evenHBand="true" w:oddHBand="false" w:firstRow="false"/>
        </w:trPr>
        <w:tc>
          <w:tcPr>
            <w:cnfStyle w:evenVBand="false" w:oddVBand="true" w:firstColumn="false"/>
            <w:tcW w:w="33.333333%" w:type="pct"/>
          </w:tcPr>
          <w:p>
            <w:pPr>
              <w:ind w:leftChars="0" w:left="0" w:right="0"/>
            </w:pPr>
            <w:r>
              <w:t>XCAS</w:t>
            </w:r>
          </w:p>
        </w:tc>
        <w:tc>
          <w:tcPr>
            <w:cnfStyle w:evenVBand="true" w:oddVBand="false" w:firstColumn="false"/>
            <w:tcW w:w="33.333333%" w:type="pct"/>
          </w:tcPr>
          <w:p>
            <w:pPr>
              <w:ind w:leftChars="0" w:left="0" w:right="0"/>
            </w:pPr>
            <w:r>
              <w:t>XCAS</w:t>
            </w:r>
          </w:p>
        </w:tc>
        <w:tc>
          <w:tcPr>
            <w:cnfStyle w:evenVBand="false" w:oddVBand="true" w:firstColumn="false"/>
            <w:tcW w:w="33.333333%" w:type="pct"/>
          </w:tcPr>
          <w:p>
            <w:pPr>
              <w:ind w:leftChars="0" w:left="0" w:right="0"/>
            </w:pPr>
            <w:r>
              <w:t>CASABLANCA STOCK EXCHANGE</w:t>
            </w:r>
          </w:p>
        </w:tc>
      </w:tr>
      <w:tr>
        <w:trPr>
          <w:cnfStyle w:evenHBand="false" w:oddHBand="true" w:firstRow="false"/>
        </w:trPr>
        <w:tc>
          <w:tcPr>
            <w:cnfStyle w:evenVBand="false" w:oddVBand="true" w:firstColumn="false"/>
            <w:tcW w:w="33.333333%" w:type="pct"/>
          </w:tcPr>
          <w:p>
            <w:pPr>
              <w:ind w:leftChars="0" w:left="0" w:right="0"/>
            </w:pPr>
            <w:r>
              <w:t>XCAY</w:t>
            </w:r>
          </w:p>
        </w:tc>
        <w:tc>
          <w:tcPr>
            <w:cnfStyle w:evenVBand="true" w:oddVBand="false" w:firstColumn="false"/>
            <w:tcW w:w="33.333333%" w:type="pct"/>
          </w:tcPr>
          <w:p>
            <w:pPr>
              <w:ind w:leftChars="0" w:left="0" w:right="0"/>
            </w:pPr>
            <w:r>
              <w:t>XCAY</w:t>
            </w:r>
          </w:p>
        </w:tc>
        <w:tc>
          <w:tcPr>
            <w:cnfStyle w:evenVBand="false" w:oddVBand="true" w:firstColumn="false"/>
            <w:tcW w:w="33.333333%" w:type="pct"/>
          </w:tcPr>
          <w:p>
            <w:pPr>
              <w:ind w:leftChars="0" w:left="0" w:right="0"/>
            </w:pPr>
            <w:r>
              <w:t>CAYMAN ISLANDS STOCK EXCHANGE</w:t>
            </w:r>
          </w:p>
        </w:tc>
      </w:tr>
      <w:tr>
        <w:trPr>
          <w:cnfStyle w:evenHBand="true" w:oddHBand="false" w:firstRow="false"/>
        </w:trPr>
        <w:tc>
          <w:tcPr>
            <w:cnfStyle w:evenVBand="false" w:oddVBand="true" w:firstColumn="false"/>
            <w:tcW w:w="33.333333%" w:type="pct"/>
          </w:tcPr>
          <w:p>
            <w:pPr>
              <w:ind w:leftChars="0" w:left="0" w:right="0"/>
            </w:pPr>
            <w:r>
              <w:t>XCBF</w:t>
            </w:r>
          </w:p>
        </w:tc>
        <w:tc>
          <w:tcPr>
            <w:cnfStyle w:evenVBand="true" w:oddVBand="false" w:firstColumn="false"/>
            <w:tcW w:w="33.333333%" w:type="pct"/>
          </w:tcPr>
          <w:p>
            <w:pPr>
              <w:ind w:leftChars="0" w:left="0" w:right="0"/>
            </w:pPr>
            <w:r>
              <w:t>XCBF</w:t>
            </w:r>
          </w:p>
        </w:tc>
        <w:tc>
          <w:tcPr>
            <w:cnfStyle w:evenVBand="false" w:oddVBand="true" w:firstColumn="false"/>
            <w:tcW w:w="33.333333%" w:type="pct"/>
          </w:tcPr>
          <w:p>
            <w:pPr>
              <w:ind w:leftChars="0" w:left="0" w:right="0"/>
            </w:pPr>
            <w:r>
              <w:t>CBOE FUTURES EXCHANGE</w:t>
            </w:r>
          </w:p>
        </w:tc>
      </w:tr>
      <w:tr>
        <w:trPr>
          <w:cnfStyle w:evenHBand="false" w:oddHBand="true" w:firstRow="false"/>
        </w:trPr>
        <w:tc>
          <w:tcPr>
            <w:cnfStyle w:evenVBand="false" w:oddVBand="true" w:firstColumn="false"/>
            <w:tcW w:w="33.333333%" w:type="pct"/>
          </w:tcPr>
          <w:p>
            <w:pPr>
              <w:ind w:leftChars="0" w:left="0" w:right="0"/>
            </w:pPr>
            <w:r>
              <w:t>XCBO</w:t>
            </w:r>
          </w:p>
        </w:tc>
        <w:tc>
          <w:tcPr>
            <w:cnfStyle w:evenVBand="true" w:oddVBand="false" w:firstColumn="false"/>
            <w:tcW w:w="33.333333%" w:type="pct"/>
          </w:tcPr>
          <w:p>
            <w:pPr>
              <w:ind w:leftChars="0" w:left="0" w:right="0"/>
            </w:pPr>
            <w:r>
              <w:t>XCBO</w:t>
            </w:r>
          </w:p>
        </w:tc>
        <w:tc>
          <w:tcPr>
            <w:cnfStyle w:evenVBand="false" w:oddVBand="true" w:firstColumn="false"/>
            <w:tcW w:w="33.333333%" w:type="pct"/>
          </w:tcPr>
          <w:p>
            <w:pPr>
              <w:ind w:leftChars="0" w:left="0" w:right="0"/>
            </w:pPr>
            <w:r>
              <w:t>CBOE GLOBAL MARKETS INC.</w:t>
            </w:r>
          </w:p>
        </w:tc>
      </w:tr>
      <w:tr>
        <w:trPr>
          <w:cnfStyle w:evenHBand="true" w:oddHBand="false" w:firstRow="false"/>
        </w:trPr>
        <w:tc>
          <w:tcPr>
            <w:cnfStyle w:evenVBand="false" w:oddVBand="true" w:firstColumn="false"/>
            <w:tcW w:w="33.333333%" w:type="pct"/>
          </w:tcPr>
          <w:p>
            <w:pPr>
              <w:ind w:leftChars="0" w:left="0" w:right="0"/>
            </w:pPr>
            <w:r>
              <w:t>XCBT</w:t>
            </w:r>
          </w:p>
        </w:tc>
        <w:tc>
          <w:tcPr>
            <w:cnfStyle w:evenVBand="true" w:oddVBand="false" w:firstColumn="false"/>
            <w:tcW w:w="33.333333%" w:type="pct"/>
          </w:tcPr>
          <w:p>
            <w:pPr>
              <w:ind w:leftChars="0" w:left="0" w:right="0"/>
            </w:pPr>
            <w:r>
              <w:t>XCBT</w:t>
            </w:r>
          </w:p>
        </w:tc>
        <w:tc>
          <w:tcPr>
            <w:cnfStyle w:evenVBand="false" w:oddVBand="true" w:firstColumn="false"/>
            <w:tcW w:w="33.333333%" w:type="pct"/>
          </w:tcPr>
          <w:p>
            <w:pPr>
              <w:ind w:leftChars="0" w:left="0" w:right="0"/>
            </w:pPr>
            <w:r>
              <w:t>CHICAGO BOARD OF TRADE</w:t>
            </w:r>
          </w:p>
        </w:tc>
      </w:tr>
      <w:tr>
        <w:trPr>
          <w:cnfStyle w:evenHBand="false" w:oddHBand="true" w:firstRow="false"/>
        </w:trPr>
        <w:tc>
          <w:tcPr>
            <w:cnfStyle w:evenVBand="false" w:oddVBand="true" w:firstColumn="false"/>
            <w:tcW w:w="33.333333%" w:type="pct"/>
          </w:tcPr>
          <w:p>
            <w:pPr>
              <w:ind w:leftChars="0" w:left="0" w:right="0"/>
            </w:pPr>
            <w:r>
              <w:t>XCCE</w:t>
            </w:r>
          </w:p>
        </w:tc>
        <w:tc>
          <w:tcPr>
            <w:cnfStyle w:evenVBand="true" w:oddVBand="false" w:firstColumn="false"/>
            <w:tcW w:w="33.333333%" w:type="pct"/>
          </w:tcPr>
          <w:p>
            <w:pPr>
              <w:ind w:leftChars="0" w:left="0" w:right="0"/>
            </w:pPr>
            <w:r>
              <w:t>XCCE</w:t>
            </w:r>
          </w:p>
        </w:tc>
        <w:tc>
          <w:tcPr>
            <w:cnfStyle w:evenVBand="false" w:oddVBand="true" w:firstColumn="false"/>
            <w:tcW w:w="33.333333%" w:type="pct"/>
          </w:tcPr>
          <w:p>
            <w:pPr>
              <w:ind w:leftChars="0" w:left="0" w:right="0"/>
            </w:pPr>
            <w:r>
              <w:t>CHUBU COMMODITY EXCHANGE</w:t>
            </w:r>
          </w:p>
        </w:tc>
      </w:tr>
      <w:tr>
        <w:trPr>
          <w:cnfStyle w:evenHBand="true" w:oddHBand="false" w:firstRow="false"/>
        </w:trPr>
        <w:tc>
          <w:tcPr>
            <w:cnfStyle w:evenVBand="false" w:oddVBand="true" w:firstColumn="false"/>
            <w:tcW w:w="33.333333%" w:type="pct"/>
          </w:tcPr>
          <w:p>
            <w:pPr>
              <w:ind w:leftChars="0" w:left="0" w:right="0"/>
            </w:pPr>
            <w:r>
              <w:t>XCCX</w:t>
            </w:r>
          </w:p>
        </w:tc>
        <w:tc>
          <w:tcPr>
            <w:cnfStyle w:evenVBand="true" w:oddVBand="false" w:firstColumn="false"/>
            <w:tcW w:w="33.333333%" w:type="pct"/>
          </w:tcPr>
          <w:p>
            <w:pPr>
              <w:ind w:leftChars="0" w:left="0" w:right="0"/>
            </w:pPr>
            <w:r>
              <w:t>XCCX</w:t>
            </w:r>
          </w:p>
        </w:tc>
        <w:tc>
          <w:tcPr>
            <w:cnfStyle w:evenVBand="false" w:oddVBand="true" w:firstColumn="false"/>
            <w:tcW w:w="33.333333%" w:type="pct"/>
          </w:tcPr>
          <w:p>
            <w:pPr>
              <w:ind w:leftChars="0" w:left="0" w:right="0"/>
            </w:pPr>
            <w:r>
              <w:t>CHICAGO CLIMATE EXCHANGE, INC</w:t>
            </w:r>
          </w:p>
        </w:tc>
      </w:tr>
      <w:tr>
        <w:trPr>
          <w:cnfStyle w:evenHBand="false" w:oddHBand="true" w:firstRow="false"/>
        </w:trPr>
        <w:tc>
          <w:tcPr>
            <w:cnfStyle w:evenVBand="false" w:oddVBand="true" w:firstColumn="false"/>
            <w:tcW w:w="33.333333%" w:type="pct"/>
          </w:tcPr>
          <w:p>
            <w:pPr>
              <w:ind w:leftChars="0" w:left="0" w:right="0"/>
            </w:pPr>
            <w:r>
              <w:t>XCDE</w:t>
            </w:r>
          </w:p>
        </w:tc>
        <w:tc>
          <w:tcPr>
            <w:cnfStyle w:evenVBand="true" w:oddVBand="false" w:firstColumn="false"/>
            <w:tcW w:w="33.333333%" w:type="pct"/>
          </w:tcPr>
          <w:p>
            <w:pPr>
              <w:ind w:leftChars="0" w:left="0" w:right="0"/>
            </w:pPr>
            <w:r>
              <w:t>XCDE</w:t>
            </w:r>
          </w:p>
        </w:tc>
        <w:tc>
          <w:tcPr>
            <w:cnfStyle w:evenVBand="false" w:oddVBand="true" w:firstColumn="false"/>
            <w:tcW w:w="33.333333%" w:type="pct"/>
          </w:tcPr>
          <w:p>
            <w:pPr>
              <w:ind w:leftChars="0" w:left="0" w:right="0"/>
            </w:pPr>
            <w:r>
              <w:t>BAXTER FINANCIAL SERVICES</w:t>
            </w:r>
          </w:p>
        </w:tc>
      </w:tr>
      <w:tr>
        <w:trPr>
          <w:cnfStyle w:evenHBand="true" w:oddHBand="false" w:firstRow="false"/>
        </w:trPr>
        <w:tc>
          <w:tcPr>
            <w:cnfStyle w:evenVBand="false" w:oddVBand="true" w:firstColumn="false"/>
            <w:tcW w:w="33.333333%" w:type="pct"/>
          </w:tcPr>
          <w:p>
            <w:pPr>
              <w:ind w:leftChars="0" w:left="0" w:right="0"/>
            </w:pPr>
            <w:r>
              <w:t>XCEC</w:t>
            </w:r>
          </w:p>
        </w:tc>
        <w:tc>
          <w:tcPr>
            <w:cnfStyle w:evenVBand="true" w:oddVBand="false" w:firstColumn="false"/>
            <w:tcW w:w="33.333333%" w:type="pct"/>
          </w:tcPr>
          <w:p>
            <w:pPr>
              <w:ind w:leftChars="0" w:left="0" w:right="0"/>
            </w:pPr>
            <w:r>
              <w:t>XCEC</w:t>
            </w:r>
          </w:p>
        </w:tc>
        <w:tc>
          <w:tcPr>
            <w:cnfStyle w:evenVBand="false" w:oddVBand="true" w:firstColumn="false"/>
            <w:tcW w:w="33.333333%" w:type="pct"/>
          </w:tcPr>
          <w:p>
            <w:pPr>
              <w:ind w:leftChars="0" w:left="0" w:right="0"/>
            </w:pPr>
            <w:r>
              <w:t>COMMODITIES EXCHANGE CENTER</w:t>
            </w:r>
          </w:p>
        </w:tc>
      </w:tr>
      <w:tr>
        <w:trPr>
          <w:cnfStyle w:evenHBand="false" w:oddHBand="true" w:firstRow="false"/>
        </w:trPr>
        <w:tc>
          <w:tcPr>
            <w:cnfStyle w:evenVBand="false" w:oddVBand="true" w:firstColumn="false"/>
            <w:tcW w:w="33.333333%" w:type="pct"/>
          </w:tcPr>
          <w:p>
            <w:pPr>
              <w:ind w:leftChars="0" w:left="0" w:right="0"/>
            </w:pPr>
            <w:r>
              <w:t>XCEG</w:t>
            </w:r>
          </w:p>
        </w:tc>
        <w:tc>
          <w:tcPr>
            <w:cnfStyle w:evenVBand="true" w:oddVBand="false" w:firstColumn="false"/>
            <w:tcW w:w="33.333333%" w:type="pct"/>
          </w:tcPr>
          <w:p>
            <w:pPr>
              <w:ind w:leftChars="0" w:left="0" w:right="0"/>
            </w:pPr>
            <w:r>
              <w:t>XCEG</w:t>
            </w:r>
          </w:p>
        </w:tc>
        <w:tc>
          <w:tcPr>
            <w:cnfStyle w:evenVBand="false" w:oddVBand="true" w:firstColumn="false"/>
            <w:tcW w:w="33.333333%" w:type="pct"/>
          </w:tcPr>
          <w:p>
            <w:pPr>
              <w:ind w:leftChars="0" w:left="0" w:right="0"/>
            </w:pPr>
            <w:r>
              <w:t>WIENER BOERSE AG, CEGH GAS EXCHANGE</w:t>
            </w:r>
          </w:p>
        </w:tc>
      </w:tr>
      <w:tr>
        <w:trPr>
          <w:cnfStyle w:evenHBand="true" w:oddHBand="false" w:firstRow="false"/>
        </w:trPr>
        <w:tc>
          <w:tcPr>
            <w:cnfStyle w:evenVBand="false" w:oddVBand="true" w:firstColumn="false"/>
            <w:tcW w:w="33.333333%" w:type="pct"/>
          </w:tcPr>
          <w:p>
            <w:pPr>
              <w:ind w:leftChars="0" w:left="0" w:right="0"/>
            </w:pPr>
            <w:r>
              <w:t>XCET</w:t>
            </w:r>
          </w:p>
        </w:tc>
        <w:tc>
          <w:tcPr>
            <w:cnfStyle w:evenVBand="true" w:oddVBand="false" w:firstColumn="false"/>
            <w:tcW w:w="33.333333%" w:type="pct"/>
          </w:tcPr>
          <w:p>
            <w:pPr>
              <w:ind w:leftChars="0" w:left="0" w:right="0"/>
            </w:pPr>
            <w:r>
              <w:t>XCET</w:t>
            </w:r>
          </w:p>
        </w:tc>
        <w:tc>
          <w:tcPr>
            <w:cnfStyle w:evenVBand="false" w:oddVBand="true" w:firstColumn="false"/>
            <w:tcW w:w="33.333333%" w:type="pct"/>
          </w:tcPr>
          <w:p>
            <w:pPr>
              <w:ind w:leftChars="0" w:left="0" w:right="0"/>
            </w:pPr>
            <w:r>
              <w:t>UZBEK COMMODITY EXCHANGE</w:t>
            </w:r>
          </w:p>
        </w:tc>
      </w:tr>
      <w:tr>
        <w:trPr>
          <w:cnfStyle w:evenHBand="false" w:oddHBand="true" w:firstRow="false"/>
        </w:trPr>
        <w:tc>
          <w:tcPr>
            <w:cnfStyle w:evenVBand="false" w:oddVBand="true" w:firstColumn="false"/>
            <w:tcW w:w="33.333333%" w:type="pct"/>
          </w:tcPr>
          <w:p>
            <w:pPr>
              <w:ind w:leftChars="0" w:left="0" w:right="0"/>
            </w:pPr>
            <w:r>
              <w:t>XCFE</w:t>
            </w:r>
          </w:p>
        </w:tc>
        <w:tc>
          <w:tcPr>
            <w:cnfStyle w:evenVBand="true" w:oddVBand="false" w:firstColumn="false"/>
            <w:tcW w:w="33.333333%" w:type="pct"/>
          </w:tcPr>
          <w:p>
            <w:pPr>
              <w:ind w:leftChars="0" w:left="0" w:right="0"/>
            </w:pPr>
            <w:r>
              <w:t>XCFE</w:t>
            </w:r>
          </w:p>
        </w:tc>
        <w:tc>
          <w:tcPr>
            <w:cnfStyle w:evenVBand="false" w:oddVBand="true" w:firstColumn="false"/>
            <w:tcW w:w="33.333333%" w:type="pct"/>
          </w:tcPr>
          <w:p>
            <w:pPr>
              <w:ind w:leftChars="0" w:left="0" w:right="0"/>
            </w:pPr>
            <w:r>
              <w:t>CHINA FOREIGN EXCHANGE TRADE SYSTEM</w:t>
            </w:r>
          </w:p>
        </w:tc>
      </w:tr>
      <w:tr>
        <w:trPr>
          <w:cnfStyle w:evenHBand="true" w:oddHBand="false" w:firstRow="false"/>
        </w:trPr>
        <w:tc>
          <w:tcPr>
            <w:cnfStyle w:evenVBand="false" w:oddVBand="true" w:firstColumn="false"/>
            <w:tcW w:w="33.333333%" w:type="pct"/>
          </w:tcPr>
          <w:p>
            <w:pPr>
              <w:ind w:leftChars="0" w:left="0" w:right="0"/>
            </w:pPr>
            <w:r>
              <w:t>XCFF</w:t>
            </w:r>
          </w:p>
        </w:tc>
        <w:tc>
          <w:tcPr>
            <w:cnfStyle w:evenVBand="true" w:oddVBand="false" w:firstColumn="false"/>
            <w:tcW w:w="33.333333%" w:type="pct"/>
          </w:tcPr>
          <w:p>
            <w:pPr>
              <w:ind w:leftChars="0" w:left="0" w:right="0"/>
            </w:pPr>
            <w:r>
              <w:t>XCFF</w:t>
            </w:r>
          </w:p>
        </w:tc>
        <w:tc>
          <w:tcPr>
            <w:cnfStyle w:evenVBand="false" w:oddVBand="true" w:firstColumn="false"/>
            <w:tcW w:w="33.333333%" w:type="pct"/>
          </w:tcPr>
          <w:p>
            <w:pPr>
              <w:ind w:leftChars="0" w:left="0" w:right="0"/>
            </w:pPr>
            <w:r>
              <w:t>CANTOR FINANCIAL FUTURES EXCHANGE</w:t>
            </w:r>
          </w:p>
        </w:tc>
      </w:tr>
      <w:tr>
        <w:trPr>
          <w:cnfStyle w:evenHBand="false" w:oddHBand="true" w:firstRow="false"/>
        </w:trPr>
        <w:tc>
          <w:tcPr>
            <w:cnfStyle w:evenVBand="false" w:oddVBand="true" w:firstColumn="false"/>
            <w:tcW w:w="33.333333%" w:type="pct"/>
          </w:tcPr>
          <w:p>
            <w:pPr>
              <w:ind w:leftChars="0" w:left="0" w:right="0"/>
            </w:pPr>
            <w:r>
              <w:t>XCGS</w:t>
            </w:r>
          </w:p>
        </w:tc>
        <w:tc>
          <w:tcPr>
            <w:cnfStyle w:evenVBand="true" w:oddVBand="false" w:firstColumn="false"/>
            <w:tcW w:w="33.333333%" w:type="pct"/>
          </w:tcPr>
          <w:p>
            <w:pPr>
              <w:ind w:leftChars="0" w:left="0" w:right="0"/>
            </w:pPr>
            <w:r>
              <w:t>XCGS</w:t>
            </w:r>
          </w:p>
        </w:tc>
        <w:tc>
          <w:tcPr>
            <w:cnfStyle w:evenVBand="false" w:oddVBand="true" w:firstColumn="false"/>
            <w:tcW w:w="33.333333%" w:type="pct"/>
          </w:tcPr>
          <w:p>
            <w:pPr>
              <w:ind w:leftChars="0" w:left="0" w:right="0"/>
            </w:pPr>
            <w:r>
              <w:t>CHINESE GOLD &amp; SILVER EXCHANGE SOCIETY</w:t>
            </w:r>
          </w:p>
        </w:tc>
      </w:tr>
      <w:tr>
        <w:trPr>
          <w:cnfStyle w:evenHBand="true" w:oddHBand="false" w:firstRow="false"/>
        </w:trPr>
        <w:tc>
          <w:tcPr>
            <w:cnfStyle w:evenVBand="false" w:oddVBand="true" w:firstColumn="false"/>
            <w:tcW w:w="33.333333%" w:type="pct"/>
          </w:tcPr>
          <w:p>
            <w:pPr>
              <w:ind w:leftChars="0" w:left="0" w:right="0"/>
            </w:pPr>
            <w:r>
              <w:t>XCHG</w:t>
            </w:r>
          </w:p>
        </w:tc>
        <w:tc>
          <w:tcPr>
            <w:cnfStyle w:evenVBand="true" w:oddVBand="false" w:firstColumn="false"/>
            <w:tcW w:w="33.333333%" w:type="pct"/>
          </w:tcPr>
          <w:p>
            <w:pPr>
              <w:ind w:leftChars="0" w:left="0" w:right="0"/>
            </w:pPr>
            <w:r>
              <w:t>XCHG</w:t>
            </w:r>
          </w:p>
        </w:tc>
        <w:tc>
          <w:tcPr>
            <w:cnfStyle w:evenVBand="false" w:oddVBand="true" w:firstColumn="false"/>
            <w:tcW w:w="33.333333%" w:type="pct"/>
          </w:tcPr>
          <w:p>
            <w:pPr>
              <w:ind w:leftChars="0" w:left="0" w:right="0"/>
            </w:pPr>
            <w:r>
              <w:t>CHITTAGONG STOCK EXCHANGE LTD.</w:t>
            </w:r>
          </w:p>
        </w:tc>
      </w:tr>
      <w:tr>
        <w:trPr>
          <w:cnfStyle w:evenHBand="false" w:oddHBand="true" w:firstRow="false"/>
        </w:trPr>
        <w:tc>
          <w:tcPr>
            <w:cnfStyle w:evenVBand="false" w:oddVBand="true" w:firstColumn="false"/>
            <w:tcW w:w="33.333333%" w:type="pct"/>
          </w:tcPr>
          <w:p>
            <w:pPr>
              <w:ind w:leftChars="0" w:left="0" w:right="0"/>
            </w:pPr>
            <w:r>
              <w:t>XCHI</w:t>
            </w:r>
          </w:p>
        </w:tc>
        <w:tc>
          <w:tcPr>
            <w:cnfStyle w:evenVBand="true" w:oddVBand="false" w:firstColumn="false"/>
            <w:tcW w:w="33.333333%" w:type="pct"/>
          </w:tcPr>
          <w:p>
            <w:pPr>
              <w:ind w:leftChars="0" w:left="0" w:right="0"/>
            </w:pPr>
            <w:r>
              <w:t>XCHI</w:t>
            </w:r>
          </w:p>
        </w:tc>
        <w:tc>
          <w:tcPr>
            <w:cnfStyle w:evenVBand="false" w:oddVBand="true" w:firstColumn="false"/>
            <w:tcW w:w="33.333333%" w:type="pct"/>
          </w:tcPr>
          <w:p>
            <w:pPr>
              <w:ind w:leftChars="0" w:left="0" w:right="0"/>
            </w:pPr>
            <w:r>
              <w:t>NYSE CHICAGO, INC.</w:t>
            </w:r>
          </w:p>
        </w:tc>
      </w:tr>
      <w:tr>
        <w:trPr>
          <w:cnfStyle w:evenHBand="true" w:oddHBand="false" w:firstRow="false"/>
        </w:trPr>
        <w:tc>
          <w:tcPr>
            <w:cnfStyle w:evenVBand="false" w:oddVBand="true" w:firstColumn="false"/>
            <w:tcW w:w="33.333333%" w:type="pct"/>
          </w:tcPr>
          <w:p>
            <w:pPr>
              <w:ind w:leftChars="0" w:left="0" w:right="0"/>
            </w:pPr>
            <w:r>
              <w:t>XCIE</w:t>
            </w:r>
          </w:p>
        </w:tc>
        <w:tc>
          <w:tcPr>
            <w:cnfStyle w:evenVBand="true" w:oddVBand="false" w:firstColumn="false"/>
            <w:tcW w:w="33.333333%" w:type="pct"/>
          </w:tcPr>
          <w:p>
            <w:pPr>
              <w:ind w:leftChars="0" w:left="0" w:right="0"/>
            </w:pPr>
            <w:r>
              <w:t>XCIE</w:t>
            </w:r>
          </w:p>
        </w:tc>
        <w:tc>
          <w:tcPr>
            <w:cnfStyle w:evenVBand="false" w:oddVBand="true" w:firstColumn="false"/>
            <w:tcW w:w="33.333333%" w:type="pct"/>
          </w:tcPr>
          <w:p>
            <w:pPr>
              <w:ind w:leftChars="0" w:left="0" w:right="0"/>
            </w:pPr>
            <w:r>
              <w:t>THE INTERNATIONAL STOCK EXCHANGE</w:t>
            </w:r>
          </w:p>
        </w:tc>
      </w:tr>
      <w:tr>
        <w:trPr>
          <w:cnfStyle w:evenHBand="false" w:oddHBand="true" w:firstRow="false"/>
        </w:trPr>
        <w:tc>
          <w:tcPr>
            <w:cnfStyle w:evenVBand="false" w:oddVBand="true" w:firstColumn="false"/>
            <w:tcW w:w="33.333333%" w:type="pct"/>
          </w:tcPr>
          <w:p>
            <w:pPr>
              <w:ind w:leftChars="0" w:left="0" w:right="0"/>
            </w:pPr>
            <w:r>
              <w:t>XCIS</w:t>
            </w:r>
          </w:p>
        </w:tc>
        <w:tc>
          <w:tcPr>
            <w:cnfStyle w:evenVBand="true" w:oddVBand="false" w:firstColumn="false"/>
            <w:tcW w:w="33.333333%" w:type="pct"/>
          </w:tcPr>
          <w:p>
            <w:pPr>
              <w:ind w:leftChars="0" w:left="0" w:right="0"/>
            </w:pPr>
            <w:r>
              <w:t>XCIS</w:t>
            </w:r>
          </w:p>
        </w:tc>
        <w:tc>
          <w:tcPr>
            <w:cnfStyle w:evenVBand="false" w:oddVBand="true" w:firstColumn="false"/>
            <w:tcW w:w="33.333333%" w:type="pct"/>
          </w:tcPr>
          <w:p>
            <w:pPr>
              <w:ind w:leftChars="0" w:left="0" w:right="0"/>
            </w:pPr>
            <w:r>
              <w:t>NYSE NATIONAL, INC.</w:t>
            </w:r>
          </w:p>
        </w:tc>
      </w:tr>
      <w:tr>
        <w:trPr>
          <w:cnfStyle w:evenHBand="true" w:oddHBand="false" w:firstRow="false"/>
        </w:trPr>
        <w:tc>
          <w:tcPr>
            <w:cnfStyle w:evenVBand="false" w:oddVBand="true" w:firstColumn="false"/>
            <w:tcW w:w="33.333333%" w:type="pct"/>
          </w:tcPr>
          <w:p>
            <w:pPr>
              <w:ind w:leftChars="0" w:left="0" w:right="0"/>
            </w:pPr>
            <w:r>
              <w:t>XCME</w:t>
            </w:r>
          </w:p>
        </w:tc>
        <w:tc>
          <w:tcPr>
            <w:cnfStyle w:evenVBand="true" w:oddVBand="false" w:firstColumn="false"/>
            <w:tcW w:w="33.333333%" w:type="pct"/>
          </w:tcPr>
          <w:p>
            <w:pPr>
              <w:ind w:leftChars="0" w:left="0" w:right="0"/>
            </w:pPr>
            <w:r>
              <w:t>XCME</w:t>
            </w:r>
          </w:p>
        </w:tc>
        <w:tc>
          <w:tcPr>
            <w:cnfStyle w:evenVBand="false" w:oddVBand="true" w:firstColumn="false"/>
            <w:tcW w:w="33.333333%" w:type="pct"/>
          </w:tcPr>
          <w:p>
            <w:pPr>
              <w:ind w:leftChars="0" w:left="0" w:right="0"/>
            </w:pPr>
            <w:r>
              <w:t>CHICAGO MERCANTILE EXCHANGE</w:t>
            </w:r>
          </w:p>
        </w:tc>
      </w:tr>
      <w:tr>
        <w:trPr>
          <w:cnfStyle w:evenHBand="false" w:oddHBand="true" w:firstRow="false"/>
        </w:trPr>
        <w:tc>
          <w:tcPr>
            <w:cnfStyle w:evenVBand="false" w:oddVBand="true" w:firstColumn="false"/>
            <w:tcW w:w="33.333333%" w:type="pct"/>
          </w:tcPr>
          <w:p>
            <w:pPr>
              <w:ind w:leftChars="0" w:left="0" w:right="0"/>
            </w:pPr>
            <w:r>
              <w:t>XCNF</w:t>
            </w:r>
          </w:p>
        </w:tc>
        <w:tc>
          <w:tcPr>
            <w:cnfStyle w:evenVBand="true" w:oddVBand="false" w:firstColumn="false"/>
            <w:tcW w:w="33.333333%" w:type="pct"/>
          </w:tcPr>
          <w:p>
            <w:pPr>
              <w:ind w:leftChars="0" w:left="0" w:right="0"/>
            </w:pPr>
            <w:r>
              <w:t>XCNF</w:t>
            </w:r>
          </w:p>
        </w:tc>
        <w:tc>
          <w:tcPr>
            <w:cnfStyle w:evenVBand="false" w:oddVBand="true" w:firstColumn="false"/>
            <w:tcW w:w="33.333333%" w:type="pct"/>
          </w:tcPr>
          <w:p>
            <w:pPr>
              <w:ind w:leftChars="0" w:left="0" w:right="0"/>
            </w:pPr>
            <w:r>
              <w:t>BOLSA DE COMERCIO CONFEDERADA S.A.</w:t>
            </w:r>
          </w:p>
        </w:tc>
      </w:tr>
      <w:tr>
        <w:trPr>
          <w:cnfStyle w:evenHBand="true" w:oddHBand="false" w:firstRow="false"/>
        </w:trPr>
        <w:tc>
          <w:tcPr>
            <w:cnfStyle w:evenVBand="false" w:oddVBand="true" w:firstColumn="false"/>
            <w:tcW w:w="33.333333%" w:type="pct"/>
          </w:tcPr>
          <w:p>
            <w:pPr>
              <w:ind w:leftChars="0" w:left="0" w:right="0"/>
            </w:pPr>
            <w:r>
              <w:t>XCNQ</w:t>
            </w:r>
          </w:p>
        </w:tc>
        <w:tc>
          <w:tcPr>
            <w:cnfStyle w:evenVBand="true" w:oddVBand="false" w:firstColumn="false"/>
            <w:tcW w:w="33.333333%" w:type="pct"/>
          </w:tcPr>
          <w:p>
            <w:pPr>
              <w:ind w:leftChars="0" w:left="0" w:right="0"/>
            </w:pPr>
            <w:r>
              <w:t>XCNQ</w:t>
            </w:r>
          </w:p>
        </w:tc>
        <w:tc>
          <w:tcPr>
            <w:cnfStyle w:evenVBand="false" w:oddVBand="true" w:firstColumn="false"/>
            <w:tcW w:w="33.333333%" w:type="pct"/>
          </w:tcPr>
          <w:p>
            <w:pPr>
              <w:ind w:leftChars="0" w:left="0" w:right="0"/>
            </w:pPr>
            <w:r>
              <w:t>CANADIAN SECURITIES EXCHANGE</w:t>
            </w:r>
          </w:p>
        </w:tc>
      </w:tr>
      <w:tr>
        <w:trPr>
          <w:cnfStyle w:evenHBand="false" w:oddHBand="true" w:firstRow="false"/>
        </w:trPr>
        <w:tc>
          <w:tcPr>
            <w:cnfStyle w:evenVBand="false" w:oddVBand="true" w:firstColumn="false"/>
            <w:tcW w:w="33.333333%" w:type="pct"/>
          </w:tcPr>
          <w:p>
            <w:pPr>
              <w:ind w:leftChars="0" w:left="0" w:right="0"/>
            </w:pPr>
            <w:r>
              <w:t>XCOL</w:t>
            </w:r>
          </w:p>
        </w:tc>
        <w:tc>
          <w:tcPr>
            <w:cnfStyle w:evenVBand="true" w:oddVBand="false" w:firstColumn="false"/>
            <w:tcW w:w="33.333333%" w:type="pct"/>
          </w:tcPr>
          <w:p>
            <w:pPr>
              <w:ind w:leftChars="0" w:left="0" w:right="0"/>
            </w:pPr>
            <w:r>
              <w:t>XCOL</w:t>
            </w:r>
          </w:p>
        </w:tc>
        <w:tc>
          <w:tcPr>
            <w:cnfStyle w:evenVBand="false" w:oddVBand="true" w:firstColumn="false"/>
            <w:tcW w:w="33.333333%" w:type="pct"/>
          </w:tcPr>
          <w:p>
            <w:pPr>
              <w:ind w:leftChars="0" w:left="0" w:right="0"/>
            </w:pPr>
            <w:r>
              <w:t>COLOMBO STOCK EXCHANGE</w:t>
            </w:r>
          </w:p>
        </w:tc>
      </w:tr>
      <w:tr>
        <w:trPr>
          <w:cnfStyle w:evenHBand="true" w:oddHBand="false" w:firstRow="false"/>
        </w:trPr>
        <w:tc>
          <w:tcPr>
            <w:cnfStyle w:evenVBand="false" w:oddVBand="true" w:firstColumn="false"/>
            <w:tcW w:w="33.333333%" w:type="pct"/>
          </w:tcPr>
          <w:p>
            <w:pPr>
              <w:ind w:leftChars="0" w:left="0" w:right="0"/>
            </w:pPr>
            <w:r>
              <w:t>XCOR</w:t>
            </w:r>
          </w:p>
        </w:tc>
        <w:tc>
          <w:tcPr>
            <w:cnfStyle w:evenVBand="true" w:oddVBand="false" w:firstColumn="false"/>
            <w:tcW w:w="33.333333%" w:type="pct"/>
          </w:tcPr>
          <w:p>
            <w:pPr>
              <w:ind w:leftChars="0" w:left="0" w:right="0"/>
            </w:pPr>
            <w:r>
              <w:t>XCOR</w:t>
            </w:r>
          </w:p>
        </w:tc>
        <w:tc>
          <w:tcPr>
            <w:cnfStyle w:evenVBand="false" w:oddVBand="true" w:firstColumn="false"/>
            <w:tcW w:w="33.333333%" w:type="pct"/>
          </w:tcPr>
          <w:p>
            <w:pPr>
              <w:ind w:leftChars="0" w:left="0" w:right="0"/>
            </w:pPr>
            <w:r>
              <w:t>ICMA</w:t>
            </w:r>
          </w:p>
        </w:tc>
      </w:tr>
      <w:tr>
        <w:trPr>
          <w:cnfStyle w:evenHBand="false" w:oddHBand="true" w:firstRow="false"/>
        </w:trPr>
        <w:tc>
          <w:tcPr>
            <w:cnfStyle w:evenVBand="false" w:oddVBand="true" w:firstColumn="false"/>
            <w:tcW w:w="33.333333%" w:type="pct"/>
          </w:tcPr>
          <w:p>
            <w:pPr>
              <w:ind w:leftChars="0" w:left="0" w:right="0"/>
            </w:pPr>
            <w:r>
              <w:t>XCRC</w:t>
            </w:r>
          </w:p>
        </w:tc>
        <w:tc>
          <w:tcPr>
            <w:cnfStyle w:evenVBand="true" w:oddVBand="false" w:firstColumn="false"/>
            <w:tcW w:w="33.333333%" w:type="pct"/>
          </w:tcPr>
          <w:p>
            <w:pPr>
              <w:ind w:leftChars="0" w:left="0" w:right="0"/>
            </w:pPr>
            <w:r>
              <w:t>XCRC</w:t>
            </w:r>
          </w:p>
        </w:tc>
        <w:tc>
          <w:tcPr>
            <w:cnfStyle w:evenVBand="false" w:oddVBand="true" w:firstColumn="false"/>
            <w:tcW w:w="33.333333%" w:type="pct"/>
          </w:tcPr>
          <w:p>
            <w:pPr>
              <w:ind w:leftChars="0" w:left="0" w:right="0"/>
            </w:pPr>
            <w:r>
              <w:t>CHICAGO RICE AND COTTON EXCHANGE</w:t>
            </w:r>
          </w:p>
        </w:tc>
      </w:tr>
      <w:tr>
        <w:trPr>
          <w:cnfStyle w:evenHBand="true" w:oddHBand="false" w:firstRow="false"/>
        </w:trPr>
        <w:tc>
          <w:tcPr>
            <w:cnfStyle w:evenVBand="false" w:oddVBand="true" w:firstColumn="false"/>
            <w:tcW w:w="33.333333%" w:type="pct"/>
          </w:tcPr>
          <w:p>
            <w:pPr>
              <w:ind w:leftChars="0" w:left="0" w:right="0"/>
            </w:pPr>
            <w:r>
              <w:t>XCRO</w:t>
            </w:r>
          </w:p>
        </w:tc>
        <w:tc>
          <w:tcPr>
            <w:cnfStyle w:evenVBand="true" w:oddVBand="false" w:firstColumn="false"/>
            <w:tcW w:w="33.333333%" w:type="pct"/>
          </w:tcPr>
          <w:p>
            <w:pPr>
              <w:ind w:leftChars="0" w:left="0" w:right="0"/>
            </w:pPr>
            <w:r>
              <w:t>XCRO</w:t>
            </w:r>
          </w:p>
        </w:tc>
        <w:tc>
          <w:tcPr>
            <w:cnfStyle w:evenVBand="false" w:oddVBand="true" w:firstColumn="false"/>
            <w:tcW w:w="33.333333%" w:type="pct"/>
          </w:tcPr>
          <w:p>
            <w:pPr>
              <w:ind w:leftChars="0" w:left="0" w:right="0"/>
            </w:pPr>
            <w:r>
              <w:t>CROATIAN POWER EXCHANGE</w:t>
            </w:r>
          </w:p>
        </w:tc>
      </w:tr>
      <w:tr>
        <w:trPr>
          <w:cnfStyle w:evenHBand="false" w:oddHBand="true" w:firstRow="false"/>
        </w:trPr>
        <w:tc>
          <w:tcPr>
            <w:cnfStyle w:evenVBand="false" w:oddVBand="true" w:firstColumn="false"/>
            <w:tcW w:w="33.333333%" w:type="pct"/>
          </w:tcPr>
          <w:p>
            <w:pPr>
              <w:ind w:leftChars="0" w:left="0" w:right="0"/>
            </w:pPr>
            <w:r>
              <w:t>XCSC</w:t>
            </w:r>
          </w:p>
        </w:tc>
        <w:tc>
          <w:tcPr>
            <w:cnfStyle w:evenVBand="true" w:oddVBand="false" w:firstColumn="false"/>
            <w:tcW w:w="33.333333%" w:type="pct"/>
          </w:tcPr>
          <w:p>
            <w:pPr>
              <w:ind w:leftChars="0" w:left="0" w:right="0"/>
            </w:pPr>
            <w:r>
              <w:t>XCSC</w:t>
            </w:r>
          </w:p>
        </w:tc>
        <w:tc>
          <w:tcPr>
            <w:cnfStyle w:evenVBand="false" w:oddVBand="true" w:firstColumn="false"/>
            <w:tcW w:w="33.333333%" w:type="pct"/>
          </w:tcPr>
          <w:p>
            <w:pPr>
              <w:ind w:leftChars="0" w:left="0" w:right="0"/>
            </w:pPr>
            <w:r>
              <w:t>NEW YORK COCOA, COFFEE AND SUGAR EXCHANGE</w:t>
            </w:r>
          </w:p>
        </w:tc>
      </w:tr>
      <w:tr>
        <w:trPr>
          <w:cnfStyle w:evenHBand="true" w:oddHBand="false" w:firstRow="false"/>
        </w:trPr>
        <w:tc>
          <w:tcPr>
            <w:cnfStyle w:evenVBand="false" w:oddVBand="true" w:firstColumn="false"/>
            <w:tcW w:w="33.333333%" w:type="pct"/>
          </w:tcPr>
          <w:p>
            <w:pPr>
              <w:ind w:leftChars="0" w:left="0" w:right="0"/>
            </w:pPr>
            <w:r>
              <w:t>XCSE</w:t>
            </w:r>
          </w:p>
        </w:tc>
        <w:tc>
          <w:tcPr>
            <w:cnfStyle w:evenVBand="true" w:oddVBand="false" w:firstColumn="false"/>
            <w:tcW w:w="33.333333%" w:type="pct"/>
          </w:tcPr>
          <w:p>
            <w:pPr>
              <w:ind w:leftChars="0" w:left="0" w:right="0"/>
            </w:pPr>
            <w:r>
              <w:t>XCSE</w:t>
            </w:r>
          </w:p>
        </w:tc>
        <w:tc>
          <w:tcPr>
            <w:cnfStyle w:evenVBand="false" w:oddVBand="true" w:firstColumn="false"/>
            <w:tcW w:w="33.333333%" w:type="pct"/>
          </w:tcPr>
          <w:p>
            <w:pPr>
              <w:ind w:leftChars="0" w:left="0" w:right="0"/>
            </w:pPr>
            <w:r>
              <w:t>NASDAQ COPENHAGEN A/S</w:t>
            </w:r>
          </w:p>
        </w:tc>
      </w:tr>
      <w:tr>
        <w:trPr>
          <w:cnfStyle w:evenHBand="false" w:oddHBand="true" w:firstRow="false"/>
        </w:trPr>
        <w:tc>
          <w:tcPr>
            <w:cnfStyle w:evenVBand="false" w:oddVBand="true" w:firstColumn="false"/>
            <w:tcW w:w="33.333333%" w:type="pct"/>
          </w:tcPr>
          <w:p>
            <w:pPr>
              <w:ind w:leftChars="0" w:left="0" w:right="0"/>
            </w:pPr>
            <w:r>
              <w:t>XCSX</w:t>
            </w:r>
          </w:p>
        </w:tc>
        <w:tc>
          <w:tcPr>
            <w:cnfStyle w:evenVBand="true" w:oddVBand="false" w:firstColumn="false"/>
            <w:tcW w:w="33.333333%" w:type="pct"/>
          </w:tcPr>
          <w:p>
            <w:pPr>
              <w:ind w:leftChars="0" w:left="0" w:right="0"/>
            </w:pPr>
            <w:r>
              <w:t>XCSX</w:t>
            </w:r>
          </w:p>
        </w:tc>
        <w:tc>
          <w:tcPr>
            <w:cnfStyle w:evenVBand="false" w:oddVBand="true" w:firstColumn="false"/>
            <w:tcW w:w="33.333333%" w:type="pct"/>
          </w:tcPr>
          <w:p>
            <w:pPr>
              <w:ind w:leftChars="0" w:left="0" w:right="0"/>
            </w:pPr>
            <w:r>
              <w:t>CAMBODIA SECURITIES EXCHANGE</w:t>
            </w:r>
          </w:p>
        </w:tc>
      </w:tr>
      <w:tr>
        <w:trPr>
          <w:cnfStyle w:evenHBand="true" w:oddHBand="false" w:firstRow="false"/>
        </w:trPr>
        <w:tc>
          <w:tcPr>
            <w:cnfStyle w:evenVBand="false" w:oddVBand="true" w:firstColumn="false"/>
            <w:tcW w:w="33.333333%" w:type="pct"/>
          </w:tcPr>
          <w:p>
            <w:pPr>
              <w:ind w:leftChars="0" w:left="0" w:right="0"/>
            </w:pPr>
            <w:r>
              <w:t>XCUE</w:t>
            </w:r>
          </w:p>
        </w:tc>
        <w:tc>
          <w:tcPr>
            <w:cnfStyle w:evenVBand="true" w:oddVBand="false" w:firstColumn="false"/>
            <w:tcW w:w="33.333333%" w:type="pct"/>
          </w:tcPr>
          <w:p>
            <w:pPr>
              <w:ind w:leftChars="0" w:left="0" w:right="0"/>
            </w:pPr>
            <w:r>
              <w:t>XCUE</w:t>
            </w:r>
          </w:p>
        </w:tc>
        <w:tc>
          <w:tcPr>
            <w:cnfStyle w:evenVBand="false" w:oddVBand="true" w:firstColumn="false"/>
            <w:tcW w:w="33.333333%" w:type="pct"/>
          </w:tcPr>
          <w:p>
            <w:pPr>
              <w:ind w:leftChars="0" w:left="0" w:right="0"/>
            </w:pPr>
            <w:r>
              <w:t>UZBEKISTAN REPUBLICAN CURRENCY EXCHANGE</w:t>
            </w:r>
          </w:p>
        </w:tc>
      </w:tr>
      <w:tr>
        <w:trPr>
          <w:cnfStyle w:evenHBand="false" w:oddHBand="true" w:firstRow="false"/>
        </w:trPr>
        <w:tc>
          <w:tcPr>
            <w:cnfStyle w:evenVBand="false" w:oddVBand="true" w:firstColumn="false"/>
            <w:tcW w:w="33.333333%" w:type="pct"/>
          </w:tcPr>
          <w:p>
            <w:pPr>
              <w:ind w:leftChars="0" w:left="0" w:right="0"/>
            </w:pPr>
            <w:r>
              <w:t>XCUR</w:t>
            </w:r>
          </w:p>
        </w:tc>
        <w:tc>
          <w:tcPr>
            <w:cnfStyle w:evenVBand="true" w:oddVBand="false" w:firstColumn="false"/>
            <w:tcW w:w="33.333333%" w:type="pct"/>
          </w:tcPr>
          <w:p>
            <w:pPr>
              <w:ind w:leftChars="0" w:left="0" w:right="0"/>
            </w:pPr>
            <w:r>
              <w:t>XCUR</w:t>
            </w:r>
          </w:p>
        </w:tc>
        <w:tc>
          <w:tcPr>
            <w:cnfStyle w:evenVBand="false" w:oddVBand="true" w:firstColumn="false"/>
            <w:tcW w:w="33.333333%" w:type="pct"/>
          </w:tcPr>
          <w:p>
            <w:pPr>
              <w:ind w:leftChars="0" w:left="0" w:right="0"/>
            </w:pPr>
            <w:r>
              <w:t>CURRENEX</w:t>
            </w:r>
          </w:p>
        </w:tc>
      </w:tr>
      <w:tr>
        <w:trPr>
          <w:cnfStyle w:evenHBand="true" w:oddHBand="false" w:firstRow="false"/>
        </w:trPr>
        <w:tc>
          <w:tcPr>
            <w:cnfStyle w:evenVBand="false" w:oddVBand="true" w:firstColumn="false"/>
            <w:tcW w:w="33.333333%" w:type="pct"/>
          </w:tcPr>
          <w:p>
            <w:pPr>
              <w:ind w:leftChars="0" w:left="0" w:right="0"/>
            </w:pPr>
            <w:r>
              <w:t>XCX2</w:t>
            </w:r>
          </w:p>
        </w:tc>
        <w:tc>
          <w:tcPr>
            <w:cnfStyle w:evenVBand="true" w:oddVBand="false" w:firstColumn="false"/>
            <w:tcW w:w="33.333333%" w:type="pct"/>
          </w:tcPr>
          <w:p>
            <w:pPr>
              <w:ind w:leftChars="0" w:left="0" w:right="0"/>
            </w:pPr>
            <w:r>
              <w:t>XCX2</w:t>
            </w:r>
          </w:p>
        </w:tc>
        <w:tc>
          <w:tcPr>
            <w:cnfStyle w:evenVBand="false" w:oddVBand="true" w:firstColumn="false"/>
            <w:tcW w:w="33.333333%" w:type="pct"/>
          </w:tcPr>
          <w:p>
            <w:pPr>
              <w:ind w:leftChars="0" w:left="0" w:right="0"/>
            </w:pPr>
            <w:r>
              <w:t>CX2</w:t>
            </w:r>
          </w:p>
        </w:tc>
      </w:tr>
      <w:tr>
        <w:trPr>
          <w:cnfStyle w:evenHBand="false" w:oddHBand="true" w:firstRow="false"/>
        </w:trPr>
        <w:tc>
          <w:tcPr>
            <w:cnfStyle w:evenVBand="false" w:oddVBand="true" w:firstColumn="false"/>
            <w:tcW w:w="33.333333%" w:type="pct"/>
          </w:tcPr>
          <w:p>
            <w:pPr>
              <w:ind w:leftChars="0" w:left="0" w:right="0"/>
            </w:pPr>
            <w:r>
              <w:t>XCXD</w:t>
            </w:r>
          </w:p>
        </w:tc>
        <w:tc>
          <w:tcPr>
            <w:cnfStyle w:evenVBand="true" w:oddVBand="false" w:firstColumn="false"/>
            <w:tcW w:w="33.333333%" w:type="pct"/>
          </w:tcPr>
          <w:p>
            <w:pPr>
              <w:ind w:leftChars="0" w:left="0" w:right="0"/>
            </w:pPr>
            <w:r>
              <w:t>XCXD</w:t>
            </w:r>
          </w:p>
        </w:tc>
        <w:tc>
          <w:tcPr>
            <w:cnfStyle w:evenVBand="false" w:oddVBand="true" w:firstColumn="false"/>
            <w:tcW w:w="33.333333%" w:type="pct"/>
          </w:tcPr>
          <w:p>
            <w:pPr>
              <w:ind w:leftChars="0" w:left="0" w:right="0"/>
            </w:pPr>
            <w:r>
              <w:t>NASDAQ CXD</w:t>
            </w:r>
          </w:p>
        </w:tc>
      </w:tr>
      <w:tr>
        <w:trPr>
          <w:cnfStyle w:evenHBand="true" w:oddHBand="false" w:firstRow="false"/>
        </w:trPr>
        <w:tc>
          <w:tcPr>
            <w:cnfStyle w:evenVBand="false" w:oddVBand="true" w:firstColumn="false"/>
            <w:tcW w:w="33.333333%" w:type="pct"/>
          </w:tcPr>
          <w:p>
            <w:pPr>
              <w:ind w:leftChars="0" w:left="0" w:right="0"/>
            </w:pPr>
            <w:r>
              <w:t>XCYO</w:t>
            </w:r>
          </w:p>
        </w:tc>
        <w:tc>
          <w:tcPr>
            <w:cnfStyle w:evenVBand="true" w:oddVBand="false" w:firstColumn="false"/>
            <w:tcW w:w="33.333333%" w:type="pct"/>
          </w:tcPr>
          <w:p>
            <w:pPr>
              <w:ind w:leftChars="0" w:left="0" w:right="0"/>
            </w:pPr>
            <w:r>
              <w:t>XCYO</w:t>
            </w:r>
          </w:p>
        </w:tc>
        <w:tc>
          <w:tcPr>
            <w:cnfStyle w:evenVBand="false" w:oddVBand="true" w:firstColumn="false"/>
            <w:tcW w:w="33.333333%" w:type="pct"/>
          </w:tcPr>
          <w:p>
            <w:pPr>
              <w:ind w:leftChars="0" w:left="0" w:right="0"/>
            </w:pPr>
            <w:r>
              <w:t>CYPRUS STOCK EXCHANGE - OTC</w:t>
            </w:r>
          </w:p>
        </w:tc>
      </w:tr>
      <w:tr>
        <w:trPr>
          <w:cnfStyle w:evenHBand="false" w:oddHBand="true" w:firstRow="false"/>
        </w:trPr>
        <w:tc>
          <w:tcPr>
            <w:cnfStyle w:evenVBand="false" w:oddVBand="true" w:firstColumn="false"/>
            <w:tcW w:w="33.333333%" w:type="pct"/>
          </w:tcPr>
          <w:p>
            <w:pPr>
              <w:ind w:leftChars="0" w:left="0" w:right="0"/>
            </w:pPr>
            <w:r>
              <w:t>XCYS</w:t>
            </w:r>
          </w:p>
        </w:tc>
        <w:tc>
          <w:tcPr>
            <w:cnfStyle w:evenVBand="true" w:oddVBand="false" w:firstColumn="false"/>
            <w:tcW w:w="33.333333%" w:type="pct"/>
          </w:tcPr>
          <w:p>
            <w:pPr>
              <w:ind w:leftChars="0" w:left="0" w:right="0"/>
            </w:pPr>
            <w:r>
              <w:t>XCYS</w:t>
            </w:r>
          </w:p>
        </w:tc>
        <w:tc>
          <w:tcPr>
            <w:cnfStyle w:evenVBand="false" w:oddVBand="true" w:firstColumn="false"/>
            <w:tcW w:w="33.333333%" w:type="pct"/>
          </w:tcPr>
          <w:p>
            <w:pPr>
              <w:ind w:leftChars="0" w:left="0" w:right="0"/>
            </w:pPr>
            <w:r>
              <w:t>CYPRUS STOCK EXCHANGE</w:t>
            </w:r>
          </w:p>
        </w:tc>
      </w:tr>
      <w:tr>
        <w:trPr>
          <w:cnfStyle w:evenHBand="true" w:oddHBand="false" w:firstRow="false"/>
        </w:trPr>
        <w:tc>
          <w:tcPr>
            <w:cnfStyle w:evenVBand="false" w:oddVBand="true" w:firstColumn="false"/>
            <w:tcW w:w="33.333333%" w:type="pct"/>
          </w:tcPr>
          <w:p>
            <w:pPr>
              <w:ind w:leftChars="0" w:left="0" w:right="0"/>
            </w:pPr>
            <w:r>
              <w:t>XDAR</w:t>
            </w:r>
          </w:p>
        </w:tc>
        <w:tc>
          <w:tcPr>
            <w:cnfStyle w:evenVBand="true" w:oddVBand="false" w:firstColumn="false"/>
            <w:tcW w:w="33.333333%" w:type="pct"/>
          </w:tcPr>
          <w:p>
            <w:pPr>
              <w:ind w:leftChars="0" w:left="0" w:right="0"/>
            </w:pPr>
            <w:r>
              <w:t>XDAR</w:t>
            </w:r>
          </w:p>
        </w:tc>
        <w:tc>
          <w:tcPr>
            <w:cnfStyle w:evenVBand="false" w:oddVBand="true" w:firstColumn="false"/>
            <w:tcW w:w="33.333333%" w:type="pct"/>
          </w:tcPr>
          <w:p>
            <w:pPr>
              <w:ind w:leftChars="0" w:left="0" w:right="0"/>
            </w:pPr>
            <w:r>
              <w:t>DAR ES  SALAAM STOCK EXCHANGE</w:t>
            </w:r>
          </w:p>
        </w:tc>
      </w:tr>
      <w:tr>
        <w:trPr>
          <w:cnfStyle w:evenHBand="false" w:oddHBand="true" w:firstRow="false"/>
        </w:trPr>
        <w:tc>
          <w:tcPr>
            <w:cnfStyle w:evenVBand="false" w:oddVBand="true" w:firstColumn="false"/>
            <w:tcW w:w="33.333333%" w:type="pct"/>
          </w:tcPr>
          <w:p>
            <w:pPr>
              <w:ind w:leftChars="0" w:left="0" w:right="0"/>
            </w:pPr>
            <w:r>
              <w:t>XDBC</w:t>
            </w:r>
          </w:p>
        </w:tc>
        <w:tc>
          <w:tcPr>
            <w:cnfStyle w:evenVBand="true" w:oddVBand="false" w:firstColumn="false"/>
            <w:tcW w:w="33.333333%" w:type="pct"/>
          </w:tcPr>
          <w:p>
            <w:pPr>
              <w:ind w:leftChars="0" w:left="0" w:right="0"/>
            </w:pPr>
            <w:r>
              <w:t>XDBC</w:t>
            </w:r>
          </w:p>
        </w:tc>
        <w:tc>
          <w:tcPr>
            <w:cnfStyle w:evenVBand="false" w:oddVBand="true" w:firstColumn="false"/>
            <w:tcW w:w="33.333333%" w:type="pct"/>
          </w:tcPr>
          <w:p>
            <w:pPr>
              <w:ind w:leftChars="0" w:left="0" w:right="0"/>
            </w:pPr>
            <w:r>
              <w:t>DEUTSCHE BOERSE AG - CUSTOMIZED INDICES</w:t>
            </w:r>
          </w:p>
        </w:tc>
      </w:tr>
      <w:tr>
        <w:trPr>
          <w:cnfStyle w:evenHBand="true" w:oddHBand="false" w:firstRow="false"/>
        </w:trPr>
        <w:tc>
          <w:tcPr>
            <w:cnfStyle w:evenVBand="false" w:oddVBand="true" w:firstColumn="false"/>
            <w:tcW w:w="33.333333%" w:type="pct"/>
          </w:tcPr>
          <w:p>
            <w:pPr>
              <w:ind w:leftChars="0" w:left="0" w:right="0"/>
            </w:pPr>
            <w:r>
              <w:t>XDBV</w:t>
            </w:r>
          </w:p>
        </w:tc>
        <w:tc>
          <w:tcPr>
            <w:cnfStyle w:evenVBand="true" w:oddVBand="false" w:firstColumn="false"/>
            <w:tcW w:w="33.333333%" w:type="pct"/>
          </w:tcPr>
          <w:p>
            <w:pPr>
              <w:ind w:leftChars="0" w:left="0" w:right="0"/>
            </w:pPr>
            <w:r>
              <w:t>XDBV</w:t>
            </w:r>
          </w:p>
        </w:tc>
        <w:tc>
          <w:tcPr>
            <w:cnfStyle w:evenVBand="false" w:oddVBand="true" w:firstColumn="false"/>
            <w:tcW w:w="33.333333%" w:type="pct"/>
          </w:tcPr>
          <w:p>
            <w:pPr>
              <w:ind w:leftChars="0" w:left="0" w:right="0"/>
            </w:pPr>
            <w:r>
              <w:t>DEUTSCHE BOERSE AG - VOLATILITY INDICES</w:t>
            </w:r>
          </w:p>
        </w:tc>
      </w:tr>
      <w:tr>
        <w:trPr>
          <w:cnfStyle w:evenHBand="false" w:oddHBand="true" w:firstRow="false"/>
        </w:trPr>
        <w:tc>
          <w:tcPr>
            <w:cnfStyle w:evenVBand="false" w:oddVBand="true" w:firstColumn="false"/>
            <w:tcW w:w="33.333333%" w:type="pct"/>
          </w:tcPr>
          <w:p>
            <w:pPr>
              <w:ind w:leftChars="0" w:left="0" w:right="0"/>
            </w:pPr>
            <w:r>
              <w:t>XDBX</w:t>
            </w:r>
          </w:p>
        </w:tc>
        <w:tc>
          <w:tcPr>
            <w:cnfStyle w:evenVBand="true" w:oddVBand="false" w:firstColumn="false"/>
            <w:tcW w:w="33.333333%" w:type="pct"/>
          </w:tcPr>
          <w:p>
            <w:pPr>
              <w:ind w:leftChars="0" w:left="0" w:right="0"/>
            </w:pPr>
            <w:r>
              <w:t>XDBX</w:t>
            </w:r>
          </w:p>
        </w:tc>
        <w:tc>
          <w:tcPr>
            <w:cnfStyle w:evenVBand="false" w:oddVBand="true" w:firstColumn="false"/>
            <w:tcW w:w="33.333333%" w:type="pct"/>
          </w:tcPr>
          <w:p>
            <w:pPr>
              <w:ind w:leftChars="0" w:left="0" w:right="0"/>
            </w:pPr>
            <w:r>
              <w:t>DEUTSCHE BOERSE AG - INDICES</w:t>
            </w:r>
          </w:p>
        </w:tc>
      </w:tr>
      <w:tr>
        <w:trPr>
          <w:cnfStyle w:evenHBand="true" w:oddHBand="false" w:firstRow="false"/>
        </w:trPr>
        <w:tc>
          <w:tcPr>
            <w:cnfStyle w:evenVBand="false" w:oddVBand="true" w:firstColumn="false"/>
            <w:tcW w:w="33.333333%" w:type="pct"/>
          </w:tcPr>
          <w:p>
            <w:pPr>
              <w:ind w:leftChars="0" w:left="0" w:right="0"/>
            </w:pPr>
            <w:r>
              <w:t>XDCE</w:t>
            </w:r>
          </w:p>
        </w:tc>
        <w:tc>
          <w:tcPr>
            <w:cnfStyle w:evenVBand="true" w:oddVBand="false" w:firstColumn="false"/>
            <w:tcW w:w="33.333333%" w:type="pct"/>
          </w:tcPr>
          <w:p>
            <w:pPr>
              <w:ind w:leftChars="0" w:left="0" w:right="0"/>
            </w:pPr>
            <w:r>
              <w:t>XDCE</w:t>
            </w:r>
          </w:p>
        </w:tc>
        <w:tc>
          <w:tcPr>
            <w:cnfStyle w:evenVBand="false" w:oddVBand="true" w:firstColumn="false"/>
            <w:tcW w:w="33.333333%" w:type="pct"/>
          </w:tcPr>
          <w:p>
            <w:pPr>
              <w:ind w:leftChars="0" w:left="0" w:right="0"/>
            </w:pPr>
            <w:r>
              <w:t>DALIAN COMMODITY EXCHANGE</w:t>
            </w:r>
          </w:p>
        </w:tc>
      </w:tr>
      <w:tr>
        <w:trPr>
          <w:cnfStyle w:evenHBand="false" w:oddHBand="true" w:firstRow="false"/>
        </w:trPr>
        <w:tc>
          <w:tcPr>
            <w:cnfStyle w:evenVBand="false" w:oddVBand="true" w:firstColumn="false"/>
            <w:tcW w:w="33.333333%" w:type="pct"/>
          </w:tcPr>
          <w:p>
            <w:pPr>
              <w:ind w:leftChars="0" w:left="0" w:right="0"/>
            </w:pPr>
            <w:r>
              <w:t>XDES</w:t>
            </w:r>
          </w:p>
        </w:tc>
        <w:tc>
          <w:tcPr>
            <w:cnfStyle w:evenVBand="true" w:oddVBand="false" w:firstColumn="false"/>
            <w:tcW w:w="33.333333%" w:type="pct"/>
          </w:tcPr>
          <w:p>
            <w:pPr>
              <w:ind w:leftChars="0" w:left="0" w:right="0"/>
            </w:pPr>
            <w:r>
              <w:t>XDES</w:t>
            </w:r>
          </w:p>
        </w:tc>
        <w:tc>
          <w:tcPr>
            <w:cnfStyle w:evenVBand="false" w:oddVBand="true" w:firstColumn="false"/>
            <w:tcW w:w="33.333333%" w:type="pct"/>
          </w:tcPr>
          <w:p>
            <w:pPr>
              <w:ind w:leftChars="0" w:left="0" w:right="0"/>
            </w:pPr>
            <w:r>
              <w:t>DELHI STOCK EXCHANGE</w:t>
            </w:r>
          </w:p>
        </w:tc>
      </w:tr>
      <w:tr>
        <w:trPr>
          <w:cnfStyle w:evenHBand="true" w:oddHBand="false" w:firstRow="false"/>
        </w:trPr>
        <w:tc>
          <w:tcPr>
            <w:cnfStyle w:evenVBand="false" w:oddVBand="true" w:firstColumn="false"/>
            <w:tcW w:w="33.333333%" w:type="pct"/>
          </w:tcPr>
          <w:p>
            <w:pPr>
              <w:ind w:leftChars="0" w:left="0" w:right="0"/>
            </w:pPr>
            <w:r>
              <w:t>XDEX</w:t>
            </w:r>
          </w:p>
        </w:tc>
        <w:tc>
          <w:tcPr>
            <w:cnfStyle w:evenVBand="true" w:oddVBand="false" w:firstColumn="false"/>
            <w:tcW w:w="33.333333%" w:type="pct"/>
          </w:tcPr>
          <w:p>
            <w:pPr>
              <w:ind w:leftChars="0" w:left="0" w:right="0"/>
            </w:pPr>
            <w:r>
              <w:t>XDEX</w:t>
            </w:r>
          </w:p>
        </w:tc>
        <w:tc>
          <w:tcPr>
            <w:cnfStyle w:evenVBand="false" w:oddVBand="true" w:firstColumn="false"/>
            <w:tcW w:w="33.333333%" w:type="pct"/>
          </w:tcPr>
          <w:p>
            <w:pPr>
              <w:ind w:leftChars="0" w:left="0" w:right="0"/>
            </w:pPr>
            <w:r>
              <w:t>BOERSE STUTTGART - DIGITAL EXCHANGE</w:t>
            </w:r>
          </w:p>
        </w:tc>
      </w:tr>
      <w:tr>
        <w:trPr>
          <w:cnfStyle w:evenHBand="false" w:oddHBand="true" w:firstRow="false"/>
        </w:trPr>
        <w:tc>
          <w:tcPr>
            <w:cnfStyle w:evenVBand="false" w:oddVBand="true" w:firstColumn="false"/>
            <w:tcW w:w="33.333333%" w:type="pct"/>
          </w:tcPr>
          <w:p>
            <w:pPr>
              <w:ind w:leftChars="0" w:left="0" w:right="0"/>
            </w:pPr>
            <w:r>
              <w:t>XDFB</w:t>
            </w:r>
          </w:p>
        </w:tc>
        <w:tc>
          <w:tcPr>
            <w:cnfStyle w:evenVBand="true" w:oddVBand="false" w:firstColumn="false"/>
            <w:tcW w:w="33.333333%" w:type="pct"/>
          </w:tcPr>
          <w:p>
            <w:pPr>
              <w:ind w:leftChars="0" w:left="0" w:right="0"/>
            </w:pPr>
            <w:r>
              <w:t>XDFB</w:t>
            </w:r>
          </w:p>
        </w:tc>
        <w:tc>
          <w:tcPr>
            <w:cnfStyle w:evenVBand="false" w:oddVBand="true" w:firstColumn="false"/>
            <w:tcW w:w="33.333333%" w:type="pct"/>
          </w:tcPr>
          <w:p>
            <w:pPr>
              <w:ind w:leftChars="0" w:left="0" w:right="0"/>
            </w:pPr>
            <w:r>
              <w:t>JOINT-STOCK COMPANY “STOCK EXCHANGE INNEX”</w:t>
            </w:r>
          </w:p>
        </w:tc>
      </w:tr>
      <w:tr>
        <w:trPr>
          <w:cnfStyle w:evenHBand="true" w:oddHBand="false" w:firstRow="false"/>
        </w:trPr>
        <w:tc>
          <w:tcPr>
            <w:cnfStyle w:evenVBand="false" w:oddVBand="true" w:firstColumn="false"/>
            <w:tcW w:w="33.333333%" w:type="pct"/>
          </w:tcPr>
          <w:p>
            <w:pPr>
              <w:ind w:leftChars="0" w:left="0" w:right="0"/>
            </w:pPr>
            <w:r>
              <w:t>XDFM</w:t>
            </w:r>
          </w:p>
        </w:tc>
        <w:tc>
          <w:tcPr>
            <w:cnfStyle w:evenVBand="true" w:oddVBand="false" w:firstColumn="false"/>
            <w:tcW w:w="33.333333%" w:type="pct"/>
          </w:tcPr>
          <w:p>
            <w:pPr>
              <w:ind w:leftChars="0" w:left="0" w:right="0"/>
            </w:pPr>
            <w:r>
              <w:t>XDFM</w:t>
            </w:r>
          </w:p>
        </w:tc>
        <w:tc>
          <w:tcPr>
            <w:cnfStyle w:evenVBand="false" w:oddVBand="true" w:firstColumn="false"/>
            <w:tcW w:w="33.333333%" w:type="pct"/>
          </w:tcPr>
          <w:p>
            <w:pPr>
              <w:ind w:leftChars="0" w:left="0" w:right="0"/>
            </w:pPr>
            <w:r>
              <w:t>DUBAI FINANCIAL MARKET</w:t>
            </w:r>
          </w:p>
        </w:tc>
      </w:tr>
      <w:tr>
        <w:trPr>
          <w:cnfStyle w:evenHBand="false" w:oddHBand="true" w:firstRow="false"/>
        </w:trPr>
        <w:tc>
          <w:tcPr>
            <w:cnfStyle w:evenVBand="false" w:oddVBand="true" w:firstColumn="false"/>
            <w:tcW w:w="33.333333%" w:type="pct"/>
          </w:tcPr>
          <w:p>
            <w:pPr>
              <w:ind w:leftChars="0" w:left="0" w:right="0"/>
            </w:pPr>
            <w:r>
              <w:t>XDHA</w:t>
            </w:r>
          </w:p>
        </w:tc>
        <w:tc>
          <w:tcPr>
            <w:cnfStyle w:evenVBand="true" w:oddVBand="false" w:firstColumn="false"/>
            <w:tcW w:w="33.333333%" w:type="pct"/>
          </w:tcPr>
          <w:p>
            <w:pPr>
              <w:ind w:leftChars="0" w:left="0" w:right="0"/>
            </w:pPr>
            <w:r>
              <w:t>XDHA</w:t>
            </w:r>
          </w:p>
        </w:tc>
        <w:tc>
          <w:tcPr>
            <w:cnfStyle w:evenVBand="false" w:oddVBand="true" w:firstColumn="false"/>
            <w:tcW w:w="33.333333%" w:type="pct"/>
          </w:tcPr>
          <w:p>
            <w:pPr>
              <w:ind w:leftChars="0" w:left="0" w:right="0"/>
            </w:pPr>
            <w:r>
              <w:t>DHAKA STOCK EXCHANGE LTD</w:t>
            </w:r>
          </w:p>
        </w:tc>
      </w:tr>
      <w:tr>
        <w:trPr>
          <w:cnfStyle w:evenHBand="true" w:oddHBand="false" w:firstRow="false"/>
        </w:trPr>
        <w:tc>
          <w:tcPr>
            <w:cnfStyle w:evenVBand="false" w:oddVBand="true" w:firstColumn="false"/>
            <w:tcW w:w="33.333333%" w:type="pct"/>
          </w:tcPr>
          <w:p>
            <w:pPr>
              <w:ind w:leftChars="0" w:left="0" w:right="0"/>
            </w:pPr>
            <w:r>
              <w:t>XDLP</w:t>
            </w:r>
          </w:p>
        </w:tc>
        <w:tc>
          <w:tcPr>
            <w:cnfStyle w:evenVBand="true" w:oddVBand="false" w:firstColumn="false"/>
            <w:tcW w:w="33.333333%" w:type="pct"/>
          </w:tcPr>
          <w:p>
            <w:pPr>
              <w:ind w:leftChars="0" w:left="0" w:right="0"/>
            </w:pPr>
            <w:r>
              <w:t>XDLP</w:t>
            </w:r>
          </w:p>
        </w:tc>
        <w:tc>
          <w:tcPr>
            <w:cnfStyle w:evenVBand="false" w:oddVBand="true" w:firstColumn="false"/>
            <w:tcW w:w="33.333333%" w:type="pct"/>
          </w:tcPr>
          <w:p>
            <w:pPr>
              <w:ind w:leftChars="0" w:left="0" w:right="0"/>
            </w:pPr>
            <w:r>
              <w:t>SIX SWISS EXCHANGE - DEAL POOL - BOOK BUILDING AND ANNOUNCEMENT PLATFORM</w:t>
            </w:r>
          </w:p>
        </w:tc>
      </w:tr>
      <w:tr>
        <w:trPr>
          <w:cnfStyle w:evenHBand="false" w:oddHBand="true" w:firstRow="false"/>
        </w:trPr>
        <w:tc>
          <w:tcPr>
            <w:cnfStyle w:evenVBand="false" w:oddVBand="true" w:firstColumn="false"/>
            <w:tcW w:w="33.333333%" w:type="pct"/>
          </w:tcPr>
          <w:p>
            <w:pPr>
              <w:ind w:leftChars="0" w:left="0" w:right="0"/>
            </w:pPr>
            <w:r>
              <w:t>XDMI</w:t>
            </w:r>
          </w:p>
        </w:tc>
        <w:tc>
          <w:tcPr>
            <w:cnfStyle w:evenVBand="true" w:oddVBand="false" w:firstColumn="false"/>
            <w:tcW w:w="33.333333%" w:type="pct"/>
          </w:tcPr>
          <w:p>
            <w:pPr>
              <w:ind w:leftChars="0" w:left="0" w:right="0"/>
            </w:pPr>
            <w:r>
              <w:t>XDMI</w:t>
            </w:r>
          </w:p>
        </w:tc>
        <w:tc>
          <w:tcPr>
            <w:cnfStyle w:evenVBand="false" w:oddVBand="true" w:firstColumn="false"/>
            <w:tcW w:w="33.333333%" w:type="pct"/>
          </w:tcPr>
          <w:p>
            <w:pPr>
              <w:ind w:leftChars="0" w:left="0" w:right="0"/>
            </w:pPr>
            <w:r>
              <w:t>ITALIAN DERIVATIVES MARKET</w:t>
            </w:r>
          </w:p>
        </w:tc>
      </w:tr>
      <w:tr>
        <w:trPr>
          <w:cnfStyle w:evenHBand="true" w:oddHBand="false" w:firstRow="false"/>
        </w:trPr>
        <w:tc>
          <w:tcPr>
            <w:cnfStyle w:evenVBand="false" w:oddVBand="true" w:firstColumn="false"/>
            <w:tcW w:w="33.333333%" w:type="pct"/>
          </w:tcPr>
          <w:p>
            <w:pPr>
              <w:ind w:leftChars="0" w:left="0" w:right="0"/>
            </w:pPr>
            <w:r>
              <w:t>XDNB</w:t>
            </w:r>
          </w:p>
        </w:tc>
        <w:tc>
          <w:tcPr>
            <w:cnfStyle w:evenVBand="true" w:oddVBand="false" w:firstColumn="false"/>
            <w:tcW w:w="33.333333%" w:type="pct"/>
          </w:tcPr>
          <w:p>
            <w:pPr>
              <w:ind w:leftChars="0" w:left="0" w:right="0"/>
            </w:pPr>
            <w:r>
              <w:t>XDNB</w:t>
            </w:r>
          </w:p>
        </w:tc>
        <w:tc>
          <w:tcPr>
            <w:cnfStyle w:evenVBand="false" w:oddVBand="true" w:firstColumn="false"/>
            <w:tcW w:w="33.333333%" w:type="pct"/>
          </w:tcPr>
          <w:p>
            <w:pPr>
              <w:ind w:leftChars="0" w:left="0" w:right="0"/>
            </w:pPr>
            <w:r>
              <w:t>DNB BANK ASA - SYSTEMATIC INTERNALISER</w:t>
            </w:r>
          </w:p>
        </w:tc>
      </w:tr>
      <w:tr>
        <w:trPr>
          <w:cnfStyle w:evenHBand="false" w:oddHBand="true" w:firstRow="false"/>
        </w:trPr>
        <w:tc>
          <w:tcPr>
            <w:cnfStyle w:evenVBand="false" w:oddVBand="true" w:firstColumn="false"/>
            <w:tcW w:w="33.333333%" w:type="pct"/>
          </w:tcPr>
          <w:p>
            <w:pPr>
              <w:ind w:leftChars="0" w:left="0" w:right="0"/>
            </w:pPr>
            <w:r>
              <w:t>XDPA</w:t>
            </w:r>
          </w:p>
        </w:tc>
        <w:tc>
          <w:tcPr>
            <w:cnfStyle w:evenVBand="true" w:oddVBand="false" w:firstColumn="false"/>
            <w:tcW w:w="33.333333%" w:type="pct"/>
          </w:tcPr>
          <w:p>
            <w:pPr>
              <w:ind w:leftChars="0" w:left="0" w:right="0"/>
            </w:pPr>
            <w:r>
              <w:t>XDPA</w:t>
            </w:r>
          </w:p>
        </w:tc>
        <w:tc>
          <w:tcPr>
            <w:cnfStyle w:evenVBand="false" w:oddVBand="true" w:firstColumn="false"/>
            <w:tcW w:w="33.333333%" w:type="pct"/>
          </w:tcPr>
          <w:p>
            <w:pPr>
              <w:ind w:leftChars="0" w:left="0" w:right="0"/>
            </w:pPr>
            <w:r>
              <w:t>CADE - MERCADO DE DEUDA PUBLICA ANOTADA</w:t>
            </w:r>
          </w:p>
        </w:tc>
      </w:tr>
      <w:tr>
        <w:trPr>
          <w:cnfStyle w:evenHBand="true" w:oddHBand="false" w:firstRow="false"/>
        </w:trPr>
        <w:tc>
          <w:tcPr>
            <w:cnfStyle w:evenVBand="false" w:oddVBand="true" w:firstColumn="false"/>
            <w:tcW w:w="33.333333%" w:type="pct"/>
          </w:tcPr>
          <w:p>
            <w:pPr>
              <w:ind w:leftChars="0" w:left="0" w:right="0"/>
            </w:pPr>
            <w:r>
              <w:t>XDRF</w:t>
            </w:r>
          </w:p>
        </w:tc>
        <w:tc>
          <w:tcPr>
            <w:cnfStyle w:evenVBand="true" w:oddVBand="false" w:firstColumn="false"/>
            <w:tcW w:w="33.333333%" w:type="pct"/>
          </w:tcPr>
          <w:p>
            <w:pPr>
              <w:ind w:leftChars="0" w:left="0" w:right="0"/>
            </w:pPr>
            <w:r>
              <w:t>XDRF</w:t>
            </w:r>
          </w:p>
        </w:tc>
        <w:tc>
          <w:tcPr>
            <w:cnfStyle w:evenVBand="false" w:oddVBand="true" w:firstColumn="false"/>
            <w:tcW w:w="33.333333%" w:type="pct"/>
          </w:tcPr>
          <w:p>
            <w:pPr>
              <w:ind w:leftChars="0" w:left="0" w:right="0"/>
            </w:pPr>
            <w:r>
              <w:t>AIAF - MERCADO DE RENTA FIJA</w:t>
            </w:r>
          </w:p>
        </w:tc>
      </w:tr>
      <w:tr>
        <w:trPr>
          <w:cnfStyle w:evenHBand="false" w:oddHBand="true" w:firstRow="false"/>
        </w:trPr>
        <w:tc>
          <w:tcPr>
            <w:cnfStyle w:evenVBand="false" w:oddVBand="true" w:firstColumn="false"/>
            <w:tcW w:w="33.333333%" w:type="pct"/>
          </w:tcPr>
          <w:p>
            <w:pPr>
              <w:ind w:leftChars="0" w:left="0" w:right="0"/>
            </w:pPr>
            <w:r>
              <w:t>XDRK</w:t>
            </w:r>
          </w:p>
        </w:tc>
        <w:tc>
          <w:tcPr>
            <w:cnfStyle w:evenVBand="true" w:oddVBand="false" w:firstColumn="false"/>
            <w:tcW w:w="33.333333%" w:type="pct"/>
          </w:tcPr>
          <w:p>
            <w:pPr>
              <w:ind w:leftChars="0" w:left="0" w:right="0"/>
            </w:pPr>
            <w:r>
              <w:t>XDRK</w:t>
            </w:r>
          </w:p>
        </w:tc>
        <w:tc>
          <w:tcPr>
            <w:cnfStyle w:evenVBand="false" w:oddVBand="true" w:firstColumn="false"/>
            <w:tcW w:w="33.333333%" w:type="pct"/>
          </w:tcPr>
          <w:p>
            <w:pPr>
              <w:ind w:leftChars="0" w:left="0" w:right="0"/>
            </w:pPr>
            <w:r>
              <w:t>TORONTO STOCK EXCHANGE - DRK</w:t>
            </w:r>
          </w:p>
        </w:tc>
      </w:tr>
      <w:tr>
        <w:trPr>
          <w:cnfStyle w:evenHBand="true" w:oddHBand="false" w:firstRow="false"/>
        </w:trPr>
        <w:tc>
          <w:tcPr>
            <w:cnfStyle w:evenVBand="false" w:oddVBand="true" w:firstColumn="false"/>
            <w:tcW w:w="33.333333%" w:type="pct"/>
          </w:tcPr>
          <w:p>
            <w:pPr>
              <w:ind w:leftChars="0" w:left="0" w:right="0"/>
            </w:pPr>
            <w:r>
              <w:t>XDSE</w:t>
            </w:r>
          </w:p>
        </w:tc>
        <w:tc>
          <w:tcPr>
            <w:cnfStyle w:evenVBand="true" w:oddVBand="false" w:firstColumn="false"/>
            <w:tcW w:w="33.333333%" w:type="pct"/>
          </w:tcPr>
          <w:p>
            <w:pPr>
              <w:ind w:leftChars="0" w:left="0" w:right="0"/>
            </w:pPr>
            <w:r>
              <w:t>XDSE</w:t>
            </w:r>
          </w:p>
        </w:tc>
        <w:tc>
          <w:tcPr>
            <w:cnfStyle w:evenVBand="false" w:oddVBand="true" w:firstColumn="false"/>
            <w:tcW w:w="33.333333%" w:type="pct"/>
          </w:tcPr>
          <w:p>
            <w:pPr>
              <w:ind w:leftChars="0" w:left="0" w:right="0"/>
            </w:pPr>
            <w:r>
              <w:t>DAMASCUS SECURITIES EXCHANGE</w:t>
            </w:r>
          </w:p>
        </w:tc>
      </w:tr>
      <w:tr>
        <w:trPr>
          <w:cnfStyle w:evenHBand="false" w:oddHBand="true" w:firstRow="false"/>
        </w:trPr>
        <w:tc>
          <w:tcPr>
            <w:cnfStyle w:evenVBand="false" w:oddVBand="true" w:firstColumn="false"/>
            <w:tcW w:w="33.333333%" w:type="pct"/>
          </w:tcPr>
          <w:p>
            <w:pPr>
              <w:ind w:leftChars="0" w:left="0" w:right="0"/>
            </w:pPr>
            <w:r>
              <w:t>XDSM</w:t>
            </w:r>
          </w:p>
        </w:tc>
        <w:tc>
          <w:tcPr>
            <w:cnfStyle w:evenVBand="true" w:oddVBand="false" w:firstColumn="false"/>
            <w:tcW w:w="33.333333%" w:type="pct"/>
          </w:tcPr>
          <w:p>
            <w:pPr>
              <w:ind w:leftChars="0" w:left="0" w:right="0"/>
            </w:pPr>
            <w:r>
              <w:t>XDSM</w:t>
            </w:r>
          </w:p>
        </w:tc>
        <w:tc>
          <w:tcPr>
            <w:cnfStyle w:evenVBand="false" w:oddVBand="true" w:firstColumn="false"/>
            <w:tcW w:w="33.333333%" w:type="pct"/>
          </w:tcPr>
          <w:p>
            <w:pPr>
              <w:ind w:leftChars="0" w:left="0" w:right="0"/>
            </w:pPr>
            <w:r>
              <w:t>BORSA ISTANBUL - DEBT SECURITIES MARKET</w:t>
            </w:r>
          </w:p>
        </w:tc>
      </w:tr>
      <w:tr>
        <w:trPr>
          <w:cnfStyle w:evenHBand="true" w:oddHBand="false" w:firstRow="false"/>
        </w:trPr>
        <w:tc>
          <w:tcPr>
            <w:cnfStyle w:evenVBand="false" w:oddVBand="true" w:firstColumn="false"/>
            <w:tcW w:w="33.333333%" w:type="pct"/>
          </w:tcPr>
          <w:p>
            <w:pPr>
              <w:ind w:leftChars="0" w:left="0" w:right="0"/>
            </w:pPr>
            <w:r>
              <w:t>XDSX</w:t>
            </w:r>
          </w:p>
        </w:tc>
        <w:tc>
          <w:tcPr>
            <w:cnfStyle w:evenVBand="true" w:oddVBand="false" w:firstColumn="false"/>
            <w:tcW w:w="33.333333%" w:type="pct"/>
          </w:tcPr>
          <w:p>
            <w:pPr>
              <w:ind w:leftChars="0" w:left="0" w:right="0"/>
            </w:pPr>
            <w:r>
              <w:t>XDSX</w:t>
            </w:r>
          </w:p>
        </w:tc>
        <w:tc>
          <w:tcPr>
            <w:cnfStyle w:evenVBand="false" w:oddVBand="true" w:firstColumn="false"/>
            <w:tcW w:w="33.333333%" w:type="pct"/>
          </w:tcPr>
          <w:p>
            <w:pPr>
              <w:ind w:leftChars="0" w:left="0" w:right="0"/>
            </w:pPr>
            <w:r>
              <w:t>DOUALA STOCK EXCHANGE</w:t>
            </w:r>
          </w:p>
        </w:tc>
      </w:tr>
      <w:tr>
        <w:trPr>
          <w:cnfStyle w:evenHBand="false" w:oddHBand="true" w:firstRow="false"/>
        </w:trPr>
        <w:tc>
          <w:tcPr>
            <w:cnfStyle w:evenVBand="false" w:oddVBand="true" w:firstColumn="false"/>
            <w:tcW w:w="33.333333%" w:type="pct"/>
          </w:tcPr>
          <w:p>
            <w:pPr>
              <w:ind w:leftChars="0" w:left="0" w:right="0"/>
            </w:pPr>
            <w:r>
              <w:t>XDTB</w:t>
            </w:r>
          </w:p>
        </w:tc>
        <w:tc>
          <w:tcPr>
            <w:cnfStyle w:evenVBand="true" w:oddVBand="false" w:firstColumn="false"/>
            <w:tcW w:w="33.333333%" w:type="pct"/>
          </w:tcPr>
          <w:p>
            <w:pPr>
              <w:ind w:leftChars="0" w:left="0" w:right="0"/>
            </w:pPr>
            <w:r>
              <w:t>XDTB</w:t>
            </w:r>
          </w:p>
        </w:tc>
        <w:tc>
          <w:tcPr>
            <w:cnfStyle w:evenVBand="false" w:oddVBand="true" w:firstColumn="false"/>
            <w:tcW w:w="33.333333%" w:type="pct"/>
          </w:tcPr>
          <w:p>
            <w:pPr>
              <w:ind w:leftChars="0" w:left="0" w:right="0"/>
            </w:pPr>
            <w:r>
              <w:t>DTB DEUTSCHE TERMINBOERSE GMBH</w:t>
            </w:r>
          </w:p>
        </w:tc>
      </w:tr>
      <w:tr>
        <w:trPr>
          <w:cnfStyle w:evenHBand="true" w:oddHBand="false" w:firstRow="false"/>
        </w:trPr>
        <w:tc>
          <w:tcPr>
            <w:cnfStyle w:evenVBand="false" w:oddVBand="true" w:firstColumn="false"/>
            <w:tcW w:w="33.333333%" w:type="pct"/>
          </w:tcPr>
          <w:p>
            <w:pPr>
              <w:ind w:leftChars="0" w:left="0" w:right="0"/>
            </w:pPr>
            <w:r>
              <w:t>XDUB</w:t>
            </w:r>
          </w:p>
        </w:tc>
        <w:tc>
          <w:tcPr>
            <w:cnfStyle w:evenVBand="true" w:oddVBand="false" w:firstColumn="false"/>
            <w:tcW w:w="33.333333%" w:type="pct"/>
          </w:tcPr>
          <w:p>
            <w:pPr>
              <w:ind w:leftChars="0" w:left="0" w:right="0"/>
            </w:pPr>
            <w:r>
              <w:t>XDUB</w:t>
            </w:r>
          </w:p>
        </w:tc>
        <w:tc>
          <w:tcPr>
            <w:cnfStyle w:evenVBand="false" w:oddVBand="true" w:firstColumn="false"/>
            <w:tcW w:w="33.333333%" w:type="pct"/>
          </w:tcPr>
          <w:p>
            <w:pPr>
              <w:ind w:leftChars="0" w:left="0" w:right="0"/>
            </w:pPr>
            <w:r>
              <w:t>IRISH STOCK EXCHANGE - ALL MARKET</w:t>
            </w:r>
          </w:p>
        </w:tc>
      </w:tr>
      <w:tr>
        <w:trPr>
          <w:cnfStyle w:evenHBand="false" w:oddHBand="true" w:firstRow="false"/>
        </w:trPr>
        <w:tc>
          <w:tcPr>
            <w:cnfStyle w:evenVBand="false" w:oddVBand="true" w:firstColumn="false"/>
            <w:tcW w:w="33.333333%" w:type="pct"/>
          </w:tcPr>
          <w:p>
            <w:pPr>
              <w:ind w:leftChars="0" w:left="0" w:right="0"/>
            </w:pPr>
            <w:r>
              <w:t>XDUS</w:t>
            </w:r>
          </w:p>
        </w:tc>
        <w:tc>
          <w:tcPr>
            <w:cnfStyle w:evenVBand="true" w:oddVBand="false" w:firstColumn="false"/>
            <w:tcW w:w="33.333333%" w:type="pct"/>
          </w:tcPr>
          <w:p>
            <w:pPr>
              <w:ind w:leftChars="0" w:left="0" w:right="0"/>
            </w:pPr>
            <w:r>
              <w:t>XDUS</w:t>
            </w:r>
          </w:p>
        </w:tc>
        <w:tc>
          <w:tcPr>
            <w:cnfStyle w:evenVBand="false" w:oddVBand="true" w:firstColumn="false"/>
            <w:tcW w:w="33.333333%" w:type="pct"/>
          </w:tcPr>
          <w:p>
            <w:pPr>
              <w:ind w:leftChars="0" w:left="0" w:right="0"/>
            </w:pPr>
            <w:r>
              <w:t>BOERSE DUESSELDORF</w:t>
            </w:r>
          </w:p>
        </w:tc>
      </w:tr>
      <w:tr>
        <w:trPr>
          <w:cnfStyle w:evenHBand="true" w:oddHBand="false" w:firstRow="false"/>
        </w:trPr>
        <w:tc>
          <w:tcPr>
            <w:cnfStyle w:evenVBand="false" w:oddVBand="true" w:firstColumn="false"/>
            <w:tcW w:w="33.333333%" w:type="pct"/>
          </w:tcPr>
          <w:p>
            <w:pPr>
              <w:ind w:leftChars="0" w:left="0" w:right="0"/>
            </w:pPr>
            <w:r>
              <w:t>XDWZ</w:t>
            </w:r>
          </w:p>
        </w:tc>
        <w:tc>
          <w:tcPr>
            <w:cnfStyle w:evenVBand="true" w:oddVBand="false" w:firstColumn="false"/>
            <w:tcW w:w="33.333333%" w:type="pct"/>
          </w:tcPr>
          <w:p>
            <w:pPr>
              <w:ind w:leftChars="0" w:left="0" w:right="0"/>
            </w:pPr>
            <w:r>
              <w:t>XDWZ</w:t>
            </w:r>
          </w:p>
        </w:tc>
        <w:tc>
          <w:tcPr>
            <w:cnfStyle w:evenVBand="false" w:oddVBand="true" w:firstColumn="false"/>
            <w:tcW w:w="33.333333%" w:type="pct"/>
          </w:tcPr>
          <w:p>
            <w:pPr>
              <w:ind w:leftChars="0" w:left="0" w:right="0"/>
            </w:pPr>
            <w:r>
              <w:t>DEUTSCHE BOERSE AG, FRANKFURT AM MAIN</w:t>
            </w:r>
          </w:p>
        </w:tc>
      </w:tr>
      <w:tr>
        <w:trPr>
          <w:cnfStyle w:evenHBand="false" w:oddHBand="true" w:firstRow="false"/>
        </w:trPr>
        <w:tc>
          <w:tcPr>
            <w:cnfStyle w:evenVBand="false" w:oddVBand="true" w:firstColumn="false"/>
            <w:tcW w:w="33.333333%" w:type="pct"/>
          </w:tcPr>
          <w:p>
            <w:pPr>
              <w:ind w:leftChars="0" w:left="0" w:right="0"/>
            </w:pPr>
            <w:r>
              <w:t>XEAS</w:t>
            </w:r>
          </w:p>
        </w:tc>
        <w:tc>
          <w:tcPr>
            <w:cnfStyle w:evenVBand="true" w:oddVBand="false" w:firstColumn="false"/>
            <w:tcW w:w="33.333333%" w:type="pct"/>
          </w:tcPr>
          <w:p>
            <w:pPr>
              <w:ind w:leftChars="0" w:left="0" w:right="0"/>
            </w:pPr>
            <w:r>
              <w:t>XEAS</w:t>
            </w:r>
          </w:p>
        </w:tc>
        <w:tc>
          <w:tcPr>
            <w:cnfStyle w:evenVBand="false" w:oddVBand="true" w:firstColumn="false"/>
            <w:tcW w:w="33.333333%" w:type="pct"/>
          </w:tcPr>
          <w:p>
            <w:pPr>
              <w:ind w:leftChars="0" w:left="0" w:right="0"/>
            </w:pPr>
            <w:r>
              <w:t>EQUIDUCT</w:t>
            </w:r>
          </w:p>
        </w:tc>
      </w:tr>
      <w:tr>
        <w:trPr>
          <w:cnfStyle w:evenHBand="true" w:oddHBand="false" w:firstRow="false"/>
        </w:trPr>
        <w:tc>
          <w:tcPr>
            <w:cnfStyle w:evenVBand="false" w:oddVBand="true" w:firstColumn="false"/>
            <w:tcW w:w="33.333333%" w:type="pct"/>
          </w:tcPr>
          <w:p>
            <w:pPr>
              <w:ind w:leftChars="0" w:left="0" w:right="0"/>
            </w:pPr>
            <w:r>
              <w:t>XEBI</w:t>
            </w:r>
          </w:p>
        </w:tc>
        <w:tc>
          <w:tcPr>
            <w:cnfStyle w:evenVBand="true" w:oddVBand="false" w:firstColumn="false"/>
            <w:tcW w:w="33.333333%" w:type="pct"/>
          </w:tcPr>
          <w:p>
            <w:pPr>
              <w:ind w:leftChars="0" w:left="0" w:right="0"/>
            </w:pPr>
            <w:r>
              <w:t>XEBI</w:t>
            </w:r>
          </w:p>
        </w:tc>
        <w:tc>
          <w:tcPr>
            <w:cnfStyle w:evenVBand="false" w:oddVBand="true" w:firstColumn="false"/>
            <w:tcW w:w="33.333333%" w:type="pct"/>
          </w:tcPr>
          <w:p>
            <w:pPr>
              <w:ind w:leftChars="0" w:left="0" w:right="0"/>
            </w:pPr>
            <w:r>
              <w:t>ENERGY BROKING IRELAND GAS TRADING PLATFORM</w:t>
            </w:r>
          </w:p>
        </w:tc>
      </w:tr>
      <w:tr>
        <w:trPr>
          <w:cnfStyle w:evenHBand="false" w:oddHBand="true" w:firstRow="false"/>
        </w:trPr>
        <w:tc>
          <w:tcPr>
            <w:cnfStyle w:evenVBand="false" w:oddVBand="true" w:firstColumn="false"/>
            <w:tcW w:w="33.333333%" w:type="pct"/>
          </w:tcPr>
          <w:p>
            <w:pPr>
              <w:ind w:leftChars="0" w:left="0" w:right="0"/>
            </w:pPr>
            <w:r>
              <w:t>XEBS</w:t>
            </w:r>
          </w:p>
        </w:tc>
        <w:tc>
          <w:tcPr>
            <w:cnfStyle w:evenVBand="true" w:oddVBand="false" w:firstColumn="false"/>
            <w:tcW w:w="33.333333%" w:type="pct"/>
          </w:tcPr>
          <w:p>
            <w:pPr>
              <w:ind w:leftChars="0" w:left="0" w:right="0"/>
            </w:pPr>
            <w:r>
              <w:t>XEBS</w:t>
            </w:r>
          </w:p>
        </w:tc>
        <w:tc>
          <w:tcPr>
            <w:cnfStyle w:evenVBand="false" w:oddVBand="true" w:firstColumn="false"/>
            <w:tcW w:w="33.333333%" w:type="pct"/>
          </w:tcPr>
          <w:p>
            <w:pPr>
              <w:ind w:leftChars="0" w:left="0" w:right="0"/>
            </w:pPr>
            <w:r>
              <w:t>EBS UK MULTILATERAL TRADING FACILITY</w:t>
            </w:r>
          </w:p>
        </w:tc>
      </w:tr>
      <w:tr>
        <w:trPr>
          <w:cnfStyle w:evenHBand="true" w:oddHBand="false" w:firstRow="false"/>
        </w:trPr>
        <w:tc>
          <w:tcPr>
            <w:cnfStyle w:evenVBand="false" w:oddVBand="true" w:firstColumn="false"/>
            <w:tcW w:w="33.333333%" w:type="pct"/>
          </w:tcPr>
          <w:p>
            <w:pPr>
              <w:ind w:leftChars="0" w:left="0" w:right="0"/>
            </w:pPr>
            <w:r>
              <w:t>XECB</w:t>
            </w:r>
          </w:p>
        </w:tc>
        <w:tc>
          <w:tcPr>
            <w:cnfStyle w:evenVBand="true" w:oddVBand="false" w:firstColumn="false"/>
            <w:tcW w:w="33.333333%" w:type="pct"/>
          </w:tcPr>
          <w:p>
            <w:pPr>
              <w:ind w:leftChars="0" w:left="0" w:right="0"/>
            </w:pPr>
            <w:r>
              <w:t>XECB</w:t>
            </w:r>
          </w:p>
        </w:tc>
        <w:tc>
          <w:tcPr>
            <w:cnfStyle w:evenVBand="false" w:oddVBand="true" w:firstColumn="false"/>
            <w:tcW w:w="33.333333%" w:type="pct"/>
          </w:tcPr>
          <w:p>
            <w:pPr>
              <w:ind w:leftChars="0" w:left="0" w:right="0"/>
            </w:pPr>
            <w:r>
              <w:t>ECB EXCHANGE RATES</w:t>
            </w:r>
          </w:p>
        </w:tc>
      </w:tr>
      <w:tr>
        <w:trPr>
          <w:cnfStyle w:evenHBand="false" w:oddHBand="true" w:firstRow="false"/>
        </w:trPr>
        <w:tc>
          <w:tcPr>
            <w:cnfStyle w:evenVBand="false" w:oddVBand="true" w:firstColumn="false"/>
            <w:tcW w:w="33.333333%" w:type="pct"/>
          </w:tcPr>
          <w:p>
            <w:pPr>
              <w:ind w:leftChars="0" w:left="0" w:right="0"/>
            </w:pPr>
            <w:r>
              <w:t>XECC</w:t>
            </w:r>
          </w:p>
        </w:tc>
        <w:tc>
          <w:tcPr>
            <w:cnfStyle w:evenVBand="true" w:oddVBand="false" w:firstColumn="false"/>
            <w:tcW w:w="33.333333%" w:type="pct"/>
          </w:tcPr>
          <w:p>
            <w:pPr>
              <w:ind w:leftChars="0" w:left="0" w:right="0"/>
            </w:pPr>
            <w:r>
              <w:t>XECC</w:t>
            </w:r>
          </w:p>
        </w:tc>
        <w:tc>
          <w:tcPr>
            <w:cnfStyle w:evenVBand="false" w:oddVBand="true" w:firstColumn="false"/>
            <w:tcW w:w="33.333333%" w:type="pct"/>
          </w:tcPr>
          <w:p>
            <w:pPr>
              <w:ind w:leftChars="0" w:left="0" w:right="0"/>
            </w:pPr>
            <w:r>
              <w:t>EUROPEAN COMMODITY CLEARING AG</w:t>
            </w:r>
          </w:p>
        </w:tc>
      </w:tr>
      <w:tr>
        <w:trPr>
          <w:cnfStyle w:evenHBand="true" w:oddHBand="false" w:firstRow="false"/>
        </w:trPr>
        <w:tc>
          <w:tcPr>
            <w:cnfStyle w:evenVBand="false" w:oddVBand="true" w:firstColumn="false"/>
            <w:tcW w:w="33.333333%" w:type="pct"/>
          </w:tcPr>
          <w:p>
            <w:pPr>
              <w:ind w:leftChars="0" w:left="0" w:right="0"/>
            </w:pPr>
            <w:r>
              <w:t>XECM</w:t>
            </w:r>
          </w:p>
        </w:tc>
        <w:tc>
          <w:tcPr>
            <w:cnfStyle w:evenVBand="true" w:oddVBand="false" w:firstColumn="false"/>
            <w:tcW w:w="33.333333%" w:type="pct"/>
          </w:tcPr>
          <w:p>
            <w:pPr>
              <w:ind w:leftChars="0" w:left="0" w:right="0"/>
            </w:pPr>
            <w:r>
              <w:t>XECM</w:t>
            </w:r>
          </w:p>
        </w:tc>
        <w:tc>
          <w:tcPr>
            <w:cnfStyle w:evenVBand="false" w:oddVBand="true" w:firstColumn="false"/>
            <w:tcW w:w="33.333333%" w:type="pct"/>
          </w:tcPr>
          <w:p>
            <w:pPr>
              <w:ind w:leftChars="0" w:left="0" w:right="0"/>
            </w:pPr>
            <w:r>
              <w:t>MTF - CYPRUS EXCHANGE</w:t>
            </w:r>
          </w:p>
        </w:tc>
      </w:tr>
      <w:tr>
        <w:trPr>
          <w:cnfStyle w:evenHBand="false" w:oddHBand="true" w:firstRow="false"/>
        </w:trPr>
        <w:tc>
          <w:tcPr>
            <w:cnfStyle w:evenVBand="false" w:oddVBand="true" w:firstColumn="false"/>
            <w:tcW w:w="33.333333%" w:type="pct"/>
          </w:tcPr>
          <w:p>
            <w:pPr>
              <w:ind w:leftChars="0" w:left="0" w:right="0"/>
            </w:pPr>
            <w:r>
              <w:t>XECS</w:t>
            </w:r>
          </w:p>
        </w:tc>
        <w:tc>
          <w:tcPr>
            <w:cnfStyle w:evenVBand="true" w:oddVBand="false" w:firstColumn="false"/>
            <w:tcW w:w="33.333333%" w:type="pct"/>
          </w:tcPr>
          <w:p>
            <w:pPr>
              <w:ind w:leftChars="0" w:left="0" w:right="0"/>
            </w:pPr>
            <w:r>
              <w:t>XECS</w:t>
            </w:r>
          </w:p>
        </w:tc>
        <w:tc>
          <w:tcPr>
            <w:cnfStyle w:evenVBand="false" w:oddVBand="true" w:firstColumn="false"/>
            <w:tcW w:w="33.333333%" w:type="pct"/>
          </w:tcPr>
          <w:p>
            <w:pPr>
              <w:ind w:leftChars="0" w:left="0" w:right="0"/>
            </w:pPr>
            <w:r>
              <w:t>EASTERN CARIBBEAN SECURITIES EXCHANGE</w:t>
            </w:r>
          </w:p>
        </w:tc>
      </w:tr>
      <w:tr>
        <w:trPr>
          <w:cnfStyle w:evenHBand="true" w:oddHBand="false" w:firstRow="false"/>
        </w:trPr>
        <w:tc>
          <w:tcPr>
            <w:cnfStyle w:evenVBand="false" w:oddVBand="true" w:firstColumn="false"/>
            <w:tcW w:w="33.333333%" w:type="pct"/>
          </w:tcPr>
          <w:p>
            <w:pPr>
              <w:ind w:leftChars="0" w:left="0" w:right="0"/>
            </w:pPr>
            <w:r>
              <w:t>XEDA</w:t>
            </w:r>
          </w:p>
        </w:tc>
        <w:tc>
          <w:tcPr>
            <w:cnfStyle w:evenVBand="true" w:oddVBand="false" w:firstColumn="false"/>
            <w:tcW w:w="33.333333%" w:type="pct"/>
          </w:tcPr>
          <w:p>
            <w:pPr>
              <w:ind w:leftChars="0" w:left="0" w:right="0"/>
            </w:pPr>
            <w:r>
              <w:t>XEDA</w:t>
            </w:r>
          </w:p>
        </w:tc>
        <w:tc>
          <w:tcPr>
            <w:cnfStyle w:evenVBand="false" w:oddVBand="true" w:firstColumn="false"/>
            <w:tcW w:w="33.333333%" w:type="pct"/>
          </w:tcPr>
          <w:p>
            <w:pPr>
              <w:ind w:leftChars="0" w:left="0" w:right="0"/>
            </w:pPr>
            <w:r>
              <w:t>ELECTRICITY DAY-AHEAD MARKET</w:t>
            </w:r>
          </w:p>
        </w:tc>
      </w:tr>
      <w:tr>
        <w:trPr>
          <w:cnfStyle w:evenHBand="false" w:oddHBand="true" w:firstRow="false"/>
        </w:trPr>
        <w:tc>
          <w:tcPr>
            <w:cnfStyle w:evenVBand="false" w:oddVBand="true" w:firstColumn="false"/>
            <w:tcW w:w="33.333333%" w:type="pct"/>
          </w:tcPr>
          <w:p>
            <w:pPr>
              <w:ind w:leftChars="0" w:left="0" w:right="0"/>
            </w:pPr>
            <w:r>
              <w:t>XEDX</w:t>
            </w:r>
          </w:p>
        </w:tc>
        <w:tc>
          <w:tcPr>
            <w:cnfStyle w:evenVBand="true" w:oddVBand="false" w:firstColumn="false"/>
            <w:tcW w:w="33.333333%" w:type="pct"/>
          </w:tcPr>
          <w:p>
            <w:pPr>
              <w:ind w:leftChars="0" w:left="0" w:right="0"/>
            </w:pPr>
            <w:r>
              <w:t>XEDX</w:t>
            </w:r>
          </w:p>
        </w:tc>
        <w:tc>
          <w:tcPr>
            <w:cnfStyle w:evenVBand="false" w:oddVBand="true" w:firstColumn="false"/>
            <w:tcW w:w="33.333333%" w:type="pct"/>
          </w:tcPr>
          <w:p>
            <w:pPr>
              <w:ind w:leftChars="0" w:left="0" w:right="0"/>
            </w:pPr>
            <w:r>
              <w:t>EDX LONDON LIMITED</w:t>
            </w:r>
          </w:p>
        </w:tc>
      </w:tr>
      <w:tr>
        <w:trPr>
          <w:cnfStyle w:evenHBand="true" w:oddHBand="false" w:firstRow="false"/>
        </w:trPr>
        <w:tc>
          <w:tcPr>
            <w:cnfStyle w:evenVBand="false" w:oddVBand="true" w:firstColumn="false"/>
            <w:tcW w:w="33.333333%" w:type="pct"/>
          </w:tcPr>
          <w:p>
            <w:pPr>
              <w:ind w:leftChars="0" w:left="0" w:right="0"/>
            </w:pPr>
            <w:r>
              <w:t>XEEE</w:t>
            </w:r>
          </w:p>
        </w:tc>
        <w:tc>
          <w:tcPr>
            <w:cnfStyle w:evenVBand="true" w:oddVBand="false" w:firstColumn="false"/>
            <w:tcW w:w="33.333333%" w:type="pct"/>
          </w:tcPr>
          <w:p>
            <w:pPr>
              <w:ind w:leftChars="0" w:left="0" w:right="0"/>
            </w:pPr>
            <w:r>
              <w:t>XEEE</w:t>
            </w:r>
          </w:p>
        </w:tc>
        <w:tc>
          <w:tcPr>
            <w:cnfStyle w:evenVBand="false" w:oddVBand="true" w:firstColumn="false"/>
            <w:tcW w:w="33.333333%" w:type="pct"/>
          </w:tcPr>
          <w:p>
            <w:pPr>
              <w:ind w:leftChars="0" w:left="0" w:right="0"/>
            </w:pPr>
            <w:r>
              <w:t>EUROPEAN ENERGY EXCHANGE</w:t>
            </w:r>
          </w:p>
        </w:tc>
      </w:tr>
      <w:tr>
        <w:trPr>
          <w:cnfStyle w:evenHBand="false" w:oddHBand="true" w:firstRow="false"/>
        </w:trPr>
        <w:tc>
          <w:tcPr>
            <w:cnfStyle w:evenVBand="false" w:oddVBand="true" w:firstColumn="false"/>
            <w:tcW w:w="33.333333%" w:type="pct"/>
          </w:tcPr>
          <w:p>
            <w:pPr>
              <w:ind w:leftChars="0" w:left="0" w:right="0"/>
            </w:pPr>
            <w:r>
              <w:t>XEEO</w:t>
            </w:r>
          </w:p>
        </w:tc>
        <w:tc>
          <w:tcPr>
            <w:cnfStyle w:evenVBand="true" w:oddVBand="false" w:firstColumn="false"/>
            <w:tcW w:w="33.333333%" w:type="pct"/>
          </w:tcPr>
          <w:p>
            <w:pPr>
              <w:ind w:leftChars="0" w:left="0" w:right="0"/>
            </w:pPr>
            <w:r>
              <w:t>XEEO</w:t>
            </w:r>
          </w:p>
        </w:tc>
        <w:tc>
          <w:tcPr>
            <w:cnfStyle w:evenVBand="false" w:oddVBand="true" w:firstColumn="false"/>
            <w:tcW w:w="33.333333%" w:type="pct"/>
          </w:tcPr>
          <w:p>
            <w:pPr>
              <w:ind w:leftChars="0" w:left="0" w:right="0"/>
            </w:pPr>
            <w:r>
              <w:t>EUROPEAN ENERGY EXCHANGE - NON-MTF MARKET</w:t>
            </w:r>
          </w:p>
        </w:tc>
      </w:tr>
      <w:tr>
        <w:trPr>
          <w:cnfStyle w:evenHBand="true" w:oddHBand="false" w:firstRow="false"/>
        </w:trPr>
        <w:tc>
          <w:tcPr>
            <w:cnfStyle w:evenVBand="false" w:oddVBand="true" w:firstColumn="false"/>
            <w:tcW w:w="33.333333%" w:type="pct"/>
          </w:tcPr>
          <w:p>
            <w:pPr>
              <w:ind w:leftChars="0" w:left="0" w:right="0"/>
            </w:pPr>
            <w:r>
              <w:t>XEER</w:t>
            </w:r>
          </w:p>
        </w:tc>
        <w:tc>
          <w:tcPr>
            <w:cnfStyle w:evenVBand="true" w:oddVBand="false" w:firstColumn="false"/>
            <w:tcW w:w="33.333333%" w:type="pct"/>
          </w:tcPr>
          <w:p>
            <w:pPr>
              <w:ind w:leftChars="0" w:left="0" w:right="0"/>
            </w:pPr>
            <w:r>
              <w:t>XEER</w:t>
            </w:r>
          </w:p>
        </w:tc>
        <w:tc>
          <w:tcPr>
            <w:cnfStyle w:evenVBand="false" w:oddVBand="true" w:firstColumn="false"/>
            <w:tcW w:w="33.333333%" w:type="pct"/>
          </w:tcPr>
          <w:p>
            <w:pPr>
              <w:ind w:leftChars="0" w:left="0" w:right="0"/>
            </w:pPr>
            <w:r>
              <w:t>EUROPEAN ENERGY EXCHANGE - REGULATED MARKET</w:t>
            </w:r>
          </w:p>
        </w:tc>
      </w:tr>
      <w:tr>
        <w:trPr>
          <w:cnfStyle w:evenHBand="false" w:oddHBand="true" w:firstRow="false"/>
        </w:trPr>
        <w:tc>
          <w:tcPr>
            <w:cnfStyle w:evenVBand="false" w:oddVBand="true" w:firstColumn="false"/>
            <w:tcW w:w="33.333333%" w:type="pct"/>
          </w:tcPr>
          <w:p>
            <w:pPr>
              <w:ind w:leftChars="0" w:left="0" w:right="0"/>
            </w:pPr>
            <w:r>
              <w:t>XEHQ</w:t>
            </w:r>
          </w:p>
        </w:tc>
        <w:tc>
          <w:tcPr>
            <w:cnfStyle w:evenVBand="true" w:oddVBand="false" w:firstColumn="false"/>
            <w:tcW w:w="33.333333%" w:type="pct"/>
          </w:tcPr>
          <w:p>
            <w:pPr>
              <w:ind w:leftChars="0" w:left="0" w:right="0"/>
            </w:pPr>
            <w:r>
              <w:t>XEHQ</w:t>
            </w:r>
          </w:p>
        </w:tc>
        <w:tc>
          <w:tcPr>
            <w:cnfStyle w:evenVBand="false" w:oddVBand="true" w:firstColumn="false"/>
            <w:tcW w:w="33.333333%" w:type="pct"/>
          </w:tcPr>
          <w:p>
            <w:pPr>
              <w:ind w:leftChars="0" w:left="0" w:right="0"/>
            </w:pPr>
            <w:r>
              <w:t>EUREX REPO - HQLA MARKET</w:t>
            </w:r>
          </w:p>
        </w:tc>
      </w:tr>
      <w:tr>
        <w:trPr>
          <w:cnfStyle w:evenHBand="true" w:oddHBand="false" w:firstRow="false"/>
        </w:trPr>
        <w:tc>
          <w:tcPr>
            <w:cnfStyle w:evenVBand="false" w:oddVBand="true" w:firstColumn="false"/>
            <w:tcW w:w="33.333333%" w:type="pct"/>
          </w:tcPr>
          <w:p>
            <w:pPr>
              <w:ind w:leftChars="0" w:left="0" w:right="0"/>
            </w:pPr>
            <w:r>
              <w:t>XEID</w:t>
            </w:r>
          </w:p>
        </w:tc>
        <w:tc>
          <w:tcPr>
            <w:cnfStyle w:evenVBand="true" w:oddVBand="false" w:firstColumn="false"/>
            <w:tcW w:w="33.333333%" w:type="pct"/>
          </w:tcPr>
          <w:p>
            <w:pPr>
              <w:ind w:leftChars="0" w:left="0" w:right="0"/>
            </w:pPr>
            <w:r>
              <w:t>XEID</w:t>
            </w:r>
          </w:p>
        </w:tc>
        <w:tc>
          <w:tcPr>
            <w:cnfStyle w:evenVBand="false" w:oddVBand="true" w:firstColumn="false"/>
            <w:tcW w:w="33.333333%" w:type="pct"/>
          </w:tcPr>
          <w:p>
            <w:pPr>
              <w:ind w:leftChars="0" w:left="0" w:right="0"/>
            </w:pPr>
            <w:r>
              <w:t>ELECTRICITY INTRA-DAY MARKET</w:t>
            </w:r>
          </w:p>
        </w:tc>
      </w:tr>
      <w:tr>
        <w:trPr>
          <w:cnfStyle w:evenHBand="false" w:oddHBand="true" w:firstRow="false"/>
        </w:trPr>
        <w:tc>
          <w:tcPr>
            <w:cnfStyle w:evenVBand="false" w:oddVBand="true" w:firstColumn="false"/>
            <w:tcW w:w="33.333333%" w:type="pct"/>
          </w:tcPr>
          <w:p>
            <w:pPr>
              <w:ind w:leftChars="0" w:left="0" w:right="0"/>
            </w:pPr>
            <w:r>
              <w:t>XELX</w:t>
            </w:r>
          </w:p>
        </w:tc>
        <w:tc>
          <w:tcPr>
            <w:cnfStyle w:evenVBand="true" w:oddVBand="false" w:firstColumn="false"/>
            <w:tcW w:w="33.333333%" w:type="pct"/>
          </w:tcPr>
          <w:p>
            <w:pPr>
              <w:ind w:leftChars="0" w:left="0" w:right="0"/>
            </w:pPr>
            <w:r>
              <w:t>XELX</w:t>
            </w:r>
          </w:p>
        </w:tc>
        <w:tc>
          <w:tcPr>
            <w:cnfStyle w:evenVBand="false" w:oddVBand="true" w:firstColumn="false"/>
            <w:tcW w:w="33.333333%" w:type="pct"/>
          </w:tcPr>
          <w:p>
            <w:pPr>
              <w:ind w:leftChars="0" w:left="0" w:right="0"/>
            </w:pPr>
            <w:r>
              <w:t>ELX</w:t>
            </w:r>
          </w:p>
        </w:tc>
      </w:tr>
      <w:tr>
        <w:trPr>
          <w:cnfStyle w:evenHBand="true" w:oddHBand="false" w:firstRow="false"/>
        </w:trPr>
        <w:tc>
          <w:tcPr>
            <w:cnfStyle w:evenVBand="false" w:oddVBand="true" w:firstColumn="false"/>
            <w:tcW w:w="33.333333%" w:type="pct"/>
          </w:tcPr>
          <w:p>
            <w:pPr>
              <w:ind w:leftChars="0" w:left="0" w:right="0"/>
            </w:pPr>
            <w:r>
              <w:t>XEMD</w:t>
            </w:r>
          </w:p>
        </w:tc>
        <w:tc>
          <w:tcPr>
            <w:cnfStyle w:evenVBand="true" w:oddVBand="false" w:firstColumn="false"/>
            <w:tcW w:w="33.333333%" w:type="pct"/>
          </w:tcPr>
          <w:p>
            <w:pPr>
              <w:ind w:leftChars="0" w:left="0" w:right="0"/>
            </w:pPr>
            <w:r>
              <w:t>XEMD</w:t>
            </w:r>
          </w:p>
        </w:tc>
        <w:tc>
          <w:tcPr>
            <w:cnfStyle w:evenVBand="false" w:oddVBand="true" w:firstColumn="false"/>
            <w:tcW w:w="33.333333%" w:type="pct"/>
          </w:tcPr>
          <w:p>
            <w:pPr>
              <w:ind w:leftChars="0" w:left="0" w:right="0"/>
            </w:pPr>
            <w:r>
              <w:t>MERCADO MEXICANO DE DERIVADOS</w:t>
            </w:r>
          </w:p>
        </w:tc>
      </w:tr>
      <w:tr>
        <w:trPr>
          <w:cnfStyle w:evenHBand="false" w:oddHBand="true" w:firstRow="false"/>
        </w:trPr>
        <w:tc>
          <w:tcPr>
            <w:cnfStyle w:evenVBand="false" w:oddVBand="true" w:firstColumn="false"/>
            <w:tcW w:w="33.333333%" w:type="pct"/>
          </w:tcPr>
          <w:p>
            <w:pPr>
              <w:ind w:leftChars="0" w:left="0" w:right="0"/>
            </w:pPr>
            <w:r>
              <w:t>XEMS</w:t>
            </w:r>
          </w:p>
        </w:tc>
        <w:tc>
          <w:tcPr>
            <w:cnfStyle w:evenVBand="true" w:oddVBand="false" w:firstColumn="false"/>
            <w:tcW w:w="33.333333%" w:type="pct"/>
          </w:tcPr>
          <w:p>
            <w:pPr>
              <w:ind w:leftChars="0" w:left="0" w:right="0"/>
            </w:pPr>
            <w:r>
              <w:t>XEMS</w:t>
            </w:r>
          </w:p>
        </w:tc>
        <w:tc>
          <w:tcPr>
            <w:cnfStyle w:evenVBand="false" w:oddVBand="true" w:firstColumn="false"/>
            <w:tcW w:w="33.333333%" w:type="pct"/>
          </w:tcPr>
          <w:p>
            <w:pPr>
              <w:ind w:leftChars="0" w:left="0" w:right="0"/>
            </w:pPr>
            <w:r>
              <w:t>EMS EXCHANGE</w:t>
            </w:r>
          </w:p>
        </w:tc>
      </w:tr>
      <w:tr>
        <w:trPr>
          <w:cnfStyle w:evenHBand="true" w:oddHBand="false" w:firstRow="false"/>
        </w:trPr>
        <w:tc>
          <w:tcPr>
            <w:cnfStyle w:evenVBand="false" w:oddVBand="true" w:firstColumn="false"/>
            <w:tcW w:w="33.333333%" w:type="pct"/>
          </w:tcPr>
          <w:p>
            <w:pPr>
              <w:ind w:leftChars="0" w:left="0" w:right="0"/>
            </w:pPr>
            <w:r>
              <w:t>XEQT</w:t>
            </w:r>
          </w:p>
        </w:tc>
        <w:tc>
          <w:tcPr>
            <w:cnfStyle w:evenVBand="true" w:oddVBand="false" w:firstColumn="false"/>
            <w:tcW w:w="33.333333%" w:type="pct"/>
          </w:tcPr>
          <w:p>
            <w:pPr>
              <w:ind w:leftChars="0" w:left="0" w:right="0"/>
            </w:pPr>
            <w:r>
              <w:t>XEQT</w:t>
            </w:r>
          </w:p>
        </w:tc>
        <w:tc>
          <w:tcPr>
            <w:cnfStyle w:evenVBand="false" w:oddVBand="true" w:firstColumn="false"/>
            <w:tcW w:w="33.333333%" w:type="pct"/>
          </w:tcPr>
          <w:p>
            <w:pPr>
              <w:ind w:leftChars="0" w:left="0" w:right="0"/>
            </w:pPr>
            <w:r>
              <w:t>BOERSE BERLIN EQUIDUCT TRADING</w:t>
            </w:r>
          </w:p>
        </w:tc>
      </w:tr>
      <w:tr>
        <w:trPr>
          <w:cnfStyle w:evenHBand="false" w:oddHBand="true" w:firstRow="false"/>
        </w:trPr>
        <w:tc>
          <w:tcPr>
            <w:cnfStyle w:evenVBand="false" w:oddVBand="true" w:firstColumn="false"/>
            <w:tcW w:w="33.333333%" w:type="pct"/>
          </w:tcPr>
          <w:p>
            <w:pPr>
              <w:ind w:leftChars="0" w:left="0" w:right="0"/>
            </w:pPr>
            <w:r>
              <w:t>XEQY</w:t>
            </w:r>
          </w:p>
        </w:tc>
        <w:tc>
          <w:tcPr>
            <w:cnfStyle w:evenVBand="true" w:oddVBand="false" w:firstColumn="false"/>
            <w:tcW w:w="33.333333%" w:type="pct"/>
          </w:tcPr>
          <w:p>
            <w:pPr>
              <w:ind w:leftChars="0" w:left="0" w:right="0"/>
            </w:pPr>
            <w:r>
              <w:t>XEQY</w:t>
            </w:r>
          </w:p>
        </w:tc>
        <w:tc>
          <w:tcPr>
            <w:cnfStyle w:evenVBand="false" w:oddVBand="true" w:firstColumn="false"/>
            <w:tcW w:w="33.333333%" w:type="pct"/>
          </w:tcPr>
          <w:p>
            <w:pPr>
              <w:ind w:leftChars="0" w:left="0" w:right="0"/>
            </w:pPr>
            <w:r>
              <w:t>BORSA ISTANBUL - EQUITY MARKET</w:t>
            </w:r>
          </w:p>
        </w:tc>
      </w:tr>
      <w:tr>
        <w:trPr>
          <w:cnfStyle w:evenHBand="true" w:oddHBand="false" w:firstRow="false"/>
        </w:trPr>
        <w:tc>
          <w:tcPr>
            <w:cnfStyle w:evenVBand="false" w:oddVBand="true" w:firstColumn="false"/>
            <w:tcW w:w="33.333333%" w:type="pct"/>
          </w:tcPr>
          <w:p>
            <w:pPr>
              <w:ind w:leftChars="0" w:left="0" w:right="0"/>
            </w:pPr>
            <w:r>
              <w:t>XERE</w:t>
            </w:r>
          </w:p>
        </w:tc>
        <w:tc>
          <w:tcPr>
            <w:cnfStyle w:evenVBand="true" w:oddVBand="false" w:firstColumn="false"/>
            <w:tcW w:w="33.333333%" w:type="pct"/>
          </w:tcPr>
          <w:p>
            <w:pPr>
              <w:ind w:leftChars="0" w:left="0" w:right="0"/>
            </w:pPr>
            <w:r>
              <w:t>XERE</w:t>
            </w:r>
          </w:p>
        </w:tc>
        <w:tc>
          <w:tcPr>
            <w:cnfStyle w:evenVBand="false" w:oddVBand="true" w:firstColumn="false"/>
            <w:tcW w:w="33.333333%" w:type="pct"/>
          </w:tcPr>
          <w:p>
            <w:pPr>
              <w:ind w:leftChars="0" w:left="0" w:right="0"/>
            </w:pPr>
            <w:r>
              <w:t>EUREX REPO - FUNDING AND FINANCING PRODUCTS</w:t>
            </w:r>
          </w:p>
        </w:tc>
      </w:tr>
      <w:tr>
        <w:trPr>
          <w:cnfStyle w:evenHBand="false" w:oddHBand="true" w:firstRow="false"/>
        </w:trPr>
        <w:tc>
          <w:tcPr>
            <w:cnfStyle w:evenVBand="false" w:oddVBand="true" w:firstColumn="false"/>
            <w:tcW w:w="33.333333%" w:type="pct"/>
          </w:tcPr>
          <w:p>
            <w:pPr>
              <w:ind w:leftChars="0" w:left="0" w:right="0"/>
            </w:pPr>
            <w:r>
              <w:t>XERT</w:t>
            </w:r>
          </w:p>
        </w:tc>
        <w:tc>
          <w:tcPr>
            <w:cnfStyle w:evenVBand="true" w:oddVBand="false" w:firstColumn="false"/>
            <w:tcW w:w="33.333333%" w:type="pct"/>
          </w:tcPr>
          <w:p>
            <w:pPr>
              <w:ind w:leftChars="0" w:left="0" w:right="0"/>
            </w:pPr>
            <w:r>
              <w:t>XERT</w:t>
            </w:r>
          </w:p>
        </w:tc>
        <w:tc>
          <w:tcPr>
            <w:cnfStyle w:evenVBand="false" w:oddVBand="true" w:firstColumn="false"/>
            <w:tcW w:w="33.333333%" w:type="pct"/>
          </w:tcPr>
          <w:p>
            <w:pPr>
              <w:ind w:leftChars="0" w:left="0" w:right="0"/>
            </w:pPr>
            <w:r>
              <w:t>EUREX REPO - TRIPARTY</w:t>
            </w:r>
          </w:p>
        </w:tc>
      </w:tr>
      <w:tr>
        <w:trPr>
          <w:cnfStyle w:evenHBand="true" w:oddHBand="false" w:firstRow="false"/>
        </w:trPr>
        <w:tc>
          <w:tcPr>
            <w:cnfStyle w:evenVBand="false" w:oddVBand="true" w:firstColumn="false"/>
            <w:tcW w:w="33.333333%" w:type="pct"/>
          </w:tcPr>
          <w:p>
            <w:pPr>
              <w:ind w:leftChars="0" w:left="0" w:right="0"/>
            </w:pPr>
            <w:r>
              <w:t>XESM</w:t>
            </w:r>
          </w:p>
        </w:tc>
        <w:tc>
          <w:tcPr>
            <w:cnfStyle w:evenVBand="true" w:oddVBand="false" w:firstColumn="false"/>
            <w:tcW w:w="33.333333%" w:type="pct"/>
          </w:tcPr>
          <w:p>
            <w:pPr>
              <w:ind w:leftChars="0" w:left="0" w:right="0"/>
            </w:pPr>
            <w:r>
              <w:t>XESM</w:t>
            </w:r>
          </w:p>
        </w:tc>
        <w:tc>
          <w:tcPr>
            <w:cnfStyle w:evenVBand="false" w:oddVBand="true" w:firstColumn="false"/>
            <w:tcW w:w="33.333333%" w:type="pct"/>
          </w:tcPr>
          <w:p>
            <w:pPr>
              <w:ind w:leftChars="0" w:left="0" w:right="0"/>
            </w:pPr>
            <w:r>
              <w:t>EURONEXT GROWTH DUBLIN</w:t>
            </w:r>
          </w:p>
        </w:tc>
      </w:tr>
      <w:tr>
        <w:trPr>
          <w:cnfStyle w:evenHBand="false" w:oddHBand="true" w:firstRow="false"/>
        </w:trPr>
        <w:tc>
          <w:tcPr>
            <w:cnfStyle w:evenVBand="false" w:oddVBand="true" w:firstColumn="false"/>
            <w:tcW w:w="33.333333%" w:type="pct"/>
          </w:tcPr>
          <w:p>
            <w:pPr>
              <w:ind w:leftChars="0" w:left="0" w:right="0"/>
            </w:pPr>
            <w:r>
              <w:t>XETA</w:t>
            </w:r>
          </w:p>
        </w:tc>
        <w:tc>
          <w:tcPr>
            <w:cnfStyle w:evenVBand="true" w:oddVBand="false" w:firstColumn="false"/>
            <w:tcW w:w="33.333333%" w:type="pct"/>
          </w:tcPr>
          <w:p>
            <w:pPr>
              <w:ind w:leftChars="0" w:left="0" w:right="0"/>
            </w:pPr>
            <w:r>
              <w:t>XETA</w:t>
            </w:r>
          </w:p>
        </w:tc>
        <w:tc>
          <w:tcPr>
            <w:cnfStyle w:evenVBand="false" w:oddVBand="true" w:firstColumn="false"/>
            <w:tcW w:w="33.333333%" w:type="pct"/>
          </w:tcPr>
          <w:p>
            <w:pPr>
              <w:ind w:leftChars="0" w:left="0" w:right="0"/>
            </w:pPr>
            <w:r>
              <w:t>XETRA - REGULIERTER MARKT</w:t>
            </w:r>
          </w:p>
        </w:tc>
      </w:tr>
      <w:tr>
        <w:trPr>
          <w:cnfStyle w:evenHBand="true" w:oddHBand="false" w:firstRow="false"/>
        </w:trPr>
        <w:tc>
          <w:tcPr>
            <w:cnfStyle w:evenVBand="false" w:oddVBand="true" w:firstColumn="false"/>
            <w:tcW w:w="33.333333%" w:type="pct"/>
          </w:tcPr>
          <w:p>
            <w:pPr>
              <w:ind w:leftChars="0" w:left="0" w:right="0"/>
            </w:pPr>
            <w:r>
              <w:t>XETB</w:t>
            </w:r>
          </w:p>
        </w:tc>
        <w:tc>
          <w:tcPr>
            <w:cnfStyle w:evenVBand="true" w:oddVBand="false" w:firstColumn="false"/>
            <w:tcW w:w="33.333333%" w:type="pct"/>
          </w:tcPr>
          <w:p>
            <w:pPr>
              <w:ind w:leftChars="0" w:left="0" w:right="0"/>
            </w:pPr>
            <w:r>
              <w:t>XETB</w:t>
            </w:r>
          </w:p>
        </w:tc>
        <w:tc>
          <w:tcPr>
            <w:cnfStyle w:evenVBand="false" w:oddVBand="true" w:firstColumn="false"/>
            <w:tcW w:w="33.333333%" w:type="pct"/>
          </w:tcPr>
          <w:p>
            <w:pPr>
              <w:ind w:leftChars="0" w:left="0" w:right="0"/>
            </w:pPr>
            <w:r>
              <w:t>XETRA - FREIVERKEHR</w:t>
            </w:r>
          </w:p>
        </w:tc>
      </w:tr>
      <w:tr>
        <w:trPr>
          <w:cnfStyle w:evenHBand="false" w:oddHBand="true" w:firstRow="false"/>
        </w:trPr>
        <w:tc>
          <w:tcPr>
            <w:cnfStyle w:evenVBand="false" w:oddVBand="true" w:firstColumn="false"/>
            <w:tcW w:w="33.333333%" w:type="pct"/>
          </w:tcPr>
          <w:p>
            <w:pPr>
              <w:ind w:leftChars="0" w:left="0" w:right="0"/>
            </w:pPr>
            <w:r>
              <w:t>XETC</w:t>
            </w:r>
          </w:p>
        </w:tc>
        <w:tc>
          <w:tcPr>
            <w:cnfStyle w:evenVBand="true" w:oddVBand="false" w:firstColumn="false"/>
            <w:tcW w:w="33.333333%" w:type="pct"/>
          </w:tcPr>
          <w:p>
            <w:pPr>
              <w:ind w:leftChars="0" w:left="0" w:right="0"/>
            </w:pPr>
            <w:r>
              <w:t>XETC</w:t>
            </w:r>
          </w:p>
        </w:tc>
        <w:tc>
          <w:tcPr>
            <w:cnfStyle w:evenVBand="false" w:oddVBand="true" w:firstColumn="false"/>
            <w:tcW w:w="33.333333%" w:type="pct"/>
          </w:tcPr>
          <w:p>
            <w:pPr>
              <w:ind w:leftChars="0" w:left="0" w:right="0"/>
            </w:pPr>
            <w:r>
              <w:t>XETRA INTERNATIONAL MARKET - REGULATED MARKET</w:t>
            </w:r>
          </w:p>
        </w:tc>
      </w:tr>
      <w:tr>
        <w:trPr>
          <w:cnfStyle w:evenHBand="true" w:oddHBand="false" w:firstRow="false"/>
        </w:trPr>
        <w:tc>
          <w:tcPr>
            <w:cnfStyle w:evenVBand="false" w:oddVBand="true" w:firstColumn="false"/>
            <w:tcW w:w="33.333333%" w:type="pct"/>
          </w:tcPr>
          <w:p>
            <w:pPr>
              <w:ind w:leftChars="0" w:left="0" w:right="0"/>
            </w:pPr>
            <w:r>
              <w:t>XETD</w:t>
            </w:r>
          </w:p>
        </w:tc>
        <w:tc>
          <w:tcPr>
            <w:cnfStyle w:evenVBand="true" w:oddVBand="false" w:firstColumn="false"/>
            <w:tcW w:w="33.333333%" w:type="pct"/>
          </w:tcPr>
          <w:p>
            <w:pPr>
              <w:ind w:leftChars="0" w:left="0" w:right="0"/>
            </w:pPr>
            <w:r>
              <w:t>XETD</w:t>
            </w:r>
          </w:p>
        </w:tc>
        <w:tc>
          <w:tcPr>
            <w:cnfStyle w:evenVBand="false" w:oddVBand="true" w:firstColumn="false"/>
            <w:tcW w:w="33.333333%" w:type="pct"/>
          </w:tcPr>
          <w:p>
            <w:pPr>
              <w:ind w:leftChars="0" w:left="0" w:right="0"/>
            </w:pPr>
            <w:r>
              <w:t>XETRA INTERNATIONAL MARKET - OPEN MARKET</w:t>
            </w:r>
          </w:p>
        </w:tc>
      </w:tr>
      <w:tr>
        <w:trPr>
          <w:cnfStyle w:evenHBand="false" w:oddHBand="true" w:firstRow="false"/>
        </w:trPr>
        <w:tc>
          <w:tcPr>
            <w:cnfStyle w:evenVBand="false" w:oddVBand="true" w:firstColumn="false"/>
            <w:tcW w:w="33.333333%" w:type="pct"/>
          </w:tcPr>
          <w:p>
            <w:pPr>
              <w:ind w:leftChars="0" w:left="0" w:right="0"/>
            </w:pPr>
            <w:r>
              <w:t>XETE</w:t>
            </w:r>
          </w:p>
        </w:tc>
        <w:tc>
          <w:tcPr>
            <w:cnfStyle w:evenVBand="true" w:oddVBand="false" w:firstColumn="false"/>
            <w:tcW w:w="33.333333%" w:type="pct"/>
          </w:tcPr>
          <w:p>
            <w:pPr>
              <w:ind w:leftChars="0" w:left="0" w:right="0"/>
            </w:pPr>
            <w:r>
              <w:t>XETE</w:t>
            </w:r>
          </w:p>
        </w:tc>
        <w:tc>
          <w:tcPr>
            <w:cnfStyle w:evenVBand="false" w:oddVBand="true" w:firstColumn="false"/>
            <w:tcW w:w="33.333333%" w:type="pct"/>
          </w:tcPr>
          <w:p>
            <w:pPr>
              <w:ind w:leftChars="0" w:left="0" w:right="0"/>
            </w:pPr>
            <w:r>
              <w:t>XETRA - NON-FINANCIAL INSTRUMENTS</w:t>
            </w:r>
          </w:p>
        </w:tc>
      </w:tr>
      <w:tr>
        <w:trPr>
          <w:cnfStyle w:evenHBand="true" w:oddHBand="false" w:firstRow="false"/>
        </w:trPr>
        <w:tc>
          <w:tcPr>
            <w:cnfStyle w:evenVBand="false" w:oddVBand="true" w:firstColumn="false"/>
            <w:tcW w:w="33.333333%" w:type="pct"/>
          </w:tcPr>
          <w:p>
            <w:pPr>
              <w:ind w:leftChars="0" w:left="0" w:right="0"/>
            </w:pPr>
            <w:r>
              <w:t>XETF</w:t>
            </w:r>
          </w:p>
        </w:tc>
        <w:tc>
          <w:tcPr>
            <w:cnfStyle w:evenVBand="true" w:oddVBand="false" w:firstColumn="false"/>
            <w:tcW w:w="33.333333%" w:type="pct"/>
          </w:tcPr>
          <w:p>
            <w:pPr>
              <w:ind w:leftChars="0" w:left="0" w:right="0"/>
            </w:pPr>
            <w:r>
              <w:t>XETF</w:t>
            </w:r>
          </w:p>
        </w:tc>
        <w:tc>
          <w:tcPr>
            <w:cnfStyle w:evenVBand="false" w:oddVBand="true" w:firstColumn="false"/>
            <w:tcW w:w="33.333333%" w:type="pct"/>
          </w:tcPr>
          <w:p>
            <w:pPr>
              <w:ind w:leftChars="0" w:left="0" w:right="0"/>
            </w:pPr>
            <w:r>
              <w:t>EURONEXT ETF ACCESS</w:t>
            </w:r>
          </w:p>
        </w:tc>
      </w:tr>
      <w:tr>
        <w:trPr>
          <w:cnfStyle w:evenHBand="false" w:oddHBand="true" w:firstRow="false"/>
        </w:trPr>
        <w:tc>
          <w:tcPr>
            <w:cnfStyle w:evenVBand="false" w:oddVBand="true" w:firstColumn="false"/>
            <w:tcW w:w="33.333333%" w:type="pct"/>
          </w:tcPr>
          <w:p>
            <w:pPr>
              <w:ind w:leftChars="0" w:left="0" w:right="0"/>
            </w:pPr>
            <w:r>
              <w:t>XETI</w:t>
            </w:r>
          </w:p>
        </w:tc>
        <w:tc>
          <w:tcPr>
            <w:cnfStyle w:evenVBand="true" w:oddVBand="false" w:firstColumn="false"/>
            <w:tcW w:w="33.333333%" w:type="pct"/>
          </w:tcPr>
          <w:p>
            <w:pPr>
              <w:ind w:leftChars="0" w:left="0" w:right="0"/>
            </w:pPr>
            <w:r>
              <w:t>XETI</w:t>
            </w:r>
          </w:p>
        </w:tc>
        <w:tc>
          <w:tcPr>
            <w:cnfStyle w:evenVBand="false" w:oddVBand="true" w:firstColumn="false"/>
            <w:tcW w:w="33.333333%" w:type="pct"/>
          </w:tcPr>
          <w:p>
            <w:pPr>
              <w:ind w:leftChars="0" w:left="0" w:right="0"/>
            </w:pPr>
            <w:r>
              <w:t>XETRA INTERNATIONAL MARKET</w:t>
            </w:r>
          </w:p>
        </w:tc>
      </w:tr>
      <w:tr>
        <w:trPr>
          <w:cnfStyle w:evenHBand="true" w:oddHBand="false" w:firstRow="false"/>
        </w:trPr>
        <w:tc>
          <w:tcPr>
            <w:cnfStyle w:evenVBand="false" w:oddVBand="true" w:firstColumn="false"/>
            <w:tcW w:w="33.333333%" w:type="pct"/>
          </w:tcPr>
          <w:p>
            <w:pPr>
              <w:ind w:leftChars="0" w:left="0" w:right="0"/>
            </w:pPr>
            <w:r>
              <w:t>XETR</w:t>
            </w:r>
          </w:p>
        </w:tc>
        <w:tc>
          <w:tcPr>
            <w:cnfStyle w:evenVBand="true" w:oddVBand="false" w:firstColumn="false"/>
            <w:tcW w:w="33.333333%" w:type="pct"/>
          </w:tcPr>
          <w:p>
            <w:pPr>
              <w:ind w:leftChars="0" w:left="0" w:right="0"/>
            </w:pPr>
            <w:r>
              <w:t>XETR</w:t>
            </w:r>
          </w:p>
        </w:tc>
        <w:tc>
          <w:tcPr>
            <w:cnfStyle w:evenVBand="false" w:oddVBand="true" w:firstColumn="false"/>
            <w:tcW w:w="33.333333%" w:type="pct"/>
          </w:tcPr>
          <w:p>
            <w:pPr>
              <w:ind w:leftChars="0" w:left="0" w:right="0"/>
            </w:pPr>
            <w:r>
              <w:t>XETRA</w:t>
            </w:r>
          </w:p>
        </w:tc>
      </w:tr>
      <w:tr>
        <w:trPr>
          <w:cnfStyle w:evenHBand="false" w:oddHBand="true" w:firstRow="false"/>
        </w:trPr>
        <w:tc>
          <w:tcPr>
            <w:cnfStyle w:evenVBand="false" w:oddVBand="true" w:firstColumn="false"/>
            <w:tcW w:w="33.333333%" w:type="pct"/>
          </w:tcPr>
          <w:p>
            <w:pPr>
              <w:ind w:leftChars="0" w:left="0" w:right="0"/>
            </w:pPr>
            <w:r>
              <w:t>XETS</w:t>
            </w:r>
          </w:p>
        </w:tc>
        <w:tc>
          <w:tcPr>
            <w:cnfStyle w:evenVBand="true" w:oddVBand="false" w:firstColumn="false"/>
            <w:tcW w:w="33.333333%" w:type="pct"/>
          </w:tcPr>
          <w:p>
            <w:pPr>
              <w:ind w:leftChars="0" w:left="0" w:right="0"/>
            </w:pPr>
            <w:r>
              <w:t>XETS</w:t>
            </w:r>
          </w:p>
        </w:tc>
        <w:tc>
          <w:tcPr>
            <w:cnfStyle w:evenVBand="false" w:oddVBand="true" w:firstColumn="false"/>
            <w:tcW w:w="33.333333%" w:type="pct"/>
          </w:tcPr>
          <w:p>
            <w:pPr>
              <w:ind w:leftChars="0" w:left="0" w:right="0"/>
            </w:pPr>
            <w:r>
              <w:t>XETRA - SCALE</w:t>
            </w:r>
          </w:p>
        </w:tc>
      </w:tr>
      <w:tr>
        <w:trPr>
          <w:cnfStyle w:evenHBand="true" w:oddHBand="false" w:firstRow="false"/>
        </w:trPr>
        <w:tc>
          <w:tcPr>
            <w:cnfStyle w:evenVBand="false" w:oddVBand="true" w:firstColumn="false"/>
            <w:tcW w:w="33.333333%" w:type="pct"/>
          </w:tcPr>
          <w:p>
            <w:pPr>
              <w:ind w:leftChars="0" w:left="0" w:right="0"/>
            </w:pPr>
            <w:r>
              <w:t>XETU</w:t>
            </w:r>
          </w:p>
        </w:tc>
        <w:tc>
          <w:tcPr>
            <w:cnfStyle w:evenVBand="true" w:oddVBand="false" w:firstColumn="false"/>
            <w:tcW w:w="33.333333%" w:type="pct"/>
          </w:tcPr>
          <w:p>
            <w:pPr>
              <w:ind w:leftChars="0" w:left="0" w:right="0"/>
            </w:pPr>
            <w:r>
              <w:t>XETU</w:t>
            </w:r>
          </w:p>
        </w:tc>
        <w:tc>
          <w:tcPr>
            <w:cnfStyle w:evenVBand="false" w:oddVBand="true" w:firstColumn="false"/>
            <w:tcW w:w="33.333333%" w:type="pct"/>
          </w:tcPr>
          <w:p>
            <w:pPr>
              <w:ind w:leftChars="0" w:left="0" w:right="0"/>
            </w:pPr>
            <w:r>
              <w:t>XETRA - REGULIERTERMARKT - OFF-BOOK</w:t>
            </w:r>
          </w:p>
        </w:tc>
      </w:tr>
      <w:tr>
        <w:trPr>
          <w:cnfStyle w:evenHBand="false" w:oddHBand="true" w:firstRow="false"/>
        </w:trPr>
        <w:tc>
          <w:tcPr>
            <w:cnfStyle w:evenVBand="false" w:oddVBand="true" w:firstColumn="false"/>
            <w:tcW w:w="33.333333%" w:type="pct"/>
          </w:tcPr>
          <w:p>
            <w:pPr>
              <w:ind w:leftChars="0" w:left="0" w:right="0"/>
            </w:pPr>
            <w:r>
              <w:t>XETV</w:t>
            </w:r>
          </w:p>
        </w:tc>
        <w:tc>
          <w:tcPr>
            <w:cnfStyle w:evenVBand="true" w:oddVBand="false" w:firstColumn="false"/>
            <w:tcW w:w="33.333333%" w:type="pct"/>
          </w:tcPr>
          <w:p>
            <w:pPr>
              <w:ind w:leftChars="0" w:left="0" w:right="0"/>
            </w:pPr>
            <w:r>
              <w:t>XETV</w:t>
            </w:r>
          </w:p>
        </w:tc>
        <w:tc>
          <w:tcPr>
            <w:cnfStyle w:evenVBand="false" w:oddVBand="true" w:firstColumn="false"/>
            <w:tcW w:w="33.333333%" w:type="pct"/>
          </w:tcPr>
          <w:p>
            <w:pPr>
              <w:ind w:leftChars="0" w:left="0" w:right="0"/>
            </w:pPr>
            <w:r>
              <w:t>XETRA - FREIVERKEHR - OFF-BOOK</w:t>
            </w:r>
          </w:p>
        </w:tc>
      </w:tr>
      <w:tr>
        <w:trPr>
          <w:cnfStyle w:evenHBand="true" w:oddHBand="false" w:firstRow="false"/>
        </w:trPr>
        <w:tc>
          <w:tcPr>
            <w:cnfStyle w:evenVBand="false" w:oddVBand="true" w:firstColumn="false"/>
            <w:tcW w:w="33.333333%" w:type="pct"/>
          </w:tcPr>
          <w:p>
            <w:pPr>
              <w:ind w:leftChars="0" w:left="0" w:right="0"/>
            </w:pPr>
            <w:r>
              <w:t>XETW</w:t>
            </w:r>
          </w:p>
        </w:tc>
        <w:tc>
          <w:tcPr>
            <w:cnfStyle w:evenVBand="true" w:oddVBand="false" w:firstColumn="false"/>
            <w:tcW w:w="33.333333%" w:type="pct"/>
          </w:tcPr>
          <w:p>
            <w:pPr>
              <w:ind w:leftChars="0" w:left="0" w:right="0"/>
            </w:pPr>
            <w:r>
              <w:t>XETW</w:t>
            </w:r>
          </w:p>
        </w:tc>
        <w:tc>
          <w:tcPr>
            <w:cnfStyle w:evenVBand="false" w:oddVBand="true" w:firstColumn="false"/>
            <w:tcW w:w="33.333333%" w:type="pct"/>
          </w:tcPr>
          <w:p>
            <w:pPr>
              <w:ind w:leftChars="0" w:left="0" w:right="0"/>
            </w:pPr>
            <w:r>
              <w:t>XETRA - SCALE - OFF-BOOK</w:t>
            </w:r>
          </w:p>
        </w:tc>
      </w:tr>
      <w:tr>
        <w:trPr>
          <w:cnfStyle w:evenHBand="false" w:oddHBand="true" w:firstRow="false"/>
        </w:trPr>
        <w:tc>
          <w:tcPr>
            <w:cnfStyle w:evenVBand="false" w:oddVBand="true" w:firstColumn="false"/>
            <w:tcW w:w="33.333333%" w:type="pct"/>
          </w:tcPr>
          <w:p>
            <w:pPr>
              <w:ind w:leftChars="0" w:left="0" w:right="0"/>
            </w:pPr>
            <w:r>
              <w:t>XETX</w:t>
            </w:r>
          </w:p>
        </w:tc>
        <w:tc>
          <w:tcPr>
            <w:cnfStyle w:evenVBand="true" w:oddVBand="false" w:firstColumn="false"/>
            <w:tcW w:w="33.333333%" w:type="pct"/>
          </w:tcPr>
          <w:p>
            <w:pPr>
              <w:ind w:leftChars="0" w:left="0" w:right="0"/>
            </w:pPr>
            <w:r>
              <w:t>XETX</w:t>
            </w:r>
          </w:p>
        </w:tc>
        <w:tc>
          <w:tcPr>
            <w:cnfStyle w:evenVBand="false" w:oddVBand="true" w:firstColumn="false"/>
            <w:tcW w:w="33.333333%" w:type="pct"/>
          </w:tcPr>
          <w:p>
            <w:pPr>
              <w:ind w:leftChars="0" w:left="0" w:right="0"/>
            </w:pPr>
            <w:r>
              <w:t>XETRA - NON-FINANCIAL INSTRUMENTS - OFF-BOOK</w:t>
            </w:r>
          </w:p>
        </w:tc>
      </w:tr>
      <w:tr>
        <w:trPr>
          <w:cnfStyle w:evenHBand="true" w:oddHBand="false" w:firstRow="false"/>
        </w:trPr>
        <w:tc>
          <w:tcPr>
            <w:cnfStyle w:evenVBand="false" w:oddVBand="true" w:firstColumn="false"/>
            <w:tcW w:w="33.333333%" w:type="pct"/>
          </w:tcPr>
          <w:p>
            <w:pPr>
              <w:ind w:leftChars="0" w:left="0" w:right="0"/>
            </w:pPr>
            <w:r>
              <w:t>XEUB</w:t>
            </w:r>
          </w:p>
        </w:tc>
        <w:tc>
          <w:tcPr>
            <w:cnfStyle w:evenVBand="true" w:oddVBand="false" w:firstColumn="false"/>
            <w:tcW w:w="33.333333%" w:type="pct"/>
          </w:tcPr>
          <w:p>
            <w:pPr>
              <w:ind w:leftChars="0" w:left="0" w:right="0"/>
            </w:pPr>
            <w:r>
              <w:t>XEUB</w:t>
            </w:r>
          </w:p>
        </w:tc>
        <w:tc>
          <w:tcPr>
            <w:cnfStyle w:evenVBand="false" w:oddVBand="true" w:firstColumn="false"/>
            <w:tcW w:w="33.333333%" w:type="pct"/>
          </w:tcPr>
          <w:p>
            <w:pPr>
              <w:ind w:leftChars="0" w:left="0" w:right="0"/>
            </w:pPr>
            <w:r>
              <w:t>EUREX BONDS</w:t>
            </w:r>
          </w:p>
        </w:tc>
      </w:tr>
      <w:tr>
        <w:trPr>
          <w:cnfStyle w:evenHBand="false" w:oddHBand="true" w:firstRow="false"/>
        </w:trPr>
        <w:tc>
          <w:tcPr>
            <w:cnfStyle w:evenVBand="false" w:oddVBand="true" w:firstColumn="false"/>
            <w:tcW w:w="33.333333%" w:type="pct"/>
          </w:tcPr>
          <w:p>
            <w:pPr>
              <w:ind w:leftChars="0" w:left="0" w:right="0"/>
            </w:pPr>
            <w:r>
              <w:t>XEUC</w:t>
            </w:r>
          </w:p>
        </w:tc>
        <w:tc>
          <w:tcPr>
            <w:cnfStyle w:evenVBand="true" w:oddVBand="false" w:firstColumn="false"/>
            <w:tcW w:w="33.333333%" w:type="pct"/>
          </w:tcPr>
          <w:p>
            <w:pPr>
              <w:ind w:leftChars="0" w:left="0" w:right="0"/>
            </w:pPr>
            <w:r>
              <w:t>XEUC</w:t>
            </w:r>
          </w:p>
        </w:tc>
        <w:tc>
          <w:tcPr>
            <w:cnfStyle w:evenVBand="false" w:oddVBand="true" w:firstColumn="false"/>
            <w:tcW w:w="33.333333%" w:type="pct"/>
          </w:tcPr>
          <w:p>
            <w:pPr>
              <w:ind w:leftChars="0" w:left="0" w:right="0"/>
            </w:pPr>
            <w:r>
              <w:t>EURONEXT COM, COMMODITIES FUTURES AND OPTIONS</w:t>
            </w:r>
          </w:p>
        </w:tc>
      </w:tr>
      <w:tr>
        <w:trPr>
          <w:cnfStyle w:evenHBand="true" w:oddHBand="false" w:firstRow="false"/>
        </w:trPr>
        <w:tc>
          <w:tcPr>
            <w:cnfStyle w:evenVBand="false" w:oddVBand="true" w:firstColumn="false"/>
            <w:tcW w:w="33.333333%" w:type="pct"/>
          </w:tcPr>
          <w:p>
            <w:pPr>
              <w:ind w:leftChars="0" w:left="0" w:right="0"/>
            </w:pPr>
            <w:r>
              <w:t>XEUE</w:t>
            </w:r>
          </w:p>
        </w:tc>
        <w:tc>
          <w:tcPr>
            <w:cnfStyle w:evenVBand="true" w:oddVBand="false" w:firstColumn="false"/>
            <w:tcW w:w="33.333333%" w:type="pct"/>
          </w:tcPr>
          <w:p>
            <w:pPr>
              <w:ind w:leftChars="0" w:left="0" w:right="0"/>
            </w:pPr>
            <w:r>
              <w:t>XEUE</w:t>
            </w:r>
          </w:p>
        </w:tc>
        <w:tc>
          <w:tcPr>
            <w:cnfStyle w:evenVBand="false" w:oddVBand="true" w:firstColumn="false"/>
            <w:tcW w:w="33.333333%" w:type="pct"/>
          </w:tcPr>
          <w:p>
            <w:pPr>
              <w:ind w:leftChars="0" w:left="0" w:right="0"/>
            </w:pPr>
            <w:r>
              <w:t>EURONEXT EQF, EQUITIES AND INDICES DERIVATIVES</w:t>
            </w:r>
          </w:p>
        </w:tc>
      </w:tr>
      <w:tr>
        <w:trPr>
          <w:cnfStyle w:evenHBand="false" w:oddHBand="true" w:firstRow="false"/>
        </w:trPr>
        <w:tc>
          <w:tcPr>
            <w:cnfStyle w:evenVBand="false" w:oddVBand="true" w:firstColumn="false"/>
            <w:tcW w:w="33.333333%" w:type="pct"/>
          </w:tcPr>
          <w:p>
            <w:pPr>
              <w:ind w:leftChars="0" w:left="0" w:right="0"/>
            </w:pPr>
            <w:r>
              <w:t>XEUI</w:t>
            </w:r>
          </w:p>
        </w:tc>
        <w:tc>
          <w:tcPr>
            <w:cnfStyle w:evenVBand="true" w:oddVBand="false" w:firstColumn="false"/>
            <w:tcW w:w="33.333333%" w:type="pct"/>
          </w:tcPr>
          <w:p>
            <w:pPr>
              <w:ind w:leftChars="0" w:left="0" w:right="0"/>
            </w:pPr>
            <w:r>
              <w:t>XEUI</w:t>
            </w:r>
          </w:p>
        </w:tc>
        <w:tc>
          <w:tcPr>
            <w:cnfStyle w:evenVBand="false" w:oddVBand="true" w:firstColumn="false"/>
            <w:tcW w:w="33.333333%" w:type="pct"/>
          </w:tcPr>
          <w:p>
            <w:pPr>
              <w:ind w:leftChars="0" w:left="0" w:right="0"/>
            </w:pPr>
            <w:r>
              <w:t>EURONEXT IRF, INTEREST RATE FUTURE AND OPTIONS</w:t>
            </w:r>
          </w:p>
        </w:tc>
      </w:tr>
      <w:tr>
        <w:trPr>
          <w:cnfStyle w:evenHBand="true" w:oddHBand="false" w:firstRow="false"/>
        </w:trPr>
        <w:tc>
          <w:tcPr>
            <w:cnfStyle w:evenVBand="false" w:oddVBand="true" w:firstColumn="false"/>
            <w:tcW w:w="33.333333%" w:type="pct"/>
          </w:tcPr>
          <w:p>
            <w:pPr>
              <w:ind w:leftChars="0" w:left="0" w:right="0"/>
            </w:pPr>
            <w:r>
              <w:t>XEUM</w:t>
            </w:r>
          </w:p>
        </w:tc>
        <w:tc>
          <w:tcPr>
            <w:cnfStyle w:evenVBand="true" w:oddVBand="false" w:firstColumn="false"/>
            <w:tcW w:w="33.333333%" w:type="pct"/>
          </w:tcPr>
          <w:p>
            <w:pPr>
              <w:ind w:leftChars="0" w:left="0" w:right="0"/>
            </w:pPr>
            <w:r>
              <w:t>XEUM</w:t>
            </w:r>
          </w:p>
        </w:tc>
        <w:tc>
          <w:tcPr>
            <w:cnfStyle w:evenVBand="false" w:oddVBand="true" w:firstColumn="false"/>
            <w:tcW w:w="33.333333%" w:type="pct"/>
          </w:tcPr>
          <w:p>
            <w:pPr>
              <w:ind w:leftChars="0" w:left="0" w:right="0"/>
            </w:pPr>
            <w:r>
              <w:t>EUREX REPO SECLEND MARKET</w:t>
            </w:r>
          </w:p>
        </w:tc>
      </w:tr>
      <w:tr>
        <w:trPr>
          <w:cnfStyle w:evenHBand="false" w:oddHBand="true" w:firstRow="false"/>
        </w:trPr>
        <w:tc>
          <w:tcPr>
            <w:cnfStyle w:evenVBand="false" w:oddVBand="true" w:firstColumn="false"/>
            <w:tcW w:w="33.333333%" w:type="pct"/>
          </w:tcPr>
          <w:p>
            <w:pPr>
              <w:ind w:leftChars="0" w:left="0" w:right="0"/>
            </w:pPr>
            <w:r>
              <w:t>XEUP</w:t>
            </w:r>
          </w:p>
        </w:tc>
        <w:tc>
          <w:tcPr>
            <w:cnfStyle w:evenVBand="true" w:oddVBand="false" w:firstColumn="false"/>
            <w:tcW w:w="33.333333%" w:type="pct"/>
          </w:tcPr>
          <w:p>
            <w:pPr>
              <w:ind w:leftChars="0" w:left="0" w:right="0"/>
            </w:pPr>
            <w:r>
              <w:t>XEUP</w:t>
            </w:r>
          </w:p>
        </w:tc>
        <w:tc>
          <w:tcPr>
            <w:cnfStyle w:evenVBand="false" w:oddVBand="true" w:firstColumn="false"/>
            <w:tcW w:w="33.333333%" w:type="pct"/>
          </w:tcPr>
          <w:p>
            <w:pPr>
              <w:ind w:leftChars="0" w:left="0" w:right="0"/>
            </w:pPr>
            <w:r>
              <w:t>EUREX REPO GMBH</w:t>
            </w:r>
          </w:p>
        </w:tc>
      </w:tr>
      <w:tr>
        <w:trPr>
          <w:cnfStyle w:evenHBand="true" w:oddHBand="false" w:firstRow="false"/>
        </w:trPr>
        <w:tc>
          <w:tcPr>
            <w:cnfStyle w:evenVBand="false" w:oddVBand="true" w:firstColumn="false"/>
            <w:tcW w:w="33.333333%" w:type="pct"/>
          </w:tcPr>
          <w:p>
            <w:pPr>
              <w:ind w:leftChars="0" w:left="0" w:right="0"/>
            </w:pPr>
            <w:r>
              <w:t>XEUR</w:t>
            </w:r>
          </w:p>
        </w:tc>
        <w:tc>
          <w:tcPr>
            <w:cnfStyle w:evenVBand="true" w:oddVBand="false" w:firstColumn="false"/>
            <w:tcW w:w="33.333333%" w:type="pct"/>
          </w:tcPr>
          <w:p>
            <w:pPr>
              <w:ind w:leftChars="0" w:left="0" w:right="0"/>
            </w:pPr>
            <w:r>
              <w:t>XEUR</w:t>
            </w:r>
          </w:p>
        </w:tc>
        <w:tc>
          <w:tcPr>
            <w:cnfStyle w:evenVBand="false" w:oddVBand="true" w:firstColumn="false"/>
            <w:tcW w:w="33.333333%" w:type="pct"/>
          </w:tcPr>
          <w:p>
            <w:pPr>
              <w:ind w:leftChars="0" w:left="0" w:right="0"/>
            </w:pPr>
            <w:r>
              <w:t>EUREX DEUTSCHLAND</w:t>
            </w:r>
          </w:p>
        </w:tc>
      </w:tr>
      <w:tr>
        <w:trPr>
          <w:cnfStyle w:evenHBand="false" w:oddHBand="true" w:firstRow="false"/>
        </w:trPr>
        <w:tc>
          <w:tcPr>
            <w:cnfStyle w:evenVBand="false" w:oddVBand="true" w:firstColumn="false"/>
            <w:tcW w:w="33.333333%" w:type="pct"/>
          </w:tcPr>
          <w:p>
            <w:pPr>
              <w:ind w:leftChars="0" w:left="0" w:right="0"/>
            </w:pPr>
            <w:r>
              <w:t>XEUS</w:t>
            </w:r>
          </w:p>
        </w:tc>
        <w:tc>
          <w:tcPr>
            <w:cnfStyle w:evenVBand="true" w:oddVBand="false" w:firstColumn="false"/>
            <w:tcW w:w="33.333333%" w:type="pct"/>
          </w:tcPr>
          <w:p>
            <w:pPr>
              <w:ind w:leftChars="0" w:left="0" w:right="0"/>
            </w:pPr>
            <w:r>
              <w:t>XEUS</w:t>
            </w:r>
          </w:p>
        </w:tc>
        <w:tc>
          <w:tcPr>
            <w:cnfStyle w:evenVBand="false" w:oddVBand="true" w:firstColumn="false"/>
            <w:tcW w:w="33.333333%" w:type="pct"/>
          </w:tcPr>
          <w:p>
            <w:pPr>
              <w:ind w:leftChars="0" w:left="0" w:right="0"/>
            </w:pPr>
            <w:r>
              <w:t>US FUTURES EXCHANGE</w:t>
            </w:r>
          </w:p>
        </w:tc>
      </w:tr>
      <w:tr>
        <w:trPr>
          <w:cnfStyle w:evenHBand="true" w:oddHBand="false" w:firstRow="false"/>
        </w:trPr>
        <w:tc>
          <w:tcPr>
            <w:cnfStyle w:evenVBand="false" w:oddVBand="true" w:firstColumn="false"/>
            <w:tcW w:w="33.333333%" w:type="pct"/>
          </w:tcPr>
          <w:p>
            <w:pPr>
              <w:ind w:leftChars="0" w:left="0" w:right="0"/>
            </w:pPr>
            <w:r>
              <w:t>XEYE</w:t>
            </w:r>
          </w:p>
        </w:tc>
        <w:tc>
          <w:tcPr>
            <w:cnfStyle w:evenVBand="true" w:oddVBand="false" w:firstColumn="false"/>
            <w:tcW w:w="33.333333%" w:type="pct"/>
          </w:tcPr>
          <w:p>
            <w:pPr>
              <w:ind w:leftChars="0" w:left="0" w:right="0"/>
            </w:pPr>
            <w:r>
              <w:t>XEYE</w:t>
            </w:r>
          </w:p>
        </w:tc>
        <w:tc>
          <w:tcPr>
            <w:cnfStyle w:evenVBand="false" w:oddVBand="true" w:firstColumn="false"/>
            <w:tcW w:w="33.333333%" w:type="pct"/>
          </w:tcPr>
          <w:p>
            <w:pPr>
              <w:ind w:leftChars="0" w:left="0" w:right="0"/>
            </w:pPr>
            <w:r>
              <w:t>IRISH STOCK EXCHANGE  - GLOBAL EXCHANGE MARKET</w:t>
            </w:r>
          </w:p>
        </w:tc>
      </w:tr>
      <w:tr>
        <w:trPr>
          <w:cnfStyle w:evenHBand="false" w:oddHBand="true" w:firstRow="false"/>
        </w:trPr>
        <w:tc>
          <w:tcPr>
            <w:cnfStyle w:evenVBand="false" w:oddVBand="true" w:firstColumn="false"/>
            <w:tcW w:w="33.333333%" w:type="pct"/>
          </w:tcPr>
          <w:p>
            <w:pPr>
              <w:ind w:leftChars="0" w:left="0" w:right="0"/>
            </w:pPr>
            <w:r>
              <w:t>XFCI</w:t>
            </w:r>
          </w:p>
        </w:tc>
        <w:tc>
          <w:tcPr>
            <w:cnfStyle w:evenVBand="true" w:oddVBand="false" w:firstColumn="false"/>
            <w:tcW w:w="33.333333%" w:type="pct"/>
          </w:tcPr>
          <w:p>
            <w:pPr>
              <w:ind w:leftChars="0" w:left="0" w:right="0"/>
            </w:pPr>
            <w:r>
              <w:t>XFCI</w:t>
            </w:r>
          </w:p>
        </w:tc>
        <w:tc>
          <w:tcPr>
            <w:cnfStyle w:evenVBand="false" w:oddVBand="true" w:firstColumn="false"/>
            <w:tcW w:w="33.333333%" w:type="pct"/>
          </w:tcPr>
          <w:p>
            <w:pPr>
              <w:ind w:leftChars="0" w:left="0" w:right="0"/>
            </w:pPr>
            <w:r>
              <w:t>FINANCIALCONTENT - INDEXES</w:t>
            </w:r>
          </w:p>
        </w:tc>
      </w:tr>
      <w:tr>
        <w:trPr>
          <w:cnfStyle w:evenHBand="true" w:oddHBand="false" w:firstRow="false"/>
        </w:trPr>
        <w:tc>
          <w:tcPr>
            <w:cnfStyle w:evenVBand="false" w:oddVBand="true" w:firstColumn="false"/>
            <w:tcW w:w="33.333333%" w:type="pct"/>
          </w:tcPr>
          <w:p>
            <w:pPr>
              <w:ind w:leftChars="0" w:left="0" w:right="0"/>
            </w:pPr>
            <w:r>
              <w:t>XFCM</w:t>
            </w:r>
          </w:p>
        </w:tc>
        <w:tc>
          <w:tcPr>
            <w:cnfStyle w:evenVBand="true" w:oddVBand="false" w:firstColumn="false"/>
            <w:tcW w:w="33.333333%" w:type="pct"/>
          </w:tcPr>
          <w:p>
            <w:pPr>
              <w:ind w:leftChars="0" w:left="0" w:right="0"/>
            </w:pPr>
            <w:r>
              <w:t>XFCM</w:t>
            </w:r>
          </w:p>
        </w:tc>
        <w:tc>
          <w:tcPr>
            <w:cnfStyle w:evenVBand="false" w:oddVBand="true" w:firstColumn="false"/>
            <w:tcW w:w="33.333333%" w:type="pct"/>
          </w:tcPr>
          <w:p>
            <w:pPr>
              <w:ind w:leftChars="0" w:left="0" w:right="0"/>
            </w:pPr>
            <w:r>
              <w:t>MERCADO DE FUTUROS Y OPCIONES SOBRE CITRICOS</w:t>
            </w:r>
          </w:p>
        </w:tc>
      </w:tr>
      <w:tr>
        <w:trPr>
          <w:cnfStyle w:evenHBand="false" w:oddHBand="true" w:firstRow="false"/>
        </w:trPr>
        <w:tc>
          <w:tcPr>
            <w:cnfStyle w:evenVBand="false" w:oddVBand="true" w:firstColumn="false"/>
            <w:tcW w:w="33.333333%" w:type="pct"/>
          </w:tcPr>
          <w:p>
            <w:pPr>
              <w:ind w:leftChars="0" w:left="0" w:right="0"/>
            </w:pPr>
            <w:r>
              <w:t>XFDA</w:t>
            </w:r>
          </w:p>
        </w:tc>
        <w:tc>
          <w:tcPr>
            <w:cnfStyle w:evenVBand="true" w:oddVBand="false" w:firstColumn="false"/>
            <w:tcW w:w="33.333333%" w:type="pct"/>
          </w:tcPr>
          <w:p>
            <w:pPr>
              <w:ind w:leftChars="0" w:left="0" w:right="0"/>
            </w:pPr>
            <w:r>
              <w:t>XFDA</w:t>
            </w:r>
          </w:p>
        </w:tc>
        <w:tc>
          <w:tcPr>
            <w:cnfStyle w:evenVBand="false" w:oddVBand="true" w:firstColumn="false"/>
            <w:tcW w:w="33.333333%" w:type="pct"/>
          </w:tcPr>
          <w:p>
            <w:pPr>
              <w:ind w:leftChars="0" w:left="0" w:right="0"/>
            </w:pPr>
            <w:r>
              <w:t>FINANCIALCONTENT - DIGITAL ASSET TRADE REPORTING FACILITY</w:t>
            </w:r>
          </w:p>
        </w:tc>
      </w:tr>
      <w:tr>
        <w:trPr>
          <w:cnfStyle w:evenHBand="true" w:oddHBand="false" w:firstRow="false"/>
        </w:trPr>
        <w:tc>
          <w:tcPr>
            <w:cnfStyle w:evenVBand="false" w:oddVBand="true" w:firstColumn="false"/>
            <w:tcW w:w="33.333333%" w:type="pct"/>
          </w:tcPr>
          <w:p>
            <w:pPr>
              <w:ind w:leftChars="0" w:left="0" w:right="0"/>
            </w:pPr>
            <w:r>
              <w:t>XFEX</w:t>
            </w:r>
          </w:p>
        </w:tc>
        <w:tc>
          <w:tcPr>
            <w:cnfStyle w:evenVBand="true" w:oddVBand="false" w:firstColumn="false"/>
            <w:tcW w:w="33.333333%" w:type="pct"/>
          </w:tcPr>
          <w:p>
            <w:pPr>
              <w:ind w:leftChars="0" w:left="0" w:right="0"/>
            </w:pPr>
            <w:r>
              <w:t>XFEX</w:t>
            </w:r>
          </w:p>
        </w:tc>
        <w:tc>
          <w:tcPr>
            <w:cnfStyle w:evenVBand="false" w:oddVBand="true" w:firstColumn="false"/>
            <w:tcW w:w="33.333333%" w:type="pct"/>
          </w:tcPr>
          <w:p>
            <w:pPr>
              <w:ind w:leftChars="0" w:left="0" w:right="0"/>
            </w:pPr>
            <w:r>
              <w:t>FEX GLOBAL</w:t>
            </w:r>
          </w:p>
        </w:tc>
      </w:tr>
      <w:tr>
        <w:trPr>
          <w:cnfStyle w:evenHBand="false" w:oddHBand="true" w:firstRow="false"/>
        </w:trPr>
        <w:tc>
          <w:tcPr>
            <w:cnfStyle w:evenVBand="false" w:oddVBand="true" w:firstColumn="false"/>
            <w:tcW w:w="33.333333%" w:type="pct"/>
          </w:tcPr>
          <w:p>
            <w:pPr>
              <w:ind w:leftChars="0" w:left="0" w:right="0"/>
            </w:pPr>
            <w:r>
              <w:t>XFFE</w:t>
            </w:r>
          </w:p>
        </w:tc>
        <w:tc>
          <w:tcPr>
            <w:cnfStyle w:evenVBand="true" w:oddVBand="false" w:firstColumn="false"/>
            <w:tcW w:w="33.333333%" w:type="pct"/>
          </w:tcPr>
          <w:p>
            <w:pPr>
              <w:ind w:leftChars="0" w:left="0" w:right="0"/>
            </w:pPr>
            <w:r>
              <w:t>XFFE</w:t>
            </w:r>
          </w:p>
        </w:tc>
        <w:tc>
          <w:tcPr>
            <w:cnfStyle w:evenVBand="false" w:oddVBand="true" w:firstColumn="false"/>
            <w:tcW w:w="33.333333%" w:type="pct"/>
          </w:tcPr>
          <w:p>
            <w:pPr>
              <w:ind w:leftChars="0" w:left="0" w:right="0"/>
            </w:pPr>
            <w:r>
              <w:t>FUKUOKA FUTURES EXCHANGE</w:t>
            </w:r>
          </w:p>
        </w:tc>
      </w:tr>
      <w:tr>
        <w:trPr>
          <w:cnfStyle w:evenHBand="true" w:oddHBand="false" w:firstRow="false"/>
        </w:trPr>
        <w:tc>
          <w:tcPr>
            <w:cnfStyle w:evenVBand="false" w:oddVBand="true" w:firstColumn="false"/>
            <w:tcW w:w="33.333333%" w:type="pct"/>
          </w:tcPr>
          <w:p>
            <w:pPr>
              <w:ind w:leftChars="0" w:left="0" w:right="0"/>
            </w:pPr>
            <w:r>
              <w:t>XFKA</w:t>
            </w:r>
          </w:p>
        </w:tc>
        <w:tc>
          <w:tcPr>
            <w:cnfStyle w:evenVBand="true" w:oddVBand="false" w:firstColumn="false"/>
            <w:tcW w:w="33.333333%" w:type="pct"/>
          </w:tcPr>
          <w:p>
            <w:pPr>
              <w:ind w:leftChars="0" w:left="0" w:right="0"/>
            </w:pPr>
            <w:r>
              <w:t>XFKA</w:t>
            </w:r>
          </w:p>
        </w:tc>
        <w:tc>
          <w:tcPr>
            <w:cnfStyle w:evenVBand="false" w:oddVBand="true" w:firstColumn="false"/>
            <w:tcW w:w="33.333333%" w:type="pct"/>
          </w:tcPr>
          <w:p>
            <w:pPr>
              <w:ind w:leftChars="0" w:left="0" w:right="0"/>
            </w:pPr>
            <w:r>
              <w:t>FUKUOKA STOCK EXCHANGE</w:t>
            </w:r>
          </w:p>
        </w:tc>
      </w:tr>
      <w:tr>
        <w:trPr>
          <w:cnfStyle w:evenHBand="false" w:oddHBand="true" w:firstRow="false"/>
        </w:trPr>
        <w:tc>
          <w:tcPr>
            <w:cnfStyle w:evenVBand="false" w:oddVBand="true" w:firstColumn="false"/>
            <w:tcW w:w="33.333333%" w:type="pct"/>
          </w:tcPr>
          <w:p>
            <w:pPr>
              <w:ind w:leftChars="0" w:left="0" w:right="0"/>
            </w:pPr>
            <w:r>
              <w:t>XFMN</w:t>
            </w:r>
          </w:p>
        </w:tc>
        <w:tc>
          <w:tcPr>
            <w:cnfStyle w:evenVBand="true" w:oddVBand="false" w:firstColumn="false"/>
            <w:tcW w:w="33.333333%" w:type="pct"/>
          </w:tcPr>
          <w:p>
            <w:pPr>
              <w:ind w:leftChars="0" w:left="0" w:right="0"/>
            </w:pPr>
            <w:r>
              <w:t>XFMN</w:t>
            </w:r>
          </w:p>
        </w:tc>
        <w:tc>
          <w:tcPr>
            <w:cnfStyle w:evenVBand="false" w:oddVBand="true" w:firstColumn="false"/>
            <w:tcW w:w="33.333333%" w:type="pct"/>
          </w:tcPr>
          <w:p>
            <w:pPr>
              <w:ind w:leftChars="0" w:left="0" w:right="0"/>
            </w:pPr>
            <w:r>
              <w:t>SOCIETE DU NOUVEAU MARCHE</w:t>
            </w:r>
          </w:p>
        </w:tc>
      </w:tr>
      <w:tr>
        <w:trPr>
          <w:cnfStyle w:evenHBand="true" w:oddHBand="false" w:firstRow="false"/>
        </w:trPr>
        <w:tc>
          <w:tcPr>
            <w:cnfStyle w:evenVBand="false" w:oddVBand="true" w:firstColumn="false"/>
            <w:tcW w:w="33.333333%" w:type="pct"/>
          </w:tcPr>
          <w:p>
            <w:pPr>
              <w:ind w:leftChars="0" w:left="0" w:right="0"/>
            </w:pPr>
            <w:r>
              <w:t>XFND</w:t>
            </w:r>
          </w:p>
        </w:tc>
        <w:tc>
          <w:tcPr>
            <w:cnfStyle w:evenVBand="true" w:oddVBand="false" w:firstColumn="false"/>
            <w:tcW w:w="33.333333%" w:type="pct"/>
          </w:tcPr>
          <w:p>
            <w:pPr>
              <w:ind w:leftChars="0" w:left="0" w:right="0"/>
            </w:pPr>
            <w:r>
              <w:t>XFND</w:t>
            </w:r>
          </w:p>
        </w:tc>
        <w:tc>
          <w:tcPr>
            <w:cnfStyle w:evenVBand="false" w:oddVBand="true" w:firstColumn="false"/>
            <w:tcW w:w="33.333333%" w:type="pct"/>
          </w:tcPr>
          <w:p>
            <w:pPr>
              <w:ind w:leftChars="0" w:left="0" w:right="0"/>
            </w:pPr>
            <w:r>
              <w:t>FIRST NORTH DENMARK</w:t>
            </w:r>
          </w:p>
        </w:tc>
      </w:tr>
      <w:tr>
        <w:trPr>
          <w:cnfStyle w:evenHBand="false" w:oddHBand="true" w:firstRow="false"/>
        </w:trPr>
        <w:tc>
          <w:tcPr>
            <w:cnfStyle w:evenVBand="false" w:oddVBand="true" w:firstColumn="false"/>
            <w:tcW w:w="33.333333%" w:type="pct"/>
          </w:tcPr>
          <w:p>
            <w:pPr>
              <w:ind w:leftChars="0" w:left="0" w:right="0"/>
            </w:pPr>
            <w:r>
              <w:t>XFNO</w:t>
            </w:r>
          </w:p>
        </w:tc>
        <w:tc>
          <w:tcPr>
            <w:cnfStyle w:evenVBand="true" w:oddVBand="false" w:firstColumn="false"/>
            <w:tcW w:w="33.333333%" w:type="pct"/>
          </w:tcPr>
          <w:p>
            <w:pPr>
              <w:ind w:leftChars="0" w:left="0" w:right="0"/>
            </w:pPr>
            <w:r>
              <w:t>XFNO</w:t>
            </w:r>
          </w:p>
        </w:tc>
        <w:tc>
          <w:tcPr>
            <w:cnfStyle w:evenVBand="false" w:oddVBand="true" w:firstColumn="false"/>
            <w:tcW w:w="33.333333%" w:type="pct"/>
          </w:tcPr>
          <w:p>
            <w:pPr>
              <w:ind w:leftChars="0" w:left="0" w:right="0"/>
            </w:pPr>
            <w:r>
              <w:t>BORSA ISTANBUL - FUTURES AND OPTIONS MARKET</w:t>
            </w:r>
          </w:p>
        </w:tc>
      </w:tr>
      <w:tr>
        <w:trPr>
          <w:cnfStyle w:evenHBand="true" w:oddHBand="false" w:firstRow="false"/>
        </w:trPr>
        <w:tc>
          <w:tcPr>
            <w:cnfStyle w:evenVBand="false" w:oddVBand="true" w:firstColumn="false"/>
            <w:tcW w:w="33.333333%" w:type="pct"/>
          </w:tcPr>
          <w:p>
            <w:pPr>
              <w:ind w:leftChars="0" w:left="0" w:right="0"/>
            </w:pPr>
            <w:r>
              <w:t>XFNX</w:t>
            </w:r>
          </w:p>
        </w:tc>
        <w:tc>
          <w:tcPr>
            <w:cnfStyle w:evenVBand="true" w:oddVBand="false" w:firstColumn="false"/>
            <w:tcW w:w="33.333333%" w:type="pct"/>
          </w:tcPr>
          <w:p>
            <w:pPr>
              <w:ind w:leftChars="0" w:left="0" w:right="0"/>
            </w:pPr>
            <w:r>
              <w:t>XFNX</w:t>
            </w:r>
          </w:p>
        </w:tc>
        <w:tc>
          <w:tcPr>
            <w:cnfStyle w:evenVBand="false" w:oddVBand="true" w:firstColumn="false"/>
            <w:tcW w:w="33.333333%" w:type="pct"/>
          </w:tcPr>
          <w:p>
            <w:pPr>
              <w:ind w:leftChars="0" w:left="0" w:right="0"/>
            </w:pPr>
            <w:r>
              <w:t>FINEX (NEW YORK AND DUBLIN)</w:t>
            </w:r>
          </w:p>
        </w:tc>
      </w:tr>
      <w:tr>
        <w:trPr>
          <w:cnfStyle w:evenHBand="false" w:oddHBand="true" w:firstRow="false"/>
        </w:trPr>
        <w:tc>
          <w:tcPr>
            <w:cnfStyle w:evenVBand="false" w:oddVBand="true" w:firstColumn="false"/>
            <w:tcW w:w="33.333333%" w:type="pct"/>
          </w:tcPr>
          <w:p>
            <w:pPr>
              <w:ind w:leftChars="0" w:left="0" w:right="0"/>
            </w:pPr>
            <w:r>
              <w:t>XFOM</w:t>
            </w:r>
          </w:p>
        </w:tc>
        <w:tc>
          <w:tcPr>
            <w:cnfStyle w:evenVBand="true" w:oddVBand="false" w:firstColumn="false"/>
            <w:tcW w:w="33.333333%" w:type="pct"/>
          </w:tcPr>
          <w:p>
            <w:pPr>
              <w:ind w:leftChars="0" w:left="0" w:right="0"/>
            </w:pPr>
            <w:r>
              <w:t>XFOM</w:t>
            </w:r>
          </w:p>
        </w:tc>
        <w:tc>
          <w:tcPr>
            <w:cnfStyle w:evenVBand="false" w:oddVBand="true" w:firstColumn="false"/>
            <w:tcW w:w="33.333333%" w:type="pct"/>
          </w:tcPr>
          <w:p>
            <w:pPr>
              <w:ind w:leftChars="0" w:left="0" w:right="0"/>
            </w:pPr>
            <w:r>
              <w:t>FINNISH OPTIONS MARKET</w:t>
            </w:r>
          </w:p>
        </w:tc>
      </w:tr>
      <w:tr>
        <w:trPr>
          <w:cnfStyle w:evenHBand="true" w:oddHBand="false" w:firstRow="false"/>
        </w:trPr>
        <w:tc>
          <w:tcPr>
            <w:cnfStyle w:evenVBand="false" w:oddVBand="true" w:firstColumn="false"/>
            <w:tcW w:w="33.333333%" w:type="pct"/>
          </w:tcPr>
          <w:p>
            <w:pPr>
              <w:ind w:leftChars="0" w:left="0" w:right="0"/>
            </w:pPr>
            <w:r>
              <w:t>XFRA</w:t>
            </w:r>
          </w:p>
        </w:tc>
        <w:tc>
          <w:tcPr>
            <w:cnfStyle w:evenVBand="true" w:oddVBand="false" w:firstColumn="false"/>
            <w:tcW w:w="33.333333%" w:type="pct"/>
          </w:tcPr>
          <w:p>
            <w:pPr>
              <w:ind w:leftChars="0" w:left="0" w:right="0"/>
            </w:pPr>
            <w:r>
              <w:t>XFRA</w:t>
            </w:r>
          </w:p>
        </w:tc>
        <w:tc>
          <w:tcPr>
            <w:cnfStyle w:evenVBand="false" w:oddVBand="true" w:firstColumn="false"/>
            <w:tcW w:w="33.333333%" w:type="pct"/>
          </w:tcPr>
          <w:p>
            <w:pPr>
              <w:ind w:leftChars="0" w:left="0" w:right="0"/>
            </w:pPr>
            <w:r>
              <w:t>DEUTSCHE BOERSE AG</w:t>
            </w:r>
          </w:p>
        </w:tc>
      </w:tr>
      <w:tr>
        <w:trPr>
          <w:cnfStyle w:evenHBand="false" w:oddHBand="true" w:firstRow="false"/>
        </w:trPr>
        <w:tc>
          <w:tcPr>
            <w:cnfStyle w:evenVBand="false" w:oddVBand="true" w:firstColumn="false"/>
            <w:tcW w:w="33.333333%" w:type="pct"/>
          </w:tcPr>
          <w:p>
            <w:pPr>
              <w:ind w:leftChars="0" w:left="0" w:right="0"/>
            </w:pPr>
            <w:r>
              <w:t>XFTA</w:t>
            </w:r>
          </w:p>
        </w:tc>
        <w:tc>
          <w:tcPr>
            <w:cnfStyle w:evenVBand="true" w:oddVBand="false" w:firstColumn="false"/>
            <w:tcW w:w="33.333333%" w:type="pct"/>
          </w:tcPr>
          <w:p>
            <w:pPr>
              <w:ind w:leftChars="0" w:left="0" w:right="0"/>
            </w:pPr>
            <w:r>
              <w:t>XFTA</w:t>
            </w:r>
          </w:p>
        </w:tc>
        <w:tc>
          <w:tcPr>
            <w:cnfStyle w:evenVBand="false" w:oddVBand="true" w:firstColumn="false"/>
            <w:tcW w:w="33.333333%" w:type="pct"/>
          </w:tcPr>
          <w:p>
            <w:pPr>
              <w:ind w:leftChars="0" w:left="0" w:right="0"/>
            </w:pPr>
            <w:r>
              <w:t>FINANCIELE TERMIJNMARKET AMSTERDAM</w:t>
            </w:r>
          </w:p>
        </w:tc>
      </w:tr>
      <w:tr>
        <w:trPr>
          <w:cnfStyle w:evenHBand="true" w:oddHBand="false" w:firstRow="false"/>
        </w:trPr>
        <w:tc>
          <w:tcPr>
            <w:cnfStyle w:evenVBand="false" w:oddVBand="true" w:firstColumn="false"/>
            <w:tcW w:w="33.333333%" w:type="pct"/>
          </w:tcPr>
          <w:p>
            <w:pPr>
              <w:ind w:leftChars="0" w:left="0" w:right="0"/>
            </w:pPr>
            <w:r>
              <w:t>XFTX</w:t>
            </w:r>
          </w:p>
        </w:tc>
        <w:tc>
          <w:tcPr>
            <w:cnfStyle w:evenVBand="true" w:oddVBand="false" w:firstColumn="false"/>
            <w:tcW w:w="33.333333%" w:type="pct"/>
          </w:tcPr>
          <w:p>
            <w:pPr>
              <w:ind w:leftChars="0" w:left="0" w:right="0"/>
            </w:pPr>
            <w:r>
              <w:t>XFTX</w:t>
            </w:r>
          </w:p>
        </w:tc>
        <w:tc>
          <w:tcPr>
            <w:cnfStyle w:evenVBand="false" w:oddVBand="true" w:firstColumn="false"/>
            <w:tcW w:w="33.333333%" w:type="pct"/>
          </w:tcPr>
          <w:p>
            <w:pPr>
              <w:ind w:leftChars="0" w:left="0" w:right="0"/>
            </w:pPr>
            <w:r>
              <w:t>FTX</w:t>
            </w:r>
          </w:p>
        </w:tc>
      </w:tr>
      <w:tr>
        <w:trPr>
          <w:cnfStyle w:evenHBand="false" w:oddHBand="true" w:firstRow="false"/>
        </w:trPr>
        <w:tc>
          <w:tcPr>
            <w:cnfStyle w:evenVBand="false" w:oddVBand="true" w:firstColumn="false"/>
            <w:tcW w:w="33.333333%" w:type="pct"/>
          </w:tcPr>
          <w:p>
            <w:pPr>
              <w:ind w:leftChars="0" w:left="0" w:right="0"/>
            </w:pPr>
            <w:r>
              <w:t>XGAS</w:t>
            </w:r>
          </w:p>
        </w:tc>
        <w:tc>
          <w:tcPr>
            <w:cnfStyle w:evenVBand="true" w:oddVBand="false" w:firstColumn="false"/>
            <w:tcW w:w="33.333333%" w:type="pct"/>
          </w:tcPr>
          <w:p>
            <w:pPr>
              <w:ind w:leftChars="0" w:left="0" w:right="0"/>
            </w:pPr>
            <w:r>
              <w:t>XGAS</w:t>
            </w:r>
          </w:p>
        </w:tc>
        <w:tc>
          <w:tcPr>
            <w:cnfStyle w:evenVBand="false" w:oddVBand="true" w:firstColumn="false"/>
            <w:tcW w:w="33.333333%" w:type="pct"/>
          </w:tcPr>
          <w:p>
            <w:pPr>
              <w:ind w:leftChars="0" w:left="0" w:right="0"/>
            </w:pPr>
            <w:r>
              <w:t>CENTRAL EASTERN EUROPEAN GAS EXCHANGE LTD</w:t>
            </w:r>
          </w:p>
        </w:tc>
      </w:tr>
      <w:tr>
        <w:trPr>
          <w:cnfStyle w:evenHBand="true" w:oddHBand="false" w:firstRow="false"/>
        </w:trPr>
        <w:tc>
          <w:tcPr>
            <w:cnfStyle w:evenVBand="false" w:oddVBand="true" w:firstColumn="false"/>
            <w:tcW w:w="33.333333%" w:type="pct"/>
          </w:tcPr>
          <w:p>
            <w:pPr>
              <w:ind w:leftChars="0" w:left="0" w:right="0"/>
            </w:pPr>
            <w:r>
              <w:t>XGAT</w:t>
            </w:r>
          </w:p>
        </w:tc>
        <w:tc>
          <w:tcPr>
            <w:cnfStyle w:evenVBand="true" w:oddVBand="false" w:firstColumn="false"/>
            <w:tcW w:w="33.333333%" w:type="pct"/>
          </w:tcPr>
          <w:p>
            <w:pPr>
              <w:ind w:leftChars="0" w:left="0" w:right="0"/>
            </w:pPr>
            <w:r>
              <w:t>XGAT</w:t>
            </w:r>
          </w:p>
        </w:tc>
        <w:tc>
          <w:tcPr>
            <w:cnfStyle w:evenVBand="false" w:oddVBand="true" w:firstColumn="false"/>
            <w:tcW w:w="33.333333%" w:type="pct"/>
          </w:tcPr>
          <w:p>
            <w:pPr>
              <w:ind w:leftChars="0" w:left="0" w:right="0"/>
            </w:pPr>
            <w:r>
              <w:t>TRADEGATE EXCHANGE - FREIVERKEHR</w:t>
            </w:r>
          </w:p>
        </w:tc>
      </w:tr>
      <w:tr>
        <w:trPr>
          <w:cnfStyle w:evenHBand="false" w:oddHBand="true" w:firstRow="false"/>
        </w:trPr>
        <w:tc>
          <w:tcPr>
            <w:cnfStyle w:evenVBand="false" w:oddVBand="true" w:firstColumn="false"/>
            <w:tcW w:w="33.333333%" w:type="pct"/>
          </w:tcPr>
          <w:p>
            <w:pPr>
              <w:ind w:leftChars="0" w:left="0" w:right="0"/>
            </w:pPr>
            <w:r>
              <w:t>XGCL</w:t>
            </w:r>
          </w:p>
        </w:tc>
        <w:tc>
          <w:tcPr>
            <w:cnfStyle w:evenVBand="true" w:oddVBand="false" w:firstColumn="false"/>
            <w:tcW w:w="33.333333%" w:type="pct"/>
          </w:tcPr>
          <w:p>
            <w:pPr>
              <w:ind w:leftChars="0" w:left="0" w:right="0"/>
            </w:pPr>
            <w:r>
              <w:t>XGCL</w:t>
            </w:r>
          </w:p>
        </w:tc>
        <w:tc>
          <w:tcPr>
            <w:cnfStyle w:evenVBand="false" w:oddVBand="true" w:firstColumn="false"/>
            <w:tcW w:w="33.333333%" w:type="pct"/>
          </w:tcPr>
          <w:p>
            <w:pPr>
              <w:ind w:leftChars="0" w:left="0" w:right="0"/>
            </w:pPr>
            <w:r>
              <w:t>GLOBAL COAL LIMITED</w:t>
            </w:r>
          </w:p>
        </w:tc>
      </w:tr>
      <w:tr>
        <w:trPr>
          <w:cnfStyle w:evenHBand="true" w:oddHBand="false" w:firstRow="false"/>
        </w:trPr>
        <w:tc>
          <w:tcPr>
            <w:cnfStyle w:evenVBand="false" w:oddVBand="true" w:firstColumn="false"/>
            <w:tcW w:w="33.333333%" w:type="pct"/>
          </w:tcPr>
          <w:p>
            <w:pPr>
              <w:ind w:leftChars="0" w:left="0" w:right="0"/>
            </w:pPr>
            <w:r>
              <w:t>XGCX</w:t>
            </w:r>
          </w:p>
        </w:tc>
        <w:tc>
          <w:tcPr>
            <w:cnfStyle w:evenVBand="true" w:oddVBand="false" w:firstColumn="false"/>
            <w:tcW w:w="33.333333%" w:type="pct"/>
          </w:tcPr>
          <w:p>
            <w:pPr>
              <w:ind w:leftChars="0" w:left="0" w:right="0"/>
            </w:pPr>
            <w:r>
              <w:t>XGCX</w:t>
            </w:r>
          </w:p>
        </w:tc>
        <w:tc>
          <w:tcPr>
            <w:cnfStyle w:evenVBand="false" w:oddVBand="true" w:firstColumn="false"/>
            <w:tcW w:w="33.333333%" w:type="pct"/>
          </w:tcPr>
          <w:p>
            <w:pPr>
              <w:ind w:leftChars="0" w:left="0" w:right="0"/>
            </w:pPr>
            <w:r>
              <w:t>GLOBAL COMMODITIES EXCHANGE</w:t>
            </w:r>
          </w:p>
        </w:tc>
      </w:tr>
      <w:tr>
        <w:trPr>
          <w:cnfStyle w:evenHBand="false" w:oddHBand="true" w:firstRow="false"/>
        </w:trPr>
        <w:tc>
          <w:tcPr>
            <w:cnfStyle w:evenVBand="false" w:oddVBand="true" w:firstColumn="false"/>
            <w:tcW w:w="33.333333%" w:type="pct"/>
          </w:tcPr>
          <w:p>
            <w:pPr>
              <w:ind w:leftChars="0" w:left="0" w:right="0"/>
            </w:pPr>
            <w:r>
              <w:t>XGDX</w:t>
            </w:r>
          </w:p>
        </w:tc>
        <w:tc>
          <w:tcPr>
            <w:cnfStyle w:evenVBand="true" w:oddVBand="false" w:firstColumn="false"/>
            <w:tcW w:w="33.333333%" w:type="pct"/>
          </w:tcPr>
          <w:p>
            <w:pPr>
              <w:ind w:leftChars="0" w:left="0" w:right="0"/>
            </w:pPr>
            <w:r>
              <w:t>XGDX</w:t>
            </w:r>
          </w:p>
        </w:tc>
        <w:tc>
          <w:tcPr>
            <w:cnfStyle w:evenVBand="false" w:oddVBand="true" w:firstColumn="false"/>
            <w:tcW w:w="33.333333%" w:type="pct"/>
          </w:tcPr>
          <w:p>
            <w:pPr>
              <w:ind w:leftChars="0" w:left="0" w:right="0"/>
            </w:pPr>
            <w:r>
              <w:t>GLOBAL DERIVATIVES EXCHANGE</w:t>
            </w:r>
          </w:p>
        </w:tc>
      </w:tr>
      <w:tr>
        <w:trPr>
          <w:cnfStyle w:evenHBand="true" w:oddHBand="false" w:firstRow="false"/>
        </w:trPr>
        <w:tc>
          <w:tcPr>
            <w:cnfStyle w:evenVBand="false" w:oddVBand="true" w:firstColumn="false"/>
            <w:tcW w:w="33.333333%" w:type="pct"/>
          </w:tcPr>
          <w:p>
            <w:pPr>
              <w:ind w:leftChars="0" w:left="0" w:right="0"/>
            </w:pPr>
            <w:r>
              <w:t>XGEM</w:t>
            </w:r>
          </w:p>
        </w:tc>
        <w:tc>
          <w:tcPr>
            <w:cnfStyle w:evenVBand="true" w:oddVBand="false" w:firstColumn="false"/>
            <w:tcW w:w="33.333333%" w:type="pct"/>
          </w:tcPr>
          <w:p>
            <w:pPr>
              <w:ind w:leftChars="0" w:left="0" w:right="0"/>
            </w:pPr>
            <w:r>
              <w:t>XGEM</w:t>
            </w:r>
          </w:p>
        </w:tc>
        <w:tc>
          <w:tcPr>
            <w:cnfStyle w:evenVBand="false" w:oddVBand="true" w:firstColumn="false"/>
            <w:tcW w:w="33.333333%" w:type="pct"/>
          </w:tcPr>
          <w:p>
            <w:pPr>
              <w:ind w:leftChars="0" w:left="0" w:right="0"/>
            </w:pPr>
            <w:r>
              <w:t>HONG KONG GROWTH ENTERPRISES MARKET</w:t>
            </w:r>
          </w:p>
        </w:tc>
      </w:tr>
      <w:tr>
        <w:trPr>
          <w:cnfStyle w:evenHBand="false" w:oddHBand="true" w:firstRow="false"/>
        </w:trPr>
        <w:tc>
          <w:tcPr>
            <w:cnfStyle w:evenVBand="false" w:oddVBand="true" w:firstColumn="false"/>
            <w:tcW w:w="33.333333%" w:type="pct"/>
          </w:tcPr>
          <w:p>
            <w:pPr>
              <w:ind w:leftChars="0" w:left="0" w:right="0"/>
            </w:pPr>
            <w:r>
              <w:t>XGFI</w:t>
            </w:r>
          </w:p>
        </w:tc>
        <w:tc>
          <w:tcPr>
            <w:cnfStyle w:evenVBand="true" w:oddVBand="false" w:firstColumn="false"/>
            <w:tcW w:w="33.333333%" w:type="pct"/>
          </w:tcPr>
          <w:p>
            <w:pPr>
              <w:ind w:leftChars="0" w:left="0" w:right="0"/>
            </w:pPr>
            <w:r>
              <w:t>XGFI</w:t>
            </w:r>
          </w:p>
        </w:tc>
        <w:tc>
          <w:tcPr>
            <w:cnfStyle w:evenVBand="false" w:oddVBand="true" w:firstColumn="false"/>
            <w:tcW w:w="33.333333%" w:type="pct"/>
          </w:tcPr>
          <w:p>
            <w:pPr>
              <w:ind w:leftChars="0" w:left="0" w:right="0"/>
            </w:pPr>
            <w:r>
              <w:t>GFI BASISMATCH</w:t>
            </w:r>
          </w:p>
        </w:tc>
      </w:tr>
      <w:tr>
        <w:trPr>
          <w:cnfStyle w:evenHBand="true" w:oddHBand="false" w:firstRow="false"/>
        </w:trPr>
        <w:tc>
          <w:tcPr>
            <w:cnfStyle w:evenVBand="false" w:oddVBand="true" w:firstColumn="false"/>
            <w:tcW w:w="33.333333%" w:type="pct"/>
          </w:tcPr>
          <w:p>
            <w:pPr>
              <w:ind w:leftChars="0" w:left="0" w:right="0"/>
            </w:pPr>
            <w:r>
              <w:t>XGHA</w:t>
            </w:r>
          </w:p>
        </w:tc>
        <w:tc>
          <w:tcPr>
            <w:cnfStyle w:evenVBand="true" w:oddVBand="false" w:firstColumn="false"/>
            <w:tcW w:w="33.333333%" w:type="pct"/>
          </w:tcPr>
          <w:p>
            <w:pPr>
              <w:ind w:leftChars="0" w:left="0" w:right="0"/>
            </w:pPr>
            <w:r>
              <w:t>XGHA</w:t>
            </w:r>
          </w:p>
        </w:tc>
        <w:tc>
          <w:tcPr>
            <w:cnfStyle w:evenVBand="false" w:oddVBand="true" w:firstColumn="false"/>
            <w:tcW w:w="33.333333%" w:type="pct"/>
          </w:tcPr>
          <w:p>
            <w:pPr>
              <w:ind w:leftChars="0" w:left="0" w:right="0"/>
            </w:pPr>
            <w:r>
              <w:t>GHANA STOCK EXCHANGE</w:t>
            </w:r>
          </w:p>
        </w:tc>
      </w:tr>
      <w:tr>
        <w:trPr>
          <w:cnfStyle w:evenHBand="false" w:oddHBand="true" w:firstRow="false"/>
        </w:trPr>
        <w:tc>
          <w:tcPr>
            <w:cnfStyle w:evenVBand="false" w:oddVBand="true" w:firstColumn="false"/>
            <w:tcW w:w="33.333333%" w:type="pct"/>
          </w:tcPr>
          <w:p>
            <w:pPr>
              <w:ind w:leftChars="0" w:left="0" w:right="0"/>
            </w:pPr>
            <w:r>
              <w:t>XGLO</w:t>
            </w:r>
          </w:p>
        </w:tc>
        <w:tc>
          <w:tcPr>
            <w:cnfStyle w:evenVBand="true" w:oddVBand="false" w:firstColumn="false"/>
            <w:tcW w:w="33.333333%" w:type="pct"/>
          </w:tcPr>
          <w:p>
            <w:pPr>
              <w:ind w:leftChars="0" w:left="0" w:right="0"/>
            </w:pPr>
            <w:r>
              <w:t>XGLO</w:t>
            </w:r>
          </w:p>
        </w:tc>
        <w:tc>
          <w:tcPr>
            <w:cnfStyle w:evenVBand="false" w:oddVBand="true" w:firstColumn="false"/>
            <w:tcW w:w="33.333333%" w:type="pct"/>
          </w:tcPr>
          <w:p>
            <w:pPr>
              <w:ind w:leftChars="0" w:left="0" w:right="0"/>
            </w:pPr>
            <w:r>
              <w:t>WARSAW STOCK EXCHANGE/ EQUITIES/GLOBAL CONNECT - MTF</w:t>
            </w:r>
          </w:p>
        </w:tc>
      </w:tr>
      <w:tr>
        <w:trPr>
          <w:cnfStyle w:evenHBand="true" w:oddHBand="false" w:firstRow="false"/>
        </w:trPr>
        <w:tc>
          <w:tcPr>
            <w:cnfStyle w:evenVBand="false" w:oddVBand="true" w:firstColumn="false"/>
            <w:tcW w:w="33.333333%" w:type="pct"/>
          </w:tcPr>
          <w:p>
            <w:pPr>
              <w:ind w:leftChars="0" w:left="0" w:right="0"/>
            </w:pPr>
            <w:r>
              <w:t>XGME</w:t>
            </w:r>
          </w:p>
        </w:tc>
        <w:tc>
          <w:tcPr>
            <w:cnfStyle w:evenVBand="true" w:oddVBand="false" w:firstColumn="false"/>
            <w:tcW w:w="33.333333%" w:type="pct"/>
          </w:tcPr>
          <w:p>
            <w:pPr>
              <w:ind w:leftChars="0" w:left="0" w:right="0"/>
            </w:pPr>
            <w:r>
              <w:t>XGME</w:t>
            </w:r>
          </w:p>
        </w:tc>
        <w:tc>
          <w:tcPr>
            <w:cnfStyle w:evenVBand="false" w:oddVBand="true" w:firstColumn="false"/>
            <w:tcW w:w="33.333333%" w:type="pct"/>
          </w:tcPr>
          <w:p>
            <w:pPr>
              <w:ind w:leftChars="0" w:left="0" w:right="0"/>
            </w:pPr>
            <w:r>
              <w:t>GESTORE MERCATO ELETTRICO - ITALIAN POWER EXCHANGE</w:t>
            </w:r>
          </w:p>
        </w:tc>
      </w:tr>
      <w:tr>
        <w:trPr>
          <w:cnfStyle w:evenHBand="false" w:oddHBand="true" w:firstRow="false"/>
        </w:trPr>
        <w:tc>
          <w:tcPr>
            <w:cnfStyle w:evenVBand="false" w:oddVBand="true" w:firstColumn="false"/>
            <w:tcW w:w="33.333333%" w:type="pct"/>
          </w:tcPr>
          <w:p>
            <w:pPr>
              <w:ind w:leftChars="0" w:left="0" w:right="0"/>
            </w:pPr>
            <w:r>
              <w:t>XGMX</w:t>
            </w:r>
          </w:p>
        </w:tc>
        <w:tc>
          <w:tcPr>
            <w:cnfStyle w:evenVBand="true" w:oddVBand="false" w:firstColumn="false"/>
            <w:tcW w:w="33.333333%" w:type="pct"/>
          </w:tcPr>
          <w:p>
            <w:pPr>
              <w:ind w:leftChars="0" w:left="0" w:right="0"/>
            </w:pPr>
            <w:r>
              <w:t>XGMX</w:t>
            </w:r>
          </w:p>
        </w:tc>
        <w:tc>
          <w:tcPr>
            <w:cnfStyle w:evenVBand="false" w:oddVBand="true" w:firstColumn="false"/>
            <w:tcW w:w="33.333333%" w:type="pct"/>
          </w:tcPr>
          <w:p>
            <w:pPr>
              <w:ind w:leftChars="0" w:left="0" w:right="0"/>
            </w:pPr>
            <w:r>
              <w:t>GLOBALCLEAR MERCANTILE EXCHANGE</w:t>
            </w:r>
          </w:p>
        </w:tc>
      </w:tr>
      <w:tr>
        <w:trPr>
          <w:cnfStyle w:evenHBand="true" w:oddHBand="false" w:firstRow="false"/>
        </w:trPr>
        <w:tc>
          <w:tcPr>
            <w:cnfStyle w:evenVBand="false" w:oddVBand="true" w:firstColumn="false"/>
            <w:tcW w:w="33.333333%" w:type="pct"/>
          </w:tcPr>
          <w:p>
            <w:pPr>
              <w:ind w:leftChars="0" w:left="0" w:right="0"/>
            </w:pPr>
            <w:r>
              <w:t>XGRM</w:t>
            </w:r>
          </w:p>
        </w:tc>
        <w:tc>
          <w:tcPr>
            <w:cnfStyle w:evenVBand="true" w:oddVBand="false" w:firstColumn="false"/>
            <w:tcW w:w="33.333333%" w:type="pct"/>
          </w:tcPr>
          <w:p>
            <w:pPr>
              <w:ind w:leftChars="0" w:left="0" w:right="0"/>
            </w:pPr>
            <w:r>
              <w:t>XGRM</w:t>
            </w:r>
          </w:p>
        </w:tc>
        <w:tc>
          <w:tcPr>
            <w:cnfStyle w:evenVBand="false" w:oddVBand="true" w:firstColumn="false"/>
            <w:tcW w:w="33.333333%" w:type="pct"/>
          </w:tcPr>
          <w:p>
            <w:pPr>
              <w:ind w:leftChars="0" w:left="0" w:right="0"/>
            </w:pPr>
            <w:r>
              <w:t>TRADEGATE EXCHANGE - REGULIERTER MARKT</w:t>
            </w:r>
          </w:p>
        </w:tc>
      </w:tr>
      <w:tr>
        <w:trPr>
          <w:cnfStyle w:evenHBand="false" w:oddHBand="true" w:firstRow="false"/>
        </w:trPr>
        <w:tc>
          <w:tcPr>
            <w:cnfStyle w:evenVBand="false" w:oddVBand="true" w:firstColumn="false"/>
            <w:tcW w:w="33.333333%" w:type="pct"/>
          </w:tcPr>
          <w:p>
            <w:pPr>
              <w:ind w:leftChars="0" w:left="0" w:right="0"/>
            </w:pPr>
            <w:r>
              <w:t>XGSE</w:t>
            </w:r>
          </w:p>
        </w:tc>
        <w:tc>
          <w:tcPr>
            <w:cnfStyle w:evenVBand="true" w:oddVBand="false" w:firstColumn="false"/>
            <w:tcW w:w="33.333333%" w:type="pct"/>
          </w:tcPr>
          <w:p>
            <w:pPr>
              <w:ind w:leftChars="0" w:left="0" w:right="0"/>
            </w:pPr>
            <w:r>
              <w:t>XGSE</w:t>
            </w:r>
          </w:p>
        </w:tc>
        <w:tc>
          <w:tcPr>
            <w:cnfStyle w:evenVBand="false" w:oddVBand="true" w:firstColumn="false"/>
            <w:tcW w:w="33.333333%" w:type="pct"/>
          </w:tcPr>
          <w:p>
            <w:pPr>
              <w:ind w:leftChars="0" w:left="0" w:right="0"/>
            </w:pPr>
            <w:r>
              <w:t>GEORGIA STOCK EXCHANGE</w:t>
            </w:r>
          </w:p>
        </w:tc>
      </w:tr>
      <w:tr>
        <w:trPr>
          <w:cnfStyle w:evenHBand="true" w:oddHBand="false" w:firstRow="false"/>
        </w:trPr>
        <w:tc>
          <w:tcPr>
            <w:cnfStyle w:evenVBand="false" w:oddVBand="true" w:firstColumn="false"/>
            <w:tcW w:w="33.333333%" w:type="pct"/>
          </w:tcPr>
          <w:p>
            <w:pPr>
              <w:ind w:leftChars="0" w:left="0" w:right="0"/>
            </w:pPr>
            <w:r>
              <w:t>XGSX</w:t>
            </w:r>
          </w:p>
        </w:tc>
        <w:tc>
          <w:tcPr>
            <w:cnfStyle w:evenVBand="true" w:oddVBand="false" w:firstColumn="false"/>
            <w:tcW w:w="33.333333%" w:type="pct"/>
          </w:tcPr>
          <w:p>
            <w:pPr>
              <w:ind w:leftChars="0" w:left="0" w:right="0"/>
            </w:pPr>
            <w:r>
              <w:t>XGSX</w:t>
            </w:r>
          </w:p>
        </w:tc>
        <w:tc>
          <w:tcPr>
            <w:cnfStyle w:evenVBand="false" w:oddVBand="true" w:firstColumn="false"/>
            <w:tcW w:w="33.333333%" w:type="pct"/>
          </w:tcPr>
          <w:p>
            <w:pPr>
              <w:ind w:leftChars="0" w:left="0" w:right="0"/>
            </w:pPr>
            <w:r>
              <w:t>GLOBAL SECURITIES EXCHANGE</w:t>
            </w:r>
          </w:p>
        </w:tc>
      </w:tr>
      <w:tr>
        <w:trPr>
          <w:cnfStyle w:evenHBand="false" w:oddHBand="true" w:firstRow="false"/>
        </w:trPr>
        <w:tc>
          <w:tcPr>
            <w:cnfStyle w:evenVBand="false" w:oddVBand="true" w:firstColumn="false"/>
            <w:tcW w:w="33.333333%" w:type="pct"/>
          </w:tcPr>
          <w:p>
            <w:pPr>
              <w:ind w:leftChars="0" w:left="0" w:right="0"/>
            </w:pPr>
            <w:r>
              <w:t>XGTG</w:t>
            </w:r>
          </w:p>
        </w:tc>
        <w:tc>
          <w:tcPr>
            <w:cnfStyle w:evenVBand="true" w:oddVBand="false" w:firstColumn="false"/>
            <w:tcW w:w="33.333333%" w:type="pct"/>
          </w:tcPr>
          <w:p>
            <w:pPr>
              <w:ind w:leftChars="0" w:left="0" w:right="0"/>
            </w:pPr>
            <w:r>
              <w:t>XGTG</w:t>
            </w:r>
          </w:p>
        </w:tc>
        <w:tc>
          <w:tcPr>
            <w:cnfStyle w:evenVBand="false" w:oddVBand="true" w:firstColumn="false"/>
            <w:tcW w:w="33.333333%" w:type="pct"/>
          </w:tcPr>
          <w:p>
            <w:pPr>
              <w:ind w:leftChars="0" w:left="0" w:right="0"/>
            </w:pPr>
            <w:r>
              <w:t>BOLSA DE VALORES NACIONAL SA</w:t>
            </w:r>
          </w:p>
        </w:tc>
      </w:tr>
      <w:tr>
        <w:trPr>
          <w:cnfStyle w:evenHBand="true" w:oddHBand="false" w:firstRow="false"/>
        </w:trPr>
        <w:tc>
          <w:tcPr>
            <w:cnfStyle w:evenVBand="false" w:oddVBand="true" w:firstColumn="false"/>
            <w:tcW w:w="33.333333%" w:type="pct"/>
          </w:tcPr>
          <w:p>
            <w:pPr>
              <w:ind w:leftChars="0" w:left="0" w:right="0"/>
            </w:pPr>
            <w:r>
              <w:t>XGUA</w:t>
            </w:r>
          </w:p>
        </w:tc>
        <w:tc>
          <w:tcPr>
            <w:cnfStyle w:evenVBand="true" w:oddVBand="false" w:firstColumn="false"/>
            <w:tcW w:w="33.333333%" w:type="pct"/>
          </w:tcPr>
          <w:p>
            <w:pPr>
              <w:ind w:leftChars="0" w:left="0" w:right="0"/>
            </w:pPr>
            <w:r>
              <w:t>XGUA</w:t>
            </w:r>
          </w:p>
        </w:tc>
        <w:tc>
          <w:tcPr>
            <w:cnfStyle w:evenVBand="false" w:oddVBand="true" w:firstColumn="false"/>
            <w:tcW w:w="33.333333%" w:type="pct"/>
          </w:tcPr>
          <w:p>
            <w:pPr>
              <w:ind w:leftChars="0" w:left="0" w:right="0"/>
            </w:pPr>
            <w:r>
              <w:t>BOLSA DE VALORES DE GUAYAQUIL</w:t>
            </w:r>
          </w:p>
        </w:tc>
      </w:tr>
      <w:tr>
        <w:trPr>
          <w:cnfStyle w:evenHBand="false" w:oddHBand="true" w:firstRow="false"/>
        </w:trPr>
        <w:tc>
          <w:tcPr>
            <w:cnfStyle w:evenVBand="false" w:oddVBand="true" w:firstColumn="false"/>
            <w:tcW w:w="33.333333%" w:type="pct"/>
          </w:tcPr>
          <w:p>
            <w:pPr>
              <w:ind w:leftChars="0" w:left="0" w:right="0"/>
            </w:pPr>
            <w:r>
              <w:t>XHAM</w:t>
            </w:r>
          </w:p>
        </w:tc>
        <w:tc>
          <w:tcPr>
            <w:cnfStyle w:evenVBand="true" w:oddVBand="false" w:firstColumn="false"/>
            <w:tcW w:w="33.333333%" w:type="pct"/>
          </w:tcPr>
          <w:p>
            <w:pPr>
              <w:ind w:leftChars="0" w:left="0" w:right="0"/>
            </w:pPr>
            <w:r>
              <w:t>XHAM</w:t>
            </w:r>
          </w:p>
        </w:tc>
        <w:tc>
          <w:tcPr>
            <w:cnfStyle w:evenVBand="false" w:oddVBand="true" w:firstColumn="false"/>
            <w:tcW w:w="33.333333%" w:type="pct"/>
          </w:tcPr>
          <w:p>
            <w:pPr>
              <w:ind w:leftChars="0" w:left="0" w:right="0"/>
            </w:pPr>
            <w:r>
              <w:t>HANSEATISCHE WERTPAPIERBOERSE HAMBURG</w:t>
            </w:r>
          </w:p>
        </w:tc>
      </w:tr>
      <w:tr>
        <w:trPr>
          <w:cnfStyle w:evenHBand="true" w:oddHBand="false" w:firstRow="false"/>
        </w:trPr>
        <w:tc>
          <w:tcPr>
            <w:cnfStyle w:evenVBand="false" w:oddVBand="true" w:firstColumn="false"/>
            <w:tcW w:w="33.333333%" w:type="pct"/>
          </w:tcPr>
          <w:p>
            <w:pPr>
              <w:ind w:leftChars="0" w:left="0" w:right="0"/>
            </w:pPr>
            <w:r>
              <w:t>XHAN</w:t>
            </w:r>
          </w:p>
        </w:tc>
        <w:tc>
          <w:tcPr>
            <w:cnfStyle w:evenVBand="true" w:oddVBand="false" w:firstColumn="false"/>
            <w:tcW w:w="33.333333%" w:type="pct"/>
          </w:tcPr>
          <w:p>
            <w:pPr>
              <w:ind w:leftChars="0" w:left="0" w:right="0"/>
            </w:pPr>
            <w:r>
              <w:t>XHAN</w:t>
            </w:r>
          </w:p>
        </w:tc>
        <w:tc>
          <w:tcPr>
            <w:cnfStyle w:evenVBand="false" w:oddVBand="true" w:firstColumn="false"/>
            <w:tcW w:w="33.333333%" w:type="pct"/>
          </w:tcPr>
          <w:p>
            <w:pPr>
              <w:ind w:leftChars="0" w:left="0" w:right="0"/>
            </w:pPr>
            <w:r>
              <w:t>NIEDERSAECHSISCHE BOERSE ZU HANNOVER</w:t>
            </w:r>
          </w:p>
        </w:tc>
      </w:tr>
      <w:tr>
        <w:trPr>
          <w:cnfStyle w:evenHBand="false" w:oddHBand="true" w:firstRow="false"/>
        </w:trPr>
        <w:tc>
          <w:tcPr>
            <w:cnfStyle w:evenVBand="false" w:oddVBand="true" w:firstColumn="false"/>
            <w:tcW w:w="33.333333%" w:type="pct"/>
          </w:tcPr>
          <w:p>
            <w:pPr>
              <w:ind w:leftChars="0" w:left="0" w:right="0"/>
            </w:pPr>
            <w:r>
              <w:t>XHCE</w:t>
            </w:r>
          </w:p>
        </w:tc>
        <w:tc>
          <w:tcPr>
            <w:cnfStyle w:evenVBand="true" w:oddVBand="false" w:firstColumn="false"/>
            <w:tcW w:w="33.333333%" w:type="pct"/>
          </w:tcPr>
          <w:p>
            <w:pPr>
              <w:ind w:leftChars="0" w:left="0" w:right="0"/>
            </w:pPr>
            <w:r>
              <w:t>XHCE</w:t>
            </w:r>
          </w:p>
        </w:tc>
        <w:tc>
          <w:tcPr>
            <w:cnfStyle w:evenVBand="false" w:oddVBand="true" w:firstColumn="false"/>
            <w:tcW w:w="33.333333%" w:type="pct"/>
          </w:tcPr>
          <w:p>
            <w:pPr>
              <w:ind w:leftChars="0" w:left="0" w:right="0"/>
            </w:pPr>
            <w:r>
              <w:t>RISK MANAGEMENT EXCHANGE</w:t>
            </w:r>
          </w:p>
        </w:tc>
      </w:tr>
      <w:tr>
        <w:trPr>
          <w:cnfStyle w:evenHBand="true" w:oddHBand="false" w:firstRow="false"/>
        </w:trPr>
        <w:tc>
          <w:tcPr>
            <w:cnfStyle w:evenVBand="false" w:oddVBand="true" w:firstColumn="false"/>
            <w:tcW w:w="33.333333%" w:type="pct"/>
          </w:tcPr>
          <w:p>
            <w:pPr>
              <w:ind w:leftChars="0" w:left="0" w:right="0"/>
            </w:pPr>
            <w:r>
              <w:t>XHEL</w:t>
            </w:r>
          </w:p>
        </w:tc>
        <w:tc>
          <w:tcPr>
            <w:cnfStyle w:evenVBand="true" w:oddVBand="false" w:firstColumn="false"/>
            <w:tcW w:w="33.333333%" w:type="pct"/>
          </w:tcPr>
          <w:p>
            <w:pPr>
              <w:ind w:leftChars="0" w:left="0" w:right="0"/>
            </w:pPr>
            <w:r>
              <w:t>XHEL</w:t>
            </w:r>
          </w:p>
        </w:tc>
        <w:tc>
          <w:tcPr>
            <w:cnfStyle w:evenVBand="false" w:oddVBand="true" w:firstColumn="false"/>
            <w:tcW w:w="33.333333%" w:type="pct"/>
          </w:tcPr>
          <w:p>
            <w:pPr>
              <w:ind w:leftChars="0" w:left="0" w:right="0"/>
            </w:pPr>
            <w:r>
              <w:t>NASDAQ HELSINKI LTD</w:t>
            </w:r>
          </w:p>
        </w:tc>
      </w:tr>
      <w:tr>
        <w:trPr>
          <w:cnfStyle w:evenHBand="false" w:oddHBand="true" w:firstRow="false"/>
        </w:trPr>
        <w:tc>
          <w:tcPr>
            <w:cnfStyle w:evenVBand="false" w:oddVBand="true" w:firstColumn="false"/>
            <w:tcW w:w="33.333333%" w:type="pct"/>
          </w:tcPr>
          <w:p>
            <w:pPr>
              <w:ind w:leftChars="0" w:left="0" w:right="0"/>
            </w:pPr>
            <w:r>
              <w:t>XHER</w:t>
            </w:r>
          </w:p>
        </w:tc>
        <w:tc>
          <w:tcPr>
            <w:cnfStyle w:evenVBand="true" w:oddVBand="false" w:firstColumn="false"/>
            <w:tcW w:w="33.333333%" w:type="pct"/>
          </w:tcPr>
          <w:p>
            <w:pPr>
              <w:ind w:leftChars="0" w:left="0" w:right="0"/>
            </w:pPr>
            <w:r>
              <w:t>XHER</w:t>
            </w:r>
          </w:p>
        </w:tc>
        <w:tc>
          <w:tcPr>
            <w:cnfStyle w:evenVBand="false" w:oddVBand="true" w:firstColumn="false"/>
            <w:tcW w:w="33.333333%" w:type="pct"/>
          </w:tcPr>
          <w:p>
            <w:pPr>
              <w:ind w:leftChars="0" w:left="0" w:right="0"/>
            </w:pPr>
            <w:r>
              <w:t>NIPPON NEW MARKET - HERCULES</w:t>
            </w:r>
          </w:p>
        </w:tc>
      </w:tr>
      <w:tr>
        <w:trPr>
          <w:cnfStyle w:evenHBand="true" w:oddHBand="false" w:firstRow="false"/>
        </w:trPr>
        <w:tc>
          <w:tcPr>
            <w:cnfStyle w:evenVBand="false" w:oddVBand="true" w:firstColumn="false"/>
            <w:tcW w:w="33.333333%" w:type="pct"/>
          </w:tcPr>
          <w:p>
            <w:pPr>
              <w:ind w:leftChars="0" w:left="0" w:right="0"/>
            </w:pPr>
            <w:r>
              <w:t>XHFT</w:t>
            </w:r>
          </w:p>
        </w:tc>
        <w:tc>
          <w:tcPr>
            <w:cnfStyle w:evenVBand="true" w:oddVBand="false" w:firstColumn="false"/>
            <w:tcW w:w="33.333333%" w:type="pct"/>
          </w:tcPr>
          <w:p>
            <w:pPr>
              <w:ind w:leftChars="0" w:left="0" w:right="0"/>
            </w:pPr>
            <w:r>
              <w:t>XHFT</w:t>
            </w:r>
          </w:p>
        </w:tc>
        <w:tc>
          <w:tcPr>
            <w:cnfStyle w:evenVBand="false" w:oddVBand="true" w:firstColumn="false"/>
            <w:tcW w:w="33.333333%" w:type="pct"/>
          </w:tcPr>
          <w:p>
            <w:pPr>
              <w:ind w:leftChars="0" w:left="0" w:right="0"/>
            </w:pPr>
            <w:r>
              <w:t>ARCA EUROPE</w:t>
            </w:r>
          </w:p>
        </w:tc>
      </w:tr>
      <w:tr>
        <w:trPr>
          <w:cnfStyle w:evenHBand="false" w:oddHBand="true" w:firstRow="false"/>
        </w:trPr>
        <w:tc>
          <w:tcPr>
            <w:cnfStyle w:evenVBand="false" w:oddVBand="true" w:firstColumn="false"/>
            <w:tcW w:w="33.333333%" w:type="pct"/>
          </w:tcPr>
          <w:p>
            <w:pPr>
              <w:ind w:leftChars="0" w:left="0" w:right="0"/>
            </w:pPr>
            <w:r>
              <w:t>XHIR</w:t>
            </w:r>
          </w:p>
        </w:tc>
        <w:tc>
          <w:tcPr>
            <w:cnfStyle w:evenVBand="true" w:oddVBand="false" w:firstColumn="false"/>
            <w:tcW w:w="33.333333%" w:type="pct"/>
          </w:tcPr>
          <w:p>
            <w:pPr>
              <w:ind w:leftChars="0" w:left="0" w:right="0"/>
            </w:pPr>
            <w:r>
              <w:t>XHIR</w:t>
            </w:r>
          </w:p>
        </w:tc>
        <w:tc>
          <w:tcPr>
            <w:cnfStyle w:evenVBand="false" w:oddVBand="true" w:firstColumn="false"/>
            <w:tcW w:w="33.333333%" w:type="pct"/>
          </w:tcPr>
          <w:p>
            <w:pPr>
              <w:ind w:leftChars="0" w:left="0" w:right="0"/>
            </w:pPr>
            <w:r>
              <w:t>HIROSHIMA STOCK EXCHANGE</w:t>
            </w:r>
          </w:p>
        </w:tc>
      </w:tr>
      <w:tr>
        <w:trPr>
          <w:cnfStyle w:evenHBand="true" w:oddHBand="false" w:firstRow="false"/>
        </w:trPr>
        <w:tc>
          <w:tcPr>
            <w:cnfStyle w:evenVBand="false" w:oddVBand="true" w:firstColumn="false"/>
            <w:tcW w:w="33.333333%" w:type="pct"/>
          </w:tcPr>
          <w:p>
            <w:pPr>
              <w:ind w:leftChars="0" w:left="0" w:right="0"/>
            </w:pPr>
            <w:r>
              <w:t>XHKF</w:t>
            </w:r>
          </w:p>
        </w:tc>
        <w:tc>
          <w:tcPr>
            <w:cnfStyle w:evenVBand="true" w:oddVBand="false" w:firstColumn="false"/>
            <w:tcW w:w="33.333333%" w:type="pct"/>
          </w:tcPr>
          <w:p>
            <w:pPr>
              <w:ind w:leftChars="0" w:left="0" w:right="0"/>
            </w:pPr>
            <w:r>
              <w:t>XHKF</w:t>
            </w:r>
          </w:p>
        </w:tc>
        <w:tc>
          <w:tcPr>
            <w:cnfStyle w:evenVBand="false" w:oddVBand="true" w:firstColumn="false"/>
            <w:tcW w:w="33.333333%" w:type="pct"/>
          </w:tcPr>
          <w:p>
            <w:pPr>
              <w:ind w:leftChars="0" w:left="0" w:right="0"/>
            </w:pPr>
            <w:r>
              <w:t>HONG KONG FUTURES EXCHANGE LTD.</w:t>
            </w:r>
          </w:p>
        </w:tc>
      </w:tr>
      <w:tr>
        <w:trPr>
          <w:cnfStyle w:evenHBand="false" w:oddHBand="true" w:firstRow="false"/>
        </w:trPr>
        <w:tc>
          <w:tcPr>
            <w:cnfStyle w:evenVBand="false" w:oddVBand="true" w:firstColumn="false"/>
            <w:tcW w:w="33.333333%" w:type="pct"/>
          </w:tcPr>
          <w:p>
            <w:pPr>
              <w:ind w:leftChars="0" w:left="0" w:right="0"/>
            </w:pPr>
            <w:r>
              <w:t>XHKG</w:t>
            </w:r>
          </w:p>
        </w:tc>
        <w:tc>
          <w:tcPr>
            <w:cnfStyle w:evenVBand="true" w:oddVBand="false" w:firstColumn="false"/>
            <w:tcW w:w="33.333333%" w:type="pct"/>
          </w:tcPr>
          <w:p>
            <w:pPr>
              <w:ind w:leftChars="0" w:left="0" w:right="0"/>
            </w:pPr>
            <w:r>
              <w:t>XHKG</w:t>
            </w:r>
          </w:p>
        </w:tc>
        <w:tc>
          <w:tcPr>
            <w:cnfStyle w:evenVBand="false" w:oddVBand="true" w:firstColumn="false"/>
            <w:tcW w:w="33.333333%" w:type="pct"/>
          </w:tcPr>
          <w:p>
            <w:pPr>
              <w:ind w:leftChars="0" w:left="0" w:right="0"/>
            </w:pPr>
            <w:r>
              <w:t>HONG KONG EXCHANGES AND CLEARING LTD</w:t>
            </w:r>
          </w:p>
        </w:tc>
      </w:tr>
      <w:tr>
        <w:trPr>
          <w:cnfStyle w:evenHBand="true" w:oddHBand="false" w:firstRow="false"/>
        </w:trPr>
        <w:tc>
          <w:tcPr>
            <w:cnfStyle w:evenVBand="false" w:oddVBand="true" w:firstColumn="false"/>
            <w:tcW w:w="33.333333%" w:type="pct"/>
          </w:tcPr>
          <w:p>
            <w:pPr>
              <w:ind w:leftChars="0" w:left="0" w:right="0"/>
            </w:pPr>
            <w:r>
              <w:t>XHNF</w:t>
            </w:r>
          </w:p>
        </w:tc>
        <w:tc>
          <w:tcPr>
            <w:cnfStyle w:evenVBand="true" w:oddVBand="false" w:firstColumn="false"/>
            <w:tcW w:w="33.333333%" w:type="pct"/>
          </w:tcPr>
          <w:p>
            <w:pPr>
              <w:ind w:leftChars="0" w:left="0" w:right="0"/>
            </w:pPr>
            <w:r>
              <w:t>XHNF</w:t>
            </w:r>
          </w:p>
        </w:tc>
        <w:tc>
          <w:tcPr>
            <w:cnfStyle w:evenVBand="false" w:oddVBand="true" w:firstColumn="false"/>
            <w:tcW w:w="33.333333%" w:type="pct"/>
          </w:tcPr>
          <w:p>
            <w:pPr>
              <w:ind w:leftChars="0" w:left="0" w:right="0"/>
            </w:pPr>
            <w:r>
              <w:t>HANOI STOCK EXCHANGE - DERIVATIVES</w:t>
            </w:r>
          </w:p>
        </w:tc>
      </w:tr>
      <w:tr>
        <w:trPr>
          <w:cnfStyle w:evenHBand="false" w:oddHBand="true" w:firstRow="false"/>
        </w:trPr>
        <w:tc>
          <w:tcPr>
            <w:cnfStyle w:evenVBand="false" w:oddVBand="true" w:firstColumn="false"/>
            <w:tcW w:w="33.333333%" w:type="pct"/>
          </w:tcPr>
          <w:p>
            <w:pPr>
              <w:ind w:leftChars="0" w:left="0" w:right="0"/>
            </w:pPr>
            <w:r>
              <w:t>XHNX</w:t>
            </w:r>
          </w:p>
        </w:tc>
        <w:tc>
          <w:tcPr>
            <w:cnfStyle w:evenVBand="true" w:oddVBand="false" w:firstColumn="false"/>
            <w:tcW w:w="33.333333%" w:type="pct"/>
          </w:tcPr>
          <w:p>
            <w:pPr>
              <w:ind w:leftChars="0" w:left="0" w:right="0"/>
            </w:pPr>
            <w:r>
              <w:t>XHNX</w:t>
            </w:r>
          </w:p>
        </w:tc>
        <w:tc>
          <w:tcPr>
            <w:cnfStyle w:evenVBand="false" w:oddVBand="true" w:firstColumn="false"/>
            <w:tcW w:w="33.333333%" w:type="pct"/>
          </w:tcPr>
          <w:p>
            <w:pPr>
              <w:ind w:leftChars="0" w:left="0" w:right="0"/>
            </w:pPr>
            <w:r>
              <w:t>HANOI STOCK EXCHANGE (UNLISTED PUBLIC COMPANY TRADING PLATFORM)</w:t>
            </w:r>
          </w:p>
        </w:tc>
      </w:tr>
      <w:tr>
        <w:trPr>
          <w:cnfStyle w:evenHBand="true" w:oddHBand="false" w:firstRow="false"/>
        </w:trPr>
        <w:tc>
          <w:tcPr>
            <w:cnfStyle w:evenVBand="false" w:oddVBand="true" w:firstColumn="false"/>
            <w:tcW w:w="33.333333%" w:type="pct"/>
          </w:tcPr>
          <w:p>
            <w:pPr>
              <w:ind w:leftChars="0" w:left="0" w:right="0"/>
            </w:pPr>
            <w:r>
              <w:t>XHON</w:t>
            </w:r>
          </w:p>
        </w:tc>
        <w:tc>
          <w:tcPr>
            <w:cnfStyle w:evenVBand="true" w:oddVBand="false" w:firstColumn="false"/>
            <w:tcW w:w="33.333333%" w:type="pct"/>
          </w:tcPr>
          <w:p>
            <w:pPr>
              <w:ind w:leftChars="0" w:left="0" w:right="0"/>
            </w:pPr>
            <w:r>
              <w:t>XHON</w:t>
            </w:r>
          </w:p>
        </w:tc>
        <w:tc>
          <w:tcPr>
            <w:cnfStyle w:evenVBand="false" w:oddVBand="true" w:firstColumn="false"/>
            <w:tcW w:w="33.333333%" w:type="pct"/>
          </w:tcPr>
          <w:p>
            <w:pPr>
              <w:ind w:leftChars="0" w:left="0" w:right="0"/>
            </w:pPr>
            <w:r>
              <w:t>HONDURIAN STOCK EXCHANGE</w:t>
            </w:r>
          </w:p>
        </w:tc>
      </w:tr>
      <w:tr>
        <w:trPr>
          <w:cnfStyle w:evenHBand="false" w:oddHBand="true" w:firstRow="false"/>
        </w:trPr>
        <w:tc>
          <w:tcPr>
            <w:cnfStyle w:evenVBand="false" w:oddVBand="true" w:firstColumn="false"/>
            <w:tcW w:w="33.333333%" w:type="pct"/>
          </w:tcPr>
          <w:p>
            <w:pPr>
              <w:ind w:leftChars="0" w:left="0" w:right="0"/>
            </w:pPr>
            <w:r>
              <w:t>XIAB</w:t>
            </w:r>
          </w:p>
        </w:tc>
        <w:tc>
          <w:tcPr>
            <w:cnfStyle w:evenVBand="true" w:oddVBand="false" w:firstColumn="false"/>
            <w:tcW w:w="33.333333%" w:type="pct"/>
          </w:tcPr>
          <w:p>
            <w:pPr>
              <w:ind w:leftChars="0" w:left="0" w:right="0"/>
            </w:pPr>
            <w:r>
              <w:t>XIAB</w:t>
            </w:r>
          </w:p>
        </w:tc>
        <w:tc>
          <w:tcPr>
            <w:cnfStyle w:evenVBand="false" w:oddVBand="true" w:firstColumn="false"/>
            <w:tcW w:w="33.333333%" w:type="pct"/>
          </w:tcPr>
          <w:p>
            <w:pPr>
              <w:ind w:leftChars="0" w:left="0" w:right="0"/>
            </w:pPr>
            <w:r>
              <w:t>ISTANBUL GOLD EXCHANGE</w:t>
            </w:r>
          </w:p>
        </w:tc>
      </w:tr>
      <w:tr>
        <w:trPr>
          <w:cnfStyle w:evenHBand="true" w:oddHBand="false" w:firstRow="false"/>
        </w:trPr>
        <w:tc>
          <w:tcPr>
            <w:cnfStyle w:evenVBand="false" w:oddVBand="true" w:firstColumn="false"/>
            <w:tcW w:w="33.333333%" w:type="pct"/>
          </w:tcPr>
          <w:p>
            <w:pPr>
              <w:ind w:leftChars="0" w:left="0" w:right="0"/>
            </w:pPr>
            <w:r>
              <w:t>XIBE</w:t>
            </w:r>
          </w:p>
        </w:tc>
        <w:tc>
          <w:tcPr>
            <w:cnfStyle w:evenVBand="true" w:oddVBand="false" w:firstColumn="false"/>
            <w:tcW w:w="33.333333%" w:type="pct"/>
          </w:tcPr>
          <w:p>
            <w:pPr>
              <w:ind w:leftChars="0" w:left="0" w:right="0"/>
            </w:pPr>
            <w:r>
              <w:t>XIBE</w:t>
            </w:r>
          </w:p>
        </w:tc>
        <w:tc>
          <w:tcPr>
            <w:cnfStyle w:evenVBand="false" w:oddVBand="true" w:firstColumn="false"/>
            <w:tcW w:w="33.333333%" w:type="pct"/>
          </w:tcPr>
          <w:p>
            <w:pPr>
              <w:ind w:leftChars="0" w:left="0" w:right="0"/>
            </w:pPr>
            <w:r>
              <w:t>BAKU INTERBANK CURRENCY EXCHANGE</w:t>
            </w:r>
          </w:p>
        </w:tc>
      </w:tr>
      <w:tr>
        <w:trPr>
          <w:cnfStyle w:evenHBand="false" w:oddHBand="true" w:firstRow="false"/>
        </w:trPr>
        <w:tc>
          <w:tcPr>
            <w:cnfStyle w:evenVBand="false" w:oddVBand="true" w:firstColumn="false"/>
            <w:tcW w:w="33.333333%" w:type="pct"/>
          </w:tcPr>
          <w:p>
            <w:pPr>
              <w:ind w:leftChars="0" w:left="0" w:right="0"/>
            </w:pPr>
            <w:r>
              <w:t>XICB</w:t>
            </w:r>
          </w:p>
        </w:tc>
        <w:tc>
          <w:tcPr>
            <w:cnfStyle w:evenVBand="true" w:oddVBand="false" w:firstColumn="false"/>
            <w:tcW w:w="33.333333%" w:type="pct"/>
          </w:tcPr>
          <w:p>
            <w:pPr>
              <w:ind w:leftChars="0" w:left="0" w:right="0"/>
            </w:pPr>
            <w:r>
              <w:t>XICB</w:t>
            </w:r>
          </w:p>
        </w:tc>
        <w:tc>
          <w:tcPr>
            <w:cnfStyle w:evenVBand="false" w:oddVBand="true" w:firstColumn="false"/>
            <w:tcW w:w="33.333333%" w:type="pct"/>
          </w:tcPr>
          <w:p>
            <w:pPr>
              <w:ind w:leftChars="0" w:left="0" w:right="0"/>
            </w:pPr>
            <w:r>
              <w:t>SIX CORPORATE BONDS AG</w:t>
            </w:r>
          </w:p>
        </w:tc>
      </w:tr>
      <w:tr>
        <w:trPr>
          <w:cnfStyle w:evenHBand="true" w:oddHBand="false" w:firstRow="false"/>
        </w:trPr>
        <w:tc>
          <w:tcPr>
            <w:cnfStyle w:evenVBand="false" w:oddVBand="true" w:firstColumn="false"/>
            <w:tcW w:w="33.333333%" w:type="pct"/>
          </w:tcPr>
          <w:p>
            <w:pPr>
              <w:ind w:leftChars="0" w:left="0" w:right="0"/>
            </w:pPr>
            <w:r>
              <w:t>XICE</w:t>
            </w:r>
          </w:p>
        </w:tc>
        <w:tc>
          <w:tcPr>
            <w:cnfStyle w:evenVBand="true" w:oddVBand="false" w:firstColumn="false"/>
            <w:tcW w:w="33.333333%" w:type="pct"/>
          </w:tcPr>
          <w:p>
            <w:pPr>
              <w:ind w:leftChars="0" w:left="0" w:right="0"/>
            </w:pPr>
            <w:r>
              <w:t>XICE</w:t>
            </w:r>
          </w:p>
        </w:tc>
        <w:tc>
          <w:tcPr>
            <w:cnfStyle w:evenVBand="false" w:oddVBand="true" w:firstColumn="false"/>
            <w:tcW w:w="33.333333%" w:type="pct"/>
          </w:tcPr>
          <w:p>
            <w:pPr>
              <w:ind w:leftChars="0" w:left="0" w:right="0"/>
            </w:pPr>
            <w:r>
              <w:t>NASDAQ ICELAND HF.</w:t>
            </w:r>
          </w:p>
        </w:tc>
      </w:tr>
      <w:tr>
        <w:trPr>
          <w:cnfStyle w:evenHBand="false" w:oddHBand="true" w:firstRow="false"/>
        </w:trPr>
        <w:tc>
          <w:tcPr>
            <w:cnfStyle w:evenVBand="false" w:oddVBand="true" w:firstColumn="false"/>
            <w:tcW w:w="33.333333%" w:type="pct"/>
          </w:tcPr>
          <w:p>
            <w:pPr>
              <w:ind w:leftChars="0" w:left="0" w:right="0"/>
            </w:pPr>
            <w:r>
              <w:t>XICX</w:t>
            </w:r>
          </w:p>
        </w:tc>
        <w:tc>
          <w:tcPr>
            <w:cnfStyle w:evenVBand="true" w:oddVBand="false" w:firstColumn="false"/>
            <w:tcW w:w="33.333333%" w:type="pct"/>
          </w:tcPr>
          <w:p>
            <w:pPr>
              <w:ind w:leftChars="0" w:left="0" w:right="0"/>
            </w:pPr>
            <w:r>
              <w:t>XICX</w:t>
            </w:r>
          </w:p>
        </w:tc>
        <w:tc>
          <w:tcPr>
            <w:cnfStyle w:evenVBand="false" w:oddVBand="true" w:firstColumn="false"/>
            <w:tcW w:w="33.333333%" w:type="pct"/>
          </w:tcPr>
          <w:p>
            <w:pPr>
              <w:ind w:leftChars="0" w:left="0" w:right="0"/>
            </w:pPr>
            <w:r>
              <w:t>INSTINET CANADA CROSS</w:t>
            </w:r>
          </w:p>
        </w:tc>
      </w:tr>
      <w:tr>
        <w:trPr>
          <w:cnfStyle w:evenHBand="true" w:oddHBand="false" w:firstRow="false"/>
        </w:trPr>
        <w:tc>
          <w:tcPr>
            <w:cnfStyle w:evenVBand="false" w:oddVBand="true" w:firstColumn="false"/>
            <w:tcW w:w="33.333333%" w:type="pct"/>
          </w:tcPr>
          <w:p>
            <w:pPr>
              <w:ind w:leftChars="0" w:left="0" w:right="0"/>
            </w:pPr>
            <w:r>
              <w:t>XIDX</w:t>
            </w:r>
          </w:p>
        </w:tc>
        <w:tc>
          <w:tcPr>
            <w:cnfStyle w:evenVBand="true" w:oddVBand="false" w:firstColumn="false"/>
            <w:tcW w:w="33.333333%" w:type="pct"/>
          </w:tcPr>
          <w:p>
            <w:pPr>
              <w:ind w:leftChars="0" w:left="0" w:right="0"/>
            </w:pPr>
            <w:r>
              <w:t>XIDX</w:t>
            </w:r>
          </w:p>
        </w:tc>
        <w:tc>
          <w:tcPr>
            <w:cnfStyle w:evenVBand="false" w:oddVBand="true" w:firstColumn="false"/>
            <w:tcW w:w="33.333333%" w:type="pct"/>
          </w:tcPr>
          <w:p>
            <w:pPr>
              <w:ind w:leftChars="0" w:left="0" w:right="0"/>
            </w:pPr>
            <w:r>
              <w:t>INDONESIA STOCK EXCHANGE</w:t>
            </w:r>
          </w:p>
        </w:tc>
      </w:tr>
      <w:tr>
        <w:trPr>
          <w:cnfStyle w:evenHBand="false" w:oddHBand="true" w:firstRow="false"/>
        </w:trPr>
        <w:tc>
          <w:tcPr>
            <w:cnfStyle w:evenVBand="false" w:oddVBand="true" w:firstColumn="false"/>
            <w:tcW w:w="33.333333%" w:type="pct"/>
          </w:tcPr>
          <w:p>
            <w:pPr>
              <w:ind w:leftChars="0" w:left="0" w:right="0"/>
            </w:pPr>
            <w:r>
              <w:t>XIEL</w:t>
            </w:r>
          </w:p>
        </w:tc>
        <w:tc>
          <w:tcPr>
            <w:cnfStyle w:evenVBand="true" w:oddVBand="false" w:firstColumn="false"/>
            <w:tcW w:w="33.333333%" w:type="pct"/>
          </w:tcPr>
          <w:p>
            <w:pPr>
              <w:ind w:leftChars="0" w:left="0" w:right="0"/>
            </w:pPr>
            <w:r>
              <w:t>XIEL</w:t>
            </w:r>
          </w:p>
        </w:tc>
        <w:tc>
          <w:tcPr>
            <w:cnfStyle w:evenVBand="false" w:oddVBand="true" w:firstColumn="false"/>
            <w:tcW w:w="33.333333%" w:type="pct"/>
          </w:tcPr>
          <w:p>
            <w:pPr>
              <w:ind w:leftChars="0" w:left="0" w:right="0"/>
            </w:pPr>
            <w:r>
              <w:t>INSTINET EUROPE LIMITED</w:t>
            </w:r>
          </w:p>
        </w:tc>
      </w:tr>
      <w:tr>
        <w:trPr>
          <w:cnfStyle w:evenHBand="true" w:oddHBand="false" w:firstRow="false"/>
        </w:trPr>
        <w:tc>
          <w:tcPr>
            <w:cnfStyle w:evenVBand="false" w:oddVBand="true" w:firstColumn="false"/>
            <w:tcW w:w="33.333333%" w:type="pct"/>
          </w:tcPr>
          <w:p>
            <w:pPr>
              <w:ind w:leftChars="0" w:left="0" w:right="0"/>
            </w:pPr>
            <w:r>
              <w:t>XIEX</w:t>
            </w:r>
          </w:p>
        </w:tc>
        <w:tc>
          <w:tcPr>
            <w:cnfStyle w:evenVBand="true" w:oddVBand="false" w:firstColumn="false"/>
            <w:tcW w:w="33.333333%" w:type="pct"/>
          </w:tcPr>
          <w:p>
            <w:pPr>
              <w:ind w:leftChars="0" w:left="0" w:right="0"/>
            </w:pPr>
            <w:r>
              <w:t>XIEX</w:t>
            </w:r>
          </w:p>
        </w:tc>
        <w:tc>
          <w:tcPr>
            <w:cnfStyle w:evenVBand="false" w:oddVBand="true" w:firstColumn="false"/>
            <w:tcW w:w="33.333333%" w:type="pct"/>
          </w:tcPr>
          <w:p>
            <w:pPr>
              <w:ind w:leftChars="0" w:left="0" w:right="0"/>
            </w:pPr>
            <w:r>
              <w:t>IRISH STOCK EXCHANGE - ENTERPRISE SECURITIES MARKET</w:t>
            </w:r>
          </w:p>
        </w:tc>
      </w:tr>
      <w:tr>
        <w:trPr>
          <w:cnfStyle w:evenHBand="false" w:oddHBand="true" w:firstRow="false"/>
        </w:trPr>
        <w:tc>
          <w:tcPr>
            <w:cnfStyle w:evenVBand="false" w:oddVBand="true" w:firstColumn="false"/>
            <w:tcW w:w="33.333333%" w:type="pct"/>
          </w:tcPr>
          <w:p>
            <w:pPr>
              <w:ind w:leftChars="0" w:left="0" w:right="0"/>
            </w:pPr>
            <w:r>
              <w:t>XIGG</w:t>
            </w:r>
          </w:p>
        </w:tc>
        <w:tc>
          <w:tcPr>
            <w:cnfStyle w:evenVBand="true" w:oddVBand="false" w:firstColumn="false"/>
            <w:tcW w:w="33.333333%" w:type="pct"/>
          </w:tcPr>
          <w:p>
            <w:pPr>
              <w:ind w:leftChars="0" w:left="0" w:right="0"/>
            </w:pPr>
            <w:r>
              <w:t>XIGG</w:t>
            </w:r>
          </w:p>
        </w:tc>
        <w:tc>
          <w:tcPr>
            <w:cnfStyle w:evenVBand="false" w:oddVBand="true" w:firstColumn="false"/>
            <w:tcW w:w="33.333333%" w:type="pct"/>
          </w:tcPr>
          <w:p>
            <w:pPr>
              <w:ind w:leftChars="0" w:left="0" w:right="0"/>
            </w:pPr>
            <w:r>
              <w:t>BLOCKMATCH EUROPE</w:t>
            </w:r>
          </w:p>
        </w:tc>
      </w:tr>
      <w:tr>
        <w:trPr>
          <w:cnfStyle w:evenHBand="true" w:oddHBand="false" w:firstRow="false"/>
        </w:trPr>
        <w:tc>
          <w:tcPr>
            <w:cnfStyle w:evenVBand="false" w:oddVBand="true" w:firstColumn="false"/>
            <w:tcW w:w="33.333333%" w:type="pct"/>
          </w:tcPr>
          <w:p>
            <w:pPr>
              <w:ind w:leftChars="0" w:left="0" w:right="0"/>
            </w:pPr>
            <w:r>
              <w:t>XIHK</w:t>
            </w:r>
          </w:p>
        </w:tc>
        <w:tc>
          <w:tcPr>
            <w:cnfStyle w:evenVBand="true" w:oddVBand="false" w:firstColumn="false"/>
            <w:tcW w:w="33.333333%" w:type="pct"/>
          </w:tcPr>
          <w:p>
            <w:pPr>
              <w:ind w:leftChars="0" w:left="0" w:right="0"/>
            </w:pPr>
            <w:r>
              <w:t>XIHK</w:t>
            </w:r>
          </w:p>
        </w:tc>
        <w:tc>
          <w:tcPr>
            <w:cnfStyle w:evenVBand="false" w:oddVBand="true" w:firstColumn="false"/>
            <w:tcW w:w="33.333333%" w:type="pct"/>
          </w:tcPr>
          <w:p>
            <w:pPr>
              <w:ind w:leftChars="0" w:left="0" w:right="0"/>
            </w:pPr>
            <w:r>
              <w:t>INSTINET PACIFIC LTD</w:t>
            </w:r>
          </w:p>
        </w:tc>
      </w:tr>
      <w:tr>
        <w:trPr>
          <w:cnfStyle w:evenHBand="false" w:oddHBand="true" w:firstRow="false"/>
        </w:trPr>
        <w:tc>
          <w:tcPr>
            <w:cnfStyle w:evenVBand="false" w:oddVBand="true" w:firstColumn="false"/>
            <w:tcW w:w="33.333333%" w:type="pct"/>
          </w:tcPr>
          <w:p>
            <w:pPr>
              <w:ind w:leftChars="0" w:left="0" w:right="0"/>
            </w:pPr>
            <w:r>
              <w:t>XIJP</w:t>
            </w:r>
          </w:p>
        </w:tc>
        <w:tc>
          <w:tcPr>
            <w:cnfStyle w:evenVBand="true" w:oddVBand="false" w:firstColumn="false"/>
            <w:tcW w:w="33.333333%" w:type="pct"/>
          </w:tcPr>
          <w:p>
            <w:pPr>
              <w:ind w:leftChars="0" w:left="0" w:right="0"/>
            </w:pPr>
            <w:r>
              <w:t>XIJP</w:t>
            </w:r>
          </w:p>
        </w:tc>
        <w:tc>
          <w:tcPr>
            <w:cnfStyle w:evenVBand="false" w:oddVBand="true" w:firstColumn="false"/>
            <w:tcW w:w="33.333333%" w:type="pct"/>
          </w:tcPr>
          <w:p>
            <w:pPr>
              <w:ind w:leftChars="0" w:left="0" w:right="0"/>
            </w:pPr>
            <w:r>
              <w:t>INSTINET JAPAN</w:t>
            </w:r>
          </w:p>
        </w:tc>
      </w:tr>
      <w:tr>
        <w:trPr>
          <w:cnfStyle w:evenHBand="true" w:oddHBand="false" w:firstRow="false"/>
        </w:trPr>
        <w:tc>
          <w:tcPr>
            <w:cnfStyle w:evenVBand="false" w:oddVBand="true" w:firstColumn="false"/>
            <w:tcW w:w="33.333333%" w:type="pct"/>
          </w:tcPr>
          <w:p>
            <w:pPr>
              <w:ind w:leftChars="0" w:left="0" w:right="0"/>
            </w:pPr>
            <w:r>
              <w:t>XIMA</w:t>
            </w:r>
          </w:p>
        </w:tc>
        <w:tc>
          <w:tcPr>
            <w:cnfStyle w:evenVBand="true" w:oddVBand="false" w:firstColumn="false"/>
            <w:tcW w:w="33.333333%" w:type="pct"/>
          </w:tcPr>
          <w:p>
            <w:pPr>
              <w:ind w:leftChars="0" w:left="0" w:right="0"/>
            </w:pPr>
            <w:r>
              <w:t>XIMA</w:t>
            </w:r>
          </w:p>
        </w:tc>
        <w:tc>
          <w:tcPr>
            <w:cnfStyle w:evenVBand="false" w:oddVBand="true" w:firstColumn="false"/>
            <w:tcW w:w="33.333333%" w:type="pct"/>
          </w:tcPr>
          <w:p>
            <w:pPr>
              <w:ind w:leftChars="0" w:left="0" w:right="0"/>
            </w:pPr>
            <w:r>
              <w:t>INTERNATIONAL MARTIME EXCHANGE</w:t>
            </w:r>
          </w:p>
        </w:tc>
      </w:tr>
      <w:tr>
        <w:trPr>
          <w:cnfStyle w:evenHBand="false" w:oddHBand="true" w:firstRow="false"/>
        </w:trPr>
        <w:tc>
          <w:tcPr>
            <w:cnfStyle w:evenVBand="false" w:oddVBand="true" w:firstColumn="false"/>
            <w:tcW w:w="33.333333%" w:type="pct"/>
          </w:tcPr>
          <w:p>
            <w:pPr>
              <w:ind w:leftChars="0" w:left="0" w:right="0"/>
            </w:pPr>
            <w:r>
              <w:t>XIMC</w:t>
            </w:r>
          </w:p>
        </w:tc>
        <w:tc>
          <w:tcPr>
            <w:cnfStyle w:evenVBand="true" w:oddVBand="false" w:firstColumn="false"/>
            <w:tcW w:w="33.333333%" w:type="pct"/>
          </w:tcPr>
          <w:p>
            <w:pPr>
              <w:ind w:leftChars="0" w:left="0" w:right="0"/>
            </w:pPr>
            <w:r>
              <w:t>XIMC</w:t>
            </w:r>
          </w:p>
        </w:tc>
        <w:tc>
          <w:tcPr>
            <w:cnfStyle w:evenVBand="false" w:oddVBand="true" w:firstColumn="false"/>
            <w:tcW w:w="33.333333%" w:type="pct"/>
          </w:tcPr>
          <w:p>
            <w:pPr>
              <w:ind w:leftChars="0" w:left="0" w:right="0"/>
            </w:pPr>
            <w:r>
              <w:t>MULTI COMMODITY EXCHANGE OF INDIA LTD.</w:t>
            </w:r>
          </w:p>
        </w:tc>
      </w:tr>
      <w:tr>
        <w:trPr>
          <w:cnfStyle w:evenHBand="true" w:oddHBand="false" w:firstRow="false"/>
        </w:trPr>
        <w:tc>
          <w:tcPr>
            <w:cnfStyle w:evenVBand="false" w:oddVBand="true" w:firstColumn="false"/>
            <w:tcW w:w="33.333333%" w:type="pct"/>
          </w:tcPr>
          <w:p>
            <w:pPr>
              <w:ind w:leftChars="0" w:left="0" w:right="0"/>
            </w:pPr>
            <w:r>
              <w:t>XIME</w:t>
            </w:r>
          </w:p>
        </w:tc>
        <w:tc>
          <w:tcPr>
            <w:cnfStyle w:evenVBand="true" w:oddVBand="false" w:firstColumn="false"/>
            <w:tcW w:w="33.333333%" w:type="pct"/>
          </w:tcPr>
          <w:p>
            <w:pPr>
              <w:ind w:leftChars="0" w:left="0" w:right="0"/>
            </w:pPr>
            <w:r>
              <w:t>XIME</w:t>
            </w:r>
          </w:p>
        </w:tc>
        <w:tc>
          <w:tcPr>
            <w:cnfStyle w:evenVBand="false" w:oddVBand="true" w:firstColumn="false"/>
            <w:tcW w:w="33.333333%" w:type="pct"/>
          </w:tcPr>
          <w:p>
            <w:pPr>
              <w:ind w:leftChars="0" w:left="0" w:right="0"/>
            </w:pPr>
            <w:r>
              <w:t>TAIWAN INTERNATIONAL MERCANTILE EXCHANGE</w:t>
            </w:r>
          </w:p>
        </w:tc>
      </w:tr>
      <w:tr>
        <w:trPr>
          <w:cnfStyle w:evenHBand="false" w:oddHBand="true" w:firstRow="false"/>
        </w:trPr>
        <w:tc>
          <w:tcPr>
            <w:cnfStyle w:evenVBand="false" w:oddVBand="true" w:firstColumn="false"/>
            <w:tcW w:w="33.333333%" w:type="pct"/>
          </w:tcPr>
          <w:p>
            <w:pPr>
              <w:ind w:leftChars="0" w:left="0" w:right="0"/>
            </w:pPr>
            <w:r>
              <w:t>XIMM</w:t>
            </w:r>
          </w:p>
        </w:tc>
        <w:tc>
          <w:tcPr>
            <w:cnfStyle w:evenVBand="true" w:oddVBand="false" w:firstColumn="false"/>
            <w:tcW w:w="33.333333%" w:type="pct"/>
          </w:tcPr>
          <w:p>
            <w:pPr>
              <w:ind w:leftChars="0" w:left="0" w:right="0"/>
            </w:pPr>
            <w:r>
              <w:t>XIMM</w:t>
            </w:r>
          </w:p>
        </w:tc>
        <w:tc>
          <w:tcPr>
            <w:cnfStyle w:evenVBand="false" w:oddVBand="true" w:firstColumn="false"/>
            <w:tcW w:w="33.333333%" w:type="pct"/>
          </w:tcPr>
          <w:p>
            <w:pPr>
              <w:ind w:leftChars="0" w:left="0" w:right="0"/>
            </w:pPr>
            <w:r>
              <w:t>INTERNATIONAL MONETARY MARKET</w:t>
            </w:r>
          </w:p>
        </w:tc>
      </w:tr>
      <w:tr>
        <w:trPr>
          <w:cnfStyle w:evenHBand="true" w:oddHBand="false" w:firstRow="false"/>
        </w:trPr>
        <w:tc>
          <w:tcPr>
            <w:cnfStyle w:evenVBand="false" w:oddVBand="true" w:firstColumn="false"/>
            <w:tcW w:w="33.333333%" w:type="pct"/>
          </w:tcPr>
          <w:p>
            <w:pPr>
              <w:ind w:leftChars="0" w:left="0" w:right="0"/>
            </w:pPr>
            <w:r>
              <w:t>XINE</w:t>
            </w:r>
          </w:p>
        </w:tc>
        <w:tc>
          <w:tcPr>
            <w:cnfStyle w:evenVBand="true" w:oddVBand="false" w:firstColumn="false"/>
            <w:tcW w:w="33.333333%" w:type="pct"/>
          </w:tcPr>
          <w:p>
            <w:pPr>
              <w:ind w:leftChars="0" w:left="0" w:right="0"/>
            </w:pPr>
            <w:r>
              <w:t>XINE</w:t>
            </w:r>
          </w:p>
        </w:tc>
        <w:tc>
          <w:tcPr>
            <w:cnfStyle w:evenVBand="false" w:oddVBand="true" w:firstColumn="false"/>
            <w:tcW w:w="33.333333%" w:type="pct"/>
          </w:tcPr>
          <w:p>
            <w:pPr>
              <w:ind w:leftChars="0" w:left="0" w:right="0"/>
            </w:pPr>
            <w:r>
              <w:t>SHANGHAI INTERNATIONAL ENERGY EXCHANGE</w:t>
            </w:r>
          </w:p>
        </w:tc>
      </w:tr>
      <w:tr>
        <w:trPr>
          <w:cnfStyle w:evenHBand="false" w:oddHBand="true" w:firstRow="false"/>
        </w:trPr>
        <w:tc>
          <w:tcPr>
            <w:cnfStyle w:evenVBand="false" w:oddVBand="true" w:firstColumn="false"/>
            <w:tcW w:w="33.333333%" w:type="pct"/>
          </w:tcPr>
          <w:p>
            <w:pPr>
              <w:ind w:leftChars="0" w:left="0" w:right="0"/>
            </w:pPr>
            <w:r>
              <w:t>XINS</w:t>
            </w:r>
          </w:p>
        </w:tc>
        <w:tc>
          <w:tcPr>
            <w:cnfStyle w:evenVBand="true" w:oddVBand="false" w:firstColumn="false"/>
            <w:tcW w:w="33.333333%" w:type="pct"/>
          </w:tcPr>
          <w:p>
            <w:pPr>
              <w:ind w:leftChars="0" w:left="0" w:right="0"/>
            </w:pPr>
            <w:r>
              <w:t>XINS</w:t>
            </w:r>
          </w:p>
        </w:tc>
        <w:tc>
          <w:tcPr>
            <w:cnfStyle w:evenVBand="false" w:oddVBand="true" w:firstColumn="false"/>
            <w:tcW w:w="33.333333%" w:type="pct"/>
          </w:tcPr>
          <w:p>
            <w:pPr>
              <w:ind w:leftChars="0" w:left="0" w:right="0"/>
            </w:pPr>
            <w:r>
              <w:t>INSTINET</w:t>
            </w:r>
          </w:p>
        </w:tc>
      </w:tr>
      <w:tr>
        <w:trPr>
          <w:cnfStyle w:evenHBand="true" w:oddHBand="false" w:firstRow="false"/>
        </w:trPr>
        <w:tc>
          <w:tcPr>
            <w:cnfStyle w:evenVBand="false" w:oddVBand="true" w:firstColumn="false"/>
            <w:tcW w:w="33.333333%" w:type="pct"/>
          </w:tcPr>
          <w:p>
            <w:pPr>
              <w:ind w:leftChars="0" w:left="0" w:right="0"/>
            </w:pPr>
            <w:r>
              <w:t>XINV</w:t>
            </w:r>
          </w:p>
        </w:tc>
        <w:tc>
          <w:tcPr>
            <w:cnfStyle w:evenVBand="true" w:oddVBand="false" w:firstColumn="false"/>
            <w:tcW w:w="33.333333%" w:type="pct"/>
          </w:tcPr>
          <w:p>
            <w:pPr>
              <w:ind w:leftChars="0" w:left="0" w:right="0"/>
            </w:pPr>
            <w:r>
              <w:t>XINV</w:t>
            </w:r>
          </w:p>
        </w:tc>
        <w:tc>
          <w:tcPr>
            <w:cnfStyle w:evenVBand="false" w:oddVBand="true" w:firstColumn="false"/>
            <w:tcW w:w="33.333333%" w:type="pct"/>
          </w:tcPr>
          <w:p>
            <w:pPr>
              <w:ind w:leftChars="0" w:left="0" w:right="0"/>
            </w:pPr>
            <w:r>
              <w:t>INVESTRO</w:t>
            </w:r>
          </w:p>
        </w:tc>
      </w:tr>
      <w:tr>
        <w:trPr>
          <w:cnfStyle w:evenHBand="false" w:oddHBand="true" w:firstRow="false"/>
        </w:trPr>
        <w:tc>
          <w:tcPr>
            <w:cnfStyle w:evenVBand="false" w:oddVBand="true" w:firstColumn="false"/>
            <w:tcW w:w="33.333333%" w:type="pct"/>
          </w:tcPr>
          <w:p>
            <w:pPr>
              <w:ind w:leftChars="0" w:left="0" w:right="0"/>
            </w:pPr>
            <w:r>
              <w:t>XIOM</w:t>
            </w:r>
          </w:p>
        </w:tc>
        <w:tc>
          <w:tcPr>
            <w:cnfStyle w:evenVBand="true" w:oddVBand="false" w:firstColumn="false"/>
            <w:tcW w:w="33.333333%" w:type="pct"/>
          </w:tcPr>
          <w:p>
            <w:pPr>
              <w:ind w:leftChars="0" w:left="0" w:right="0"/>
            </w:pPr>
            <w:r>
              <w:t>XIOM</w:t>
            </w:r>
          </w:p>
        </w:tc>
        <w:tc>
          <w:tcPr>
            <w:cnfStyle w:evenVBand="false" w:oddVBand="true" w:firstColumn="false"/>
            <w:tcW w:w="33.333333%" w:type="pct"/>
          </w:tcPr>
          <w:p>
            <w:pPr>
              <w:ind w:leftChars="0" w:left="0" w:right="0"/>
            </w:pPr>
            <w:r>
              <w:t>INDEX AND OPTIONS MARKET</w:t>
            </w:r>
          </w:p>
        </w:tc>
      </w:tr>
      <w:tr>
        <w:trPr>
          <w:cnfStyle w:evenHBand="true" w:oddHBand="false" w:firstRow="false"/>
        </w:trPr>
        <w:tc>
          <w:tcPr>
            <w:cnfStyle w:evenVBand="false" w:oddVBand="true" w:firstColumn="false"/>
            <w:tcW w:w="33.333333%" w:type="pct"/>
          </w:tcPr>
          <w:p>
            <w:pPr>
              <w:ind w:leftChars="0" w:left="0" w:right="0"/>
            </w:pPr>
            <w:r>
              <w:t>XIPE</w:t>
            </w:r>
          </w:p>
        </w:tc>
        <w:tc>
          <w:tcPr>
            <w:cnfStyle w:evenVBand="true" w:oddVBand="false" w:firstColumn="false"/>
            <w:tcW w:w="33.333333%" w:type="pct"/>
          </w:tcPr>
          <w:p>
            <w:pPr>
              <w:ind w:leftChars="0" w:left="0" w:right="0"/>
            </w:pPr>
            <w:r>
              <w:t>XIPE</w:t>
            </w:r>
          </w:p>
        </w:tc>
        <w:tc>
          <w:tcPr>
            <w:cnfStyle w:evenVBand="false" w:oddVBand="true" w:firstColumn="false"/>
            <w:tcW w:w="33.333333%" w:type="pct"/>
          </w:tcPr>
          <w:p>
            <w:pPr>
              <w:ind w:leftChars="0" w:left="0" w:right="0"/>
            </w:pPr>
            <w:r>
              <w:t>INTERNATIONAL PETROLEUM EXCHANGE</w:t>
            </w:r>
          </w:p>
        </w:tc>
      </w:tr>
      <w:tr>
        <w:trPr>
          <w:cnfStyle w:evenHBand="false" w:oddHBand="true" w:firstRow="false"/>
        </w:trPr>
        <w:tc>
          <w:tcPr>
            <w:cnfStyle w:evenVBand="false" w:oddVBand="true" w:firstColumn="false"/>
            <w:tcW w:w="33.333333%" w:type="pct"/>
          </w:tcPr>
          <w:p>
            <w:pPr>
              <w:ind w:leftChars="0" w:left="0" w:right="0"/>
            </w:pPr>
            <w:r>
              <w:t>XIPO</w:t>
            </w:r>
          </w:p>
        </w:tc>
        <w:tc>
          <w:tcPr>
            <w:cnfStyle w:evenVBand="true" w:oddVBand="false" w:firstColumn="false"/>
            <w:tcW w:w="33.333333%" w:type="pct"/>
          </w:tcPr>
          <w:p>
            <w:pPr>
              <w:ind w:leftChars="0" w:left="0" w:right="0"/>
            </w:pPr>
            <w:r>
              <w:t>XIPO</w:t>
            </w:r>
          </w:p>
        </w:tc>
        <w:tc>
          <w:tcPr>
            <w:cnfStyle w:evenVBand="false" w:oddVBand="true" w:firstColumn="false"/>
            <w:tcW w:w="33.333333%" w:type="pct"/>
          </w:tcPr>
          <w:p>
            <w:pPr>
              <w:ind w:leftChars="0" w:left="0" w:right="0"/>
            </w:pPr>
            <w:r>
              <w:t>HELEX ELECTRONIC BOOK BUILDING</w:t>
            </w:r>
          </w:p>
        </w:tc>
      </w:tr>
      <w:tr>
        <w:trPr>
          <w:cnfStyle w:evenHBand="true" w:oddHBand="false" w:firstRow="false"/>
        </w:trPr>
        <w:tc>
          <w:tcPr>
            <w:cnfStyle w:evenVBand="false" w:oddVBand="true" w:firstColumn="false"/>
            <w:tcW w:w="33.333333%" w:type="pct"/>
          </w:tcPr>
          <w:p>
            <w:pPr>
              <w:ind w:leftChars="0" w:left="0" w:right="0"/>
            </w:pPr>
            <w:r>
              <w:t>XIQS</w:t>
            </w:r>
          </w:p>
        </w:tc>
        <w:tc>
          <w:tcPr>
            <w:cnfStyle w:evenVBand="true" w:oddVBand="false" w:firstColumn="false"/>
            <w:tcW w:w="33.333333%" w:type="pct"/>
          </w:tcPr>
          <w:p>
            <w:pPr>
              <w:ind w:leftChars="0" w:left="0" w:right="0"/>
            </w:pPr>
            <w:r>
              <w:t>XIQS</w:t>
            </w:r>
          </w:p>
        </w:tc>
        <w:tc>
          <w:tcPr>
            <w:cnfStyle w:evenVBand="false" w:oddVBand="true" w:firstColumn="false"/>
            <w:tcW w:w="33.333333%" w:type="pct"/>
          </w:tcPr>
          <w:p>
            <w:pPr>
              <w:ind w:leftChars="0" w:left="0" w:right="0"/>
            </w:pPr>
            <w:r>
              <w:t>IRAQ STOCK EXCHANGE</w:t>
            </w:r>
          </w:p>
        </w:tc>
      </w:tr>
      <w:tr>
        <w:trPr>
          <w:cnfStyle w:evenHBand="false" w:oddHBand="true" w:firstRow="false"/>
        </w:trPr>
        <w:tc>
          <w:tcPr>
            <w:cnfStyle w:evenVBand="false" w:oddVBand="true" w:firstColumn="false"/>
            <w:tcW w:w="33.333333%" w:type="pct"/>
          </w:tcPr>
          <w:p>
            <w:pPr>
              <w:ind w:leftChars="0" w:left="0" w:right="0"/>
            </w:pPr>
            <w:r>
              <w:t>XISA</w:t>
            </w:r>
          </w:p>
        </w:tc>
        <w:tc>
          <w:tcPr>
            <w:cnfStyle w:evenVBand="true" w:oddVBand="false" w:firstColumn="false"/>
            <w:tcW w:w="33.333333%" w:type="pct"/>
          </w:tcPr>
          <w:p>
            <w:pPr>
              <w:ind w:leftChars="0" w:left="0" w:right="0"/>
            </w:pPr>
            <w:r>
              <w:t>XISA</w:t>
            </w:r>
          </w:p>
        </w:tc>
        <w:tc>
          <w:tcPr>
            <w:cnfStyle w:evenVBand="false" w:oddVBand="true" w:firstColumn="false"/>
            <w:tcW w:w="33.333333%" w:type="pct"/>
          </w:tcPr>
          <w:p>
            <w:pPr>
              <w:ind w:leftChars="0" w:left="0" w:right="0"/>
            </w:pPr>
            <w:r>
              <w:t>INTERNATIONAL SECURITIES EXCHANGE, LLC -  ALTERNATIVE MARKETS</w:t>
            </w:r>
          </w:p>
        </w:tc>
      </w:tr>
      <w:tr>
        <w:trPr>
          <w:cnfStyle w:evenHBand="true" w:oddHBand="false" w:firstRow="false"/>
        </w:trPr>
        <w:tc>
          <w:tcPr>
            <w:cnfStyle w:evenVBand="false" w:oddVBand="true" w:firstColumn="false"/>
            <w:tcW w:w="33.333333%" w:type="pct"/>
          </w:tcPr>
          <w:p>
            <w:pPr>
              <w:ind w:leftChars="0" w:left="0" w:right="0"/>
            </w:pPr>
            <w:r>
              <w:t>XISE</w:t>
            </w:r>
          </w:p>
        </w:tc>
        <w:tc>
          <w:tcPr>
            <w:cnfStyle w:evenVBand="true" w:oddVBand="false" w:firstColumn="false"/>
            <w:tcW w:w="33.333333%" w:type="pct"/>
          </w:tcPr>
          <w:p>
            <w:pPr>
              <w:ind w:leftChars="0" w:left="0" w:right="0"/>
            </w:pPr>
            <w:r>
              <w:t>XISE</w:t>
            </w:r>
          </w:p>
        </w:tc>
        <w:tc>
          <w:tcPr>
            <w:cnfStyle w:evenVBand="false" w:oddVBand="true" w:firstColumn="false"/>
            <w:tcW w:w="33.333333%" w:type="pct"/>
          </w:tcPr>
          <w:p>
            <w:pPr>
              <w:ind w:leftChars="0" w:left="0" w:right="0"/>
            </w:pPr>
            <w:r>
              <w:t>INTERNATIONAL SECURITIES EXCHANGE, LLC - EQUITIES</w:t>
            </w:r>
          </w:p>
        </w:tc>
      </w:tr>
      <w:tr>
        <w:trPr>
          <w:cnfStyle w:evenHBand="false" w:oddHBand="true" w:firstRow="false"/>
        </w:trPr>
        <w:tc>
          <w:tcPr>
            <w:cnfStyle w:evenVBand="false" w:oddVBand="true" w:firstColumn="false"/>
            <w:tcW w:w="33.333333%" w:type="pct"/>
          </w:tcPr>
          <w:p>
            <w:pPr>
              <w:ind w:leftChars="0" w:left="0" w:right="0"/>
            </w:pPr>
            <w:r>
              <w:t>XISL</w:t>
            </w:r>
          </w:p>
        </w:tc>
        <w:tc>
          <w:tcPr>
            <w:cnfStyle w:evenVBand="true" w:oddVBand="false" w:firstColumn="false"/>
            <w:tcW w:w="33.333333%" w:type="pct"/>
          </w:tcPr>
          <w:p>
            <w:pPr>
              <w:ind w:leftChars="0" w:left="0" w:right="0"/>
            </w:pPr>
            <w:r>
              <w:t>XISL</w:t>
            </w:r>
          </w:p>
        </w:tc>
        <w:tc>
          <w:tcPr>
            <w:cnfStyle w:evenVBand="false" w:oddVBand="true" w:firstColumn="false"/>
            <w:tcW w:w="33.333333%" w:type="pct"/>
          </w:tcPr>
          <w:p>
            <w:pPr>
              <w:ind w:leftChars="0" w:left="0" w:right="0"/>
            </w:pPr>
            <w:r>
              <w:t>ISLAMABAD STOCK EXCHANGE</w:t>
            </w:r>
          </w:p>
        </w:tc>
      </w:tr>
      <w:tr>
        <w:trPr>
          <w:cnfStyle w:evenHBand="true" w:oddHBand="false" w:firstRow="false"/>
        </w:trPr>
        <w:tc>
          <w:tcPr>
            <w:cnfStyle w:evenVBand="false" w:oddVBand="true" w:firstColumn="false"/>
            <w:tcW w:w="33.333333%" w:type="pct"/>
          </w:tcPr>
          <w:p>
            <w:pPr>
              <w:ind w:leftChars="0" w:left="0" w:right="0"/>
            </w:pPr>
            <w:r>
              <w:t>XIST</w:t>
            </w:r>
          </w:p>
        </w:tc>
        <w:tc>
          <w:tcPr>
            <w:cnfStyle w:evenVBand="true" w:oddVBand="false" w:firstColumn="false"/>
            <w:tcW w:w="33.333333%" w:type="pct"/>
          </w:tcPr>
          <w:p>
            <w:pPr>
              <w:ind w:leftChars="0" w:left="0" w:right="0"/>
            </w:pPr>
            <w:r>
              <w:t>XIST</w:t>
            </w:r>
          </w:p>
        </w:tc>
        <w:tc>
          <w:tcPr>
            <w:cnfStyle w:evenVBand="false" w:oddVBand="true" w:firstColumn="false"/>
            <w:tcW w:w="33.333333%" w:type="pct"/>
          </w:tcPr>
          <w:p>
            <w:pPr>
              <w:ind w:leftChars="0" w:left="0" w:right="0"/>
            </w:pPr>
            <w:r>
              <w:t>BORSA ISTANBUL</w:t>
            </w:r>
          </w:p>
        </w:tc>
      </w:tr>
      <w:tr>
        <w:trPr>
          <w:cnfStyle w:evenHBand="false" w:oddHBand="true" w:firstRow="false"/>
        </w:trPr>
        <w:tc>
          <w:tcPr>
            <w:cnfStyle w:evenVBand="false" w:oddVBand="true" w:firstColumn="false"/>
            <w:tcW w:w="33.333333%" w:type="pct"/>
          </w:tcPr>
          <w:p>
            <w:pPr>
              <w:ind w:leftChars="0" w:left="0" w:right="0"/>
            </w:pPr>
            <w:r>
              <w:t>XISX</w:t>
            </w:r>
          </w:p>
        </w:tc>
        <w:tc>
          <w:tcPr>
            <w:cnfStyle w:evenVBand="true" w:oddVBand="false" w:firstColumn="false"/>
            <w:tcW w:w="33.333333%" w:type="pct"/>
          </w:tcPr>
          <w:p>
            <w:pPr>
              <w:ind w:leftChars="0" w:left="0" w:right="0"/>
            </w:pPr>
            <w:r>
              <w:t>XISX</w:t>
            </w:r>
          </w:p>
        </w:tc>
        <w:tc>
          <w:tcPr>
            <w:cnfStyle w:evenVBand="false" w:oddVBand="true" w:firstColumn="false"/>
            <w:tcW w:w="33.333333%" w:type="pct"/>
          </w:tcPr>
          <w:p>
            <w:pPr>
              <w:ind w:leftChars="0" w:left="0" w:right="0"/>
            </w:pPr>
            <w:r>
              <w:t>INTERNATIONAL SECURITIES EXCHANGE, LLC</w:t>
            </w:r>
          </w:p>
        </w:tc>
      </w:tr>
      <w:tr>
        <w:trPr>
          <w:cnfStyle w:evenHBand="true" w:oddHBand="false" w:firstRow="false"/>
        </w:trPr>
        <w:tc>
          <w:tcPr>
            <w:cnfStyle w:evenVBand="false" w:oddVBand="true" w:firstColumn="false"/>
            <w:tcW w:w="33.333333%" w:type="pct"/>
          </w:tcPr>
          <w:p>
            <w:pPr>
              <w:ind w:leftChars="0" w:left="0" w:right="0"/>
            </w:pPr>
            <w:r>
              <w:t>XJAM</w:t>
            </w:r>
          </w:p>
        </w:tc>
        <w:tc>
          <w:tcPr>
            <w:cnfStyle w:evenVBand="true" w:oddVBand="false" w:firstColumn="false"/>
            <w:tcW w:w="33.333333%" w:type="pct"/>
          </w:tcPr>
          <w:p>
            <w:pPr>
              <w:ind w:leftChars="0" w:left="0" w:right="0"/>
            </w:pPr>
            <w:r>
              <w:t>XJAM</w:t>
            </w:r>
          </w:p>
        </w:tc>
        <w:tc>
          <w:tcPr>
            <w:cnfStyle w:evenVBand="false" w:oddVBand="true" w:firstColumn="false"/>
            <w:tcW w:w="33.333333%" w:type="pct"/>
          </w:tcPr>
          <w:p>
            <w:pPr>
              <w:ind w:leftChars="0" w:left="0" w:right="0"/>
            </w:pPr>
            <w:r>
              <w:t>JAMAICA STOCK EXCHANGE</w:t>
            </w:r>
          </w:p>
        </w:tc>
      </w:tr>
      <w:tr>
        <w:trPr>
          <w:cnfStyle w:evenHBand="false" w:oddHBand="true" w:firstRow="false"/>
        </w:trPr>
        <w:tc>
          <w:tcPr>
            <w:cnfStyle w:evenVBand="false" w:oddVBand="true" w:firstColumn="false"/>
            <w:tcW w:w="33.333333%" w:type="pct"/>
          </w:tcPr>
          <w:p>
            <w:pPr>
              <w:ind w:leftChars="0" w:left="0" w:right="0"/>
            </w:pPr>
            <w:r>
              <w:t>XJAS</w:t>
            </w:r>
          </w:p>
        </w:tc>
        <w:tc>
          <w:tcPr>
            <w:cnfStyle w:evenVBand="true" w:oddVBand="false" w:firstColumn="false"/>
            <w:tcW w:w="33.333333%" w:type="pct"/>
          </w:tcPr>
          <w:p>
            <w:pPr>
              <w:ind w:leftChars="0" w:left="0" w:right="0"/>
            </w:pPr>
            <w:r>
              <w:t>XJAS</w:t>
            </w:r>
          </w:p>
        </w:tc>
        <w:tc>
          <w:tcPr>
            <w:cnfStyle w:evenVBand="false" w:oddVBand="true" w:firstColumn="false"/>
            <w:tcW w:w="33.333333%" w:type="pct"/>
          </w:tcPr>
          <w:p>
            <w:pPr>
              <w:ind w:leftChars="0" w:left="0" w:right="0"/>
            </w:pPr>
            <w:r>
              <w:t>TOKYO STOCK EXCHANGE JASDAQ</w:t>
            </w:r>
          </w:p>
        </w:tc>
      </w:tr>
      <w:tr>
        <w:trPr>
          <w:cnfStyle w:evenHBand="true" w:oddHBand="false" w:firstRow="false"/>
        </w:trPr>
        <w:tc>
          <w:tcPr>
            <w:cnfStyle w:evenVBand="false" w:oddVBand="true" w:firstColumn="false"/>
            <w:tcW w:w="33.333333%" w:type="pct"/>
          </w:tcPr>
          <w:p>
            <w:pPr>
              <w:ind w:leftChars="0" w:left="0" w:right="0"/>
            </w:pPr>
            <w:r>
              <w:t>XJKT</w:t>
            </w:r>
          </w:p>
        </w:tc>
        <w:tc>
          <w:tcPr>
            <w:cnfStyle w:evenVBand="true" w:oddVBand="false" w:firstColumn="false"/>
            <w:tcW w:w="33.333333%" w:type="pct"/>
          </w:tcPr>
          <w:p>
            <w:pPr>
              <w:ind w:leftChars="0" w:left="0" w:right="0"/>
            </w:pPr>
            <w:r>
              <w:t>XJKT</w:t>
            </w:r>
          </w:p>
        </w:tc>
        <w:tc>
          <w:tcPr>
            <w:cnfStyle w:evenVBand="false" w:oddVBand="true" w:firstColumn="false"/>
            <w:tcW w:w="33.333333%" w:type="pct"/>
          </w:tcPr>
          <w:p>
            <w:pPr>
              <w:ind w:leftChars="0" w:left="0" w:right="0"/>
            </w:pPr>
            <w:r>
              <w:t>JAKARTA STOCK EXCHANGE</w:t>
            </w:r>
          </w:p>
        </w:tc>
      </w:tr>
      <w:tr>
        <w:trPr>
          <w:cnfStyle w:evenHBand="false" w:oddHBand="true" w:firstRow="false"/>
        </w:trPr>
        <w:tc>
          <w:tcPr>
            <w:cnfStyle w:evenVBand="false" w:oddVBand="true" w:firstColumn="false"/>
            <w:tcW w:w="33.333333%" w:type="pct"/>
          </w:tcPr>
          <w:p>
            <w:pPr>
              <w:ind w:leftChars="0" w:left="0" w:right="0"/>
            </w:pPr>
            <w:r>
              <w:t>XJNB</w:t>
            </w:r>
          </w:p>
        </w:tc>
        <w:tc>
          <w:tcPr>
            <w:cnfStyle w:evenVBand="true" w:oddVBand="false" w:firstColumn="false"/>
            <w:tcW w:w="33.333333%" w:type="pct"/>
          </w:tcPr>
          <w:p>
            <w:pPr>
              <w:ind w:leftChars="0" w:left="0" w:right="0"/>
            </w:pPr>
            <w:r>
              <w:t>XJNB</w:t>
            </w:r>
          </w:p>
        </w:tc>
        <w:tc>
          <w:tcPr>
            <w:cnfStyle w:evenVBand="false" w:oddVBand="true" w:firstColumn="false"/>
            <w:tcW w:w="33.333333%" w:type="pct"/>
          </w:tcPr>
          <w:p>
            <w:pPr>
              <w:ind w:leftChars="0" w:left="0" w:right="0"/>
            </w:pPr>
            <w:r>
              <w:t>JAKARTA NEGOTIATED BOARD</w:t>
            </w:r>
          </w:p>
        </w:tc>
      </w:tr>
      <w:tr>
        <w:trPr>
          <w:cnfStyle w:evenHBand="true" w:oddHBand="false" w:firstRow="false"/>
        </w:trPr>
        <w:tc>
          <w:tcPr>
            <w:cnfStyle w:evenVBand="false" w:oddVBand="true" w:firstColumn="false"/>
            <w:tcW w:w="33.333333%" w:type="pct"/>
          </w:tcPr>
          <w:p>
            <w:pPr>
              <w:ind w:leftChars="0" w:left="0" w:right="0"/>
            </w:pPr>
            <w:r>
              <w:t>XJPX</w:t>
            </w:r>
          </w:p>
        </w:tc>
        <w:tc>
          <w:tcPr>
            <w:cnfStyle w:evenVBand="true" w:oddVBand="false" w:firstColumn="false"/>
            <w:tcW w:w="33.333333%" w:type="pct"/>
          </w:tcPr>
          <w:p>
            <w:pPr>
              <w:ind w:leftChars="0" w:left="0" w:right="0"/>
            </w:pPr>
            <w:r>
              <w:t>XJPX</w:t>
            </w:r>
          </w:p>
        </w:tc>
        <w:tc>
          <w:tcPr>
            <w:cnfStyle w:evenVBand="false" w:oddVBand="true" w:firstColumn="false"/>
            <w:tcW w:w="33.333333%" w:type="pct"/>
          </w:tcPr>
          <w:p>
            <w:pPr>
              <w:ind w:leftChars="0" w:left="0" w:right="0"/>
            </w:pPr>
            <w:r>
              <w:t>JAPAN EXCHANGE GROUP</w:t>
            </w:r>
          </w:p>
        </w:tc>
      </w:tr>
      <w:tr>
        <w:trPr>
          <w:cnfStyle w:evenHBand="false" w:oddHBand="true" w:firstRow="false"/>
        </w:trPr>
        <w:tc>
          <w:tcPr>
            <w:cnfStyle w:evenVBand="false" w:oddVBand="true" w:firstColumn="false"/>
            <w:tcW w:w="33.333333%" w:type="pct"/>
          </w:tcPr>
          <w:p>
            <w:pPr>
              <w:ind w:leftChars="0" w:left="0" w:right="0"/>
            </w:pPr>
            <w:r>
              <w:t>XJSE</w:t>
            </w:r>
          </w:p>
        </w:tc>
        <w:tc>
          <w:tcPr>
            <w:cnfStyle w:evenVBand="true" w:oddVBand="false" w:firstColumn="false"/>
            <w:tcW w:w="33.333333%" w:type="pct"/>
          </w:tcPr>
          <w:p>
            <w:pPr>
              <w:ind w:leftChars="0" w:left="0" w:right="0"/>
            </w:pPr>
            <w:r>
              <w:t>XJSE</w:t>
            </w:r>
          </w:p>
        </w:tc>
        <w:tc>
          <w:tcPr>
            <w:cnfStyle w:evenVBand="false" w:oddVBand="true" w:firstColumn="false"/>
            <w:tcW w:w="33.333333%" w:type="pct"/>
          </w:tcPr>
          <w:p>
            <w:pPr>
              <w:ind w:leftChars="0" w:left="0" w:right="0"/>
            </w:pPr>
            <w:r>
              <w:t>JOHANNESBURG STOCK EXCHANGE</w:t>
            </w:r>
          </w:p>
        </w:tc>
      </w:tr>
      <w:tr>
        <w:trPr>
          <w:cnfStyle w:evenHBand="true" w:oddHBand="false" w:firstRow="false"/>
        </w:trPr>
        <w:tc>
          <w:tcPr>
            <w:cnfStyle w:evenVBand="false" w:oddVBand="true" w:firstColumn="false"/>
            <w:tcW w:w="33.333333%" w:type="pct"/>
          </w:tcPr>
          <w:p>
            <w:pPr>
              <w:ind w:leftChars="0" w:left="0" w:right="0"/>
            </w:pPr>
            <w:r>
              <w:t>XJWY</w:t>
            </w:r>
          </w:p>
        </w:tc>
        <w:tc>
          <w:tcPr>
            <w:cnfStyle w:evenVBand="true" w:oddVBand="false" w:firstColumn="false"/>
            <w:tcW w:w="33.333333%" w:type="pct"/>
          </w:tcPr>
          <w:p>
            <w:pPr>
              <w:ind w:leftChars="0" w:left="0" w:right="0"/>
            </w:pPr>
            <w:r>
              <w:t>XJWY</w:t>
            </w:r>
          </w:p>
        </w:tc>
        <w:tc>
          <w:tcPr>
            <w:cnfStyle w:evenVBand="false" w:oddVBand="true" w:firstColumn="false"/>
            <w:tcW w:w="33.333333%" w:type="pct"/>
          </w:tcPr>
          <w:p>
            <w:pPr>
              <w:ind w:leftChars="0" w:left="0" w:right="0"/>
            </w:pPr>
            <w:r>
              <w:t>JIWAY EXCHANGE LTD</w:t>
            </w:r>
          </w:p>
        </w:tc>
      </w:tr>
      <w:tr>
        <w:trPr>
          <w:cnfStyle w:evenHBand="false" w:oddHBand="true" w:firstRow="false"/>
        </w:trPr>
        <w:tc>
          <w:tcPr>
            <w:cnfStyle w:evenVBand="false" w:oddVBand="true" w:firstColumn="false"/>
            <w:tcW w:w="33.333333%" w:type="pct"/>
          </w:tcPr>
          <w:p>
            <w:pPr>
              <w:ind w:leftChars="0" w:left="0" w:right="0"/>
            </w:pPr>
            <w:r>
              <w:t>XKAC</w:t>
            </w:r>
          </w:p>
        </w:tc>
        <w:tc>
          <w:tcPr>
            <w:cnfStyle w:evenVBand="true" w:oddVBand="false" w:firstColumn="false"/>
            <w:tcW w:w="33.333333%" w:type="pct"/>
          </w:tcPr>
          <w:p>
            <w:pPr>
              <w:ind w:leftChars="0" w:left="0" w:right="0"/>
            </w:pPr>
            <w:r>
              <w:t>XKAC</w:t>
            </w:r>
          </w:p>
        </w:tc>
        <w:tc>
          <w:tcPr>
            <w:cnfStyle w:evenVBand="false" w:oddVBand="true" w:firstColumn="false"/>
            <w:tcW w:w="33.333333%" w:type="pct"/>
          </w:tcPr>
          <w:p>
            <w:pPr>
              <w:ind w:leftChars="0" w:left="0" w:right="0"/>
            </w:pPr>
            <w:r>
              <w:t>OSAKA DOJIMA COMMODITY EXCHANGE</w:t>
            </w:r>
          </w:p>
        </w:tc>
      </w:tr>
      <w:tr>
        <w:trPr>
          <w:cnfStyle w:evenHBand="true" w:oddHBand="false" w:firstRow="false"/>
        </w:trPr>
        <w:tc>
          <w:tcPr>
            <w:cnfStyle w:evenVBand="false" w:oddVBand="true" w:firstColumn="false"/>
            <w:tcW w:w="33.333333%" w:type="pct"/>
          </w:tcPr>
          <w:p>
            <w:pPr>
              <w:ind w:leftChars="0" w:left="0" w:right="0"/>
            </w:pPr>
            <w:r>
              <w:t>XKAR</w:t>
            </w:r>
          </w:p>
        </w:tc>
        <w:tc>
          <w:tcPr>
            <w:cnfStyle w:evenVBand="true" w:oddVBand="false" w:firstColumn="false"/>
            <w:tcW w:w="33.333333%" w:type="pct"/>
          </w:tcPr>
          <w:p>
            <w:pPr>
              <w:ind w:leftChars="0" w:left="0" w:right="0"/>
            </w:pPr>
            <w:r>
              <w:t>XKAR</w:t>
            </w:r>
          </w:p>
        </w:tc>
        <w:tc>
          <w:tcPr>
            <w:cnfStyle w:evenVBand="false" w:oddVBand="true" w:firstColumn="false"/>
            <w:tcW w:w="33.333333%" w:type="pct"/>
          </w:tcPr>
          <w:p>
            <w:pPr>
              <w:ind w:leftChars="0" w:left="0" w:right="0"/>
            </w:pPr>
            <w:r>
              <w:t>THE PAKISTAN STOCK EXCHANGE LIMITED</w:t>
            </w:r>
          </w:p>
        </w:tc>
      </w:tr>
      <w:tr>
        <w:trPr>
          <w:cnfStyle w:evenHBand="false" w:oddHBand="true" w:firstRow="false"/>
        </w:trPr>
        <w:tc>
          <w:tcPr>
            <w:cnfStyle w:evenVBand="false" w:oddVBand="true" w:firstColumn="false"/>
            <w:tcW w:w="33.333333%" w:type="pct"/>
          </w:tcPr>
          <w:p>
            <w:pPr>
              <w:ind w:leftChars="0" w:left="0" w:right="0"/>
            </w:pPr>
            <w:r>
              <w:t>XKAZ</w:t>
            </w:r>
          </w:p>
        </w:tc>
        <w:tc>
          <w:tcPr>
            <w:cnfStyle w:evenVBand="true" w:oddVBand="false" w:firstColumn="false"/>
            <w:tcW w:w="33.333333%" w:type="pct"/>
          </w:tcPr>
          <w:p>
            <w:pPr>
              <w:ind w:leftChars="0" w:left="0" w:right="0"/>
            </w:pPr>
            <w:r>
              <w:t>XKAZ</w:t>
            </w:r>
          </w:p>
        </w:tc>
        <w:tc>
          <w:tcPr>
            <w:cnfStyle w:evenVBand="false" w:oddVBand="true" w:firstColumn="false"/>
            <w:tcW w:w="33.333333%" w:type="pct"/>
          </w:tcPr>
          <w:p>
            <w:pPr>
              <w:ind w:leftChars="0" w:left="0" w:right="0"/>
            </w:pPr>
            <w:r>
              <w:t>KAZAKHSTAN STOCK EXCHANGE</w:t>
            </w:r>
          </w:p>
        </w:tc>
      </w:tr>
      <w:tr>
        <w:trPr>
          <w:cnfStyle w:evenHBand="true" w:oddHBand="false" w:firstRow="false"/>
        </w:trPr>
        <w:tc>
          <w:tcPr>
            <w:cnfStyle w:evenVBand="false" w:oddVBand="true" w:firstColumn="false"/>
            <w:tcW w:w="33.333333%" w:type="pct"/>
          </w:tcPr>
          <w:p>
            <w:pPr>
              <w:ind w:leftChars="0" w:left="0" w:right="0"/>
            </w:pPr>
            <w:r>
              <w:t>XKBT</w:t>
            </w:r>
          </w:p>
        </w:tc>
        <w:tc>
          <w:tcPr>
            <w:cnfStyle w:evenVBand="true" w:oddVBand="false" w:firstColumn="false"/>
            <w:tcW w:w="33.333333%" w:type="pct"/>
          </w:tcPr>
          <w:p>
            <w:pPr>
              <w:ind w:leftChars="0" w:left="0" w:right="0"/>
            </w:pPr>
            <w:r>
              <w:t>XKBT</w:t>
            </w:r>
          </w:p>
        </w:tc>
        <w:tc>
          <w:tcPr>
            <w:cnfStyle w:evenVBand="false" w:oddVBand="true" w:firstColumn="false"/>
            <w:tcW w:w="33.333333%" w:type="pct"/>
          </w:tcPr>
          <w:p>
            <w:pPr>
              <w:ind w:leftChars="0" w:left="0" w:right="0"/>
            </w:pPr>
            <w:r>
              <w:t>KANSAS CITY BOARD OF TRADE</w:t>
            </w:r>
          </w:p>
        </w:tc>
      </w:tr>
      <w:tr>
        <w:trPr>
          <w:cnfStyle w:evenHBand="false" w:oddHBand="true" w:firstRow="false"/>
        </w:trPr>
        <w:tc>
          <w:tcPr>
            <w:cnfStyle w:evenVBand="false" w:oddVBand="true" w:firstColumn="false"/>
            <w:tcW w:w="33.333333%" w:type="pct"/>
          </w:tcPr>
          <w:p>
            <w:pPr>
              <w:ind w:leftChars="0" w:left="0" w:right="0"/>
            </w:pPr>
            <w:r>
              <w:t>XKCE</w:t>
            </w:r>
          </w:p>
        </w:tc>
        <w:tc>
          <w:tcPr>
            <w:cnfStyle w:evenVBand="true" w:oddVBand="false" w:firstColumn="false"/>
            <w:tcW w:w="33.333333%" w:type="pct"/>
          </w:tcPr>
          <w:p>
            <w:pPr>
              <w:ind w:leftChars="0" w:left="0" w:right="0"/>
            </w:pPr>
            <w:r>
              <w:t>XKCE</w:t>
            </w:r>
          </w:p>
        </w:tc>
        <w:tc>
          <w:tcPr>
            <w:cnfStyle w:evenVBand="false" w:oddVBand="true" w:firstColumn="false"/>
            <w:tcW w:w="33.333333%" w:type="pct"/>
          </w:tcPr>
          <w:p>
            <w:pPr>
              <w:ind w:leftChars="0" w:left="0" w:right="0"/>
            </w:pPr>
            <w:r>
              <w:t>KHOREZM INTERREGION COMMODITY EXCHANGE</w:t>
            </w:r>
          </w:p>
        </w:tc>
      </w:tr>
      <w:tr>
        <w:trPr>
          <w:cnfStyle w:evenHBand="true" w:oddHBand="false" w:firstRow="false"/>
        </w:trPr>
        <w:tc>
          <w:tcPr>
            <w:cnfStyle w:evenVBand="false" w:oddVBand="true" w:firstColumn="false"/>
            <w:tcW w:w="33.333333%" w:type="pct"/>
          </w:tcPr>
          <w:p>
            <w:pPr>
              <w:ind w:leftChars="0" w:left="0" w:right="0"/>
            </w:pPr>
            <w:r>
              <w:t>XKCM</w:t>
            </w:r>
          </w:p>
        </w:tc>
        <w:tc>
          <w:tcPr>
            <w:cnfStyle w:evenVBand="true" w:oddVBand="false" w:firstColumn="false"/>
            <w:tcW w:w="33.333333%" w:type="pct"/>
          </w:tcPr>
          <w:p>
            <w:pPr>
              <w:ind w:leftChars="0" w:left="0" w:right="0"/>
            </w:pPr>
            <w:r>
              <w:t>XKCM</w:t>
            </w:r>
          </w:p>
        </w:tc>
        <w:tc>
          <w:tcPr>
            <w:cnfStyle w:evenVBand="false" w:oddVBand="true" w:firstColumn="false"/>
            <w:tcW w:w="33.333333%" w:type="pct"/>
          </w:tcPr>
          <w:p>
            <w:pPr>
              <w:ind w:leftChars="0" w:left="0" w:right="0"/>
            </w:pPr>
            <w:r>
              <w:t>KOREA EXCHANGE COMMODITY MARKET</w:t>
            </w:r>
          </w:p>
        </w:tc>
      </w:tr>
      <w:tr>
        <w:trPr>
          <w:cnfStyle w:evenHBand="false" w:oddHBand="true" w:firstRow="false"/>
        </w:trPr>
        <w:tc>
          <w:tcPr>
            <w:cnfStyle w:evenVBand="false" w:oddVBand="true" w:firstColumn="false"/>
            <w:tcW w:w="33.333333%" w:type="pct"/>
          </w:tcPr>
          <w:p>
            <w:pPr>
              <w:ind w:leftChars="0" w:left="0" w:right="0"/>
            </w:pPr>
            <w:r>
              <w:t>XKEM</w:t>
            </w:r>
          </w:p>
        </w:tc>
        <w:tc>
          <w:tcPr>
            <w:cnfStyle w:evenVBand="true" w:oddVBand="false" w:firstColumn="false"/>
            <w:tcW w:w="33.333333%" w:type="pct"/>
          </w:tcPr>
          <w:p>
            <w:pPr>
              <w:ind w:leftChars="0" w:left="0" w:right="0"/>
            </w:pPr>
            <w:r>
              <w:t>XKEM</w:t>
            </w:r>
          </w:p>
        </w:tc>
        <w:tc>
          <w:tcPr>
            <w:cnfStyle w:evenVBand="false" w:oddVBand="true" w:firstColumn="false"/>
            <w:tcW w:w="33.333333%" w:type="pct"/>
          </w:tcPr>
          <w:p>
            <w:pPr>
              <w:ind w:leftChars="0" w:left="0" w:right="0"/>
            </w:pPr>
            <w:r>
              <w:t>KOREA EXCHANGE EMISSIONS MARKET</w:t>
            </w:r>
          </w:p>
        </w:tc>
      </w:tr>
      <w:tr>
        <w:trPr>
          <w:cnfStyle w:evenHBand="true" w:oddHBand="false" w:firstRow="false"/>
        </w:trPr>
        <w:tc>
          <w:tcPr>
            <w:cnfStyle w:evenVBand="false" w:oddVBand="true" w:firstColumn="false"/>
            <w:tcW w:w="33.333333%" w:type="pct"/>
          </w:tcPr>
          <w:p>
            <w:pPr>
              <w:ind w:leftChars="0" w:left="0" w:right="0"/>
            </w:pPr>
            <w:r>
              <w:t>XKFB</w:t>
            </w:r>
          </w:p>
        </w:tc>
        <w:tc>
          <w:tcPr>
            <w:cnfStyle w:evenVBand="true" w:oddVBand="false" w:firstColumn="false"/>
            <w:tcW w:w="33.333333%" w:type="pct"/>
          </w:tcPr>
          <w:p>
            <w:pPr>
              <w:ind w:leftChars="0" w:left="0" w:right="0"/>
            </w:pPr>
            <w:r>
              <w:t>XKFB</w:t>
            </w:r>
          </w:p>
        </w:tc>
        <w:tc>
          <w:tcPr>
            <w:cnfStyle w:evenVBand="false" w:oddVBand="true" w:firstColumn="false"/>
            <w:tcW w:w="33.333333%" w:type="pct"/>
          </w:tcPr>
          <w:p>
            <w:pPr>
              <w:ind w:leftChars="0" w:left="0" w:right="0"/>
            </w:pPr>
            <w:r>
              <w:t>KOREA FREEBOARD MARKET</w:t>
            </w:r>
          </w:p>
        </w:tc>
      </w:tr>
      <w:tr>
        <w:trPr>
          <w:cnfStyle w:evenHBand="false" w:oddHBand="true" w:firstRow="false"/>
        </w:trPr>
        <w:tc>
          <w:tcPr>
            <w:cnfStyle w:evenVBand="false" w:oddVBand="true" w:firstColumn="false"/>
            <w:tcW w:w="33.333333%" w:type="pct"/>
          </w:tcPr>
          <w:p>
            <w:pPr>
              <w:ind w:leftChars="0" w:left="0" w:right="0"/>
            </w:pPr>
            <w:r>
              <w:t>XKFE</w:t>
            </w:r>
          </w:p>
        </w:tc>
        <w:tc>
          <w:tcPr>
            <w:cnfStyle w:evenVBand="true" w:oddVBand="false" w:firstColumn="false"/>
            <w:tcW w:w="33.333333%" w:type="pct"/>
          </w:tcPr>
          <w:p>
            <w:pPr>
              <w:ind w:leftChars="0" w:left="0" w:right="0"/>
            </w:pPr>
            <w:r>
              <w:t>XKFE</w:t>
            </w:r>
          </w:p>
        </w:tc>
        <w:tc>
          <w:tcPr>
            <w:cnfStyle w:evenVBand="false" w:oddVBand="true" w:firstColumn="false"/>
            <w:tcW w:w="33.333333%" w:type="pct"/>
          </w:tcPr>
          <w:p>
            <w:pPr>
              <w:ind w:leftChars="0" w:left="0" w:right="0"/>
            </w:pPr>
            <w:r>
              <w:t>KOREA EXCHANGE (FUTURES MARKET)</w:t>
            </w:r>
          </w:p>
        </w:tc>
      </w:tr>
      <w:tr>
        <w:trPr>
          <w:cnfStyle w:evenHBand="true" w:oddHBand="false" w:firstRow="false"/>
        </w:trPr>
        <w:tc>
          <w:tcPr>
            <w:cnfStyle w:evenVBand="false" w:oddVBand="true" w:firstColumn="false"/>
            <w:tcW w:w="33.333333%" w:type="pct"/>
          </w:tcPr>
          <w:p>
            <w:pPr>
              <w:ind w:leftChars="0" w:left="0" w:right="0"/>
            </w:pPr>
            <w:r>
              <w:t>XKGT</w:t>
            </w:r>
          </w:p>
        </w:tc>
        <w:tc>
          <w:tcPr>
            <w:cnfStyle w:evenVBand="true" w:oddVBand="false" w:firstColumn="false"/>
            <w:tcW w:w="33.333333%" w:type="pct"/>
          </w:tcPr>
          <w:p>
            <w:pPr>
              <w:ind w:leftChars="0" w:left="0" w:right="0"/>
            </w:pPr>
            <w:r>
              <w:t>XKGT</w:t>
            </w:r>
          </w:p>
        </w:tc>
        <w:tc>
          <w:tcPr>
            <w:cnfStyle w:evenVBand="false" w:oddVBand="true" w:firstColumn="false"/>
            <w:tcW w:w="33.333333%" w:type="pct"/>
          </w:tcPr>
          <w:p>
            <w:pPr>
              <w:ind w:leftChars="0" w:left="0" w:right="0"/>
            </w:pPr>
            <w:r>
              <w:t>KOBE GOMU TORIHIKIJO (RUBBER EXCHANGE)</w:t>
            </w:r>
          </w:p>
        </w:tc>
      </w:tr>
      <w:tr>
        <w:trPr>
          <w:cnfStyle w:evenHBand="false" w:oddHBand="true" w:firstRow="false"/>
        </w:trPr>
        <w:tc>
          <w:tcPr>
            <w:cnfStyle w:evenVBand="false" w:oddVBand="true" w:firstColumn="false"/>
            <w:tcW w:w="33.333333%" w:type="pct"/>
          </w:tcPr>
          <w:p>
            <w:pPr>
              <w:ind w:leftChars="0" w:left="0" w:right="0"/>
            </w:pPr>
            <w:r>
              <w:t>XKHA</w:t>
            </w:r>
          </w:p>
        </w:tc>
        <w:tc>
          <w:tcPr>
            <w:cnfStyle w:evenVBand="true" w:oddVBand="false" w:firstColumn="false"/>
            <w:tcW w:w="33.333333%" w:type="pct"/>
          </w:tcPr>
          <w:p>
            <w:pPr>
              <w:ind w:leftChars="0" w:left="0" w:right="0"/>
            </w:pPr>
            <w:r>
              <w:t>XKHA</w:t>
            </w:r>
          </w:p>
        </w:tc>
        <w:tc>
          <w:tcPr>
            <w:cnfStyle w:evenVBand="false" w:oddVBand="true" w:firstColumn="false"/>
            <w:tcW w:w="33.333333%" w:type="pct"/>
          </w:tcPr>
          <w:p>
            <w:pPr>
              <w:ind w:leftChars="0" w:left="0" w:right="0"/>
            </w:pPr>
            <w:r>
              <w:t>KHARTOUM STOCK EXCHANGE</w:t>
            </w:r>
          </w:p>
        </w:tc>
      </w:tr>
      <w:tr>
        <w:trPr>
          <w:cnfStyle w:evenHBand="true" w:oddHBand="false" w:firstRow="false"/>
        </w:trPr>
        <w:tc>
          <w:tcPr>
            <w:cnfStyle w:evenVBand="false" w:oddVBand="true" w:firstColumn="false"/>
            <w:tcW w:w="33.333333%" w:type="pct"/>
          </w:tcPr>
          <w:p>
            <w:pPr>
              <w:ind w:leftChars="0" w:left="0" w:right="0"/>
            </w:pPr>
            <w:r>
              <w:t>XKHR</w:t>
            </w:r>
          </w:p>
        </w:tc>
        <w:tc>
          <w:tcPr>
            <w:cnfStyle w:evenVBand="true" w:oddVBand="false" w:firstColumn="false"/>
            <w:tcW w:w="33.333333%" w:type="pct"/>
          </w:tcPr>
          <w:p>
            <w:pPr>
              <w:ind w:leftChars="0" w:left="0" w:right="0"/>
            </w:pPr>
            <w:r>
              <w:t>XKHR</w:t>
            </w:r>
          </w:p>
        </w:tc>
        <w:tc>
          <w:tcPr>
            <w:cnfStyle w:evenVBand="false" w:oddVBand="true" w:firstColumn="false"/>
            <w:tcW w:w="33.333333%" w:type="pct"/>
          </w:tcPr>
          <w:p>
            <w:pPr>
              <w:ind w:leftChars="0" w:left="0" w:right="0"/>
            </w:pPr>
            <w:r>
              <w:t>KHARKOV COMMODITY EXCHANGE</w:t>
            </w:r>
          </w:p>
        </w:tc>
      </w:tr>
      <w:tr>
        <w:trPr>
          <w:cnfStyle w:evenHBand="false" w:oddHBand="true" w:firstRow="false"/>
        </w:trPr>
        <w:tc>
          <w:tcPr>
            <w:cnfStyle w:evenVBand="false" w:oddVBand="true" w:firstColumn="false"/>
            <w:tcW w:w="33.333333%" w:type="pct"/>
          </w:tcPr>
          <w:p>
            <w:pPr>
              <w:ind w:leftChars="0" w:left="0" w:right="0"/>
            </w:pPr>
            <w:r>
              <w:t>XKIE</w:t>
            </w:r>
          </w:p>
        </w:tc>
        <w:tc>
          <w:tcPr>
            <w:cnfStyle w:evenVBand="true" w:oddVBand="false" w:firstColumn="false"/>
            <w:tcW w:w="33.333333%" w:type="pct"/>
          </w:tcPr>
          <w:p>
            <w:pPr>
              <w:ind w:leftChars="0" w:left="0" w:right="0"/>
            </w:pPr>
            <w:r>
              <w:t>XKIE</w:t>
            </w:r>
          </w:p>
        </w:tc>
        <w:tc>
          <w:tcPr>
            <w:cnfStyle w:evenVBand="false" w:oddVBand="true" w:firstColumn="false"/>
            <w:tcW w:w="33.333333%" w:type="pct"/>
          </w:tcPr>
          <w:p>
            <w:pPr>
              <w:ind w:leftChars="0" w:left="0" w:right="0"/>
            </w:pPr>
            <w:r>
              <w:t>KIEV UNIVERSAL EXCHANGE</w:t>
            </w:r>
          </w:p>
        </w:tc>
      </w:tr>
      <w:tr>
        <w:trPr>
          <w:cnfStyle w:evenHBand="true" w:oddHBand="false" w:firstRow="false"/>
        </w:trPr>
        <w:tc>
          <w:tcPr>
            <w:cnfStyle w:evenVBand="false" w:oddVBand="true" w:firstColumn="false"/>
            <w:tcW w:w="33.333333%" w:type="pct"/>
          </w:tcPr>
          <w:p>
            <w:pPr>
              <w:ind w:leftChars="0" w:left="0" w:right="0"/>
            </w:pPr>
            <w:r>
              <w:t>XKIS</w:t>
            </w:r>
          </w:p>
        </w:tc>
        <w:tc>
          <w:tcPr>
            <w:cnfStyle w:evenVBand="true" w:oddVBand="false" w:firstColumn="false"/>
            <w:tcW w:w="33.333333%" w:type="pct"/>
          </w:tcPr>
          <w:p>
            <w:pPr>
              <w:ind w:leftChars="0" w:left="0" w:right="0"/>
            </w:pPr>
            <w:r>
              <w:t>XKIS</w:t>
            </w:r>
          </w:p>
        </w:tc>
        <w:tc>
          <w:tcPr>
            <w:cnfStyle w:evenVBand="false" w:oddVBand="true" w:firstColumn="false"/>
            <w:tcW w:w="33.333333%" w:type="pct"/>
          </w:tcPr>
          <w:p>
            <w:pPr>
              <w:ind w:leftChars="0" w:left="0" w:right="0"/>
            </w:pPr>
            <w:r>
              <w:t>KIEV INTERNATIONAL STOCK EXCHANGE</w:t>
            </w:r>
          </w:p>
        </w:tc>
      </w:tr>
      <w:tr>
        <w:trPr>
          <w:cnfStyle w:evenHBand="false" w:oddHBand="true" w:firstRow="false"/>
        </w:trPr>
        <w:tc>
          <w:tcPr>
            <w:cnfStyle w:evenVBand="false" w:oddVBand="true" w:firstColumn="false"/>
            <w:tcW w:w="33.333333%" w:type="pct"/>
          </w:tcPr>
          <w:p>
            <w:pPr>
              <w:ind w:leftChars="0" w:left="0" w:right="0"/>
            </w:pPr>
            <w:r>
              <w:t>XKKT</w:t>
            </w:r>
          </w:p>
        </w:tc>
        <w:tc>
          <w:tcPr>
            <w:cnfStyle w:evenVBand="true" w:oddVBand="false" w:firstColumn="false"/>
            <w:tcW w:w="33.333333%" w:type="pct"/>
          </w:tcPr>
          <w:p>
            <w:pPr>
              <w:ind w:leftChars="0" w:left="0" w:right="0"/>
            </w:pPr>
            <w:r>
              <w:t>XKKT</w:t>
            </w:r>
          </w:p>
        </w:tc>
        <w:tc>
          <w:tcPr>
            <w:cnfStyle w:evenVBand="false" w:oddVBand="true" w:firstColumn="false"/>
            <w:tcW w:w="33.333333%" w:type="pct"/>
          </w:tcPr>
          <w:p>
            <w:pPr>
              <w:ind w:leftChars="0" w:left="0" w:right="0"/>
            </w:pPr>
            <w:r>
              <w:t>KOBE KIITO TORIHIKIJO (RAW SILK EXCHANGE)</w:t>
            </w:r>
          </w:p>
        </w:tc>
      </w:tr>
      <w:tr>
        <w:trPr>
          <w:cnfStyle w:evenHBand="true" w:oddHBand="false" w:firstRow="false"/>
        </w:trPr>
        <w:tc>
          <w:tcPr>
            <w:cnfStyle w:evenVBand="false" w:oddVBand="true" w:firstColumn="false"/>
            <w:tcW w:w="33.333333%" w:type="pct"/>
          </w:tcPr>
          <w:p>
            <w:pPr>
              <w:ind w:leftChars="0" w:left="0" w:right="0"/>
            </w:pPr>
            <w:r>
              <w:t>XKLS</w:t>
            </w:r>
          </w:p>
        </w:tc>
        <w:tc>
          <w:tcPr>
            <w:cnfStyle w:evenVBand="true" w:oddVBand="false" w:firstColumn="false"/>
            <w:tcW w:w="33.333333%" w:type="pct"/>
          </w:tcPr>
          <w:p>
            <w:pPr>
              <w:ind w:leftChars="0" w:left="0" w:right="0"/>
            </w:pPr>
            <w:r>
              <w:t>XKLS</w:t>
            </w:r>
          </w:p>
        </w:tc>
        <w:tc>
          <w:tcPr>
            <w:cnfStyle w:evenVBand="false" w:oddVBand="true" w:firstColumn="false"/>
            <w:tcW w:w="33.333333%" w:type="pct"/>
          </w:tcPr>
          <w:p>
            <w:pPr>
              <w:ind w:leftChars="0" w:left="0" w:right="0"/>
            </w:pPr>
            <w:r>
              <w:t>BURSA MALAYSIA</w:t>
            </w:r>
          </w:p>
        </w:tc>
      </w:tr>
      <w:tr>
        <w:trPr>
          <w:cnfStyle w:evenHBand="false" w:oddHBand="true" w:firstRow="false"/>
        </w:trPr>
        <w:tc>
          <w:tcPr>
            <w:cnfStyle w:evenVBand="false" w:oddVBand="true" w:firstColumn="false"/>
            <w:tcW w:w="33.333333%" w:type="pct"/>
          </w:tcPr>
          <w:p>
            <w:pPr>
              <w:ind w:leftChars="0" w:left="0" w:right="0"/>
            </w:pPr>
            <w:r>
              <w:t>XKON</w:t>
            </w:r>
          </w:p>
        </w:tc>
        <w:tc>
          <w:tcPr>
            <w:cnfStyle w:evenVBand="true" w:oddVBand="false" w:firstColumn="false"/>
            <w:tcW w:w="33.333333%" w:type="pct"/>
          </w:tcPr>
          <w:p>
            <w:pPr>
              <w:ind w:leftChars="0" w:left="0" w:right="0"/>
            </w:pPr>
            <w:r>
              <w:t>XKON</w:t>
            </w:r>
          </w:p>
        </w:tc>
        <w:tc>
          <w:tcPr>
            <w:cnfStyle w:evenVBand="false" w:oddVBand="true" w:firstColumn="false"/>
            <w:tcW w:w="33.333333%" w:type="pct"/>
          </w:tcPr>
          <w:p>
            <w:pPr>
              <w:ind w:leftChars="0" w:left="0" w:right="0"/>
            </w:pPr>
            <w:r>
              <w:t>KOREA NEW EXCHANGE</w:t>
            </w:r>
          </w:p>
        </w:tc>
      </w:tr>
      <w:tr>
        <w:trPr>
          <w:cnfStyle w:evenHBand="true" w:oddHBand="false" w:firstRow="false"/>
        </w:trPr>
        <w:tc>
          <w:tcPr>
            <w:cnfStyle w:evenVBand="false" w:oddVBand="true" w:firstColumn="false"/>
            <w:tcW w:w="33.333333%" w:type="pct"/>
          </w:tcPr>
          <w:p>
            <w:pPr>
              <w:ind w:leftChars="0" w:left="0" w:right="0"/>
            </w:pPr>
            <w:r>
              <w:t>XKOR</w:t>
            </w:r>
          </w:p>
        </w:tc>
        <w:tc>
          <w:tcPr>
            <w:cnfStyle w:evenVBand="true" w:oddVBand="false" w:firstColumn="false"/>
            <w:tcW w:w="33.333333%" w:type="pct"/>
          </w:tcPr>
          <w:p>
            <w:pPr>
              <w:ind w:leftChars="0" w:left="0" w:right="0"/>
            </w:pPr>
            <w:r>
              <w:t>XKOR</w:t>
            </w:r>
          </w:p>
        </w:tc>
        <w:tc>
          <w:tcPr>
            <w:cnfStyle w:evenVBand="false" w:oddVBand="true" w:firstColumn="false"/>
            <w:tcW w:w="33.333333%" w:type="pct"/>
          </w:tcPr>
          <w:p>
            <w:pPr>
              <w:ind w:leftChars="0" w:left="0" w:right="0"/>
            </w:pPr>
            <w:r>
              <w:t>KOREA STOCK EXCHANGE</w:t>
            </w:r>
          </w:p>
        </w:tc>
      </w:tr>
      <w:tr>
        <w:trPr>
          <w:cnfStyle w:evenHBand="false" w:oddHBand="true" w:firstRow="false"/>
        </w:trPr>
        <w:tc>
          <w:tcPr>
            <w:cnfStyle w:evenVBand="false" w:oddVBand="true" w:firstColumn="false"/>
            <w:tcW w:w="33.333333%" w:type="pct"/>
          </w:tcPr>
          <w:p>
            <w:pPr>
              <w:ind w:leftChars="0" w:left="0" w:right="0"/>
            </w:pPr>
            <w:r>
              <w:t>XKOS</w:t>
            </w:r>
          </w:p>
        </w:tc>
        <w:tc>
          <w:tcPr>
            <w:cnfStyle w:evenVBand="true" w:oddVBand="false" w:firstColumn="false"/>
            <w:tcW w:w="33.333333%" w:type="pct"/>
          </w:tcPr>
          <w:p>
            <w:pPr>
              <w:ind w:leftChars="0" w:left="0" w:right="0"/>
            </w:pPr>
            <w:r>
              <w:t>XKOS</w:t>
            </w:r>
          </w:p>
        </w:tc>
        <w:tc>
          <w:tcPr>
            <w:cnfStyle w:evenVBand="false" w:oddVBand="true" w:firstColumn="false"/>
            <w:tcW w:w="33.333333%" w:type="pct"/>
          </w:tcPr>
          <w:p>
            <w:pPr>
              <w:ind w:leftChars="0" w:left="0" w:right="0"/>
            </w:pPr>
            <w:r>
              <w:t>KOREA EXCHANGE (KOSDAQ)</w:t>
            </w:r>
          </w:p>
        </w:tc>
      </w:tr>
      <w:tr>
        <w:trPr>
          <w:cnfStyle w:evenHBand="true" w:oddHBand="false" w:firstRow="false"/>
        </w:trPr>
        <w:tc>
          <w:tcPr>
            <w:cnfStyle w:evenVBand="false" w:oddVBand="true" w:firstColumn="false"/>
            <w:tcW w:w="33.333333%" w:type="pct"/>
          </w:tcPr>
          <w:p>
            <w:pPr>
              <w:ind w:leftChars="0" w:left="0" w:right="0"/>
            </w:pPr>
            <w:r>
              <w:t>XKRX</w:t>
            </w:r>
          </w:p>
        </w:tc>
        <w:tc>
          <w:tcPr>
            <w:cnfStyle w:evenVBand="true" w:oddVBand="false" w:firstColumn="false"/>
            <w:tcW w:w="33.333333%" w:type="pct"/>
          </w:tcPr>
          <w:p>
            <w:pPr>
              <w:ind w:leftChars="0" w:left="0" w:right="0"/>
            </w:pPr>
            <w:r>
              <w:t>XKRX</w:t>
            </w:r>
          </w:p>
        </w:tc>
        <w:tc>
          <w:tcPr>
            <w:cnfStyle w:evenVBand="false" w:oddVBand="true" w:firstColumn="false"/>
            <w:tcW w:w="33.333333%" w:type="pct"/>
          </w:tcPr>
          <w:p>
            <w:pPr>
              <w:ind w:leftChars="0" w:left="0" w:right="0"/>
            </w:pPr>
            <w:r>
              <w:t>KOREA EXCHANGE (STOCK MARKET)</w:t>
            </w:r>
          </w:p>
        </w:tc>
      </w:tr>
      <w:tr>
        <w:trPr>
          <w:cnfStyle w:evenHBand="false" w:oddHBand="true" w:firstRow="false"/>
        </w:trPr>
        <w:tc>
          <w:tcPr>
            <w:cnfStyle w:evenVBand="false" w:oddVBand="true" w:firstColumn="false"/>
            <w:tcW w:w="33.333333%" w:type="pct"/>
          </w:tcPr>
          <w:p>
            <w:pPr>
              <w:ind w:leftChars="0" w:left="0" w:right="0"/>
            </w:pPr>
            <w:r>
              <w:t>XKSE</w:t>
            </w:r>
          </w:p>
        </w:tc>
        <w:tc>
          <w:tcPr>
            <w:cnfStyle w:evenVBand="true" w:oddVBand="false" w:firstColumn="false"/>
            <w:tcW w:w="33.333333%" w:type="pct"/>
          </w:tcPr>
          <w:p>
            <w:pPr>
              <w:ind w:leftChars="0" w:left="0" w:right="0"/>
            </w:pPr>
            <w:r>
              <w:t>XKSE</w:t>
            </w:r>
          </w:p>
        </w:tc>
        <w:tc>
          <w:tcPr>
            <w:cnfStyle w:evenVBand="false" w:oddVBand="true" w:firstColumn="false"/>
            <w:tcW w:w="33.333333%" w:type="pct"/>
          </w:tcPr>
          <w:p>
            <w:pPr>
              <w:ind w:leftChars="0" w:left="0" w:right="0"/>
            </w:pPr>
            <w:r>
              <w:t>KYRGYZ STOCK EXCHANGE</w:t>
            </w:r>
          </w:p>
        </w:tc>
      </w:tr>
      <w:tr>
        <w:trPr>
          <w:cnfStyle w:evenHBand="true" w:oddHBand="false" w:firstRow="false"/>
        </w:trPr>
        <w:tc>
          <w:tcPr>
            <w:cnfStyle w:evenVBand="false" w:oddVBand="true" w:firstColumn="false"/>
            <w:tcW w:w="33.333333%" w:type="pct"/>
          </w:tcPr>
          <w:p>
            <w:pPr>
              <w:ind w:leftChars="0" w:left="0" w:right="0"/>
            </w:pPr>
            <w:r>
              <w:t>XKST</w:t>
            </w:r>
          </w:p>
        </w:tc>
        <w:tc>
          <w:tcPr>
            <w:cnfStyle w:evenVBand="true" w:oddVBand="false" w:firstColumn="false"/>
            <w:tcW w:w="33.333333%" w:type="pct"/>
          </w:tcPr>
          <w:p>
            <w:pPr>
              <w:ind w:leftChars="0" w:left="0" w:right="0"/>
            </w:pPr>
            <w:r>
              <w:t>XKST</w:t>
            </w:r>
          </w:p>
        </w:tc>
        <w:tc>
          <w:tcPr>
            <w:cnfStyle w:evenVBand="false" w:oddVBand="true" w:firstColumn="false"/>
            <w:tcW w:w="33.333333%" w:type="pct"/>
          </w:tcPr>
          <w:p>
            <w:pPr>
              <w:ind w:leftChars="0" w:left="0" w:right="0"/>
            </w:pPr>
            <w:r>
              <w:t>KANMON SHOHIN TORIHIKIJO (COMMODITY EXCHANGE)</w:t>
            </w:r>
          </w:p>
        </w:tc>
      </w:tr>
      <w:tr>
        <w:trPr>
          <w:cnfStyle w:evenHBand="false" w:oddHBand="true" w:firstRow="false"/>
        </w:trPr>
        <w:tc>
          <w:tcPr>
            <w:cnfStyle w:evenVBand="false" w:oddVBand="true" w:firstColumn="false"/>
            <w:tcW w:w="33.333333%" w:type="pct"/>
          </w:tcPr>
          <w:p>
            <w:pPr>
              <w:ind w:leftChars="0" w:left="0" w:right="0"/>
            </w:pPr>
            <w:r>
              <w:t>XKUW</w:t>
            </w:r>
          </w:p>
        </w:tc>
        <w:tc>
          <w:tcPr>
            <w:cnfStyle w:evenVBand="true" w:oddVBand="false" w:firstColumn="false"/>
            <w:tcW w:w="33.333333%" w:type="pct"/>
          </w:tcPr>
          <w:p>
            <w:pPr>
              <w:ind w:leftChars="0" w:left="0" w:right="0"/>
            </w:pPr>
            <w:r>
              <w:t>XKUW</w:t>
            </w:r>
          </w:p>
        </w:tc>
        <w:tc>
          <w:tcPr>
            <w:cnfStyle w:evenVBand="false" w:oddVBand="true" w:firstColumn="false"/>
            <w:tcW w:w="33.333333%" w:type="pct"/>
          </w:tcPr>
          <w:p>
            <w:pPr>
              <w:ind w:leftChars="0" w:left="0" w:right="0"/>
            </w:pPr>
            <w:r>
              <w:t>KUWAIT STOCK EXCHANGE</w:t>
            </w:r>
          </w:p>
        </w:tc>
      </w:tr>
      <w:tr>
        <w:trPr>
          <w:cnfStyle w:evenHBand="true" w:oddHBand="false" w:firstRow="false"/>
        </w:trPr>
        <w:tc>
          <w:tcPr>
            <w:cnfStyle w:evenVBand="false" w:oddVBand="true" w:firstColumn="false"/>
            <w:tcW w:w="33.333333%" w:type="pct"/>
          </w:tcPr>
          <w:p>
            <w:pPr>
              <w:ind w:leftChars="0" w:left="0" w:right="0"/>
            </w:pPr>
            <w:r>
              <w:t>XKYO</w:t>
            </w:r>
          </w:p>
        </w:tc>
        <w:tc>
          <w:tcPr>
            <w:cnfStyle w:evenVBand="true" w:oddVBand="false" w:firstColumn="false"/>
            <w:tcW w:w="33.333333%" w:type="pct"/>
          </w:tcPr>
          <w:p>
            <w:pPr>
              <w:ind w:leftChars="0" w:left="0" w:right="0"/>
            </w:pPr>
            <w:r>
              <w:t>XKYO</w:t>
            </w:r>
          </w:p>
        </w:tc>
        <w:tc>
          <w:tcPr>
            <w:cnfStyle w:evenVBand="false" w:oddVBand="true" w:firstColumn="false"/>
            <w:tcW w:w="33.333333%" w:type="pct"/>
          </w:tcPr>
          <w:p>
            <w:pPr>
              <w:ind w:leftChars="0" w:left="0" w:right="0"/>
            </w:pPr>
            <w:r>
              <w:t>KYOTO STOCK EXCHANGE</w:t>
            </w:r>
          </w:p>
        </w:tc>
      </w:tr>
      <w:tr>
        <w:trPr>
          <w:cnfStyle w:evenHBand="false" w:oddHBand="true" w:firstRow="false"/>
        </w:trPr>
        <w:tc>
          <w:tcPr>
            <w:cnfStyle w:evenVBand="false" w:oddVBand="true" w:firstColumn="false"/>
            <w:tcW w:w="33.333333%" w:type="pct"/>
          </w:tcPr>
          <w:p>
            <w:pPr>
              <w:ind w:leftChars="0" w:left="0" w:right="0"/>
            </w:pPr>
            <w:r>
              <w:t>XLAH</w:t>
            </w:r>
          </w:p>
        </w:tc>
        <w:tc>
          <w:tcPr>
            <w:cnfStyle w:evenVBand="true" w:oddVBand="false" w:firstColumn="false"/>
            <w:tcW w:w="33.333333%" w:type="pct"/>
          </w:tcPr>
          <w:p>
            <w:pPr>
              <w:ind w:leftChars="0" w:left="0" w:right="0"/>
            </w:pPr>
            <w:r>
              <w:t>XLAH</w:t>
            </w:r>
          </w:p>
        </w:tc>
        <w:tc>
          <w:tcPr>
            <w:cnfStyle w:evenVBand="false" w:oddVBand="true" w:firstColumn="false"/>
            <w:tcW w:w="33.333333%" w:type="pct"/>
          </w:tcPr>
          <w:p>
            <w:pPr>
              <w:ind w:leftChars="0" w:left="0" w:right="0"/>
            </w:pPr>
            <w:r>
              <w:t>LAHORE STOCK EXCHANGE</w:t>
            </w:r>
          </w:p>
        </w:tc>
      </w:tr>
      <w:tr>
        <w:trPr>
          <w:cnfStyle w:evenHBand="true" w:oddHBand="false" w:firstRow="false"/>
        </w:trPr>
        <w:tc>
          <w:tcPr>
            <w:cnfStyle w:evenVBand="false" w:oddVBand="true" w:firstColumn="false"/>
            <w:tcW w:w="33.333333%" w:type="pct"/>
          </w:tcPr>
          <w:p>
            <w:pPr>
              <w:ind w:leftChars="0" w:left="0" w:right="0"/>
            </w:pPr>
            <w:r>
              <w:t>XLAO</w:t>
            </w:r>
          </w:p>
        </w:tc>
        <w:tc>
          <w:tcPr>
            <w:cnfStyle w:evenVBand="true" w:oddVBand="false" w:firstColumn="false"/>
            <w:tcW w:w="33.333333%" w:type="pct"/>
          </w:tcPr>
          <w:p>
            <w:pPr>
              <w:ind w:leftChars="0" w:left="0" w:right="0"/>
            </w:pPr>
            <w:r>
              <w:t>XLAO</w:t>
            </w:r>
          </w:p>
        </w:tc>
        <w:tc>
          <w:tcPr>
            <w:cnfStyle w:evenVBand="false" w:oddVBand="true" w:firstColumn="false"/>
            <w:tcW w:w="33.333333%" w:type="pct"/>
          </w:tcPr>
          <w:p>
            <w:pPr>
              <w:ind w:leftChars="0" w:left="0" w:right="0"/>
            </w:pPr>
            <w:r>
              <w:t>LAO SECURITIES EXCHANGE</w:t>
            </w:r>
          </w:p>
        </w:tc>
      </w:tr>
      <w:tr>
        <w:trPr>
          <w:cnfStyle w:evenHBand="false" w:oddHBand="true" w:firstRow="false"/>
        </w:trPr>
        <w:tc>
          <w:tcPr>
            <w:cnfStyle w:evenVBand="false" w:oddVBand="true" w:firstColumn="false"/>
            <w:tcW w:w="33.333333%" w:type="pct"/>
          </w:tcPr>
          <w:p>
            <w:pPr>
              <w:ind w:leftChars="0" w:left="0" w:right="0"/>
            </w:pPr>
            <w:r>
              <w:t>XLAT</w:t>
            </w:r>
          </w:p>
        </w:tc>
        <w:tc>
          <w:tcPr>
            <w:cnfStyle w:evenVBand="true" w:oddVBand="false" w:firstColumn="false"/>
            <w:tcW w:w="33.333333%" w:type="pct"/>
          </w:tcPr>
          <w:p>
            <w:pPr>
              <w:ind w:leftChars="0" w:left="0" w:right="0"/>
            </w:pPr>
            <w:r>
              <w:t>XLAT</w:t>
            </w:r>
          </w:p>
        </w:tc>
        <w:tc>
          <w:tcPr>
            <w:cnfStyle w:evenVBand="false" w:oddVBand="true" w:firstColumn="false"/>
            <w:tcW w:w="33.333333%" w:type="pct"/>
          </w:tcPr>
          <w:p>
            <w:pPr>
              <w:ind w:leftChars="0" w:left="0" w:right="0"/>
            </w:pPr>
            <w:r>
              <w:t>LATIBEX</w:t>
            </w:r>
          </w:p>
        </w:tc>
      </w:tr>
      <w:tr>
        <w:trPr>
          <w:cnfStyle w:evenHBand="true" w:oddHBand="false" w:firstRow="false"/>
        </w:trPr>
        <w:tc>
          <w:tcPr>
            <w:cnfStyle w:evenVBand="false" w:oddVBand="true" w:firstColumn="false"/>
            <w:tcW w:w="33.333333%" w:type="pct"/>
          </w:tcPr>
          <w:p>
            <w:pPr>
              <w:ind w:leftChars="0" w:left="0" w:right="0"/>
            </w:pPr>
            <w:r>
              <w:t>XLBM</w:t>
            </w:r>
          </w:p>
        </w:tc>
        <w:tc>
          <w:tcPr>
            <w:cnfStyle w:evenVBand="true" w:oddVBand="false" w:firstColumn="false"/>
            <w:tcW w:w="33.333333%" w:type="pct"/>
          </w:tcPr>
          <w:p>
            <w:pPr>
              <w:ind w:leftChars="0" w:left="0" w:right="0"/>
            </w:pPr>
            <w:r>
              <w:t>XLBM</w:t>
            </w:r>
          </w:p>
        </w:tc>
        <w:tc>
          <w:tcPr>
            <w:cnfStyle w:evenVBand="false" w:oddVBand="true" w:firstColumn="false"/>
            <w:tcW w:w="33.333333%" w:type="pct"/>
          </w:tcPr>
          <w:p>
            <w:pPr>
              <w:ind w:leftChars="0" w:left="0" w:right="0"/>
            </w:pPr>
            <w:r>
              <w:t>LONDON BULLION MARKET</w:t>
            </w:r>
          </w:p>
        </w:tc>
      </w:tr>
      <w:tr>
        <w:trPr>
          <w:cnfStyle w:evenHBand="false" w:oddHBand="true" w:firstRow="false"/>
        </w:trPr>
        <w:tc>
          <w:tcPr>
            <w:cnfStyle w:evenVBand="false" w:oddVBand="true" w:firstColumn="false"/>
            <w:tcW w:w="33.333333%" w:type="pct"/>
          </w:tcPr>
          <w:p>
            <w:pPr>
              <w:ind w:leftChars="0" w:left="0" w:right="0"/>
            </w:pPr>
            <w:r>
              <w:t>XLCE</w:t>
            </w:r>
          </w:p>
        </w:tc>
        <w:tc>
          <w:tcPr>
            <w:cnfStyle w:evenVBand="true" w:oddVBand="false" w:firstColumn="false"/>
            <w:tcW w:w="33.333333%" w:type="pct"/>
          </w:tcPr>
          <w:p>
            <w:pPr>
              <w:ind w:leftChars="0" w:left="0" w:right="0"/>
            </w:pPr>
            <w:r>
              <w:t>XLCE</w:t>
            </w:r>
          </w:p>
        </w:tc>
        <w:tc>
          <w:tcPr>
            <w:cnfStyle w:evenVBand="false" w:oddVBand="true" w:firstColumn="false"/>
            <w:tcW w:w="33.333333%" w:type="pct"/>
          </w:tcPr>
          <w:p>
            <w:pPr>
              <w:ind w:leftChars="0" w:left="0" w:right="0"/>
            </w:pPr>
            <w:r>
              <w:t>LONDON COMMODITY EXCHANGE, THE</w:t>
            </w:r>
          </w:p>
        </w:tc>
      </w:tr>
      <w:tr>
        <w:trPr>
          <w:cnfStyle w:evenHBand="true" w:oddHBand="false" w:firstRow="false"/>
        </w:trPr>
        <w:tc>
          <w:tcPr>
            <w:cnfStyle w:evenVBand="false" w:oddVBand="true" w:firstColumn="false"/>
            <w:tcW w:w="33.333333%" w:type="pct"/>
          </w:tcPr>
          <w:p>
            <w:pPr>
              <w:ind w:leftChars="0" w:left="0" w:right="0"/>
            </w:pPr>
            <w:r>
              <w:t>XLCH</w:t>
            </w:r>
          </w:p>
        </w:tc>
        <w:tc>
          <w:tcPr>
            <w:cnfStyle w:evenVBand="true" w:oddVBand="false" w:firstColumn="false"/>
            <w:tcW w:w="33.333333%" w:type="pct"/>
          </w:tcPr>
          <w:p>
            <w:pPr>
              <w:ind w:leftChars="0" w:left="0" w:right="0"/>
            </w:pPr>
            <w:r>
              <w:t>XLCH</w:t>
            </w:r>
          </w:p>
        </w:tc>
        <w:tc>
          <w:tcPr>
            <w:cnfStyle w:evenVBand="false" w:oddVBand="true" w:firstColumn="false"/>
            <w:tcW w:w="33.333333%" w:type="pct"/>
          </w:tcPr>
          <w:p>
            <w:pPr>
              <w:ind w:leftChars="0" w:left="0" w:right="0"/>
            </w:pPr>
            <w:r>
              <w:t>LCH LTD</w:t>
            </w:r>
          </w:p>
        </w:tc>
      </w:tr>
      <w:tr>
        <w:trPr>
          <w:cnfStyle w:evenHBand="false" w:oddHBand="true" w:firstRow="false"/>
        </w:trPr>
        <w:tc>
          <w:tcPr>
            <w:cnfStyle w:evenVBand="false" w:oddVBand="true" w:firstColumn="false"/>
            <w:tcW w:w="33.333333%" w:type="pct"/>
          </w:tcPr>
          <w:p>
            <w:pPr>
              <w:ind w:leftChars="0" w:left="0" w:right="0"/>
            </w:pPr>
            <w:r>
              <w:t>XLDN</w:t>
            </w:r>
          </w:p>
        </w:tc>
        <w:tc>
          <w:tcPr>
            <w:cnfStyle w:evenVBand="true" w:oddVBand="false" w:firstColumn="false"/>
            <w:tcW w:w="33.333333%" w:type="pct"/>
          </w:tcPr>
          <w:p>
            <w:pPr>
              <w:ind w:leftChars="0" w:left="0" w:right="0"/>
            </w:pPr>
            <w:r>
              <w:t>XLDN</w:t>
            </w:r>
          </w:p>
        </w:tc>
        <w:tc>
          <w:tcPr>
            <w:cnfStyle w:evenVBand="false" w:oddVBand="true" w:firstColumn="false"/>
            <w:tcW w:w="33.333333%" w:type="pct"/>
          </w:tcPr>
          <w:p>
            <w:pPr>
              <w:ind w:leftChars="0" w:left="0" w:right="0"/>
            </w:pPr>
            <w:r>
              <w:t>EURONEXT - EURONEXT LONDON</w:t>
            </w:r>
          </w:p>
        </w:tc>
      </w:tr>
      <w:tr>
        <w:trPr>
          <w:cnfStyle w:evenHBand="true" w:oddHBand="false" w:firstRow="false"/>
        </w:trPr>
        <w:tc>
          <w:tcPr>
            <w:cnfStyle w:evenVBand="false" w:oddVBand="true" w:firstColumn="false"/>
            <w:tcW w:w="33.333333%" w:type="pct"/>
          </w:tcPr>
          <w:p>
            <w:pPr>
              <w:ind w:leftChars="0" w:left="0" w:right="0"/>
            </w:pPr>
            <w:r>
              <w:t>XLDX</w:t>
            </w:r>
          </w:p>
        </w:tc>
        <w:tc>
          <w:tcPr>
            <w:cnfStyle w:evenVBand="true" w:oddVBand="false" w:firstColumn="false"/>
            <w:tcW w:w="33.333333%" w:type="pct"/>
          </w:tcPr>
          <w:p>
            <w:pPr>
              <w:ind w:leftChars="0" w:left="0" w:right="0"/>
            </w:pPr>
            <w:r>
              <w:t>XLDX</w:t>
            </w:r>
          </w:p>
        </w:tc>
        <w:tc>
          <w:tcPr>
            <w:cnfStyle w:evenVBand="false" w:oddVBand="true" w:firstColumn="false"/>
            <w:tcW w:w="33.333333%" w:type="pct"/>
          </w:tcPr>
          <w:p>
            <w:pPr>
              <w:ind w:leftChars="0" w:left="0" w:right="0"/>
            </w:pPr>
            <w:r>
              <w:t>LONDON DERIVATIVES EXCHANGE</w:t>
            </w:r>
          </w:p>
        </w:tc>
      </w:tr>
      <w:tr>
        <w:trPr>
          <w:cnfStyle w:evenHBand="false" w:oddHBand="true" w:firstRow="false"/>
        </w:trPr>
        <w:tc>
          <w:tcPr>
            <w:cnfStyle w:evenVBand="false" w:oddVBand="true" w:firstColumn="false"/>
            <w:tcW w:w="33.333333%" w:type="pct"/>
          </w:tcPr>
          <w:p>
            <w:pPr>
              <w:ind w:leftChars="0" w:left="0" w:right="0"/>
            </w:pPr>
            <w:r>
              <w:t>XLFX</w:t>
            </w:r>
          </w:p>
        </w:tc>
        <w:tc>
          <w:tcPr>
            <w:cnfStyle w:evenVBand="true" w:oddVBand="false" w:firstColumn="false"/>
            <w:tcW w:w="33.333333%" w:type="pct"/>
          </w:tcPr>
          <w:p>
            <w:pPr>
              <w:ind w:leftChars="0" w:left="0" w:right="0"/>
            </w:pPr>
            <w:r>
              <w:t>XLFX</w:t>
            </w:r>
          </w:p>
        </w:tc>
        <w:tc>
          <w:tcPr>
            <w:cnfStyle w:evenVBand="false" w:oddVBand="true" w:firstColumn="false"/>
            <w:tcW w:w="33.333333%" w:type="pct"/>
          </w:tcPr>
          <w:p>
            <w:pPr>
              <w:ind w:leftChars="0" w:left="0" w:right="0"/>
            </w:pPr>
            <w:r>
              <w:t>LABUAN INTERNATIONAL FINANCIAL EXCHANGE</w:t>
            </w:r>
          </w:p>
        </w:tc>
      </w:tr>
      <w:tr>
        <w:trPr>
          <w:cnfStyle w:evenHBand="true" w:oddHBand="false" w:firstRow="false"/>
        </w:trPr>
        <w:tc>
          <w:tcPr>
            <w:cnfStyle w:evenVBand="false" w:oddVBand="true" w:firstColumn="false"/>
            <w:tcW w:w="33.333333%" w:type="pct"/>
          </w:tcPr>
          <w:p>
            <w:pPr>
              <w:ind w:leftChars="0" w:left="0" w:right="0"/>
            </w:pPr>
            <w:r>
              <w:t>XLGT</w:t>
            </w:r>
          </w:p>
        </w:tc>
        <w:tc>
          <w:tcPr>
            <w:cnfStyle w:evenVBand="true" w:oddVBand="false" w:firstColumn="false"/>
            <w:tcW w:w="33.333333%" w:type="pct"/>
          </w:tcPr>
          <w:p>
            <w:pPr>
              <w:ind w:leftChars="0" w:left="0" w:right="0"/>
            </w:pPr>
            <w:r>
              <w:t>XLGT</w:t>
            </w:r>
          </w:p>
        </w:tc>
        <w:tc>
          <w:tcPr>
            <w:cnfStyle w:evenVBand="false" w:oddVBand="true" w:firstColumn="false"/>
            <w:tcW w:w="33.333333%" w:type="pct"/>
          </w:tcPr>
          <w:p>
            <w:pPr>
              <w:ind w:leftChars="0" w:left="0" w:right="0"/>
            </w:pPr>
            <w:r>
              <w:t>LGT BANK AG - SYSTEMATIC INTERNALISER</w:t>
            </w:r>
          </w:p>
        </w:tc>
      </w:tr>
      <w:tr>
        <w:trPr>
          <w:cnfStyle w:evenHBand="false" w:oddHBand="true" w:firstRow="false"/>
        </w:trPr>
        <w:tc>
          <w:tcPr>
            <w:cnfStyle w:evenVBand="false" w:oddVBand="true" w:firstColumn="false"/>
            <w:tcW w:w="33.333333%" w:type="pct"/>
          </w:tcPr>
          <w:p>
            <w:pPr>
              <w:ind w:leftChars="0" w:left="0" w:right="0"/>
            </w:pPr>
            <w:r>
              <w:t>XLIF</w:t>
            </w:r>
          </w:p>
        </w:tc>
        <w:tc>
          <w:tcPr>
            <w:cnfStyle w:evenVBand="true" w:oddVBand="false" w:firstColumn="false"/>
            <w:tcW w:w="33.333333%" w:type="pct"/>
          </w:tcPr>
          <w:p>
            <w:pPr>
              <w:ind w:leftChars="0" w:left="0" w:right="0"/>
            </w:pPr>
            <w:r>
              <w:t>XLIF</w:t>
            </w:r>
          </w:p>
        </w:tc>
        <w:tc>
          <w:tcPr>
            <w:cnfStyle w:evenVBand="false" w:oddVBand="true" w:firstColumn="false"/>
            <w:tcW w:w="33.333333%" w:type="pct"/>
          </w:tcPr>
          <w:p>
            <w:pPr>
              <w:ind w:leftChars="0" w:left="0" w:right="0"/>
            </w:pPr>
            <w:r>
              <w:t>EURONEXT LIFFE</w:t>
            </w:r>
          </w:p>
        </w:tc>
      </w:tr>
      <w:tr>
        <w:trPr>
          <w:cnfStyle w:evenHBand="true" w:oddHBand="false" w:firstRow="false"/>
        </w:trPr>
        <w:tc>
          <w:tcPr>
            <w:cnfStyle w:evenVBand="false" w:oddVBand="true" w:firstColumn="false"/>
            <w:tcW w:w="33.333333%" w:type="pct"/>
          </w:tcPr>
          <w:p>
            <w:pPr>
              <w:ind w:leftChars="0" w:left="0" w:right="0"/>
            </w:pPr>
            <w:r>
              <w:t>XLIM</w:t>
            </w:r>
          </w:p>
        </w:tc>
        <w:tc>
          <w:tcPr>
            <w:cnfStyle w:evenVBand="true" w:oddVBand="false" w:firstColumn="false"/>
            <w:tcW w:w="33.333333%" w:type="pct"/>
          </w:tcPr>
          <w:p>
            <w:pPr>
              <w:ind w:leftChars="0" w:left="0" w:right="0"/>
            </w:pPr>
            <w:r>
              <w:t>XLIM</w:t>
            </w:r>
          </w:p>
        </w:tc>
        <w:tc>
          <w:tcPr>
            <w:cnfStyle w:evenVBand="false" w:oddVBand="true" w:firstColumn="false"/>
            <w:tcW w:w="33.333333%" w:type="pct"/>
          </w:tcPr>
          <w:p>
            <w:pPr>
              <w:ind w:leftChars="0" w:left="0" w:right="0"/>
            </w:pPr>
            <w:r>
              <w:t>BOLSA DE VALORES DE LIMA</w:t>
            </w:r>
          </w:p>
        </w:tc>
      </w:tr>
      <w:tr>
        <w:trPr>
          <w:cnfStyle w:evenHBand="false" w:oddHBand="true" w:firstRow="false"/>
        </w:trPr>
        <w:tc>
          <w:tcPr>
            <w:cnfStyle w:evenVBand="false" w:oddVBand="true" w:firstColumn="false"/>
            <w:tcW w:w="33.333333%" w:type="pct"/>
          </w:tcPr>
          <w:p>
            <w:pPr>
              <w:ind w:leftChars="0" w:left="0" w:right="0"/>
            </w:pPr>
            <w:r>
              <w:t>XLIS</w:t>
            </w:r>
          </w:p>
        </w:tc>
        <w:tc>
          <w:tcPr>
            <w:cnfStyle w:evenVBand="true" w:oddVBand="false" w:firstColumn="false"/>
            <w:tcW w:w="33.333333%" w:type="pct"/>
          </w:tcPr>
          <w:p>
            <w:pPr>
              <w:ind w:leftChars="0" w:left="0" w:right="0"/>
            </w:pPr>
            <w:r>
              <w:t>XLIS</w:t>
            </w:r>
          </w:p>
        </w:tc>
        <w:tc>
          <w:tcPr>
            <w:cnfStyle w:evenVBand="false" w:oddVBand="true" w:firstColumn="false"/>
            <w:tcW w:w="33.333333%" w:type="pct"/>
          </w:tcPr>
          <w:p>
            <w:pPr>
              <w:ind w:leftChars="0" w:left="0" w:right="0"/>
            </w:pPr>
            <w:r>
              <w:t>EURONEXT - EURONEXT LISBON</w:t>
            </w:r>
          </w:p>
        </w:tc>
      </w:tr>
      <w:tr>
        <w:trPr>
          <w:cnfStyle w:evenHBand="true" w:oddHBand="false" w:firstRow="false"/>
        </w:trPr>
        <w:tc>
          <w:tcPr>
            <w:cnfStyle w:evenVBand="false" w:oddVBand="true" w:firstColumn="false"/>
            <w:tcW w:w="33.333333%" w:type="pct"/>
          </w:tcPr>
          <w:p>
            <w:pPr>
              <w:ind w:leftChars="0" w:left="0" w:right="0"/>
            </w:pPr>
            <w:r>
              <w:t>XLIT</w:t>
            </w:r>
          </w:p>
        </w:tc>
        <w:tc>
          <w:tcPr>
            <w:cnfStyle w:evenVBand="true" w:oddVBand="false" w:firstColumn="false"/>
            <w:tcW w:w="33.333333%" w:type="pct"/>
          </w:tcPr>
          <w:p>
            <w:pPr>
              <w:ind w:leftChars="0" w:left="0" w:right="0"/>
            </w:pPr>
            <w:r>
              <w:t>XLIT</w:t>
            </w:r>
          </w:p>
        </w:tc>
        <w:tc>
          <w:tcPr>
            <w:cnfStyle w:evenVBand="false" w:oddVBand="true" w:firstColumn="false"/>
            <w:tcW w:w="33.333333%" w:type="pct"/>
          </w:tcPr>
          <w:p>
            <w:pPr>
              <w:ind w:leftChars="0" w:left="0" w:right="0"/>
            </w:pPr>
            <w:r>
              <w:t>AB NASDAQ VILNIUS</w:t>
            </w:r>
          </w:p>
        </w:tc>
      </w:tr>
      <w:tr>
        <w:trPr>
          <w:cnfStyle w:evenHBand="false" w:oddHBand="true" w:firstRow="false"/>
        </w:trPr>
        <w:tc>
          <w:tcPr>
            <w:cnfStyle w:evenVBand="false" w:oddVBand="true" w:firstColumn="false"/>
            <w:tcW w:w="33.333333%" w:type="pct"/>
          </w:tcPr>
          <w:p>
            <w:pPr>
              <w:ind w:leftChars="0" w:left="0" w:right="0"/>
            </w:pPr>
            <w:r>
              <w:t>XLJM</w:t>
            </w:r>
          </w:p>
        </w:tc>
        <w:tc>
          <w:tcPr>
            <w:cnfStyle w:evenVBand="true" w:oddVBand="false" w:firstColumn="false"/>
            <w:tcW w:w="33.333333%" w:type="pct"/>
          </w:tcPr>
          <w:p>
            <w:pPr>
              <w:ind w:leftChars="0" w:left="0" w:right="0"/>
            </w:pPr>
            <w:r>
              <w:t>XLJM</w:t>
            </w:r>
          </w:p>
        </w:tc>
        <w:tc>
          <w:tcPr>
            <w:cnfStyle w:evenVBand="false" w:oddVBand="true" w:firstColumn="false"/>
            <w:tcW w:w="33.333333%" w:type="pct"/>
          </w:tcPr>
          <w:p>
            <w:pPr>
              <w:ind w:leftChars="0" w:left="0" w:right="0"/>
            </w:pPr>
            <w:r>
              <w:t>SI ENTER</w:t>
            </w:r>
          </w:p>
        </w:tc>
      </w:tr>
      <w:tr>
        <w:trPr>
          <w:cnfStyle w:evenHBand="true" w:oddHBand="false" w:firstRow="false"/>
        </w:trPr>
        <w:tc>
          <w:tcPr>
            <w:cnfStyle w:evenVBand="false" w:oddVBand="true" w:firstColumn="false"/>
            <w:tcW w:w="33.333333%" w:type="pct"/>
          </w:tcPr>
          <w:p>
            <w:pPr>
              <w:ind w:leftChars="0" w:left="0" w:right="0"/>
            </w:pPr>
            <w:r>
              <w:t>XLJS</w:t>
            </w:r>
          </w:p>
        </w:tc>
        <w:tc>
          <w:tcPr>
            <w:cnfStyle w:evenVBand="true" w:oddVBand="false" w:firstColumn="false"/>
            <w:tcW w:w="33.333333%" w:type="pct"/>
          </w:tcPr>
          <w:p>
            <w:pPr>
              <w:ind w:leftChars="0" w:left="0" w:right="0"/>
            </w:pPr>
            <w:r>
              <w:t>XLJS</w:t>
            </w:r>
          </w:p>
        </w:tc>
        <w:tc>
          <w:tcPr>
            <w:cnfStyle w:evenVBand="false" w:oddVBand="true" w:firstColumn="false"/>
            <w:tcW w:w="33.333333%" w:type="pct"/>
          </w:tcPr>
          <w:p>
            <w:pPr>
              <w:ind w:leftChars="0" w:left="0" w:right="0"/>
            </w:pPr>
            <w:r>
              <w:t>LJUBLJANA STOCK EXCHANGE (SEMI-OFFICIAL MARKET)</w:t>
            </w:r>
          </w:p>
        </w:tc>
      </w:tr>
      <w:tr>
        <w:trPr>
          <w:cnfStyle w:evenHBand="false" w:oddHBand="true" w:firstRow="false"/>
        </w:trPr>
        <w:tc>
          <w:tcPr>
            <w:cnfStyle w:evenVBand="false" w:oddVBand="true" w:firstColumn="false"/>
            <w:tcW w:w="33.333333%" w:type="pct"/>
          </w:tcPr>
          <w:p>
            <w:pPr>
              <w:ind w:leftChars="0" w:left="0" w:right="0"/>
            </w:pPr>
            <w:r>
              <w:t>XLJU</w:t>
            </w:r>
          </w:p>
        </w:tc>
        <w:tc>
          <w:tcPr>
            <w:cnfStyle w:evenVBand="true" w:oddVBand="false" w:firstColumn="false"/>
            <w:tcW w:w="33.333333%" w:type="pct"/>
          </w:tcPr>
          <w:p>
            <w:pPr>
              <w:ind w:leftChars="0" w:left="0" w:right="0"/>
            </w:pPr>
            <w:r>
              <w:t>XLJU</w:t>
            </w:r>
          </w:p>
        </w:tc>
        <w:tc>
          <w:tcPr>
            <w:cnfStyle w:evenVBand="false" w:oddVBand="true" w:firstColumn="false"/>
            <w:tcW w:w="33.333333%" w:type="pct"/>
          </w:tcPr>
          <w:p>
            <w:pPr>
              <w:ind w:leftChars="0" w:left="0" w:right="0"/>
            </w:pPr>
            <w:r>
              <w:t>LJUBLJANA STOCK EXCHANGE (OFFICIAL MARKET)</w:t>
            </w:r>
          </w:p>
        </w:tc>
      </w:tr>
      <w:tr>
        <w:trPr>
          <w:cnfStyle w:evenHBand="true" w:oddHBand="false" w:firstRow="false"/>
        </w:trPr>
        <w:tc>
          <w:tcPr>
            <w:cnfStyle w:evenVBand="false" w:oddVBand="true" w:firstColumn="false"/>
            <w:tcW w:w="33.333333%" w:type="pct"/>
          </w:tcPr>
          <w:p>
            <w:pPr>
              <w:ind w:leftChars="0" w:left="0" w:right="0"/>
            </w:pPr>
            <w:r>
              <w:t>XLLB</w:t>
            </w:r>
          </w:p>
        </w:tc>
        <w:tc>
          <w:tcPr>
            <w:cnfStyle w:evenVBand="true" w:oddVBand="false" w:firstColumn="false"/>
            <w:tcW w:w="33.333333%" w:type="pct"/>
          </w:tcPr>
          <w:p>
            <w:pPr>
              <w:ind w:leftChars="0" w:left="0" w:right="0"/>
            </w:pPr>
            <w:r>
              <w:t>XLLB</w:t>
            </w:r>
          </w:p>
        </w:tc>
        <w:tc>
          <w:tcPr>
            <w:cnfStyle w:evenVBand="false" w:oddVBand="true" w:firstColumn="false"/>
            <w:tcW w:w="33.333333%" w:type="pct"/>
          </w:tcPr>
          <w:p>
            <w:pPr>
              <w:ind w:leftChars="0" w:left="0" w:right="0"/>
            </w:pPr>
            <w:r>
              <w:t>LIECHTENSTEINISCHE LANDESBANK AG - SYSTEMATIC INTERNALISER</w:t>
            </w:r>
          </w:p>
        </w:tc>
      </w:tr>
      <w:tr>
        <w:trPr>
          <w:cnfStyle w:evenHBand="false" w:oddHBand="true" w:firstRow="false"/>
        </w:trPr>
        <w:tc>
          <w:tcPr>
            <w:cnfStyle w:evenVBand="false" w:oddVBand="true" w:firstColumn="false"/>
            <w:tcW w:w="33.333333%" w:type="pct"/>
          </w:tcPr>
          <w:p>
            <w:pPr>
              <w:ind w:leftChars="0" w:left="0" w:right="0"/>
            </w:pPr>
            <w:r>
              <w:t>XLME</w:t>
            </w:r>
          </w:p>
        </w:tc>
        <w:tc>
          <w:tcPr>
            <w:cnfStyle w:evenVBand="true" w:oddVBand="false" w:firstColumn="false"/>
            <w:tcW w:w="33.333333%" w:type="pct"/>
          </w:tcPr>
          <w:p>
            <w:pPr>
              <w:ind w:leftChars="0" w:left="0" w:right="0"/>
            </w:pPr>
            <w:r>
              <w:t>XLME</w:t>
            </w:r>
          </w:p>
        </w:tc>
        <w:tc>
          <w:tcPr>
            <w:cnfStyle w:evenVBand="false" w:oddVBand="true" w:firstColumn="false"/>
            <w:tcW w:w="33.333333%" w:type="pct"/>
          </w:tcPr>
          <w:p>
            <w:pPr>
              <w:ind w:leftChars="0" w:left="0" w:right="0"/>
            </w:pPr>
            <w:r>
              <w:t>LONDON METAL EXCHANGE</w:t>
            </w:r>
          </w:p>
        </w:tc>
      </w:tr>
      <w:tr>
        <w:trPr>
          <w:cnfStyle w:evenHBand="true" w:oddHBand="false" w:firstRow="false"/>
        </w:trPr>
        <w:tc>
          <w:tcPr>
            <w:cnfStyle w:evenVBand="false" w:oddVBand="true" w:firstColumn="false"/>
            <w:tcW w:w="33.333333%" w:type="pct"/>
          </w:tcPr>
          <w:p>
            <w:pPr>
              <w:ind w:leftChars="0" w:left="0" w:right="0"/>
            </w:pPr>
            <w:r>
              <w:t>XLOD</w:t>
            </w:r>
          </w:p>
        </w:tc>
        <w:tc>
          <w:tcPr>
            <w:cnfStyle w:evenVBand="true" w:oddVBand="false" w:firstColumn="false"/>
            <w:tcW w:w="33.333333%" w:type="pct"/>
          </w:tcPr>
          <w:p>
            <w:pPr>
              <w:ind w:leftChars="0" w:left="0" w:right="0"/>
            </w:pPr>
            <w:r>
              <w:t>XLOD</w:t>
            </w:r>
          </w:p>
        </w:tc>
        <w:tc>
          <w:tcPr>
            <w:cnfStyle w:evenVBand="false" w:oddVBand="true" w:firstColumn="false"/>
            <w:tcW w:w="33.333333%" w:type="pct"/>
          </w:tcPr>
          <w:p>
            <w:pPr>
              <w:ind w:leftChars="0" w:left="0" w:right="0"/>
            </w:pPr>
            <w:r>
              <w:t>LONDON STOCK EXCHANGE - CURVEGLOBAL MARKETS</w:t>
            </w:r>
          </w:p>
        </w:tc>
      </w:tr>
      <w:tr>
        <w:trPr>
          <w:cnfStyle w:evenHBand="false" w:oddHBand="true" w:firstRow="false"/>
        </w:trPr>
        <w:tc>
          <w:tcPr>
            <w:cnfStyle w:evenVBand="false" w:oddVBand="true" w:firstColumn="false"/>
            <w:tcW w:w="33.333333%" w:type="pct"/>
          </w:tcPr>
          <w:p>
            <w:pPr>
              <w:ind w:leftChars="0" w:left="0" w:right="0"/>
            </w:pPr>
            <w:r>
              <w:t>XLOF</w:t>
            </w:r>
          </w:p>
        </w:tc>
        <w:tc>
          <w:tcPr>
            <w:cnfStyle w:evenVBand="true" w:oddVBand="false" w:firstColumn="false"/>
            <w:tcW w:w="33.333333%" w:type="pct"/>
          </w:tcPr>
          <w:p>
            <w:pPr>
              <w:ind w:leftChars="0" w:left="0" w:right="0"/>
            </w:pPr>
            <w:r>
              <w:t>XLOF</w:t>
            </w:r>
          </w:p>
        </w:tc>
        <w:tc>
          <w:tcPr>
            <w:cnfStyle w:evenVBand="false" w:oddVBand="true" w:firstColumn="false"/>
            <w:tcW w:w="33.333333%" w:type="pct"/>
          </w:tcPr>
          <w:p>
            <w:pPr>
              <w:ind w:leftChars="0" w:left="0" w:right="0"/>
            </w:pPr>
            <w:r>
              <w:t>MALAYSIA DERIVATIVES EXCHANGE BHD</w:t>
            </w:r>
          </w:p>
        </w:tc>
      </w:tr>
      <w:tr>
        <w:trPr>
          <w:cnfStyle w:evenHBand="true" w:oddHBand="false" w:firstRow="false"/>
        </w:trPr>
        <w:tc>
          <w:tcPr>
            <w:cnfStyle w:evenVBand="false" w:oddVBand="true" w:firstColumn="false"/>
            <w:tcW w:w="33.333333%" w:type="pct"/>
          </w:tcPr>
          <w:p>
            <w:pPr>
              <w:ind w:leftChars="0" w:left="0" w:right="0"/>
            </w:pPr>
            <w:r>
              <w:t>XLOM</w:t>
            </w:r>
          </w:p>
        </w:tc>
        <w:tc>
          <w:tcPr>
            <w:cnfStyle w:evenVBand="true" w:oddVBand="false" w:firstColumn="false"/>
            <w:tcW w:w="33.333333%" w:type="pct"/>
          </w:tcPr>
          <w:p>
            <w:pPr>
              <w:ind w:leftChars="0" w:left="0" w:right="0"/>
            </w:pPr>
            <w:r>
              <w:t>XLOM</w:t>
            </w:r>
          </w:p>
        </w:tc>
        <w:tc>
          <w:tcPr>
            <w:cnfStyle w:evenVBand="false" w:oddVBand="true" w:firstColumn="false"/>
            <w:tcW w:w="33.333333%" w:type="pct"/>
          </w:tcPr>
          <w:p>
            <w:pPr>
              <w:ind w:leftChars="0" w:left="0" w:right="0"/>
            </w:pPr>
            <w:r>
              <w:t>LONDON STOCK EXCHANGE - MTF</w:t>
            </w:r>
          </w:p>
        </w:tc>
      </w:tr>
      <w:tr>
        <w:trPr>
          <w:cnfStyle w:evenHBand="false" w:oddHBand="true" w:firstRow="false"/>
        </w:trPr>
        <w:tc>
          <w:tcPr>
            <w:cnfStyle w:evenVBand="false" w:oddVBand="true" w:firstColumn="false"/>
            <w:tcW w:w="33.333333%" w:type="pct"/>
          </w:tcPr>
          <w:p>
            <w:pPr>
              <w:ind w:leftChars="0" w:left="0" w:right="0"/>
            </w:pPr>
            <w:r>
              <w:t>XLON</w:t>
            </w:r>
          </w:p>
        </w:tc>
        <w:tc>
          <w:tcPr>
            <w:cnfStyle w:evenVBand="true" w:oddVBand="false" w:firstColumn="false"/>
            <w:tcW w:w="33.333333%" w:type="pct"/>
          </w:tcPr>
          <w:p>
            <w:pPr>
              <w:ind w:leftChars="0" w:left="0" w:right="0"/>
            </w:pPr>
            <w:r>
              <w:t>XLON</w:t>
            </w:r>
          </w:p>
        </w:tc>
        <w:tc>
          <w:tcPr>
            <w:cnfStyle w:evenVBand="false" w:oddVBand="true" w:firstColumn="false"/>
            <w:tcW w:w="33.333333%" w:type="pct"/>
          </w:tcPr>
          <w:p>
            <w:pPr>
              <w:ind w:leftChars="0" w:left="0" w:right="0"/>
            </w:pPr>
            <w:r>
              <w:t>LONDON STOCK EXCHANGE</w:t>
            </w:r>
          </w:p>
        </w:tc>
      </w:tr>
      <w:tr>
        <w:trPr>
          <w:cnfStyle w:evenHBand="true" w:oddHBand="false" w:firstRow="false"/>
        </w:trPr>
        <w:tc>
          <w:tcPr>
            <w:cnfStyle w:evenVBand="false" w:oddVBand="true" w:firstColumn="false"/>
            <w:tcW w:w="33.333333%" w:type="pct"/>
          </w:tcPr>
          <w:p>
            <w:pPr>
              <w:ind w:leftChars="0" w:left="0" w:right="0"/>
            </w:pPr>
            <w:r>
              <w:t>XLQC</w:t>
            </w:r>
          </w:p>
        </w:tc>
        <w:tc>
          <w:tcPr>
            <w:cnfStyle w:evenVBand="true" w:oddVBand="false" w:firstColumn="false"/>
            <w:tcW w:w="33.333333%" w:type="pct"/>
          </w:tcPr>
          <w:p>
            <w:pPr>
              <w:ind w:leftChars="0" w:left="0" w:right="0"/>
            </w:pPr>
            <w:r>
              <w:t>XLQC</w:t>
            </w:r>
          </w:p>
        </w:tc>
        <w:tc>
          <w:tcPr>
            <w:cnfStyle w:evenVBand="false" w:oddVBand="true" w:firstColumn="false"/>
            <w:tcW w:w="33.333333%" w:type="pct"/>
          </w:tcPr>
          <w:p>
            <w:pPr>
              <w:ind w:leftChars="0" w:left="0" w:right="0"/>
            </w:pPr>
            <w:r>
              <w:t>LIQUIDITY CUBE PTY LTD</w:t>
            </w:r>
          </w:p>
        </w:tc>
      </w:tr>
      <w:tr>
        <w:trPr>
          <w:cnfStyle w:evenHBand="false" w:oddHBand="true" w:firstRow="false"/>
        </w:trPr>
        <w:tc>
          <w:tcPr>
            <w:cnfStyle w:evenVBand="false" w:oddVBand="true" w:firstColumn="false"/>
            <w:tcW w:w="33.333333%" w:type="pct"/>
          </w:tcPr>
          <w:p>
            <w:pPr>
              <w:ind w:leftChars="0" w:left="0" w:right="0"/>
            </w:pPr>
            <w:r>
              <w:t>XLSM</w:t>
            </w:r>
          </w:p>
        </w:tc>
        <w:tc>
          <w:tcPr>
            <w:cnfStyle w:evenVBand="true" w:oddVBand="false" w:firstColumn="false"/>
            <w:tcW w:w="33.333333%" w:type="pct"/>
          </w:tcPr>
          <w:p>
            <w:pPr>
              <w:ind w:leftChars="0" w:left="0" w:right="0"/>
            </w:pPr>
            <w:r>
              <w:t>XLSM</w:t>
            </w:r>
          </w:p>
        </w:tc>
        <w:tc>
          <w:tcPr>
            <w:cnfStyle w:evenVBand="false" w:oddVBand="true" w:firstColumn="false"/>
            <w:tcW w:w="33.333333%" w:type="pct"/>
          </w:tcPr>
          <w:p>
            <w:pPr>
              <w:ind w:leftChars="0" w:left="0" w:right="0"/>
            </w:pPr>
            <w:r>
              <w:t>LIBYAN STOCK MARKET</w:t>
            </w:r>
          </w:p>
        </w:tc>
      </w:tr>
      <w:tr>
        <w:trPr>
          <w:cnfStyle w:evenHBand="true" w:oddHBand="false" w:firstRow="false"/>
        </w:trPr>
        <w:tc>
          <w:tcPr>
            <w:cnfStyle w:evenVBand="false" w:oddVBand="true" w:firstColumn="false"/>
            <w:tcW w:w="33.333333%" w:type="pct"/>
          </w:tcPr>
          <w:p>
            <w:pPr>
              <w:ind w:leftChars="0" w:left="0" w:right="0"/>
            </w:pPr>
            <w:r>
              <w:t>XLTO</w:t>
            </w:r>
          </w:p>
        </w:tc>
        <w:tc>
          <w:tcPr>
            <w:cnfStyle w:evenVBand="true" w:oddVBand="false" w:firstColumn="false"/>
            <w:tcW w:w="33.333333%" w:type="pct"/>
          </w:tcPr>
          <w:p>
            <w:pPr>
              <w:ind w:leftChars="0" w:left="0" w:right="0"/>
            </w:pPr>
            <w:r>
              <w:t>XLTO</w:t>
            </w:r>
          </w:p>
        </w:tc>
        <w:tc>
          <w:tcPr>
            <w:cnfStyle w:evenVBand="false" w:oddVBand="true" w:firstColumn="false"/>
            <w:tcW w:w="33.333333%" w:type="pct"/>
          </w:tcPr>
          <w:p>
            <w:pPr>
              <w:ind w:leftChars="0" w:left="0" w:right="0"/>
            </w:pPr>
            <w:r>
              <w:t>LONDON TRADED OPTIONS MARKET</w:t>
            </w:r>
          </w:p>
        </w:tc>
      </w:tr>
      <w:tr>
        <w:trPr>
          <w:cnfStyle w:evenHBand="false" w:oddHBand="true" w:firstRow="false"/>
        </w:trPr>
        <w:tc>
          <w:tcPr>
            <w:cnfStyle w:evenVBand="false" w:oddVBand="true" w:firstColumn="false"/>
            <w:tcW w:w="33.333333%" w:type="pct"/>
          </w:tcPr>
          <w:p>
            <w:pPr>
              <w:ind w:leftChars="0" w:left="0" w:right="0"/>
            </w:pPr>
            <w:r>
              <w:t>XLUS</w:t>
            </w:r>
          </w:p>
        </w:tc>
        <w:tc>
          <w:tcPr>
            <w:cnfStyle w:evenVBand="true" w:oddVBand="false" w:firstColumn="false"/>
            <w:tcW w:w="33.333333%" w:type="pct"/>
          </w:tcPr>
          <w:p>
            <w:pPr>
              <w:ind w:leftChars="0" w:left="0" w:right="0"/>
            </w:pPr>
            <w:r>
              <w:t>XLUS</w:t>
            </w:r>
          </w:p>
        </w:tc>
        <w:tc>
          <w:tcPr>
            <w:cnfStyle w:evenVBand="false" w:oddVBand="true" w:firstColumn="false"/>
            <w:tcW w:w="33.333333%" w:type="pct"/>
          </w:tcPr>
          <w:p>
            <w:pPr>
              <w:ind w:leftChars="0" w:left="0" w:right="0"/>
            </w:pPr>
            <w:r>
              <w:t>LUSAKA STOCK EXCHANGE</w:t>
            </w:r>
          </w:p>
        </w:tc>
      </w:tr>
      <w:tr>
        <w:trPr>
          <w:cnfStyle w:evenHBand="true" w:oddHBand="false" w:firstRow="false"/>
        </w:trPr>
        <w:tc>
          <w:tcPr>
            <w:cnfStyle w:evenVBand="false" w:oddVBand="true" w:firstColumn="false"/>
            <w:tcW w:w="33.333333%" w:type="pct"/>
          </w:tcPr>
          <w:p>
            <w:pPr>
              <w:ind w:leftChars="0" w:left="0" w:right="0"/>
            </w:pPr>
            <w:r>
              <w:t>XLUX</w:t>
            </w:r>
          </w:p>
        </w:tc>
        <w:tc>
          <w:tcPr>
            <w:cnfStyle w:evenVBand="true" w:oddVBand="false" w:firstColumn="false"/>
            <w:tcW w:w="33.333333%" w:type="pct"/>
          </w:tcPr>
          <w:p>
            <w:pPr>
              <w:ind w:leftChars="0" w:left="0" w:right="0"/>
            </w:pPr>
            <w:r>
              <w:t>XLUX</w:t>
            </w:r>
          </w:p>
        </w:tc>
        <w:tc>
          <w:tcPr>
            <w:cnfStyle w:evenVBand="false" w:oddVBand="true" w:firstColumn="false"/>
            <w:tcW w:w="33.333333%" w:type="pct"/>
          </w:tcPr>
          <w:p>
            <w:pPr>
              <w:ind w:leftChars="0" w:left="0" w:right="0"/>
            </w:pPr>
            <w:r>
              <w:t>LUXEMBOURG STOCK EXCHANGE</w:t>
            </w:r>
          </w:p>
        </w:tc>
      </w:tr>
      <w:tr>
        <w:trPr>
          <w:cnfStyle w:evenHBand="false" w:oddHBand="true" w:firstRow="false"/>
        </w:trPr>
        <w:tc>
          <w:tcPr>
            <w:cnfStyle w:evenVBand="false" w:oddVBand="true" w:firstColumn="false"/>
            <w:tcW w:w="33.333333%" w:type="pct"/>
          </w:tcPr>
          <w:p>
            <w:pPr>
              <w:ind w:leftChars="0" w:left="0" w:right="0"/>
            </w:pPr>
            <w:r>
              <w:t>XMAB</w:t>
            </w:r>
          </w:p>
        </w:tc>
        <w:tc>
          <w:tcPr>
            <w:cnfStyle w:evenVBand="true" w:oddVBand="false" w:firstColumn="false"/>
            <w:tcW w:w="33.333333%" w:type="pct"/>
          </w:tcPr>
          <w:p>
            <w:pPr>
              <w:ind w:leftChars="0" w:left="0" w:right="0"/>
            </w:pPr>
            <w:r>
              <w:t>XMAB</w:t>
            </w:r>
          </w:p>
        </w:tc>
        <w:tc>
          <w:tcPr>
            <w:cnfStyle w:evenVBand="false" w:oddVBand="true" w:firstColumn="false"/>
            <w:tcW w:w="33.333333%" w:type="pct"/>
          </w:tcPr>
          <w:p>
            <w:pPr>
              <w:ind w:leftChars="0" w:left="0" w:right="0"/>
            </w:pPr>
            <w:r>
              <w:t>MERCADO ABIERTO ELECTRONICO S.A.</w:t>
            </w:r>
          </w:p>
        </w:tc>
      </w:tr>
      <w:tr>
        <w:trPr>
          <w:cnfStyle w:evenHBand="true" w:oddHBand="false" w:firstRow="false"/>
        </w:trPr>
        <w:tc>
          <w:tcPr>
            <w:cnfStyle w:evenVBand="false" w:oddVBand="true" w:firstColumn="false"/>
            <w:tcW w:w="33.333333%" w:type="pct"/>
          </w:tcPr>
          <w:p>
            <w:pPr>
              <w:ind w:leftChars="0" w:left="0" w:right="0"/>
            </w:pPr>
            <w:r>
              <w:t>XMAC</w:t>
            </w:r>
          </w:p>
        </w:tc>
        <w:tc>
          <w:tcPr>
            <w:cnfStyle w:evenVBand="true" w:oddVBand="false" w:firstColumn="false"/>
            <w:tcW w:w="33.333333%" w:type="pct"/>
          </w:tcPr>
          <w:p>
            <w:pPr>
              <w:ind w:leftChars="0" w:left="0" w:right="0"/>
            </w:pPr>
            <w:r>
              <w:t>XMAC</w:t>
            </w:r>
          </w:p>
        </w:tc>
        <w:tc>
          <w:tcPr>
            <w:cnfStyle w:evenVBand="false" w:oddVBand="true" w:firstColumn="false"/>
            <w:tcW w:w="33.333333%" w:type="pct"/>
          </w:tcPr>
          <w:p>
            <w:pPr>
              <w:ind w:leftChars="0" w:left="0" w:right="0"/>
            </w:pPr>
            <w:r>
              <w:t>MID AMERICA COMMODITY EXCHANGE</w:t>
            </w:r>
          </w:p>
        </w:tc>
      </w:tr>
      <w:tr>
        <w:trPr>
          <w:cnfStyle w:evenHBand="false" w:oddHBand="true" w:firstRow="false"/>
        </w:trPr>
        <w:tc>
          <w:tcPr>
            <w:cnfStyle w:evenVBand="false" w:oddVBand="true" w:firstColumn="false"/>
            <w:tcW w:w="33.333333%" w:type="pct"/>
          </w:tcPr>
          <w:p>
            <w:pPr>
              <w:ind w:leftChars="0" w:left="0" w:right="0"/>
            </w:pPr>
            <w:r>
              <w:t>XMAD</w:t>
            </w:r>
          </w:p>
        </w:tc>
        <w:tc>
          <w:tcPr>
            <w:cnfStyle w:evenVBand="true" w:oddVBand="false" w:firstColumn="false"/>
            <w:tcW w:w="33.333333%" w:type="pct"/>
          </w:tcPr>
          <w:p>
            <w:pPr>
              <w:ind w:leftChars="0" w:left="0" w:right="0"/>
            </w:pPr>
            <w:r>
              <w:t>XMAD</w:t>
            </w:r>
          </w:p>
        </w:tc>
        <w:tc>
          <w:tcPr>
            <w:cnfStyle w:evenVBand="false" w:oddVBand="true" w:firstColumn="false"/>
            <w:tcW w:w="33.333333%" w:type="pct"/>
          </w:tcPr>
          <w:p>
            <w:pPr>
              <w:ind w:leftChars="0" w:left="0" w:right="0"/>
            </w:pPr>
            <w:r>
              <w:t>BOLSA DE MADRID</w:t>
            </w:r>
          </w:p>
        </w:tc>
      </w:tr>
      <w:tr>
        <w:trPr>
          <w:cnfStyle w:evenHBand="true" w:oddHBand="false" w:firstRow="false"/>
        </w:trPr>
        <w:tc>
          <w:tcPr>
            <w:cnfStyle w:evenVBand="false" w:oddVBand="true" w:firstColumn="false"/>
            <w:tcW w:w="33.333333%" w:type="pct"/>
          </w:tcPr>
          <w:p>
            <w:pPr>
              <w:ind w:leftChars="0" w:left="0" w:right="0"/>
            </w:pPr>
            <w:r>
              <w:t>XMAE</w:t>
            </w:r>
          </w:p>
        </w:tc>
        <w:tc>
          <w:tcPr>
            <w:cnfStyle w:evenVBand="true" w:oddVBand="false" w:firstColumn="false"/>
            <w:tcW w:w="33.333333%" w:type="pct"/>
          </w:tcPr>
          <w:p>
            <w:pPr>
              <w:ind w:leftChars="0" w:left="0" w:right="0"/>
            </w:pPr>
            <w:r>
              <w:t>XMAE</w:t>
            </w:r>
          </w:p>
        </w:tc>
        <w:tc>
          <w:tcPr>
            <w:cnfStyle w:evenVBand="false" w:oddVBand="true" w:firstColumn="false"/>
            <w:tcW w:w="33.333333%" w:type="pct"/>
          </w:tcPr>
          <w:p>
            <w:pPr>
              <w:ind w:leftChars="0" w:left="0" w:right="0"/>
            </w:pPr>
            <w:r>
              <w:t>MACEDONIAN STOCK EXCHANGE</w:t>
            </w:r>
          </w:p>
        </w:tc>
      </w:tr>
      <w:tr>
        <w:trPr>
          <w:cnfStyle w:evenHBand="false" w:oddHBand="true" w:firstRow="false"/>
        </w:trPr>
        <w:tc>
          <w:tcPr>
            <w:cnfStyle w:evenVBand="false" w:oddVBand="true" w:firstColumn="false"/>
            <w:tcW w:w="33.333333%" w:type="pct"/>
          </w:tcPr>
          <w:p>
            <w:pPr>
              <w:ind w:leftChars="0" w:left="0" w:right="0"/>
            </w:pPr>
            <w:r>
              <w:t>XMAI</w:t>
            </w:r>
          </w:p>
        </w:tc>
        <w:tc>
          <w:tcPr>
            <w:cnfStyle w:evenVBand="true" w:oddVBand="false" w:firstColumn="false"/>
            <w:tcW w:w="33.333333%" w:type="pct"/>
          </w:tcPr>
          <w:p>
            <w:pPr>
              <w:ind w:leftChars="0" w:left="0" w:right="0"/>
            </w:pPr>
            <w:r>
              <w:t>XMAI</w:t>
            </w:r>
          </w:p>
        </w:tc>
        <w:tc>
          <w:tcPr>
            <w:cnfStyle w:evenVBand="false" w:oddVBand="true" w:firstColumn="false"/>
            <w:tcW w:w="33.333333%" w:type="pct"/>
          </w:tcPr>
          <w:p>
            <w:pPr>
              <w:ind w:leftChars="0" w:left="0" w:right="0"/>
            </w:pPr>
            <w:r>
              <w:t>MARKET FOR ALTERNATIVE INVESTMENT</w:t>
            </w:r>
          </w:p>
        </w:tc>
      </w:tr>
      <w:tr>
        <w:trPr>
          <w:cnfStyle w:evenHBand="true" w:oddHBand="false" w:firstRow="false"/>
        </w:trPr>
        <w:tc>
          <w:tcPr>
            <w:cnfStyle w:evenVBand="false" w:oddVBand="true" w:firstColumn="false"/>
            <w:tcW w:w="33.333333%" w:type="pct"/>
          </w:tcPr>
          <w:p>
            <w:pPr>
              <w:ind w:leftChars="0" w:left="0" w:right="0"/>
            </w:pPr>
            <w:r>
              <w:t>XMAL</w:t>
            </w:r>
          </w:p>
        </w:tc>
        <w:tc>
          <w:tcPr>
            <w:cnfStyle w:evenVBand="true" w:oddVBand="false" w:firstColumn="false"/>
            <w:tcW w:w="33.333333%" w:type="pct"/>
          </w:tcPr>
          <w:p>
            <w:pPr>
              <w:ind w:leftChars="0" w:left="0" w:right="0"/>
            </w:pPr>
            <w:r>
              <w:t>XMAL</w:t>
            </w:r>
          </w:p>
        </w:tc>
        <w:tc>
          <w:tcPr>
            <w:cnfStyle w:evenVBand="false" w:oddVBand="true" w:firstColumn="false"/>
            <w:tcW w:w="33.333333%" w:type="pct"/>
          </w:tcPr>
          <w:p>
            <w:pPr>
              <w:ind w:leftChars="0" w:left="0" w:right="0"/>
            </w:pPr>
            <w:r>
              <w:t>MALTA STOCK EXCHANGE</w:t>
            </w:r>
          </w:p>
        </w:tc>
      </w:tr>
      <w:tr>
        <w:trPr>
          <w:cnfStyle w:evenHBand="false" w:oddHBand="true" w:firstRow="false"/>
        </w:trPr>
        <w:tc>
          <w:tcPr>
            <w:cnfStyle w:evenVBand="false" w:oddVBand="true" w:firstColumn="false"/>
            <w:tcW w:w="33.333333%" w:type="pct"/>
          </w:tcPr>
          <w:p>
            <w:pPr>
              <w:ind w:leftChars="0" w:left="0" w:right="0"/>
            </w:pPr>
            <w:r>
              <w:t>XMAN</w:t>
            </w:r>
          </w:p>
        </w:tc>
        <w:tc>
          <w:tcPr>
            <w:cnfStyle w:evenVBand="true" w:oddVBand="false" w:firstColumn="false"/>
            <w:tcW w:w="33.333333%" w:type="pct"/>
          </w:tcPr>
          <w:p>
            <w:pPr>
              <w:ind w:leftChars="0" w:left="0" w:right="0"/>
            </w:pPr>
            <w:r>
              <w:t>XMAN</w:t>
            </w:r>
          </w:p>
        </w:tc>
        <w:tc>
          <w:tcPr>
            <w:cnfStyle w:evenVBand="false" w:oddVBand="true" w:firstColumn="false"/>
            <w:tcW w:w="33.333333%" w:type="pct"/>
          </w:tcPr>
          <w:p>
            <w:pPr>
              <w:ind w:leftChars="0" w:left="0" w:right="0"/>
            </w:pPr>
            <w:r>
              <w:t>BOLSA DE VALORES DE NICARAGUA</w:t>
            </w:r>
          </w:p>
        </w:tc>
      </w:tr>
      <w:tr>
        <w:trPr>
          <w:cnfStyle w:evenHBand="true" w:oddHBand="false" w:firstRow="false"/>
        </w:trPr>
        <w:tc>
          <w:tcPr>
            <w:cnfStyle w:evenVBand="false" w:oddVBand="true" w:firstColumn="false"/>
            <w:tcW w:w="33.333333%" w:type="pct"/>
          </w:tcPr>
          <w:p>
            <w:pPr>
              <w:ind w:leftChars="0" w:left="0" w:right="0"/>
            </w:pPr>
            <w:r>
              <w:t>XMAP</w:t>
            </w:r>
          </w:p>
        </w:tc>
        <w:tc>
          <w:tcPr>
            <w:cnfStyle w:evenVBand="true" w:oddVBand="false" w:firstColumn="false"/>
            <w:tcW w:w="33.333333%" w:type="pct"/>
          </w:tcPr>
          <w:p>
            <w:pPr>
              <w:ind w:leftChars="0" w:left="0" w:right="0"/>
            </w:pPr>
            <w:r>
              <w:t>XMAP</w:t>
            </w:r>
          </w:p>
        </w:tc>
        <w:tc>
          <w:tcPr>
            <w:cnfStyle w:evenVBand="false" w:oddVBand="true" w:firstColumn="false"/>
            <w:tcW w:w="33.333333%" w:type="pct"/>
          </w:tcPr>
          <w:p>
            <w:pPr>
              <w:ind w:leftChars="0" w:left="0" w:right="0"/>
            </w:pPr>
            <w:r>
              <w:t>MAPUTO STOCK  EXCHANGE</w:t>
            </w:r>
          </w:p>
        </w:tc>
      </w:tr>
      <w:tr>
        <w:trPr>
          <w:cnfStyle w:evenHBand="false" w:oddHBand="true" w:firstRow="false"/>
        </w:trPr>
        <w:tc>
          <w:tcPr>
            <w:cnfStyle w:evenVBand="false" w:oddVBand="true" w:firstColumn="false"/>
            <w:tcW w:w="33.333333%" w:type="pct"/>
          </w:tcPr>
          <w:p>
            <w:pPr>
              <w:ind w:leftChars="0" w:left="0" w:right="0"/>
            </w:pPr>
            <w:r>
              <w:t>XMAT</w:t>
            </w:r>
          </w:p>
        </w:tc>
        <w:tc>
          <w:tcPr>
            <w:cnfStyle w:evenVBand="true" w:oddVBand="false" w:firstColumn="false"/>
            <w:tcW w:w="33.333333%" w:type="pct"/>
          </w:tcPr>
          <w:p>
            <w:pPr>
              <w:ind w:leftChars="0" w:left="0" w:right="0"/>
            </w:pPr>
            <w:r>
              <w:t>XMAT</w:t>
            </w:r>
          </w:p>
        </w:tc>
        <w:tc>
          <w:tcPr>
            <w:cnfStyle w:evenVBand="false" w:oddVBand="true" w:firstColumn="false"/>
            <w:tcW w:w="33.333333%" w:type="pct"/>
          </w:tcPr>
          <w:p>
            <w:pPr>
              <w:ind w:leftChars="0" w:left="0" w:right="0"/>
            </w:pPr>
            <w:r>
              <w:t>EURONEXT PARIS MATIF</w:t>
            </w:r>
          </w:p>
        </w:tc>
      </w:tr>
      <w:tr>
        <w:trPr>
          <w:cnfStyle w:evenHBand="true" w:oddHBand="false" w:firstRow="false"/>
        </w:trPr>
        <w:tc>
          <w:tcPr>
            <w:cnfStyle w:evenVBand="false" w:oddVBand="true" w:firstColumn="false"/>
            <w:tcW w:w="33.333333%" w:type="pct"/>
          </w:tcPr>
          <w:p>
            <w:pPr>
              <w:ind w:leftChars="0" w:left="0" w:right="0"/>
            </w:pPr>
            <w:r>
              <w:t>XMAU</w:t>
            </w:r>
          </w:p>
        </w:tc>
        <w:tc>
          <w:tcPr>
            <w:cnfStyle w:evenVBand="true" w:oddVBand="false" w:firstColumn="false"/>
            <w:tcW w:w="33.333333%" w:type="pct"/>
          </w:tcPr>
          <w:p>
            <w:pPr>
              <w:ind w:leftChars="0" w:left="0" w:right="0"/>
            </w:pPr>
            <w:r>
              <w:t>XMAU</w:t>
            </w:r>
          </w:p>
        </w:tc>
        <w:tc>
          <w:tcPr>
            <w:cnfStyle w:evenVBand="false" w:oddVBand="true" w:firstColumn="false"/>
            <w:tcW w:w="33.333333%" w:type="pct"/>
          </w:tcPr>
          <w:p>
            <w:pPr>
              <w:ind w:leftChars="0" w:left="0" w:right="0"/>
            </w:pPr>
            <w:r>
              <w:t>STOCK EXCHANGE OF MAURITIUS LTD</w:t>
            </w:r>
          </w:p>
        </w:tc>
      </w:tr>
      <w:tr>
        <w:trPr>
          <w:cnfStyle w:evenHBand="false" w:oddHBand="true" w:firstRow="false"/>
        </w:trPr>
        <w:tc>
          <w:tcPr>
            <w:cnfStyle w:evenVBand="false" w:oddVBand="true" w:firstColumn="false"/>
            <w:tcW w:w="33.333333%" w:type="pct"/>
          </w:tcPr>
          <w:p>
            <w:pPr>
              <w:ind w:leftChars="0" w:left="0" w:right="0"/>
            </w:pPr>
            <w:r>
              <w:t>XMCE</w:t>
            </w:r>
          </w:p>
        </w:tc>
        <w:tc>
          <w:tcPr>
            <w:cnfStyle w:evenVBand="true" w:oddVBand="false" w:firstColumn="false"/>
            <w:tcW w:w="33.333333%" w:type="pct"/>
          </w:tcPr>
          <w:p>
            <w:pPr>
              <w:ind w:leftChars="0" w:left="0" w:right="0"/>
            </w:pPr>
            <w:r>
              <w:t>XMCE</w:t>
            </w:r>
          </w:p>
        </w:tc>
        <w:tc>
          <w:tcPr>
            <w:cnfStyle w:evenVBand="false" w:oddVBand="true" w:firstColumn="false"/>
            <w:tcW w:w="33.333333%" w:type="pct"/>
          </w:tcPr>
          <w:p>
            <w:pPr>
              <w:ind w:leftChars="0" w:left="0" w:right="0"/>
            </w:pPr>
            <w:r>
              <w:t>MERCADO CONTINUO ESPANOL - CONTINUOUS MARKET</w:t>
            </w:r>
          </w:p>
        </w:tc>
      </w:tr>
      <w:tr>
        <w:trPr>
          <w:cnfStyle w:evenHBand="true" w:oddHBand="false" w:firstRow="false"/>
        </w:trPr>
        <w:tc>
          <w:tcPr>
            <w:cnfStyle w:evenVBand="false" w:oddVBand="true" w:firstColumn="false"/>
            <w:tcW w:w="33.333333%" w:type="pct"/>
          </w:tcPr>
          <w:p>
            <w:pPr>
              <w:ind w:leftChars="0" w:left="0" w:right="0"/>
            </w:pPr>
            <w:r>
              <w:t>XMDG</w:t>
            </w:r>
          </w:p>
        </w:tc>
        <w:tc>
          <w:tcPr>
            <w:cnfStyle w:evenVBand="true" w:oddVBand="false" w:firstColumn="false"/>
            <w:tcW w:w="33.333333%" w:type="pct"/>
          </w:tcPr>
          <w:p>
            <w:pPr>
              <w:ind w:leftChars="0" w:left="0" w:right="0"/>
            </w:pPr>
            <w:r>
              <w:t>XMDG</w:t>
            </w:r>
          </w:p>
        </w:tc>
        <w:tc>
          <w:tcPr>
            <w:cnfStyle w:evenVBand="false" w:oddVBand="true" w:firstColumn="false"/>
            <w:tcW w:w="33.333333%" w:type="pct"/>
          </w:tcPr>
          <w:p>
            <w:pPr>
              <w:ind w:leftChars="0" w:left="0" w:right="0"/>
            </w:pPr>
            <w:r>
              <w:t>MARCHE INTERBANCAIRE DES DEVISES M.I.D.</w:t>
            </w:r>
          </w:p>
        </w:tc>
      </w:tr>
      <w:tr>
        <w:trPr>
          <w:cnfStyle w:evenHBand="false" w:oddHBand="true" w:firstRow="false"/>
        </w:trPr>
        <w:tc>
          <w:tcPr>
            <w:cnfStyle w:evenVBand="false" w:oddVBand="true" w:firstColumn="false"/>
            <w:tcW w:w="33.333333%" w:type="pct"/>
          </w:tcPr>
          <w:p>
            <w:pPr>
              <w:ind w:leftChars="0" w:left="0" w:right="0"/>
            </w:pPr>
            <w:r>
              <w:t>XMDS</w:t>
            </w:r>
          </w:p>
        </w:tc>
        <w:tc>
          <w:tcPr>
            <w:cnfStyle w:evenVBand="true" w:oddVBand="false" w:firstColumn="false"/>
            <w:tcW w:w="33.333333%" w:type="pct"/>
          </w:tcPr>
          <w:p>
            <w:pPr>
              <w:ind w:leftChars="0" w:left="0" w:right="0"/>
            </w:pPr>
            <w:r>
              <w:t>XMDS</w:t>
            </w:r>
          </w:p>
        </w:tc>
        <w:tc>
          <w:tcPr>
            <w:cnfStyle w:evenVBand="false" w:oddVBand="true" w:firstColumn="false"/>
            <w:tcW w:w="33.333333%" w:type="pct"/>
          </w:tcPr>
          <w:p>
            <w:pPr>
              <w:ind w:leftChars="0" w:left="0" w:right="0"/>
            </w:pPr>
            <w:r>
              <w:t>MADRAS STOCK EXCHANGE</w:t>
            </w:r>
          </w:p>
        </w:tc>
      </w:tr>
      <w:tr>
        <w:trPr>
          <w:cnfStyle w:evenHBand="true" w:oddHBand="false" w:firstRow="false"/>
        </w:trPr>
        <w:tc>
          <w:tcPr>
            <w:cnfStyle w:evenVBand="false" w:oddVBand="true" w:firstColumn="false"/>
            <w:tcW w:w="33.333333%" w:type="pct"/>
          </w:tcPr>
          <w:p>
            <w:pPr>
              <w:ind w:leftChars="0" w:left="0" w:right="0"/>
            </w:pPr>
            <w:r>
              <w:t>XMEF</w:t>
            </w:r>
          </w:p>
        </w:tc>
        <w:tc>
          <w:tcPr>
            <w:cnfStyle w:evenVBand="true" w:oddVBand="false" w:firstColumn="false"/>
            <w:tcW w:w="33.333333%" w:type="pct"/>
          </w:tcPr>
          <w:p>
            <w:pPr>
              <w:ind w:leftChars="0" w:left="0" w:right="0"/>
            </w:pPr>
            <w:r>
              <w:t>XMEF</w:t>
            </w:r>
          </w:p>
        </w:tc>
        <w:tc>
          <w:tcPr>
            <w:cnfStyle w:evenVBand="false" w:oddVBand="true" w:firstColumn="false"/>
            <w:tcW w:w="33.333333%" w:type="pct"/>
          </w:tcPr>
          <w:p>
            <w:pPr>
              <w:ind w:leftChars="0" w:left="0" w:right="0"/>
            </w:pPr>
            <w:r>
              <w:t>MEFF RENTA FIJA</w:t>
            </w:r>
          </w:p>
        </w:tc>
      </w:tr>
      <w:tr>
        <w:trPr>
          <w:cnfStyle w:evenHBand="false" w:oddHBand="true" w:firstRow="false"/>
        </w:trPr>
        <w:tc>
          <w:tcPr>
            <w:cnfStyle w:evenVBand="false" w:oddVBand="true" w:firstColumn="false"/>
            <w:tcW w:w="33.333333%" w:type="pct"/>
          </w:tcPr>
          <w:p>
            <w:pPr>
              <w:ind w:leftChars="0" w:left="0" w:right="0"/>
            </w:pPr>
            <w:r>
              <w:t>XMER</w:t>
            </w:r>
          </w:p>
        </w:tc>
        <w:tc>
          <w:tcPr>
            <w:cnfStyle w:evenVBand="true" w:oddVBand="false" w:firstColumn="false"/>
            <w:tcW w:w="33.333333%" w:type="pct"/>
          </w:tcPr>
          <w:p>
            <w:pPr>
              <w:ind w:leftChars="0" w:left="0" w:right="0"/>
            </w:pPr>
            <w:r>
              <w:t>XMER</w:t>
            </w:r>
          </w:p>
        </w:tc>
        <w:tc>
          <w:tcPr>
            <w:cnfStyle w:evenVBand="false" w:oddVBand="true" w:firstColumn="false"/>
            <w:tcW w:w="33.333333%" w:type="pct"/>
          </w:tcPr>
          <w:p>
            <w:pPr>
              <w:ind w:leftChars="0" w:left="0" w:right="0"/>
            </w:pPr>
            <w:r>
              <w:t>MERCHANTS” EXCHANGE</w:t>
            </w:r>
          </w:p>
        </w:tc>
      </w:tr>
      <w:tr>
        <w:trPr>
          <w:cnfStyle w:evenHBand="true" w:oddHBand="false" w:firstRow="false"/>
        </w:trPr>
        <w:tc>
          <w:tcPr>
            <w:cnfStyle w:evenVBand="false" w:oddVBand="true" w:firstColumn="false"/>
            <w:tcW w:w="33.333333%" w:type="pct"/>
          </w:tcPr>
          <w:p>
            <w:pPr>
              <w:ind w:leftChars="0" w:left="0" w:right="0"/>
            </w:pPr>
            <w:r>
              <w:t>XMEV</w:t>
            </w:r>
          </w:p>
        </w:tc>
        <w:tc>
          <w:tcPr>
            <w:cnfStyle w:evenVBand="true" w:oddVBand="false" w:firstColumn="false"/>
            <w:tcW w:w="33.333333%" w:type="pct"/>
          </w:tcPr>
          <w:p>
            <w:pPr>
              <w:ind w:leftChars="0" w:left="0" w:right="0"/>
            </w:pPr>
            <w:r>
              <w:t>XMEV</w:t>
            </w:r>
          </w:p>
        </w:tc>
        <w:tc>
          <w:tcPr>
            <w:cnfStyle w:evenVBand="false" w:oddVBand="true" w:firstColumn="false"/>
            <w:tcW w:w="33.333333%" w:type="pct"/>
          </w:tcPr>
          <w:p>
            <w:pPr>
              <w:ind w:leftChars="0" w:left="0" w:right="0"/>
            </w:pPr>
            <w:r>
              <w:t>MERCADO DE VALORES DE BUENOS AIRES S.A.</w:t>
            </w:r>
          </w:p>
        </w:tc>
      </w:tr>
      <w:tr>
        <w:trPr>
          <w:cnfStyle w:evenHBand="false" w:oddHBand="true" w:firstRow="false"/>
        </w:trPr>
        <w:tc>
          <w:tcPr>
            <w:cnfStyle w:evenVBand="false" w:oddVBand="true" w:firstColumn="false"/>
            <w:tcW w:w="33.333333%" w:type="pct"/>
          </w:tcPr>
          <w:p>
            <w:pPr>
              <w:ind w:leftChars="0" w:left="0" w:right="0"/>
            </w:pPr>
            <w:r>
              <w:t>XMEX</w:t>
            </w:r>
          </w:p>
        </w:tc>
        <w:tc>
          <w:tcPr>
            <w:cnfStyle w:evenVBand="true" w:oddVBand="false" w:firstColumn="false"/>
            <w:tcW w:w="33.333333%" w:type="pct"/>
          </w:tcPr>
          <w:p>
            <w:pPr>
              <w:ind w:leftChars="0" w:left="0" w:right="0"/>
            </w:pPr>
            <w:r>
              <w:t>XMEX</w:t>
            </w:r>
          </w:p>
        </w:tc>
        <w:tc>
          <w:tcPr>
            <w:cnfStyle w:evenVBand="false" w:oddVBand="true" w:firstColumn="false"/>
            <w:tcW w:w="33.333333%" w:type="pct"/>
          </w:tcPr>
          <w:p>
            <w:pPr>
              <w:ind w:leftChars="0" w:left="0" w:right="0"/>
            </w:pPr>
            <w:r>
              <w:t>BOLSA MEXICANA DE VALORES (MEXICAN STOCK EXCHANGE)</w:t>
            </w:r>
          </w:p>
        </w:tc>
      </w:tr>
      <w:tr>
        <w:trPr>
          <w:cnfStyle w:evenHBand="true" w:oddHBand="false" w:firstRow="false"/>
        </w:trPr>
        <w:tc>
          <w:tcPr>
            <w:cnfStyle w:evenVBand="false" w:oddVBand="true" w:firstColumn="false"/>
            <w:tcW w:w="33.333333%" w:type="pct"/>
          </w:tcPr>
          <w:p>
            <w:pPr>
              <w:ind w:leftChars="0" w:left="0" w:right="0"/>
            </w:pPr>
            <w:r>
              <w:t>XMFX</w:t>
            </w:r>
          </w:p>
        </w:tc>
        <w:tc>
          <w:tcPr>
            <w:cnfStyle w:evenVBand="true" w:oddVBand="false" w:firstColumn="false"/>
            <w:tcW w:w="33.333333%" w:type="pct"/>
          </w:tcPr>
          <w:p>
            <w:pPr>
              <w:ind w:leftChars="0" w:left="0" w:right="0"/>
            </w:pPr>
            <w:r>
              <w:t>XMFX</w:t>
            </w:r>
          </w:p>
        </w:tc>
        <w:tc>
          <w:tcPr>
            <w:cnfStyle w:evenVBand="false" w:oddVBand="true" w:firstColumn="false"/>
            <w:tcW w:w="33.333333%" w:type="pct"/>
          </w:tcPr>
          <w:p>
            <w:pPr>
              <w:ind w:leftChars="0" w:left="0" w:right="0"/>
            </w:pPr>
            <w:r>
              <w:t>MEFF FX FINANCIAL DERIVATIVES</w:t>
            </w:r>
          </w:p>
        </w:tc>
      </w:tr>
      <w:tr>
        <w:trPr>
          <w:cnfStyle w:evenHBand="false" w:oddHBand="true" w:firstRow="false"/>
        </w:trPr>
        <w:tc>
          <w:tcPr>
            <w:cnfStyle w:evenVBand="false" w:oddVBand="true" w:firstColumn="false"/>
            <w:tcW w:w="33.333333%" w:type="pct"/>
          </w:tcPr>
          <w:p>
            <w:pPr>
              <w:ind w:leftChars="0" w:left="0" w:right="0"/>
            </w:pPr>
            <w:r>
              <w:t>XMGE</w:t>
            </w:r>
          </w:p>
        </w:tc>
        <w:tc>
          <w:tcPr>
            <w:cnfStyle w:evenVBand="true" w:oddVBand="false" w:firstColumn="false"/>
            <w:tcW w:w="33.333333%" w:type="pct"/>
          </w:tcPr>
          <w:p>
            <w:pPr>
              <w:ind w:leftChars="0" w:left="0" w:right="0"/>
            </w:pPr>
            <w:r>
              <w:t>XMGE</w:t>
            </w:r>
          </w:p>
        </w:tc>
        <w:tc>
          <w:tcPr>
            <w:cnfStyle w:evenVBand="false" w:oddVBand="true" w:firstColumn="false"/>
            <w:tcW w:w="33.333333%" w:type="pct"/>
          </w:tcPr>
          <w:p>
            <w:pPr>
              <w:ind w:leftChars="0" w:left="0" w:right="0"/>
            </w:pPr>
            <w:r>
              <w:t>MINNEAPOLIS GRAIN EXCHANGE</w:t>
            </w:r>
          </w:p>
        </w:tc>
      </w:tr>
      <w:tr>
        <w:trPr>
          <w:cnfStyle w:evenHBand="true" w:oddHBand="false" w:firstRow="false"/>
        </w:trPr>
        <w:tc>
          <w:tcPr>
            <w:cnfStyle w:evenVBand="false" w:oddVBand="true" w:firstColumn="false"/>
            <w:tcW w:w="33.333333%" w:type="pct"/>
          </w:tcPr>
          <w:p>
            <w:pPr>
              <w:ind w:leftChars="0" w:left="0" w:right="0"/>
            </w:pPr>
            <w:r>
              <w:t>XMIC</w:t>
            </w:r>
          </w:p>
        </w:tc>
        <w:tc>
          <w:tcPr>
            <w:cnfStyle w:evenVBand="true" w:oddVBand="false" w:firstColumn="false"/>
            <w:tcW w:w="33.333333%" w:type="pct"/>
          </w:tcPr>
          <w:p>
            <w:pPr>
              <w:ind w:leftChars="0" w:left="0" w:right="0"/>
            </w:pPr>
            <w:r>
              <w:t>XMIC</w:t>
            </w:r>
          </w:p>
        </w:tc>
        <w:tc>
          <w:tcPr>
            <w:cnfStyle w:evenVBand="false" w:oddVBand="true" w:firstColumn="false"/>
            <w:tcW w:w="33.333333%" w:type="pct"/>
          </w:tcPr>
          <w:p>
            <w:pPr>
              <w:ind w:leftChars="0" w:left="0" w:right="0"/>
            </w:pPr>
            <w:r>
              <w:t>MOSCOW INTERBANK CURRENCY EXCHANGE</w:t>
            </w:r>
          </w:p>
        </w:tc>
      </w:tr>
      <w:tr>
        <w:trPr>
          <w:cnfStyle w:evenHBand="false" w:oddHBand="true" w:firstRow="false"/>
        </w:trPr>
        <w:tc>
          <w:tcPr>
            <w:cnfStyle w:evenVBand="false" w:oddVBand="true" w:firstColumn="false"/>
            <w:tcW w:w="33.333333%" w:type="pct"/>
          </w:tcPr>
          <w:p>
            <w:pPr>
              <w:ind w:leftChars="0" w:left="0" w:right="0"/>
            </w:pPr>
            <w:r>
              <w:t>XMID</w:t>
            </w:r>
          </w:p>
        </w:tc>
        <w:tc>
          <w:tcPr>
            <w:cnfStyle w:evenVBand="true" w:oddVBand="false" w:firstColumn="false"/>
            <w:tcW w:w="33.333333%" w:type="pct"/>
          </w:tcPr>
          <w:p>
            <w:pPr>
              <w:ind w:leftChars="0" w:left="0" w:right="0"/>
            </w:pPr>
            <w:r>
              <w:t>XMID</w:t>
            </w:r>
          </w:p>
        </w:tc>
        <w:tc>
          <w:tcPr>
            <w:cnfStyle w:evenVBand="false" w:oddVBand="true" w:firstColumn="false"/>
            <w:tcW w:w="33.333333%" w:type="pct"/>
          </w:tcPr>
          <w:p>
            <w:pPr>
              <w:ind w:leftChars="0" w:left="0" w:right="0"/>
            </w:pPr>
            <w:r>
              <w:t>MIDWEST STOCK EXCHANGE</w:t>
            </w:r>
          </w:p>
        </w:tc>
      </w:tr>
      <w:tr>
        <w:trPr>
          <w:cnfStyle w:evenHBand="true" w:oddHBand="false" w:firstRow="false"/>
        </w:trPr>
        <w:tc>
          <w:tcPr>
            <w:cnfStyle w:evenVBand="false" w:oddVBand="true" w:firstColumn="false"/>
            <w:tcW w:w="33.333333%" w:type="pct"/>
          </w:tcPr>
          <w:p>
            <w:pPr>
              <w:ind w:leftChars="0" w:left="0" w:right="0"/>
            </w:pPr>
            <w:r>
              <w:t>XMIF</w:t>
            </w:r>
          </w:p>
        </w:tc>
        <w:tc>
          <w:tcPr>
            <w:cnfStyle w:evenVBand="true" w:oddVBand="false" w:firstColumn="false"/>
            <w:tcW w:w="33.333333%" w:type="pct"/>
          </w:tcPr>
          <w:p>
            <w:pPr>
              <w:ind w:leftChars="0" w:left="0" w:right="0"/>
            </w:pPr>
            <w:r>
              <w:t>XMIF</w:t>
            </w:r>
          </w:p>
        </w:tc>
        <w:tc>
          <w:tcPr>
            <w:cnfStyle w:evenVBand="false" w:oddVBand="true" w:firstColumn="false"/>
            <w:tcW w:w="33.333333%" w:type="pct"/>
          </w:tcPr>
          <w:p>
            <w:pPr>
              <w:ind w:leftChars="0" w:left="0" w:right="0"/>
            </w:pPr>
            <w:r>
              <w:t>MERCATO ITALIANO DEI FUTURES</w:t>
            </w:r>
          </w:p>
        </w:tc>
      </w:tr>
      <w:tr>
        <w:trPr>
          <w:cnfStyle w:evenHBand="false" w:oddHBand="true" w:firstRow="false"/>
        </w:trPr>
        <w:tc>
          <w:tcPr>
            <w:cnfStyle w:evenVBand="false" w:oddVBand="true" w:firstColumn="false"/>
            <w:tcW w:w="33.333333%" w:type="pct"/>
          </w:tcPr>
          <w:p>
            <w:pPr>
              <w:ind w:leftChars="0" w:left="0" w:right="0"/>
            </w:pPr>
            <w:r>
              <w:t>XMIL</w:t>
            </w:r>
          </w:p>
        </w:tc>
        <w:tc>
          <w:tcPr>
            <w:cnfStyle w:evenVBand="true" w:oddVBand="false" w:firstColumn="false"/>
            <w:tcW w:w="33.333333%" w:type="pct"/>
          </w:tcPr>
          <w:p>
            <w:pPr>
              <w:ind w:leftChars="0" w:left="0" w:right="0"/>
            </w:pPr>
            <w:r>
              <w:t>XMIL</w:t>
            </w:r>
          </w:p>
        </w:tc>
        <w:tc>
          <w:tcPr>
            <w:cnfStyle w:evenVBand="false" w:oddVBand="true" w:firstColumn="false"/>
            <w:tcW w:w="33.333333%" w:type="pct"/>
          </w:tcPr>
          <w:p>
            <w:pPr>
              <w:ind w:leftChars="0" w:left="0" w:right="0"/>
            </w:pPr>
            <w:r>
              <w:t>BORSA ITALIANA S.P.A.</w:t>
            </w:r>
          </w:p>
        </w:tc>
      </w:tr>
      <w:tr>
        <w:trPr>
          <w:cnfStyle w:evenHBand="true" w:oddHBand="false" w:firstRow="false"/>
        </w:trPr>
        <w:tc>
          <w:tcPr>
            <w:cnfStyle w:evenVBand="false" w:oddVBand="true" w:firstColumn="false"/>
            <w:tcW w:w="33.333333%" w:type="pct"/>
          </w:tcPr>
          <w:p>
            <w:pPr>
              <w:ind w:leftChars="0" w:left="0" w:right="0"/>
            </w:pPr>
            <w:r>
              <w:t>XMIO</w:t>
            </w:r>
          </w:p>
        </w:tc>
        <w:tc>
          <w:tcPr>
            <w:cnfStyle w:evenVBand="true" w:oddVBand="false" w:firstColumn="false"/>
            <w:tcW w:w="33.333333%" w:type="pct"/>
          </w:tcPr>
          <w:p>
            <w:pPr>
              <w:ind w:leftChars="0" w:left="0" w:right="0"/>
            </w:pPr>
            <w:r>
              <w:t>XMIO</w:t>
            </w:r>
          </w:p>
        </w:tc>
        <w:tc>
          <w:tcPr>
            <w:cnfStyle w:evenVBand="false" w:oddVBand="true" w:firstColumn="false"/>
            <w:tcW w:w="33.333333%" w:type="pct"/>
          </w:tcPr>
          <w:p>
            <w:pPr>
              <w:ind w:leftChars="0" w:left="0" w:right="0"/>
            </w:pPr>
            <w:r>
              <w:t>MIAMI INTERNATIONAL SECURITIES EXCHANGE</w:t>
            </w:r>
          </w:p>
        </w:tc>
      </w:tr>
      <w:tr>
        <w:trPr>
          <w:cnfStyle w:evenHBand="false" w:oddHBand="true" w:firstRow="false"/>
        </w:trPr>
        <w:tc>
          <w:tcPr>
            <w:cnfStyle w:evenVBand="false" w:oddVBand="true" w:firstColumn="false"/>
            <w:tcW w:w="33.333333%" w:type="pct"/>
          </w:tcPr>
          <w:p>
            <w:pPr>
              <w:ind w:leftChars="0" w:left="0" w:right="0"/>
            </w:pPr>
            <w:r>
              <w:t>XMLI</w:t>
            </w:r>
          </w:p>
        </w:tc>
        <w:tc>
          <w:tcPr>
            <w:cnfStyle w:evenVBand="true" w:oddVBand="false" w:firstColumn="false"/>
            <w:tcW w:w="33.333333%" w:type="pct"/>
          </w:tcPr>
          <w:p>
            <w:pPr>
              <w:ind w:leftChars="0" w:left="0" w:right="0"/>
            </w:pPr>
            <w:r>
              <w:t>XMLI</w:t>
            </w:r>
          </w:p>
        </w:tc>
        <w:tc>
          <w:tcPr>
            <w:cnfStyle w:evenVBand="false" w:oddVBand="true" w:firstColumn="false"/>
            <w:tcW w:w="33.333333%" w:type="pct"/>
          </w:tcPr>
          <w:p>
            <w:pPr>
              <w:ind w:leftChars="0" w:left="0" w:right="0"/>
            </w:pPr>
            <w:r>
              <w:t>EURONEXT ACCESS PARIS</w:t>
            </w:r>
          </w:p>
        </w:tc>
      </w:tr>
      <w:tr>
        <w:trPr>
          <w:cnfStyle w:evenHBand="true" w:oddHBand="false" w:firstRow="false"/>
        </w:trPr>
        <w:tc>
          <w:tcPr>
            <w:cnfStyle w:evenVBand="false" w:oddVBand="true" w:firstColumn="false"/>
            <w:tcW w:w="33.333333%" w:type="pct"/>
          </w:tcPr>
          <w:p>
            <w:pPr>
              <w:ind w:leftChars="0" w:left="0" w:right="0"/>
            </w:pPr>
            <w:r>
              <w:t>XMLX</w:t>
            </w:r>
          </w:p>
        </w:tc>
        <w:tc>
          <w:tcPr>
            <w:cnfStyle w:evenVBand="true" w:oddVBand="false" w:firstColumn="false"/>
            <w:tcW w:w="33.333333%" w:type="pct"/>
          </w:tcPr>
          <w:p>
            <w:pPr>
              <w:ind w:leftChars="0" w:left="0" w:right="0"/>
            </w:pPr>
            <w:r>
              <w:t>XMLX</w:t>
            </w:r>
          </w:p>
        </w:tc>
        <w:tc>
          <w:tcPr>
            <w:cnfStyle w:evenVBand="false" w:oddVBand="true" w:firstColumn="false"/>
            <w:tcW w:w="33.333333%" w:type="pct"/>
          </w:tcPr>
          <w:p>
            <w:pPr>
              <w:ind w:leftChars="0" w:left="0" w:right="0"/>
            </w:pPr>
            <w:r>
              <w:t>OMLX, THE LONDON SECURITIES AND DERIVATIVES EXCHANGE LIMITED</w:t>
            </w:r>
          </w:p>
        </w:tc>
      </w:tr>
      <w:tr>
        <w:trPr>
          <w:cnfStyle w:evenHBand="false" w:oddHBand="true" w:firstRow="false"/>
        </w:trPr>
        <w:tc>
          <w:tcPr>
            <w:cnfStyle w:evenVBand="false" w:oddVBand="true" w:firstColumn="false"/>
            <w:tcW w:w="33.333333%" w:type="pct"/>
          </w:tcPr>
          <w:p>
            <w:pPr>
              <w:ind w:leftChars="0" w:left="0" w:right="0"/>
            </w:pPr>
            <w:r>
              <w:t>XMNT</w:t>
            </w:r>
          </w:p>
        </w:tc>
        <w:tc>
          <w:tcPr>
            <w:cnfStyle w:evenVBand="true" w:oddVBand="false" w:firstColumn="false"/>
            <w:tcW w:w="33.333333%" w:type="pct"/>
          </w:tcPr>
          <w:p>
            <w:pPr>
              <w:ind w:leftChars="0" w:left="0" w:right="0"/>
            </w:pPr>
            <w:r>
              <w:t>XMNT</w:t>
            </w:r>
          </w:p>
        </w:tc>
        <w:tc>
          <w:tcPr>
            <w:cnfStyle w:evenVBand="false" w:oddVBand="true" w:firstColumn="false"/>
            <w:tcW w:w="33.333333%" w:type="pct"/>
          </w:tcPr>
          <w:p>
            <w:pPr>
              <w:ind w:leftChars="0" w:left="0" w:right="0"/>
            </w:pPr>
            <w:r>
              <w:t>BOLSA DE VALORES DE MONTEVIDEO</w:t>
            </w:r>
          </w:p>
        </w:tc>
      </w:tr>
      <w:tr>
        <w:trPr>
          <w:cnfStyle w:evenHBand="true" w:oddHBand="false" w:firstRow="false"/>
        </w:trPr>
        <w:tc>
          <w:tcPr>
            <w:cnfStyle w:evenVBand="false" w:oddVBand="true" w:firstColumn="false"/>
            <w:tcW w:w="33.333333%" w:type="pct"/>
          </w:tcPr>
          <w:p>
            <w:pPr>
              <w:ind w:leftChars="0" w:left="0" w:right="0"/>
            </w:pPr>
            <w:r>
              <w:t>XMNX</w:t>
            </w:r>
          </w:p>
        </w:tc>
        <w:tc>
          <w:tcPr>
            <w:cnfStyle w:evenVBand="true" w:oddVBand="false" w:firstColumn="false"/>
            <w:tcW w:w="33.333333%" w:type="pct"/>
          </w:tcPr>
          <w:p>
            <w:pPr>
              <w:ind w:leftChars="0" w:left="0" w:right="0"/>
            </w:pPr>
            <w:r>
              <w:t>XMNX</w:t>
            </w:r>
          </w:p>
        </w:tc>
        <w:tc>
          <w:tcPr>
            <w:cnfStyle w:evenVBand="false" w:oddVBand="true" w:firstColumn="false"/>
            <w:tcW w:w="33.333333%" w:type="pct"/>
          </w:tcPr>
          <w:p>
            <w:pPr>
              <w:ind w:leftChars="0" w:left="0" w:right="0"/>
            </w:pPr>
            <w:r>
              <w:t>MONTENEGRO STOCK EXCHANGE</w:t>
            </w:r>
          </w:p>
        </w:tc>
      </w:tr>
      <w:tr>
        <w:trPr>
          <w:cnfStyle w:evenHBand="false" w:oddHBand="true" w:firstRow="false"/>
        </w:trPr>
        <w:tc>
          <w:tcPr>
            <w:cnfStyle w:evenVBand="false" w:oddVBand="true" w:firstColumn="false"/>
            <w:tcW w:w="33.333333%" w:type="pct"/>
          </w:tcPr>
          <w:p>
            <w:pPr>
              <w:ind w:leftChars="0" w:left="0" w:right="0"/>
            </w:pPr>
            <w:r>
              <w:t>XMOC</w:t>
            </w:r>
          </w:p>
        </w:tc>
        <w:tc>
          <w:tcPr>
            <w:cnfStyle w:evenVBand="true" w:oddVBand="false" w:firstColumn="false"/>
            <w:tcW w:w="33.333333%" w:type="pct"/>
          </w:tcPr>
          <w:p>
            <w:pPr>
              <w:ind w:leftChars="0" w:left="0" w:right="0"/>
            </w:pPr>
            <w:r>
              <w:t>XMOC</w:t>
            </w:r>
          </w:p>
        </w:tc>
        <w:tc>
          <w:tcPr>
            <w:cnfStyle w:evenVBand="false" w:oddVBand="true" w:firstColumn="false"/>
            <w:tcW w:w="33.333333%" w:type="pct"/>
          </w:tcPr>
          <w:p>
            <w:pPr>
              <w:ind w:leftChars="0" w:left="0" w:right="0"/>
            </w:pPr>
            <w:r>
              <w:t>MONTREAL CLIMATE EXCHANGE</w:t>
            </w:r>
          </w:p>
        </w:tc>
      </w:tr>
      <w:tr>
        <w:trPr>
          <w:cnfStyle w:evenHBand="true" w:oddHBand="false" w:firstRow="false"/>
        </w:trPr>
        <w:tc>
          <w:tcPr>
            <w:cnfStyle w:evenVBand="false" w:oddVBand="true" w:firstColumn="false"/>
            <w:tcW w:w="33.333333%" w:type="pct"/>
          </w:tcPr>
          <w:p>
            <w:pPr>
              <w:ind w:leftChars="0" w:left="0" w:right="0"/>
            </w:pPr>
            <w:r>
              <w:t>XMOD</w:t>
            </w:r>
          </w:p>
        </w:tc>
        <w:tc>
          <w:tcPr>
            <w:cnfStyle w:evenVBand="true" w:oddVBand="false" w:firstColumn="false"/>
            <w:tcW w:w="33.333333%" w:type="pct"/>
          </w:tcPr>
          <w:p>
            <w:pPr>
              <w:ind w:leftChars="0" w:left="0" w:right="0"/>
            </w:pPr>
            <w:r>
              <w:t>XMOD</w:t>
            </w:r>
          </w:p>
        </w:tc>
        <w:tc>
          <w:tcPr>
            <w:cnfStyle w:evenVBand="false" w:oddVBand="true" w:firstColumn="false"/>
            <w:tcW w:w="33.333333%" w:type="pct"/>
          </w:tcPr>
          <w:p>
            <w:pPr>
              <w:ind w:leftChars="0" w:left="0" w:right="0"/>
            </w:pPr>
            <w:r>
              <w:t>THE MONTREAL EXCHANGE / BOURSE DE MONTREAL</w:t>
            </w:r>
          </w:p>
        </w:tc>
      </w:tr>
      <w:tr>
        <w:trPr>
          <w:cnfStyle w:evenHBand="false" w:oddHBand="true" w:firstRow="false"/>
        </w:trPr>
        <w:tc>
          <w:tcPr>
            <w:cnfStyle w:evenVBand="false" w:oddVBand="true" w:firstColumn="false"/>
            <w:tcW w:w="33.333333%" w:type="pct"/>
          </w:tcPr>
          <w:p>
            <w:pPr>
              <w:ind w:leftChars="0" w:left="0" w:right="0"/>
            </w:pPr>
            <w:r>
              <w:t>XMOL</w:t>
            </w:r>
          </w:p>
        </w:tc>
        <w:tc>
          <w:tcPr>
            <w:cnfStyle w:evenVBand="true" w:oddVBand="false" w:firstColumn="false"/>
            <w:tcW w:w="33.333333%" w:type="pct"/>
          </w:tcPr>
          <w:p>
            <w:pPr>
              <w:ind w:leftChars="0" w:left="0" w:right="0"/>
            </w:pPr>
            <w:r>
              <w:t>XMOL</w:t>
            </w:r>
          </w:p>
        </w:tc>
        <w:tc>
          <w:tcPr>
            <w:cnfStyle w:evenVBand="false" w:oddVBand="true" w:firstColumn="false"/>
            <w:tcW w:w="33.333333%" w:type="pct"/>
          </w:tcPr>
          <w:p>
            <w:pPr>
              <w:ind w:leftChars="0" w:left="0" w:right="0"/>
            </w:pPr>
            <w:r>
              <w:t>MOLDOVA STOCK EXCHANGE</w:t>
            </w:r>
          </w:p>
        </w:tc>
      </w:tr>
      <w:tr>
        <w:trPr>
          <w:cnfStyle w:evenHBand="true" w:oddHBand="false" w:firstRow="false"/>
        </w:trPr>
        <w:tc>
          <w:tcPr>
            <w:cnfStyle w:evenVBand="false" w:oddVBand="true" w:firstColumn="false"/>
            <w:tcW w:w="33.333333%" w:type="pct"/>
          </w:tcPr>
          <w:p>
            <w:pPr>
              <w:ind w:leftChars="0" w:left="0" w:right="0"/>
            </w:pPr>
            <w:r>
              <w:t>XMON</w:t>
            </w:r>
          </w:p>
        </w:tc>
        <w:tc>
          <w:tcPr>
            <w:cnfStyle w:evenVBand="true" w:oddVBand="false" w:firstColumn="false"/>
            <w:tcW w:w="33.333333%" w:type="pct"/>
          </w:tcPr>
          <w:p>
            <w:pPr>
              <w:ind w:leftChars="0" w:left="0" w:right="0"/>
            </w:pPr>
            <w:r>
              <w:t>XMON</w:t>
            </w:r>
          </w:p>
        </w:tc>
        <w:tc>
          <w:tcPr>
            <w:cnfStyle w:evenVBand="false" w:oddVBand="true" w:firstColumn="false"/>
            <w:tcW w:w="33.333333%" w:type="pct"/>
          </w:tcPr>
          <w:p>
            <w:pPr>
              <w:ind w:leftChars="0" w:left="0" w:right="0"/>
            </w:pPr>
            <w:r>
              <w:t>EURONEXT PARIS MONEP</w:t>
            </w:r>
          </w:p>
        </w:tc>
      </w:tr>
      <w:tr>
        <w:trPr>
          <w:cnfStyle w:evenHBand="false" w:oddHBand="true" w:firstRow="false"/>
        </w:trPr>
        <w:tc>
          <w:tcPr>
            <w:cnfStyle w:evenVBand="false" w:oddVBand="true" w:firstColumn="false"/>
            <w:tcW w:w="33.333333%" w:type="pct"/>
          </w:tcPr>
          <w:p>
            <w:pPr>
              <w:ind w:leftChars="0" w:left="0" w:right="0"/>
            </w:pPr>
            <w:r>
              <w:t>XMOO</w:t>
            </w:r>
          </w:p>
        </w:tc>
        <w:tc>
          <w:tcPr>
            <w:cnfStyle w:evenVBand="true" w:oddVBand="false" w:firstColumn="false"/>
            <w:tcW w:w="33.333333%" w:type="pct"/>
          </w:tcPr>
          <w:p>
            <w:pPr>
              <w:ind w:leftChars="0" w:left="0" w:right="0"/>
            </w:pPr>
            <w:r>
              <w:t>XMOO</w:t>
            </w:r>
          </w:p>
        </w:tc>
        <w:tc>
          <w:tcPr>
            <w:cnfStyle w:evenVBand="false" w:oddVBand="true" w:firstColumn="false"/>
            <w:tcW w:w="33.333333%" w:type="pct"/>
          </w:tcPr>
          <w:p>
            <w:pPr>
              <w:ind w:leftChars="0" w:left="0" w:right="0"/>
            </w:pPr>
            <w:r>
              <w:t>MONTREAL EXCHANGE THE / BOURSE DE MONTREAL</w:t>
            </w:r>
          </w:p>
        </w:tc>
      </w:tr>
      <w:tr>
        <w:trPr>
          <w:cnfStyle w:evenHBand="true" w:oddHBand="false" w:firstRow="false"/>
        </w:trPr>
        <w:tc>
          <w:tcPr>
            <w:cnfStyle w:evenVBand="false" w:oddVBand="true" w:firstColumn="false"/>
            <w:tcW w:w="33.333333%" w:type="pct"/>
          </w:tcPr>
          <w:p>
            <w:pPr>
              <w:ind w:leftChars="0" w:left="0" w:right="0"/>
            </w:pPr>
            <w:r>
              <w:t>XMOS</w:t>
            </w:r>
          </w:p>
        </w:tc>
        <w:tc>
          <w:tcPr>
            <w:cnfStyle w:evenVBand="true" w:oddVBand="false" w:firstColumn="false"/>
            <w:tcW w:w="33.333333%" w:type="pct"/>
          </w:tcPr>
          <w:p>
            <w:pPr>
              <w:ind w:leftChars="0" w:left="0" w:right="0"/>
            </w:pPr>
            <w:r>
              <w:t>XMOS</w:t>
            </w:r>
          </w:p>
        </w:tc>
        <w:tc>
          <w:tcPr>
            <w:cnfStyle w:evenVBand="false" w:oddVBand="true" w:firstColumn="false"/>
            <w:tcW w:w="33.333333%" w:type="pct"/>
          </w:tcPr>
          <w:p>
            <w:pPr>
              <w:ind w:leftChars="0" w:left="0" w:right="0"/>
            </w:pPr>
            <w:r>
              <w:t>CENTRAL COUNTERPARTY CLEARING CENTER MFB - JOINT-STOCK COMPANY</w:t>
            </w:r>
          </w:p>
        </w:tc>
      </w:tr>
      <w:tr>
        <w:trPr>
          <w:cnfStyle w:evenHBand="false" w:oddHBand="true" w:firstRow="false"/>
        </w:trPr>
        <w:tc>
          <w:tcPr>
            <w:cnfStyle w:evenVBand="false" w:oddVBand="true" w:firstColumn="false"/>
            <w:tcW w:w="33.333333%" w:type="pct"/>
          </w:tcPr>
          <w:p>
            <w:pPr>
              <w:ind w:leftChars="0" w:left="0" w:right="0"/>
            </w:pPr>
            <w:r>
              <w:t>XMOT</w:t>
            </w:r>
          </w:p>
        </w:tc>
        <w:tc>
          <w:tcPr>
            <w:cnfStyle w:evenVBand="true" w:oddVBand="false" w:firstColumn="false"/>
            <w:tcW w:w="33.333333%" w:type="pct"/>
          </w:tcPr>
          <w:p>
            <w:pPr>
              <w:ind w:leftChars="0" w:left="0" w:right="0"/>
            </w:pPr>
            <w:r>
              <w:t>XMOT</w:t>
            </w:r>
          </w:p>
        </w:tc>
        <w:tc>
          <w:tcPr>
            <w:cnfStyle w:evenVBand="false" w:oddVBand="true" w:firstColumn="false"/>
            <w:tcW w:w="33.333333%" w:type="pct"/>
          </w:tcPr>
          <w:p>
            <w:pPr>
              <w:ind w:leftChars="0" w:left="0" w:right="0"/>
            </w:pPr>
            <w:r>
              <w:t>EXTRAMOT</w:t>
            </w:r>
          </w:p>
        </w:tc>
      </w:tr>
      <w:tr>
        <w:trPr>
          <w:cnfStyle w:evenHBand="true" w:oddHBand="false" w:firstRow="false"/>
        </w:trPr>
        <w:tc>
          <w:tcPr>
            <w:cnfStyle w:evenVBand="false" w:oddVBand="true" w:firstColumn="false"/>
            <w:tcW w:w="33.333333%" w:type="pct"/>
          </w:tcPr>
          <w:p>
            <w:pPr>
              <w:ind w:leftChars="0" w:left="0" w:right="0"/>
            </w:pPr>
            <w:r>
              <w:t>XMPW</w:t>
            </w:r>
          </w:p>
        </w:tc>
        <w:tc>
          <w:tcPr>
            <w:cnfStyle w:evenVBand="true" w:oddVBand="false" w:firstColumn="false"/>
            <w:tcW w:w="33.333333%" w:type="pct"/>
          </w:tcPr>
          <w:p>
            <w:pPr>
              <w:ind w:leftChars="0" w:left="0" w:right="0"/>
            </w:pPr>
            <w:r>
              <w:t>XMPW</w:t>
            </w:r>
          </w:p>
        </w:tc>
        <w:tc>
          <w:tcPr>
            <w:cnfStyle w:evenVBand="false" w:oddVBand="true" w:firstColumn="false"/>
            <w:tcW w:w="33.333333%" w:type="pct"/>
          </w:tcPr>
          <w:p>
            <w:pPr>
              <w:ind w:leftChars="0" w:left="0" w:right="0"/>
            </w:pPr>
            <w:r>
              <w:t>MEFF POWER DERIVATIVES</w:t>
            </w:r>
          </w:p>
        </w:tc>
      </w:tr>
      <w:tr>
        <w:trPr>
          <w:cnfStyle w:evenHBand="false" w:oddHBand="true" w:firstRow="false"/>
        </w:trPr>
        <w:tc>
          <w:tcPr>
            <w:cnfStyle w:evenVBand="false" w:oddVBand="true" w:firstColumn="false"/>
            <w:tcW w:w="33.333333%" w:type="pct"/>
          </w:tcPr>
          <w:p>
            <w:pPr>
              <w:ind w:leftChars="0" w:left="0" w:right="0"/>
            </w:pPr>
            <w:r>
              <w:t>XMRV</w:t>
            </w:r>
          </w:p>
        </w:tc>
        <w:tc>
          <w:tcPr>
            <w:cnfStyle w:evenVBand="true" w:oddVBand="false" w:firstColumn="false"/>
            <w:tcW w:w="33.333333%" w:type="pct"/>
          </w:tcPr>
          <w:p>
            <w:pPr>
              <w:ind w:leftChars="0" w:left="0" w:right="0"/>
            </w:pPr>
            <w:r>
              <w:t>XMRV</w:t>
            </w:r>
          </w:p>
        </w:tc>
        <w:tc>
          <w:tcPr>
            <w:cnfStyle w:evenVBand="false" w:oddVBand="true" w:firstColumn="false"/>
            <w:tcW w:w="33.333333%" w:type="pct"/>
          </w:tcPr>
          <w:p>
            <w:pPr>
              <w:ind w:leftChars="0" w:left="0" w:right="0"/>
            </w:pPr>
            <w:r>
              <w:t>MEFF FINANCIAL DERIVATIVES</w:t>
            </w:r>
          </w:p>
        </w:tc>
      </w:tr>
      <w:tr>
        <w:trPr>
          <w:cnfStyle w:evenHBand="true" w:oddHBand="false" w:firstRow="false"/>
        </w:trPr>
        <w:tc>
          <w:tcPr>
            <w:cnfStyle w:evenVBand="false" w:oddVBand="true" w:firstColumn="false"/>
            <w:tcW w:w="33.333333%" w:type="pct"/>
          </w:tcPr>
          <w:p>
            <w:pPr>
              <w:ind w:leftChars="0" w:left="0" w:right="0"/>
            </w:pPr>
            <w:r>
              <w:t>XMSM</w:t>
            </w:r>
          </w:p>
        </w:tc>
        <w:tc>
          <w:tcPr>
            <w:cnfStyle w:evenVBand="true" w:oddVBand="false" w:firstColumn="false"/>
            <w:tcW w:w="33.333333%" w:type="pct"/>
          </w:tcPr>
          <w:p>
            <w:pPr>
              <w:ind w:leftChars="0" w:left="0" w:right="0"/>
            </w:pPr>
            <w:r>
              <w:t>XMSM</w:t>
            </w:r>
          </w:p>
        </w:tc>
        <w:tc>
          <w:tcPr>
            <w:cnfStyle w:evenVBand="false" w:oddVBand="true" w:firstColumn="false"/>
            <w:tcW w:w="33.333333%" w:type="pct"/>
          </w:tcPr>
          <w:p>
            <w:pPr>
              <w:ind w:leftChars="0" w:left="0" w:right="0"/>
            </w:pPr>
            <w:r>
              <w:t>EURONEXT DUBLIN</w:t>
            </w:r>
          </w:p>
        </w:tc>
      </w:tr>
      <w:tr>
        <w:trPr>
          <w:cnfStyle w:evenHBand="false" w:oddHBand="true" w:firstRow="false"/>
        </w:trPr>
        <w:tc>
          <w:tcPr>
            <w:cnfStyle w:evenVBand="false" w:oddVBand="true" w:firstColumn="false"/>
            <w:tcW w:w="33.333333%" w:type="pct"/>
          </w:tcPr>
          <w:p>
            <w:pPr>
              <w:ind w:leftChars="0" w:left="0" w:right="0"/>
            </w:pPr>
            <w:r>
              <w:t>XMSW</w:t>
            </w:r>
          </w:p>
        </w:tc>
        <w:tc>
          <w:tcPr>
            <w:cnfStyle w:evenVBand="true" w:oddVBand="false" w:firstColumn="false"/>
            <w:tcW w:w="33.333333%" w:type="pct"/>
          </w:tcPr>
          <w:p>
            <w:pPr>
              <w:ind w:leftChars="0" w:left="0" w:right="0"/>
            </w:pPr>
            <w:r>
              <w:t>XMSW</w:t>
            </w:r>
          </w:p>
        </w:tc>
        <w:tc>
          <w:tcPr>
            <w:cnfStyle w:evenVBand="false" w:oddVBand="true" w:firstColumn="false"/>
            <w:tcW w:w="33.333333%" w:type="pct"/>
          </w:tcPr>
          <w:p>
            <w:pPr>
              <w:ind w:leftChars="0" w:left="0" w:right="0"/>
            </w:pPr>
            <w:r>
              <w:t>MALAWI STOCK EXCHANGE</w:t>
            </w:r>
          </w:p>
        </w:tc>
      </w:tr>
      <w:tr>
        <w:trPr>
          <w:cnfStyle w:evenHBand="true" w:oddHBand="false" w:firstRow="false"/>
        </w:trPr>
        <w:tc>
          <w:tcPr>
            <w:cnfStyle w:evenVBand="false" w:oddVBand="true" w:firstColumn="false"/>
            <w:tcW w:w="33.333333%" w:type="pct"/>
          </w:tcPr>
          <w:p>
            <w:pPr>
              <w:ind w:leftChars="0" w:left="0" w:right="0"/>
            </w:pPr>
            <w:r>
              <w:t>XMTB</w:t>
            </w:r>
          </w:p>
        </w:tc>
        <w:tc>
          <w:tcPr>
            <w:cnfStyle w:evenVBand="true" w:oddVBand="false" w:firstColumn="false"/>
            <w:tcW w:w="33.333333%" w:type="pct"/>
          </w:tcPr>
          <w:p>
            <w:pPr>
              <w:ind w:leftChars="0" w:left="0" w:right="0"/>
            </w:pPr>
            <w:r>
              <w:t>XMTB</w:t>
            </w:r>
          </w:p>
        </w:tc>
        <w:tc>
          <w:tcPr>
            <w:cnfStyle w:evenVBand="false" w:oddVBand="true" w:firstColumn="false"/>
            <w:tcW w:w="33.333333%" w:type="pct"/>
          </w:tcPr>
          <w:p>
            <w:pPr>
              <w:ind w:leftChars="0" w:left="0" w:right="0"/>
            </w:pPr>
            <w:r>
              <w:t>MERCADO A TERMINO DE BUENOS AIRES S.A.</w:t>
            </w:r>
          </w:p>
        </w:tc>
      </w:tr>
      <w:tr>
        <w:trPr>
          <w:cnfStyle w:evenHBand="false" w:oddHBand="true" w:firstRow="false"/>
        </w:trPr>
        <w:tc>
          <w:tcPr>
            <w:cnfStyle w:evenVBand="false" w:oddVBand="true" w:firstColumn="false"/>
            <w:tcW w:w="33.333333%" w:type="pct"/>
          </w:tcPr>
          <w:p>
            <w:pPr>
              <w:ind w:leftChars="0" w:left="0" w:right="0"/>
            </w:pPr>
            <w:r>
              <w:t>XMTS</w:t>
            </w:r>
          </w:p>
        </w:tc>
        <w:tc>
          <w:tcPr>
            <w:cnfStyle w:evenVBand="true" w:oddVBand="false" w:firstColumn="false"/>
            <w:tcW w:w="33.333333%" w:type="pct"/>
          </w:tcPr>
          <w:p>
            <w:pPr>
              <w:ind w:leftChars="0" w:left="0" w:right="0"/>
            </w:pPr>
            <w:r>
              <w:t>XMTS</w:t>
            </w:r>
          </w:p>
        </w:tc>
        <w:tc>
          <w:tcPr>
            <w:cnfStyle w:evenVBand="false" w:oddVBand="true" w:firstColumn="false"/>
            <w:tcW w:w="33.333333%" w:type="pct"/>
          </w:tcPr>
          <w:p>
            <w:pPr>
              <w:ind w:leftChars="0" w:left="0" w:right="0"/>
            </w:pPr>
            <w:r>
              <w:t>EUROMTS LTD</w:t>
            </w:r>
          </w:p>
        </w:tc>
      </w:tr>
      <w:tr>
        <w:trPr>
          <w:cnfStyle w:evenHBand="true" w:oddHBand="false" w:firstRow="false"/>
        </w:trPr>
        <w:tc>
          <w:tcPr>
            <w:cnfStyle w:evenVBand="false" w:oddVBand="true" w:firstColumn="false"/>
            <w:tcW w:w="33.333333%" w:type="pct"/>
          </w:tcPr>
          <w:p>
            <w:pPr>
              <w:ind w:leftChars="0" w:left="0" w:right="0"/>
            </w:pPr>
            <w:r>
              <w:t>XMUN</w:t>
            </w:r>
          </w:p>
        </w:tc>
        <w:tc>
          <w:tcPr>
            <w:cnfStyle w:evenVBand="true" w:oddVBand="false" w:firstColumn="false"/>
            <w:tcW w:w="33.333333%" w:type="pct"/>
          </w:tcPr>
          <w:p>
            <w:pPr>
              <w:ind w:leftChars="0" w:left="0" w:right="0"/>
            </w:pPr>
            <w:r>
              <w:t>XMUN</w:t>
            </w:r>
          </w:p>
        </w:tc>
        <w:tc>
          <w:tcPr>
            <w:cnfStyle w:evenVBand="false" w:oddVBand="true" w:firstColumn="false"/>
            <w:tcW w:w="33.333333%" w:type="pct"/>
          </w:tcPr>
          <w:p>
            <w:pPr>
              <w:ind w:leftChars="0" w:left="0" w:right="0"/>
            </w:pPr>
            <w:r>
              <w:t>BOERSE MUENCHEN</w:t>
            </w:r>
          </w:p>
        </w:tc>
      </w:tr>
      <w:tr>
        <w:trPr>
          <w:cnfStyle w:evenHBand="false" w:oddHBand="true" w:firstRow="false"/>
        </w:trPr>
        <w:tc>
          <w:tcPr>
            <w:cnfStyle w:evenVBand="false" w:oddVBand="true" w:firstColumn="false"/>
            <w:tcW w:w="33.333333%" w:type="pct"/>
          </w:tcPr>
          <w:p>
            <w:pPr>
              <w:ind w:leftChars="0" w:left="0" w:right="0"/>
            </w:pPr>
            <w:r>
              <w:t>XMUS</w:t>
            </w:r>
          </w:p>
        </w:tc>
        <w:tc>
          <w:tcPr>
            <w:cnfStyle w:evenVBand="true" w:oddVBand="false" w:firstColumn="false"/>
            <w:tcW w:w="33.333333%" w:type="pct"/>
          </w:tcPr>
          <w:p>
            <w:pPr>
              <w:ind w:leftChars="0" w:left="0" w:right="0"/>
            </w:pPr>
            <w:r>
              <w:t>XMUS</w:t>
            </w:r>
          </w:p>
        </w:tc>
        <w:tc>
          <w:tcPr>
            <w:cnfStyle w:evenVBand="false" w:oddVBand="true" w:firstColumn="false"/>
            <w:tcW w:w="33.333333%" w:type="pct"/>
          </w:tcPr>
          <w:p>
            <w:pPr>
              <w:ind w:leftChars="0" w:left="0" w:right="0"/>
            </w:pPr>
            <w:r>
              <w:t>MUSCAT SECURITIES MARKET</w:t>
            </w:r>
          </w:p>
        </w:tc>
      </w:tr>
      <w:tr>
        <w:trPr>
          <w:cnfStyle w:evenHBand="true" w:oddHBand="false" w:firstRow="false"/>
        </w:trPr>
        <w:tc>
          <w:tcPr>
            <w:cnfStyle w:evenVBand="false" w:oddVBand="true" w:firstColumn="false"/>
            <w:tcW w:w="33.333333%" w:type="pct"/>
          </w:tcPr>
          <w:p>
            <w:pPr>
              <w:ind w:leftChars="0" w:left="0" w:right="0"/>
            </w:pPr>
            <w:r>
              <w:t>XMVL</w:t>
            </w:r>
          </w:p>
        </w:tc>
        <w:tc>
          <w:tcPr>
            <w:cnfStyle w:evenVBand="true" w:oddVBand="false" w:firstColumn="false"/>
            <w:tcW w:w="33.333333%" w:type="pct"/>
          </w:tcPr>
          <w:p>
            <w:pPr>
              <w:ind w:leftChars="0" w:left="0" w:right="0"/>
            </w:pPr>
            <w:r>
              <w:t>XMVL</w:t>
            </w:r>
          </w:p>
        </w:tc>
        <w:tc>
          <w:tcPr>
            <w:cnfStyle w:evenVBand="false" w:oddVBand="true" w:firstColumn="false"/>
            <w:tcW w:w="33.333333%" w:type="pct"/>
          </w:tcPr>
          <w:p>
            <w:pPr>
              <w:ind w:leftChars="0" w:left="0" w:right="0"/>
            </w:pPr>
            <w:r>
              <w:t>MERCADO DE VALORES DEL LITORAL S.A.</w:t>
            </w:r>
          </w:p>
        </w:tc>
      </w:tr>
      <w:tr>
        <w:trPr>
          <w:cnfStyle w:evenHBand="false" w:oddHBand="true" w:firstRow="false"/>
        </w:trPr>
        <w:tc>
          <w:tcPr>
            <w:cnfStyle w:evenVBand="false" w:oddVBand="true" w:firstColumn="false"/>
            <w:tcW w:w="33.333333%" w:type="pct"/>
          </w:tcPr>
          <w:p>
            <w:pPr>
              <w:ind w:leftChars="0" w:left="0" w:right="0"/>
            </w:pPr>
            <w:r>
              <w:t>XNAF</w:t>
            </w:r>
          </w:p>
        </w:tc>
        <w:tc>
          <w:tcPr>
            <w:cnfStyle w:evenVBand="true" w:oddVBand="false" w:firstColumn="false"/>
            <w:tcW w:w="33.333333%" w:type="pct"/>
          </w:tcPr>
          <w:p>
            <w:pPr>
              <w:ind w:leftChars="0" w:left="0" w:right="0"/>
            </w:pPr>
            <w:r>
              <w:t>XNAF</w:t>
            </w:r>
          </w:p>
        </w:tc>
        <w:tc>
          <w:tcPr>
            <w:cnfStyle w:evenVBand="false" w:oddVBand="true" w:firstColumn="false"/>
            <w:tcW w:w="33.333333%" w:type="pct"/>
          </w:tcPr>
          <w:p>
            <w:pPr>
              <w:ind w:leftChars="0" w:left="0" w:right="0"/>
            </w:pPr>
            <w:r>
              <w:t>SISTEMA ESPANOL DE NEGOCIACION DE ACTIVOS FINANCIEROS</w:t>
            </w:r>
          </w:p>
        </w:tc>
      </w:tr>
      <w:tr>
        <w:trPr>
          <w:cnfStyle w:evenHBand="true" w:oddHBand="false" w:firstRow="false"/>
        </w:trPr>
        <w:tc>
          <w:tcPr>
            <w:cnfStyle w:evenVBand="false" w:oddVBand="true" w:firstColumn="false"/>
            <w:tcW w:w="33.333333%" w:type="pct"/>
          </w:tcPr>
          <w:p>
            <w:pPr>
              <w:ind w:leftChars="0" w:left="0" w:right="0"/>
            </w:pPr>
            <w:r>
              <w:t>XNAI</w:t>
            </w:r>
          </w:p>
        </w:tc>
        <w:tc>
          <w:tcPr>
            <w:cnfStyle w:evenVBand="true" w:oddVBand="false" w:firstColumn="false"/>
            <w:tcW w:w="33.333333%" w:type="pct"/>
          </w:tcPr>
          <w:p>
            <w:pPr>
              <w:ind w:leftChars="0" w:left="0" w:right="0"/>
            </w:pPr>
            <w:r>
              <w:t>XNAI</w:t>
            </w:r>
          </w:p>
        </w:tc>
        <w:tc>
          <w:tcPr>
            <w:cnfStyle w:evenVBand="false" w:oddVBand="true" w:firstColumn="false"/>
            <w:tcW w:w="33.333333%" w:type="pct"/>
          </w:tcPr>
          <w:p>
            <w:pPr>
              <w:ind w:leftChars="0" w:left="0" w:right="0"/>
            </w:pPr>
            <w:r>
              <w:t>NAIROBI STOCK EXCHANGE</w:t>
            </w:r>
          </w:p>
        </w:tc>
      </w:tr>
      <w:tr>
        <w:trPr>
          <w:cnfStyle w:evenHBand="false" w:oddHBand="true" w:firstRow="false"/>
        </w:trPr>
        <w:tc>
          <w:tcPr>
            <w:cnfStyle w:evenVBand="false" w:oddVBand="true" w:firstColumn="false"/>
            <w:tcW w:w="33.333333%" w:type="pct"/>
          </w:tcPr>
          <w:p>
            <w:pPr>
              <w:ind w:leftChars="0" w:left="0" w:right="0"/>
            </w:pPr>
            <w:r>
              <w:t>XNAM</w:t>
            </w:r>
          </w:p>
        </w:tc>
        <w:tc>
          <w:tcPr>
            <w:cnfStyle w:evenVBand="true" w:oddVBand="false" w:firstColumn="false"/>
            <w:tcW w:w="33.333333%" w:type="pct"/>
          </w:tcPr>
          <w:p>
            <w:pPr>
              <w:ind w:leftChars="0" w:left="0" w:right="0"/>
            </w:pPr>
            <w:r>
              <w:t>XNAM</w:t>
            </w:r>
          </w:p>
        </w:tc>
        <w:tc>
          <w:tcPr>
            <w:cnfStyle w:evenVBand="false" w:oddVBand="true" w:firstColumn="false"/>
            <w:tcW w:w="33.333333%" w:type="pct"/>
          </w:tcPr>
          <w:p>
            <w:pPr>
              <w:ind w:leftChars="0" w:left="0" w:right="0"/>
            </w:pPr>
            <w:r>
              <w:t>NAMIBIAN STOCK EXCHANGE</w:t>
            </w:r>
          </w:p>
        </w:tc>
      </w:tr>
      <w:tr>
        <w:trPr>
          <w:cnfStyle w:evenHBand="true" w:oddHBand="false" w:firstRow="false"/>
        </w:trPr>
        <w:tc>
          <w:tcPr>
            <w:cnfStyle w:evenVBand="false" w:oddVBand="true" w:firstColumn="false"/>
            <w:tcW w:w="33.333333%" w:type="pct"/>
          </w:tcPr>
          <w:p>
            <w:pPr>
              <w:ind w:leftChars="0" w:left="0" w:right="0"/>
            </w:pPr>
            <w:r>
              <w:t>XNAS</w:t>
            </w:r>
          </w:p>
        </w:tc>
        <w:tc>
          <w:tcPr>
            <w:cnfStyle w:evenVBand="true" w:oddVBand="false" w:firstColumn="false"/>
            <w:tcW w:w="33.333333%" w:type="pct"/>
          </w:tcPr>
          <w:p>
            <w:pPr>
              <w:ind w:leftChars="0" w:left="0" w:right="0"/>
            </w:pPr>
            <w:r>
              <w:t>XNAS</w:t>
            </w:r>
          </w:p>
        </w:tc>
        <w:tc>
          <w:tcPr>
            <w:cnfStyle w:evenVBand="false" w:oddVBand="true" w:firstColumn="false"/>
            <w:tcW w:w="33.333333%" w:type="pct"/>
          </w:tcPr>
          <w:p>
            <w:pPr>
              <w:ind w:leftChars="0" w:left="0" w:right="0"/>
            </w:pPr>
            <w:r>
              <w:t>NASDAQ - ALL MARKETS</w:t>
            </w:r>
          </w:p>
        </w:tc>
      </w:tr>
      <w:tr>
        <w:trPr>
          <w:cnfStyle w:evenHBand="false" w:oddHBand="true" w:firstRow="false"/>
        </w:trPr>
        <w:tc>
          <w:tcPr>
            <w:cnfStyle w:evenVBand="false" w:oddVBand="true" w:firstColumn="false"/>
            <w:tcW w:w="33.333333%" w:type="pct"/>
          </w:tcPr>
          <w:p>
            <w:pPr>
              <w:ind w:leftChars="0" w:left="0" w:right="0"/>
            </w:pPr>
            <w:r>
              <w:t>XNCD</w:t>
            </w:r>
          </w:p>
        </w:tc>
        <w:tc>
          <w:tcPr>
            <w:cnfStyle w:evenVBand="true" w:oddVBand="false" w:firstColumn="false"/>
            <w:tcW w:w="33.333333%" w:type="pct"/>
          </w:tcPr>
          <w:p>
            <w:pPr>
              <w:ind w:leftChars="0" w:left="0" w:right="0"/>
            </w:pPr>
            <w:r>
              <w:t>XNCD</w:t>
            </w:r>
          </w:p>
        </w:tc>
        <w:tc>
          <w:tcPr>
            <w:cnfStyle w:evenVBand="false" w:oddVBand="true" w:firstColumn="false"/>
            <w:tcW w:w="33.333333%" w:type="pct"/>
          </w:tcPr>
          <w:p>
            <w:pPr>
              <w:ind w:leftChars="0" w:left="0" w:right="0"/>
            </w:pPr>
            <w:r>
              <w:t>NATIONAL COMMODITY &amp; DERIVATIVES EXCHANGE LTD</w:t>
            </w:r>
          </w:p>
        </w:tc>
      </w:tr>
      <w:tr>
        <w:trPr>
          <w:cnfStyle w:evenHBand="true" w:oddHBand="false" w:firstRow="false"/>
        </w:trPr>
        <w:tc>
          <w:tcPr>
            <w:cnfStyle w:evenVBand="false" w:oddVBand="true" w:firstColumn="false"/>
            <w:tcW w:w="33.333333%" w:type="pct"/>
          </w:tcPr>
          <w:p>
            <w:pPr>
              <w:ind w:leftChars="0" w:left="0" w:right="0"/>
            </w:pPr>
            <w:r>
              <w:t>XNCM</w:t>
            </w:r>
          </w:p>
        </w:tc>
        <w:tc>
          <w:tcPr>
            <w:cnfStyle w:evenVBand="true" w:oddVBand="false" w:firstColumn="false"/>
            <w:tcW w:w="33.333333%" w:type="pct"/>
          </w:tcPr>
          <w:p>
            <w:pPr>
              <w:ind w:leftChars="0" w:left="0" w:right="0"/>
            </w:pPr>
            <w:r>
              <w:t>XNCM</w:t>
            </w:r>
          </w:p>
        </w:tc>
        <w:tc>
          <w:tcPr>
            <w:cnfStyle w:evenVBand="false" w:oddVBand="true" w:firstColumn="false"/>
            <w:tcW w:w="33.333333%" w:type="pct"/>
          </w:tcPr>
          <w:p>
            <w:pPr>
              <w:ind w:leftChars="0" w:left="0" w:right="0"/>
            </w:pPr>
            <w:r>
              <w:t>NASDAQ CAPITAL MARKET</w:t>
            </w:r>
          </w:p>
        </w:tc>
      </w:tr>
      <w:tr>
        <w:trPr>
          <w:cnfStyle w:evenHBand="false" w:oddHBand="true" w:firstRow="false"/>
        </w:trPr>
        <w:tc>
          <w:tcPr>
            <w:cnfStyle w:evenVBand="false" w:oddVBand="true" w:firstColumn="false"/>
            <w:tcW w:w="33.333333%" w:type="pct"/>
          </w:tcPr>
          <w:p>
            <w:pPr>
              <w:ind w:leftChars="0" w:left="0" w:right="0"/>
            </w:pPr>
            <w:r>
              <w:t>XNCO</w:t>
            </w:r>
          </w:p>
        </w:tc>
        <w:tc>
          <w:tcPr>
            <w:cnfStyle w:evenVBand="true" w:oddVBand="false" w:firstColumn="false"/>
            <w:tcW w:w="33.333333%" w:type="pct"/>
          </w:tcPr>
          <w:p>
            <w:pPr>
              <w:ind w:leftChars="0" w:left="0" w:right="0"/>
            </w:pPr>
            <w:r>
              <w:t>XNCO</w:t>
            </w:r>
          </w:p>
        </w:tc>
        <w:tc>
          <w:tcPr>
            <w:cnfStyle w:evenVBand="false" w:oddVBand="true" w:firstColumn="false"/>
            <w:tcW w:w="33.333333%" w:type="pct"/>
          </w:tcPr>
          <w:p>
            <w:pPr>
              <w:ind w:leftChars="0" w:left="0" w:right="0"/>
            </w:pPr>
            <w:r>
              <w:t>WARSAW STOCK EXCHANGE/ EQUITIES/NEW CONNECT - MTF</w:t>
            </w:r>
          </w:p>
        </w:tc>
      </w:tr>
      <w:tr>
        <w:trPr>
          <w:cnfStyle w:evenHBand="true" w:oddHBand="false" w:firstRow="false"/>
        </w:trPr>
        <w:tc>
          <w:tcPr>
            <w:cnfStyle w:evenVBand="false" w:oddVBand="true" w:firstColumn="false"/>
            <w:tcW w:w="33.333333%" w:type="pct"/>
          </w:tcPr>
          <w:p>
            <w:pPr>
              <w:ind w:leftChars="0" w:left="0" w:right="0"/>
            </w:pPr>
            <w:r>
              <w:t>XNDQ</w:t>
            </w:r>
          </w:p>
        </w:tc>
        <w:tc>
          <w:tcPr>
            <w:cnfStyle w:evenVBand="true" w:oddVBand="false" w:firstColumn="false"/>
            <w:tcW w:w="33.333333%" w:type="pct"/>
          </w:tcPr>
          <w:p>
            <w:pPr>
              <w:ind w:leftChars="0" w:left="0" w:right="0"/>
            </w:pPr>
            <w:r>
              <w:t>XNDQ</w:t>
            </w:r>
          </w:p>
        </w:tc>
        <w:tc>
          <w:tcPr>
            <w:cnfStyle w:evenVBand="false" w:oddVBand="true" w:firstColumn="false"/>
            <w:tcW w:w="33.333333%" w:type="pct"/>
          </w:tcPr>
          <w:p>
            <w:pPr>
              <w:ind w:leftChars="0" w:left="0" w:right="0"/>
            </w:pPr>
            <w:r>
              <w:t>NASDAQ OPTIONS MARKET</w:t>
            </w:r>
          </w:p>
        </w:tc>
      </w:tr>
      <w:tr>
        <w:trPr>
          <w:cnfStyle w:evenHBand="false" w:oddHBand="true" w:firstRow="false"/>
        </w:trPr>
        <w:tc>
          <w:tcPr>
            <w:cnfStyle w:evenVBand="false" w:oddVBand="true" w:firstColumn="false"/>
            <w:tcW w:w="33.333333%" w:type="pct"/>
          </w:tcPr>
          <w:p>
            <w:pPr>
              <w:ind w:leftChars="0" w:left="0" w:right="0"/>
            </w:pPr>
            <w:r>
              <w:t>XNDU</w:t>
            </w:r>
          </w:p>
        </w:tc>
        <w:tc>
          <w:tcPr>
            <w:cnfStyle w:evenVBand="true" w:oddVBand="false" w:firstColumn="false"/>
            <w:tcW w:w="33.333333%" w:type="pct"/>
          </w:tcPr>
          <w:p>
            <w:pPr>
              <w:ind w:leftChars="0" w:left="0" w:right="0"/>
            </w:pPr>
            <w:r>
              <w:t>XNDU</w:t>
            </w:r>
          </w:p>
        </w:tc>
        <w:tc>
          <w:tcPr>
            <w:cnfStyle w:evenVBand="false" w:oddVBand="true" w:firstColumn="false"/>
            <w:tcW w:w="33.333333%" w:type="pct"/>
          </w:tcPr>
          <w:p>
            <w:pPr>
              <w:ind w:leftChars="0" w:left="0" w:right="0"/>
            </w:pPr>
            <w:r>
              <w:t>PJSC NATIONAL DEPOSITORY OF UKRAINE</w:t>
            </w:r>
          </w:p>
        </w:tc>
      </w:tr>
      <w:tr>
        <w:trPr>
          <w:cnfStyle w:evenHBand="true" w:oddHBand="false" w:firstRow="false"/>
        </w:trPr>
        <w:tc>
          <w:tcPr>
            <w:cnfStyle w:evenVBand="false" w:oddVBand="true" w:firstColumn="false"/>
            <w:tcW w:w="33.333333%" w:type="pct"/>
          </w:tcPr>
          <w:p>
            <w:pPr>
              <w:ind w:leftChars="0" w:left="0" w:right="0"/>
            </w:pPr>
            <w:r>
              <w:t>XNDX</w:t>
            </w:r>
          </w:p>
        </w:tc>
        <w:tc>
          <w:tcPr>
            <w:cnfStyle w:evenVBand="true" w:oddVBand="false" w:firstColumn="false"/>
            <w:tcW w:w="33.333333%" w:type="pct"/>
          </w:tcPr>
          <w:p>
            <w:pPr>
              <w:ind w:leftChars="0" w:left="0" w:right="0"/>
            </w:pPr>
            <w:r>
              <w:t>XNDX</w:t>
            </w:r>
          </w:p>
        </w:tc>
        <w:tc>
          <w:tcPr>
            <w:cnfStyle w:evenVBand="false" w:oddVBand="true" w:firstColumn="false"/>
            <w:tcW w:w="33.333333%" w:type="pct"/>
          </w:tcPr>
          <w:p>
            <w:pPr>
              <w:ind w:leftChars="0" w:left="0" w:right="0"/>
            </w:pPr>
            <w:r>
              <w:t>NORDIC DERIVATIVES EXCHANGE</w:t>
            </w:r>
          </w:p>
        </w:tc>
      </w:tr>
      <w:tr>
        <w:trPr>
          <w:cnfStyle w:evenHBand="false" w:oddHBand="true" w:firstRow="false"/>
        </w:trPr>
        <w:tc>
          <w:tcPr>
            <w:cnfStyle w:evenVBand="false" w:oddVBand="true" w:firstColumn="false"/>
            <w:tcW w:w="33.333333%" w:type="pct"/>
          </w:tcPr>
          <w:p>
            <w:pPr>
              <w:ind w:leftChars="0" w:left="0" w:right="0"/>
            </w:pPr>
            <w:r>
              <w:t>XNEC</w:t>
            </w:r>
          </w:p>
        </w:tc>
        <w:tc>
          <w:tcPr>
            <w:cnfStyle w:evenVBand="true" w:oddVBand="false" w:firstColumn="false"/>
            <w:tcW w:w="33.333333%" w:type="pct"/>
          </w:tcPr>
          <w:p>
            <w:pPr>
              <w:ind w:leftChars="0" w:left="0" w:right="0"/>
            </w:pPr>
            <w:r>
              <w:t>XNEC</w:t>
            </w:r>
          </w:p>
        </w:tc>
        <w:tc>
          <w:tcPr>
            <w:cnfStyle w:evenVBand="false" w:oddVBand="true" w:firstColumn="false"/>
            <w:tcW w:w="33.333333%" w:type="pct"/>
          </w:tcPr>
          <w:p>
            <w:pPr>
              <w:ind w:leftChars="0" w:left="0" w:right="0"/>
            </w:pPr>
            <w:r>
              <w:t>NATIONAL STOCK EXCHANGE OF AUSTRALIA LIMITED</w:t>
            </w:r>
          </w:p>
        </w:tc>
      </w:tr>
      <w:tr>
        <w:trPr>
          <w:cnfStyle w:evenHBand="true" w:oddHBand="false" w:firstRow="false"/>
        </w:trPr>
        <w:tc>
          <w:tcPr>
            <w:cnfStyle w:evenVBand="false" w:oddVBand="true" w:firstColumn="false"/>
            <w:tcW w:w="33.333333%" w:type="pct"/>
          </w:tcPr>
          <w:p>
            <w:pPr>
              <w:ind w:leftChars="0" w:left="0" w:right="0"/>
            </w:pPr>
            <w:r>
              <w:t>XNEE</w:t>
            </w:r>
          </w:p>
        </w:tc>
        <w:tc>
          <w:tcPr>
            <w:cnfStyle w:evenVBand="true" w:oddVBand="false" w:firstColumn="false"/>
            <w:tcW w:w="33.333333%" w:type="pct"/>
          </w:tcPr>
          <w:p>
            <w:pPr>
              <w:ind w:leftChars="0" w:left="0" w:right="0"/>
            </w:pPr>
            <w:r>
              <w:t>XNEE</w:t>
            </w:r>
          </w:p>
        </w:tc>
        <w:tc>
          <w:tcPr>
            <w:cnfStyle w:evenVBand="false" w:oddVBand="true" w:firstColumn="false"/>
            <w:tcW w:w="33.333333%" w:type="pct"/>
          </w:tcPr>
          <w:p>
            <w:pPr>
              <w:ind w:leftChars="0" w:left="0" w:right="0"/>
            </w:pPr>
            <w:r>
              <w:t>NEW ZEALAND FUTURES AND OPTIONS EXCHANGE</w:t>
            </w:r>
          </w:p>
        </w:tc>
      </w:tr>
      <w:tr>
        <w:trPr>
          <w:cnfStyle w:evenHBand="false" w:oddHBand="true" w:firstRow="false"/>
        </w:trPr>
        <w:tc>
          <w:tcPr>
            <w:cnfStyle w:evenVBand="false" w:oddVBand="true" w:firstColumn="false"/>
            <w:tcW w:w="33.333333%" w:type="pct"/>
          </w:tcPr>
          <w:p>
            <w:pPr>
              <w:ind w:leftChars="0" w:left="0" w:right="0"/>
            </w:pPr>
            <w:r>
              <w:t>XNEP</w:t>
            </w:r>
          </w:p>
        </w:tc>
        <w:tc>
          <w:tcPr>
            <w:cnfStyle w:evenVBand="true" w:oddVBand="false" w:firstColumn="false"/>
            <w:tcW w:w="33.333333%" w:type="pct"/>
          </w:tcPr>
          <w:p>
            <w:pPr>
              <w:ind w:leftChars="0" w:left="0" w:right="0"/>
            </w:pPr>
            <w:r>
              <w:t>XNEP</w:t>
            </w:r>
          </w:p>
        </w:tc>
        <w:tc>
          <w:tcPr>
            <w:cnfStyle w:evenVBand="false" w:oddVBand="true" w:firstColumn="false"/>
            <w:tcW w:w="33.333333%" w:type="pct"/>
          </w:tcPr>
          <w:p>
            <w:pPr>
              <w:ind w:leftChars="0" w:left="0" w:right="0"/>
            </w:pPr>
            <w:r>
              <w:t>NEPAL STOCK EXCHANGE</w:t>
            </w:r>
          </w:p>
        </w:tc>
      </w:tr>
      <w:tr>
        <w:trPr>
          <w:cnfStyle w:evenHBand="true" w:oddHBand="false" w:firstRow="false"/>
        </w:trPr>
        <w:tc>
          <w:tcPr>
            <w:cnfStyle w:evenVBand="false" w:oddVBand="true" w:firstColumn="false"/>
            <w:tcW w:w="33.333333%" w:type="pct"/>
          </w:tcPr>
          <w:p>
            <w:pPr>
              <w:ind w:leftChars="0" w:left="0" w:right="0"/>
            </w:pPr>
            <w:r>
              <w:t>XNEW</w:t>
            </w:r>
          </w:p>
        </w:tc>
        <w:tc>
          <w:tcPr>
            <w:cnfStyle w:evenVBand="true" w:oddVBand="false" w:firstColumn="false"/>
            <w:tcW w:w="33.333333%" w:type="pct"/>
          </w:tcPr>
          <w:p>
            <w:pPr>
              <w:ind w:leftChars="0" w:left="0" w:right="0"/>
            </w:pPr>
            <w:r>
              <w:t>XNEW</w:t>
            </w:r>
          </w:p>
        </w:tc>
        <w:tc>
          <w:tcPr>
            <w:cnfStyle w:evenVBand="false" w:oddVBand="true" w:firstColumn="false"/>
            <w:tcW w:w="33.333333%" w:type="pct"/>
          </w:tcPr>
          <w:p>
            <w:pPr>
              <w:ind w:leftChars="0" w:left="0" w:right="0"/>
            </w:pPr>
            <w:r>
              <w:t>NEWEX</w:t>
            </w:r>
          </w:p>
        </w:tc>
      </w:tr>
      <w:tr>
        <w:trPr>
          <w:cnfStyle w:evenHBand="false" w:oddHBand="true" w:firstRow="false"/>
        </w:trPr>
        <w:tc>
          <w:tcPr>
            <w:cnfStyle w:evenVBand="false" w:oddVBand="true" w:firstColumn="false"/>
            <w:tcW w:w="33.333333%" w:type="pct"/>
          </w:tcPr>
          <w:p>
            <w:pPr>
              <w:ind w:leftChars="0" w:left="0" w:right="0"/>
            </w:pPr>
            <w:r>
              <w:t>XNFI</w:t>
            </w:r>
          </w:p>
        </w:tc>
        <w:tc>
          <w:tcPr>
            <w:cnfStyle w:evenVBand="true" w:oddVBand="false" w:firstColumn="false"/>
            <w:tcW w:w="33.333333%" w:type="pct"/>
          </w:tcPr>
          <w:p>
            <w:pPr>
              <w:ind w:leftChars="0" w:left="0" w:right="0"/>
            </w:pPr>
            <w:r>
              <w:t>XNFI</w:t>
            </w:r>
          </w:p>
        </w:tc>
        <w:tc>
          <w:tcPr>
            <w:cnfStyle w:evenVBand="false" w:oddVBand="true" w:firstColumn="false"/>
            <w:tcW w:w="33.333333%" w:type="pct"/>
          </w:tcPr>
          <w:p>
            <w:pPr>
              <w:ind w:leftChars="0" w:left="0" w:right="0"/>
            </w:pPr>
            <w:r>
              <w:t>NASDAQ FIXED INCOME TRADING</w:t>
            </w:r>
          </w:p>
        </w:tc>
      </w:tr>
      <w:tr>
        <w:trPr>
          <w:cnfStyle w:evenHBand="true" w:oddHBand="false" w:firstRow="false"/>
        </w:trPr>
        <w:tc>
          <w:tcPr>
            <w:cnfStyle w:evenVBand="false" w:oddVBand="true" w:firstColumn="false"/>
            <w:tcW w:w="33.333333%" w:type="pct"/>
          </w:tcPr>
          <w:p>
            <w:pPr>
              <w:ind w:leftChars="0" w:left="0" w:right="0"/>
            </w:pPr>
            <w:r>
              <w:t>XNGM</w:t>
            </w:r>
          </w:p>
        </w:tc>
        <w:tc>
          <w:tcPr>
            <w:cnfStyle w:evenVBand="true" w:oddVBand="false" w:firstColumn="false"/>
            <w:tcW w:w="33.333333%" w:type="pct"/>
          </w:tcPr>
          <w:p>
            <w:pPr>
              <w:ind w:leftChars="0" w:left="0" w:right="0"/>
            </w:pPr>
            <w:r>
              <w:t>XNGM</w:t>
            </w:r>
          </w:p>
        </w:tc>
        <w:tc>
          <w:tcPr>
            <w:cnfStyle w:evenVBand="false" w:oddVBand="true" w:firstColumn="false"/>
            <w:tcW w:w="33.333333%" w:type="pct"/>
          </w:tcPr>
          <w:p>
            <w:pPr>
              <w:ind w:leftChars="0" w:left="0" w:right="0"/>
            </w:pPr>
            <w:r>
              <w:t>NORDIC GROWTH MARKET</w:t>
            </w:r>
          </w:p>
        </w:tc>
      </w:tr>
      <w:tr>
        <w:trPr>
          <w:cnfStyle w:evenHBand="false" w:oddHBand="true" w:firstRow="false"/>
        </w:trPr>
        <w:tc>
          <w:tcPr>
            <w:cnfStyle w:evenVBand="false" w:oddVBand="true" w:firstColumn="false"/>
            <w:tcW w:w="33.333333%" w:type="pct"/>
          </w:tcPr>
          <w:p>
            <w:pPr>
              <w:ind w:leftChars="0" w:left="0" w:right="0"/>
            </w:pPr>
            <w:r>
              <w:t>XNGO</w:t>
            </w:r>
          </w:p>
        </w:tc>
        <w:tc>
          <w:tcPr>
            <w:cnfStyle w:evenVBand="true" w:oddVBand="false" w:firstColumn="false"/>
            <w:tcW w:w="33.333333%" w:type="pct"/>
          </w:tcPr>
          <w:p>
            <w:pPr>
              <w:ind w:leftChars="0" w:left="0" w:right="0"/>
            </w:pPr>
            <w:r>
              <w:t>XNGO</w:t>
            </w:r>
          </w:p>
        </w:tc>
        <w:tc>
          <w:tcPr>
            <w:cnfStyle w:evenVBand="false" w:oddVBand="true" w:firstColumn="false"/>
            <w:tcW w:w="33.333333%" w:type="pct"/>
          </w:tcPr>
          <w:p>
            <w:pPr>
              <w:ind w:leftChars="0" w:left="0" w:right="0"/>
            </w:pPr>
            <w:r>
              <w:t>NAGOYA STOCK EXCHANGE</w:t>
            </w:r>
          </w:p>
        </w:tc>
      </w:tr>
      <w:tr>
        <w:trPr>
          <w:cnfStyle w:evenHBand="true" w:oddHBand="false" w:firstRow="false"/>
        </w:trPr>
        <w:tc>
          <w:tcPr>
            <w:cnfStyle w:evenVBand="false" w:oddVBand="true" w:firstColumn="false"/>
            <w:tcW w:w="33.333333%" w:type="pct"/>
          </w:tcPr>
          <w:p>
            <w:pPr>
              <w:ind w:leftChars="0" w:left="0" w:right="0"/>
            </w:pPr>
            <w:r>
              <w:t>XNGS</w:t>
            </w:r>
          </w:p>
        </w:tc>
        <w:tc>
          <w:tcPr>
            <w:cnfStyle w:evenVBand="true" w:oddVBand="false" w:firstColumn="false"/>
            <w:tcW w:w="33.333333%" w:type="pct"/>
          </w:tcPr>
          <w:p>
            <w:pPr>
              <w:ind w:leftChars="0" w:left="0" w:right="0"/>
            </w:pPr>
            <w:r>
              <w:t>XNGS</w:t>
            </w:r>
          </w:p>
        </w:tc>
        <w:tc>
          <w:tcPr>
            <w:cnfStyle w:evenVBand="false" w:oddVBand="true" w:firstColumn="false"/>
            <w:tcW w:w="33.333333%" w:type="pct"/>
          </w:tcPr>
          <w:p>
            <w:pPr>
              <w:ind w:leftChars="0" w:left="0" w:right="0"/>
            </w:pPr>
            <w:r>
              <w:t>NASDAQ/NGS (GLOBAL SELECT MARKET)</w:t>
            </w:r>
          </w:p>
        </w:tc>
      </w:tr>
      <w:tr>
        <w:trPr>
          <w:cnfStyle w:evenHBand="false" w:oddHBand="true" w:firstRow="false"/>
        </w:trPr>
        <w:tc>
          <w:tcPr>
            <w:cnfStyle w:evenVBand="false" w:oddVBand="true" w:firstColumn="false"/>
            <w:tcW w:w="33.333333%" w:type="pct"/>
          </w:tcPr>
          <w:p>
            <w:pPr>
              <w:ind w:leftChars="0" w:left="0" w:right="0"/>
            </w:pPr>
            <w:r>
              <w:t>XNII</w:t>
            </w:r>
          </w:p>
        </w:tc>
        <w:tc>
          <w:tcPr>
            <w:cnfStyle w:evenVBand="true" w:oddVBand="false" w:firstColumn="false"/>
            <w:tcW w:w="33.333333%" w:type="pct"/>
          </w:tcPr>
          <w:p>
            <w:pPr>
              <w:ind w:leftChars="0" w:left="0" w:right="0"/>
            </w:pPr>
            <w:r>
              <w:t>XNII</w:t>
            </w:r>
          </w:p>
        </w:tc>
        <w:tc>
          <w:tcPr>
            <w:cnfStyle w:evenVBand="false" w:oddVBand="true" w:firstColumn="false"/>
            <w:tcW w:w="33.333333%" w:type="pct"/>
          </w:tcPr>
          <w:p>
            <w:pPr>
              <w:ind w:leftChars="0" w:left="0" w:right="0"/>
            </w:pPr>
            <w:r>
              <w:t>NIIGATA STOCK EXCHANGE</w:t>
            </w:r>
          </w:p>
        </w:tc>
      </w:tr>
      <w:tr>
        <w:trPr>
          <w:cnfStyle w:evenHBand="true" w:oddHBand="false" w:firstRow="false"/>
        </w:trPr>
        <w:tc>
          <w:tcPr>
            <w:cnfStyle w:evenVBand="false" w:oddVBand="true" w:firstColumn="false"/>
            <w:tcW w:w="33.333333%" w:type="pct"/>
          </w:tcPr>
          <w:p>
            <w:pPr>
              <w:ind w:leftChars="0" w:left="0" w:right="0"/>
            </w:pPr>
            <w:r>
              <w:t>XNIM</w:t>
            </w:r>
          </w:p>
        </w:tc>
        <w:tc>
          <w:tcPr>
            <w:cnfStyle w:evenVBand="true" w:oddVBand="false" w:firstColumn="false"/>
            <w:tcW w:w="33.333333%" w:type="pct"/>
          </w:tcPr>
          <w:p>
            <w:pPr>
              <w:ind w:leftChars="0" w:left="0" w:right="0"/>
            </w:pPr>
            <w:r>
              <w:t>XNIM</w:t>
            </w:r>
          </w:p>
        </w:tc>
        <w:tc>
          <w:tcPr>
            <w:cnfStyle w:evenVBand="false" w:oddVBand="true" w:firstColumn="false"/>
            <w:tcW w:w="33.333333%" w:type="pct"/>
          </w:tcPr>
          <w:p>
            <w:pPr>
              <w:ind w:leftChars="0" w:left="0" w:right="0"/>
            </w:pPr>
            <w:r>
              <w:t>NASDAQ INTERMARKET</w:t>
            </w:r>
          </w:p>
        </w:tc>
      </w:tr>
      <w:tr>
        <w:trPr>
          <w:cnfStyle w:evenHBand="false" w:oddHBand="true" w:firstRow="false"/>
        </w:trPr>
        <w:tc>
          <w:tcPr>
            <w:cnfStyle w:evenVBand="false" w:oddVBand="true" w:firstColumn="false"/>
            <w:tcW w:w="33.333333%" w:type="pct"/>
          </w:tcPr>
          <w:p>
            <w:pPr>
              <w:ind w:leftChars="0" w:left="0" w:right="0"/>
            </w:pPr>
            <w:r>
              <w:t>XNKS</w:t>
            </w:r>
          </w:p>
        </w:tc>
        <w:tc>
          <w:tcPr>
            <w:cnfStyle w:evenVBand="true" w:oddVBand="false" w:firstColumn="false"/>
            <w:tcW w:w="33.333333%" w:type="pct"/>
          </w:tcPr>
          <w:p>
            <w:pPr>
              <w:ind w:leftChars="0" w:left="0" w:right="0"/>
            </w:pPr>
            <w:r>
              <w:t>XNKS</w:t>
            </w:r>
          </w:p>
        </w:tc>
        <w:tc>
          <w:tcPr>
            <w:cnfStyle w:evenVBand="false" w:oddVBand="true" w:firstColumn="false"/>
            <w:tcW w:w="33.333333%" w:type="pct"/>
          </w:tcPr>
          <w:p>
            <w:pPr>
              <w:ind w:leftChars="0" w:left="0" w:right="0"/>
            </w:pPr>
            <w:r>
              <w:t>CENTRAL JAPAN COMMODITIES EXCHANGE</w:t>
            </w:r>
          </w:p>
        </w:tc>
      </w:tr>
      <w:tr>
        <w:trPr>
          <w:cnfStyle w:evenHBand="true" w:oddHBand="false" w:firstRow="false"/>
        </w:trPr>
        <w:tc>
          <w:tcPr>
            <w:cnfStyle w:evenVBand="false" w:oddVBand="true" w:firstColumn="false"/>
            <w:tcW w:w="33.333333%" w:type="pct"/>
          </w:tcPr>
          <w:p>
            <w:pPr>
              <w:ind w:leftChars="0" w:left="0" w:right="0"/>
            </w:pPr>
            <w:r>
              <w:t>XNLI</w:t>
            </w:r>
          </w:p>
        </w:tc>
        <w:tc>
          <w:tcPr>
            <w:cnfStyle w:evenVBand="true" w:oddVBand="false" w:firstColumn="false"/>
            <w:tcW w:w="33.333333%" w:type="pct"/>
          </w:tcPr>
          <w:p>
            <w:pPr>
              <w:ind w:leftChars="0" w:left="0" w:right="0"/>
            </w:pPr>
            <w:r>
              <w:t>XNLI</w:t>
            </w:r>
          </w:p>
        </w:tc>
        <w:tc>
          <w:tcPr>
            <w:cnfStyle w:evenVBand="false" w:oddVBand="true" w:firstColumn="false"/>
            <w:tcW w:w="33.333333%" w:type="pct"/>
          </w:tcPr>
          <w:p>
            <w:pPr>
              <w:ind w:leftChars="0" w:left="0" w:right="0"/>
            </w:pPr>
            <w:r>
              <w:t>NYSE LIFFE</w:t>
            </w:r>
          </w:p>
        </w:tc>
      </w:tr>
      <w:tr>
        <w:trPr>
          <w:cnfStyle w:evenHBand="false" w:oddHBand="true" w:firstRow="false"/>
        </w:trPr>
        <w:tc>
          <w:tcPr>
            <w:cnfStyle w:evenVBand="false" w:oddVBand="true" w:firstColumn="false"/>
            <w:tcW w:w="33.333333%" w:type="pct"/>
          </w:tcPr>
          <w:p>
            <w:pPr>
              <w:ind w:leftChars="0" w:left="0" w:right="0"/>
            </w:pPr>
            <w:r>
              <w:t>XNLX</w:t>
            </w:r>
          </w:p>
        </w:tc>
        <w:tc>
          <w:tcPr>
            <w:cnfStyle w:evenVBand="true" w:oddVBand="false" w:firstColumn="false"/>
            <w:tcW w:w="33.333333%" w:type="pct"/>
          </w:tcPr>
          <w:p>
            <w:pPr>
              <w:ind w:leftChars="0" w:left="0" w:right="0"/>
            </w:pPr>
            <w:r>
              <w:t>XNLX</w:t>
            </w:r>
          </w:p>
        </w:tc>
        <w:tc>
          <w:tcPr>
            <w:cnfStyle w:evenVBand="false" w:oddVBand="true" w:firstColumn="false"/>
            <w:tcW w:w="33.333333%" w:type="pct"/>
          </w:tcPr>
          <w:p>
            <w:pPr>
              <w:ind w:leftChars="0" w:left="0" w:right="0"/>
            </w:pPr>
            <w:r>
              <w:t>NASDAQ OMX NLX</w:t>
            </w:r>
          </w:p>
        </w:tc>
      </w:tr>
      <w:tr>
        <w:trPr>
          <w:cnfStyle w:evenHBand="true" w:oddHBand="false" w:firstRow="false"/>
        </w:trPr>
        <w:tc>
          <w:tcPr>
            <w:cnfStyle w:evenVBand="false" w:oddVBand="true" w:firstColumn="false"/>
            <w:tcW w:w="33.333333%" w:type="pct"/>
          </w:tcPr>
          <w:p>
            <w:pPr>
              <w:ind w:leftChars="0" w:left="0" w:right="0"/>
            </w:pPr>
            <w:r>
              <w:t>XNMR</w:t>
            </w:r>
          </w:p>
        </w:tc>
        <w:tc>
          <w:tcPr>
            <w:cnfStyle w:evenVBand="true" w:oddVBand="false" w:firstColumn="false"/>
            <w:tcW w:w="33.333333%" w:type="pct"/>
          </w:tcPr>
          <w:p>
            <w:pPr>
              <w:ind w:leftChars="0" w:left="0" w:right="0"/>
            </w:pPr>
            <w:r>
              <w:t>XNMR</w:t>
            </w:r>
          </w:p>
        </w:tc>
        <w:tc>
          <w:tcPr>
            <w:cnfStyle w:evenVBand="false" w:oddVBand="true" w:firstColumn="false"/>
            <w:tcW w:w="33.333333%" w:type="pct"/>
          </w:tcPr>
          <w:p>
            <w:pPr>
              <w:ind w:leftChars="0" w:left="0" w:right="0"/>
            </w:pPr>
            <w:r>
              <w:t>NORDIC MTF REPORTING</w:t>
            </w:r>
          </w:p>
        </w:tc>
      </w:tr>
      <w:tr>
        <w:trPr>
          <w:cnfStyle w:evenHBand="false" w:oddHBand="true" w:firstRow="false"/>
        </w:trPr>
        <w:tc>
          <w:tcPr>
            <w:cnfStyle w:evenVBand="false" w:oddVBand="true" w:firstColumn="false"/>
            <w:tcW w:w="33.333333%" w:type="pct"/>
          </w:tcPr>
          <w:p>
            <w:pPr>
              <w:ind w:leftChars="0" w:left="0" w:right="0"/>
            </w:pPr>
            <w:r>
              <w:t>XNMS</w:t>
            </w:r>
          </w:p>
        </w:tc>
        <w:tc>
          <w:tcPr>
            <w:cnfStyle w:evenVBand="true" w:oddVBand="false" w:firstColumn="false"/>
            <w:tcW w:w="33.333333%" w:type="pct"/>
          </w:tcPr>
          <w:p>
            <w:pPr>
              <w:ind w:leftChars="0" w:left="0" w:right="0"/>
            </w:pPr>
            <w:r>
              <w:t>XNMS</w:t>
            </w:r>
          </w:p>
        </w:tc>
        <w:tc>
          <w:tcPr>
            <w:cnfStyle w:evenVBand="false" w:oddVBand="true" w:firstColumn="false"/>
            <w:tcW w:w="33.333333%" w:type="pct"/>
          </w:tcPr>
          <w:p>
            <w:pPr>
              <w:ind w:leftChars="0" w:left="0" w:right="0"/>
            </w:pPr>
            <w:r>
              <w:t>NASDAQ/NMS (GLOBAL MARKET)</w:t>
            </w:r>
          </w:p>
        </w:tc>
      </w:tr>
      <w:tr>
        <w:trPr>
          <w:cnfStyle w:evenHBand="true" w:oddHBand="false" w:firstRow="false"/>
        </w:trPr>
        <w:tc>
          <w:tcPr>
            <w:cnfStyle w:evenVBand="false" w:oddVBand="true" w:firstColumn="false"/>
            <w:tcW w:w="33.333333%" w:type="pct"/>
          </w:tcPr>
          <w:p>
            <w:pPr>
              <w:ind w:leftChars="0" w:left="0" w:right="0"/>
            </w:pPr>
            <w:r>
              <w:t>XNOM</w:t>
            </w:r>
          </w:p>
        </w:tc>
        <w:tc>
          <w:tcPr>
            <w:cnfStyle w:evenVBand="true" w:oddVBand="false" w:firstColumn="false"/>
            <w:tcW w:w="33.333333%" w:type="pct"/>
          </w:tcPr>
          <w:p>
            <w:pPr>
              <w:ind w:leftChars="0" w:left="0" w:right="0"/>
            </w:pPr>
            <w:r>
              <w:t>XNOM</w:t>
            </w:r>
          </w:p>
        </w:tc>
        <w:tc>
          <w:tcPr>
            <w:cnfStyle w:evenVBand="false" w:oddVBand="true" w:firstColumn="false"/>
            <w:tcW w:w="33.333333%" w:type="pct"/>
          </w:tcPr>
          <w:p>
            <w:pPr>
              <w:ind w:leftChars="0" w:left="0" w:right="0"/>
            </w:pPr>
            <w:r>
              <w:t>NOMISMA (LIECHTENSTEIN) AG</w:t>
            </w:r>
          </w:p>
        </w:tc>
      </w:tr>
      <w:tr>
        <w:trPr>
          <w:cnfStyle w:evenHBand="false" w:oddHBand="true" w:firstRow="false"/>
        </w:trPr>
        <w:tc>
          <w:tcPr>
            <w:cnfStyle w:evenVBand="false" w:oddVBand="true" w:firstColumn="false"/>
            <w:tcW w:w="33.333333%" w:type="pct"/>
          </w:tcPr>
          <w:p>
            <w:pPr>
              <w:ind w:leftChars="0" w:left="0" w:right="0"/>
            </w:pPr>
            <w:r>
              <w:t>XNOR</w:t>
            </w:r>
          </w:p>
        </w:tc>
        <w:tc>
          <w:tcPr>
            <w:cnfStyle w:evenVBand="true" w:oddVBand="false" w:firstColumn="false"/>
            <w:tcW w:w="33.333333%" w:type="pct"/>
          </w:tcPr>
          <w:p>
            <w:pPr>
              <w:ind w:leftChars="0" w:left="0" w:right="0"/>
            </w:pPr>
            <w:r>
              <w:t>XNOR</w:t>
            </w:r>
          </w:p>
        </w:tc>
        <w:tc>
          <w:tcPr>
            <w:cnfStyle w:evenVBand="false" w:oddVBand="true" w:firstColumn="false"/>
            <w:tcW w:w="33.333333%" w:type="pct"/>
          </w:tcPr>
          <w:p>
            <w:pPr>
              <w:ind w:leftChars="0" w:left="0" w:right="0"/>
            </w:pPr>
            <w:r>
              <w:t>NORDEA - SYSTEMATIC INTERNALISER</w:t>
            </w:r>
          </w:p>
        </w:tc>
      </w:tr>
      <w:tr>
        <w:trPr>
          <w:cnfStyle w:evenHBand="true" w:oddHBand="false" w:firstRow="false"/>
        </w:trPr>
        <w:tc>
          <w:tcPr>
            <w:cnfStyle w:evenVBand="false" w:oddVBand="true" w:firstColumn="false"/>
            <w:tcW w:w="33.333333%" w:type="pct"/>
          </w:tcPr>
          <w:p>
            <w:pPr>
              <w:ind w:leftChars="0" w:left="0" w:right="0"/>
            </w:pPr>
            <w:r>
              <w:t>XNQL</w:t>
            </w:r>
          </w:p>
        </w:tc>
        <w:tc>
          <w:tcPr>
            <w:cnfStyle w:evenVBand="true" w:oddVBand="false" w:firstColumn="false"/>
            <w:tcW w:w="33.333333%" w:type="pct"/>
          </w:tcPr>
          <w:p>
            <w:pPr>
              <w:ind w:leftChars="0" w:left="0" w:right="0"/>
            </w:pPr>
            <w:r>
              <w:t>XNQL</w:t>
            </w:r>
          </w:p>
        </w:tc>
        <w:tc>
          <w:tcPr>
            <w:cnfStyle w:evenVBand="false" w:oddVBand="true" w:firstColumn="false"/>
            <w:tcW w:w="33.333333%" w:type="pct"/>
          </w:tcPr>
          <w:p>
            <w:pPr>
              <w:ind w:leftChars="0" w:left="0" w:right="0"/>
            </w:pPr>
            <w:r>
              <w:t>NQLX</w:t>
            </w:r>
          </w:p>
        </w:tc>
      </w:tr>
      <w:tr>
        <w:trPr>
          <w:cnfStyle w:evenHBand="false" w:oddHBand="true" w:firstRow="false"/>
        </w:trPr>
        <w:tc>
          <w:tcPr>
            <w:cnfStyle w:evenVBand="false" w:oddVBand="true" w:firstColumn="false"/>
            <w:tcW w:w="33.333333%" w:type="pct"/>
          </w:tcPr>
          <w:p>
            <w:pPr>
              <w:ind w:leftChars="0" w:left="0" w:right="0"/>
            </w:pPr>
            <w:r>
              <w:t>XNSA</w:t>
            </w:r>
          </w:p>
        </w:tc>
        <w:tc>
          <w:tcPr>
            <w:cnfStyle w:evenVBand="true" w:oddVBand="false" w:firstColumn="false"/>
            <w:tcW w:w="33.333333%" w:type="pct"/>
          </w:tcPr>
          <w:p>
            <w:pPr>
              <w:ind w:leftChars="0" w:left="0" w:right="0"/>
            </w:pPr>
            <w:r>
              <w:t>XNSA</w:t>
            </w:r>
          </w:p>
        </w:tc>
        <w:tc>
          <w:tcPr>
            <w:cnfStyle w:evenVBand="false" w:oddVBand="true" w:firstColumn="false"/>
            <w:tcW w:w="33.333333%" w:type="pct"/>
          </w:tcPr>
          <w:p>
            <w:pPr>
              <w:ind w:leftChars="0" w:left="0" w:right="0"/>
            </w:pPr>
            <w:r>
              <w:t>THE NIGERIAN STOCK EXCHANGE</w:t>
            </w:r>
          </w:p>
        </w:tc>
      </w:tr>
      <w:tr>
        <w:trPr>
          <w:cnfStyle w:evenHBand="true" w:oddHBand="false" w:firstRow="false"/>
        </w:trPr>
        <w:tc>
          <w:tcPr>
            <w:cnfStyle w:evenVBand="false" w:oddVBand="true" w:firstColumn="false"/>
            <w:tcW w:w="33.333333%" w:type="pct"/>
          </w:tcPr>
          <w:p>
            <w:pPr>
              <w:ind w:leftChars="0" w:left="0" w:right="0"/>
            </w:pPr>
            <w:r>
              <w:t>XNSE</w:t>
            </w:r>
          </w:p>
        </w:tc>
        <w:tc>
          <w:tcPr>
            <w:cnfStyle w:evenVBand="true" w:oddVBand="false" w:firstColumn="false"/>
            <w:tcW w:w="33.333333%" w:type="pct"/>
          </w:tcPr>
          <w:p>
            <w:pPr>
              <w:ind w:leftChars="0" w:left="0" w:right="0"/>
            </w:pPr>
            <w:r>
              <w:t>XNSE</w:t>
            </w:r>
          </w:p>
        </w:tc>
        <w:tc>
          <w:tcPr>
            <w:cnfStyle w:evenVBand="false" w:oddVBand="true" w:firstColumn="false"/>
            <w:tcW w:w="33.333333%" w:type="pct"/>
          </w:tcPr>
          <w:p>
            <w:pPr>
              <w:ind w:leftChars="0" w:left="0" w:right="0"/>
            </w:pPr>
            <w:r>
              <w:t>NATIONAL STOCK EXCHANGE OF INDIA</w:t>
            </w:r>
          </w:p>
        </w:tc>
      </w:tr>
      <w:tr>
        <w:trPr>
          <w:cnfStyle w:evenHBand="false" w:oddHBand="true" w:firstRow="false"/>
        </w:trPr>
        <w:tc>
          <w:tcPr>
            <w:cnfStyle w:evenVBand="false" w:oddVBand="true" w:firstColumn="false"/>
            <w:tcW w:w="33.333333%" w:type="pct"/>
          </w:tcPr>
          <w:p>
            <w:pPr>
              <w:ind w:leftChars="0" w:left="0" w:right="0"/>
            </w:pPr>
            <w:r>
              <w:t>XNST</w:t>
            </w:r>
          </w:p>
        </w:tc>
        <w:tc>
          <w:tcPr>
            <w:cnfStyle w:evenVBand="true" w:oddVBand="false" w:firstColumn="false"/>
            <w:tcW w:w="33.333333%" w:type="pct"/>
          </w:tcPr>
          <w:p>
            <w:pPr>
              <w:ind w:leftChars="0" w:left="0" w:right="0"/>
            </w:pPr>
            <w:r>
              <w:t>XNST</w:t>
            </w:r>
          </w:p>
        </w:tc>
        <w:tc>
          <w:tcPr>
            <w:cnfStyle w:evenVBand="false" w:oddVBand="true" w:firstColumn="false"/>
            <w:tcW w:w="33.333333%" w:type="pct"/>
          </w:tcPr>
          <w:p>
            <w:pPr>
              <w:ind w:leftChars="0" w:left="0" w:right="0"/>
            </w:pPr>
            <w:r>
              <w:t>NAGOYA SENI TORIHIKIJO (TEXTILE EXCHANGE) - CHUBU COMMODITY EXCHANGE</w:t>
            </w:r>
          </w:p>
        </w:tc>
      </w:tr>
      <w:tr>
        <w:trPr>
          <w:cnfStyle w:evenHBand="true" w:oddHBand="false" w:firstRow="false"/>
        </w:trPr>
        <w:tc>
          <w:tcPr>
            <w:cnfStyle w:evenVBand="false" w:oddVBand="true" w:firstColumn="false"/>
            <w:tcW w:w="33.333333%" w:type="pct"/>
          </w:tcPr>
          <w:p>
            <w:pPr>
              <w:ind w:leftChars="0" w:left="0" w:right="0"/>
            </w:pPr>
            <w:r>
              <w:t>XNXC</w:t>
            </w:r>
          </w:p>
        </w:tc>
        <w:tc>
          <w:tcPr>
            <w:cnfStyle w:evenVBand="true" w:oddVBand="false" w:firstColumn="false"/>
            <w:tcW w:w="33.333333%" w:type="pct"/>
          </w:tcPr>
          <w:p>
            <w:pPr>
              <w:ind w:leftChars="0" w:left="0" w:right="0"/>
            </w:pPr>
            <w:r>
              <w:t>XNXC</w:t>
            </w:r>
          </w:p>
        </w:tc>
        <w:tc>
          <w:tcPr>
            <w:cnfStyle w:evenVBand="false" w:oddVBand="true" w:firstColumn="false"/>
            <w:tcW w:w="33.333333%" w:type="pct"/>
          </w:tcPr>
          <w:p>
            <w:pPr>
              <w:ind w:leftChars="0" w:left="0" w:right="0"/>
            </w:pPr>
            <w:r>
              <w:t>NXCHANGE</w:t>
            </w:r>
          </w:p>
        </w:tc>
      </w:tr>
      <w:tr>
        <w:trPr>
          <w:cnfStyle w:evenHBand="false" w:oddHBand="true" w:firstRow="false"/>
        </w:trPr>
        <w:tc>
          <w:tcPr>
            <w:cnfStyle w:evenVBand="false" w:oddVBand="true" w:firstColumn="false"/>
            <w:tcW w:w="33.333333%" w:type="pct"/>
          </w:tcPr>
          <w:p>
            <w:pPr>
              <w:ind w:leftChars="0" w:left="0" w:right="0"/>
            </w:pPr>
            <w:r>
              <w:t>XNXD</w:t>
            </w:r>
          </w:p>
        </w:tc>
        <w:tc>
          <w:tcPr>
            <w:cnfStyle w:evenVBand="true" w:oddVBand="false" w:firstColumn="false"/>
            <w:tcW w:w="33.333333%" w:type="pct"/>
          </w:tcPr>
          <w:p>
            <w:pPr>
              <w:ind w:leftChars="0" w:left="0" w:right="0"/>
            </w:pPr>
            <w:r>
              <w:t>XNXD</w:t>
            </w:r>
          </w:p>
        </w:tc>
        <w:tc>
          <w:tcPr>
            <w:cnfStyle w:evenVBand="false" w:oddVBand="true" w:firstColumn="false"/>
            <w:tcW w:w="33.333333%" w:type="pct"/>
          </w:tcPr>
          <w:p>
            <w:pPr>
              <w:ind w:leftChars="0" w:left="0" w:right="0"/>
            </w:pPr>
            <w:r>
              <w:t>NXCHANGE B.V. MTF</w:t>
            </w:r>
          </w:p>
        </w:tc>
      </w:tr>
      <w:tr>
        <w:trPr>
          <w:cnfStyle w:evenHBand="true" w:oddHBand="false" w:firstRow="false"/>
        </w:trPr>
        <w:tc>
          <w:tcPr>
            <w:cnfStyle w:evenVBand="false" w:oddVBand="true" w:firstColumn="false"/>
            <w:tcW w:w="33.333333%" w:type="pct"/>
          </w:tcPr>
          <w:p>
            <w:pPr>
              <w:ind w:leftChars="0" w:left="0" w:right="0"/>
            </w:pPr>
            <w:r>
              <w:t>XNYC</w:t>
            </w:r>
          </w:p>
        </w:tc>
        <w:tc>
          <w:tcPr>
            <w:cnfStyle w:evenVBand="true" w:oddVBand="false" w:firstColumn="false"/>
            <w:tcW w:w="33.333333%" w:type="pct"/>
          </w:tcPr>
          <w:p>
            <w:pPr>
              <w:ind w:leftChars="0" w:left="0" w:right="0"/>
            </w:pPr>
            <w:r>
              <w:t>XNYC</w:t>
            </w:r>
          </w:p>
        </w:tc>
        <w:tc>
          <w:tcPr>
            <w:cnfStyle w:evenVBand="false" w:oddVBand="true" w:firstColumn="false"/>
            <w:tcW w:w="33.333333%" w:type="pct"/>
          </w:tcPr>
          <w:p>
            <w:pPr>
              <w:ind w:leftChars="0" w:left="0" w:right="0"/>
            </w:pPr>
            <w:r>
              <w:t>NEW YORK COTTON EXCHANGE</w:t>
            </w:r>
          </w:p>
        </w:tc>
      </w:tr>
      <w:tr>
        <w:trPr>
          <w:cnfStyle w:evenHBand="false" w:oddHBand="true" w:firstRow="false"/>
        </w:trPr>
        <w:tc>
          <w:tcPr>
            <w:cnfStyle w:evenVBand="false" w:oddVBand="true" w:firstColumn="false"/>
            <w:tcW w:w="33.333333%" w:type="pct"/>
          </w:tcPr>
          <w:p>
            <w:pPr>
              <w:ind w:leftChars="0" w:left="0" w:right="0"/>
            </w:pPr>
            <w:r>
              <w:t>XNYE</w:t>
            </w:r>
          </w:p>
        </w:tc>
        <w:tc>
          <w:tcPr>
            <w:cnfStyle w:evenVBand="true" w:oddVBand="false" w:firstColumn="false"/>
            <w:tcW w:w="33.333333%" w:type="pct"/>
          </w:tcPr>
          <w:p>
            <w:pPr>
              <w:ind w:leftChars="0" w:left="0" w:right="0"/>
            </w:pPr>
            <w:r>
              <w:t>XNYE</w:t>
            </w:r>
          </w:p>
        </w:tc>
        <w:tc>
          <w:tcPr>
            <w:cnfStyle w:evenVBand="false" w:oddVBand="true" w:firstColumn="false"/>
            <w:tcW w:w="33.333333%" w:type="pct"/>
          </w:tcPr>
          <w:p>
            <w:pPr>
              <w:ind w:leftChars="0" w:left="0" w:right="0"/>
            </w:pPr>
            <w:r>
              <w:t>NEW YORK MERCANTILE EXCHANGE - OTC MARKETS</w:t>
            </w:r>
          </w:p>
        </w:tc>
      </w:tr>
      <w:tr>
        <w:trPr>
          <w:cnfStyle w:evenHBand="true" w:oddHBand="false" w:firstRow="false"/>
        </w:trPr>
        <w:tc>
          <w:tcPr>
            <w:cnfStyle w:evenVBand="false" w:oddVBand="true" w:firstColumn="false"/>
            <w:tcW w:w="33.333333%" w:type="pct"/>
          </w:tcPr>
          <w:p>
            <w:pPr>
              <w:ind w:leftChars="0" w:left="0" w:right="0"/>
            </w:pPr>
            <w:r>
              <w:t>XNYF</w:t>
            </w:r>
          </w:p>
        </w:tc>
        <w:tc>
          <w:tcPr>
            <w:cnfStyle w:evenVBand="true" w:oddVBand="false" w:firstColumn="false"/>
            <w:tcW w:w="33.333333%" w:type="pct"/>
          </w:tcPr>
          <w:p>
            <w:pPr>
              <w:ind w:leftChars="0" w:left="0" w:right="0"/>
            </w:pPr>
            <w:r>
              <w:t>XNYF</w:t>
            </w:r>
          </w:p>
        </w:tc>
        <w:tc>
          <w:tcPr>
            <w:cnfStyle w:evenVBand="false" w:oddVBand="true" w:firstColumn="false"/>
            <w:tcW w:w="33.333333%" w:type="pct"/>
          </w:tcPr>
          <w:p>
            <w:pPr>
              <w:ind w:leftChars="0" w:left="0" w:right="0"/>
            </w:pPr>
            <w:r>
              <w:t>ICE FUTURES U.S. INC</w:t>
            </w:r>
          </w:p>
        </w:tc>
      </w:tr>
      <w:tr>
        <w:trPr>
          <w:cnfStyle w:evenHBand="false" w:oddHBand="true" w:firstRow="false"/>
        </w:trPr>
        <w:tc>
          <w:tcPr>
            <w:cnfStyle w:evenVBand="false" w:oddVBand="true" w:firstColumn="false"/>
            <w:tcW w:w="33.333333%" w:type="pct"/>
          </w:tcPr>
          <w:p>
            <w:pPr>
              <w:ind w:leftChars="0" w:left="0" w:right="0"/>
            </w:pPr>
            <w:r>
              <w:t>XNYL</w:t>
            </w:r>
          </w:p>
        </w:tc>
        <w:tc>
          <w:tcPr>
            <w:cnfStyle w:evenVBand="true" w:oddVBand="false" w:firstColumn="false"/>
            <w:tcW w:w="33.333333%" w:type="pct"/>
          </w:tcPr>
          <w:p>
            <w:pPr>
              <w:ind w:leftChars="0" w:left="0" w:right="0"/>
            </w:pPr>
            <w:r>
              <w:t>XNYL</w:t>
            </w:r>
          </w:p>
        </w:tc>
        <w:tc>
          <w:tcPr>
            <w:cnfStyle w:evenVBand="false" w:oddVBand="true" w:firstColumn="false"/>
            <w:tcW w:w="33.333333%" w:type="pct"/>
          </w:tcPr>
          <w:p>
            <w:pPr>
              <w:ind w:leftChars="0" w:left="0" w:right="0"/>
            </w:pPr>
            <w:r>
              <w:t>NEW YORK MERCANTILE EXCHANGE - ENERGY MARKETS</w:t>
            </w:r>
          </w:p>
        </w:tc>
      </w:tr>
      <w:tr>
        <w:trPr>
          <w:cnfStyle w:evenHBand="true" w:oddHBand="false" w:firstRow="false"/>
        </w:trPr>
        <w:tc>
          <w:tcPr>
            <w:cnfStyle w:evenVBand="false" w:oddVBand="true" w:firstColumn="false"/>
            <w:tcW w:w="33.333333%" w:type="pct"/>
          </w:tcPr>
          <w:p>
            <w:pPr>
              <w:ind w:leftChars="0" w:left="0" w:right="0"/>
            </w:pPr>
            <w:r>
              <w:t>XNYM</w:t>
            </w:r>
          </w:p>
        </w:tc>
        <w:tc>
          <w:tcPr>
            <w:cnfStyle w:evenVBand="true" w:oddVBand="false" w:firstColumn="false"/>
            <w:tcW w:w="33.333333%" w:type="pct"/>
          </w:tcPr>
          <w:p>
            <w:pPr>
              <w:ind w:leftChars="0" w:left="0" w:right="0"/>
            </w:pPr>
            <w:r>
              <w:t>XNYM</w:t>
            </w:r>
          </w:p>
        </w:tc>
        <w:tc>
          <w:tcPr>
            <w:cnfStyle w:evenVBand="false" w:oddVBand="true" w:firstColumn="false"/>
            <w:tcW w:w="33.333333%" w:type="pct"/>
          </w:tcPr>
          <w:p>
            <w:pPr>
              <w:ind w:leftChars="0" w:left="0" w:right="0"/>
            </w:pPr>
            <w:r>
              <w:t>NEW YORK MERCANTILE EXCHANGE</w:t>
            </w:r>
          </w:p>
        </w:tc>
      </w:tr>
      <w:tr>
        <w:trPr>
          <w:cnfStyle w:evenHBand="false" w:oddHBand="true" w:firstRow="false"/>
        </w:trPr>
        <w:tc>
          <w:tcPr>
            <w:cnfStyle w:evenVBand="false" w:oddVBand="true" w:firstColumn="false"/>
            <w:tcW w:w="33.333333%" w:type="pct"/>
          </w:tcPr>
          <w:p>
            <w:pPr>
              <w:ind w:leftChars="0" w:left="0" w:right="0"/>
            </w:pPr>
            <w:r>
              <w:t>XNYS</w:t>
            </w:r>
          </w:p>
        </w:tc>
        <w:tc>
          <w:tcPr>
            <w:cnfStyle w:evenVBand="true" w:oddVBand="false" w:firstColumn="false"/>
            <w:tcW w:w="33.333333%" w:type="pct"/>
          </w:tcPr>
          <w:p>
            <w:pPr>
              <w:ind w:leftChars="0" w:left="0" w:right="0"/>
            </w:pPr>
            <w:r>
              <w:t>XNYS</w:t>
            </w:r>
          </w:p>
        </w:tc>
        <w:tc>
          <w:tcPr>
            <w:cnfStyle w:evenVBand="false" w:oddVBand="true" w:firstColumn="false"/>
            <w:tcW w:w="33.333333%" w:type="pct"/>
          </w:tcPr>
          <w:p>
            <w:pPr>
              <w:ind w:leftChars="0" w:left="0" w:right="0"/>
            </w:pPr>
            <w:r>
              <w:t>NEW YORK STOCK EXCHANGE, INC.</w:t>
            </w:r>
          </w:p>
        </w:tc>
      </w:tr>
      <w:tr>
        <w:trPr>
          <w:cnfStyle w:evenHBand="true" w:oddHBand="false" w:firstRow="false"/>
        </w:trPr>
        <w:tc>
          <w:tcPr>
            <w:cnfStyle w:evenVBand="false" w:oddVBand="true" w:firstColumn="false"/>
            <w:tcW w:w="33.333333%" w:type="pct"/>
          </w:tcPr>
          <w:p>
            <w:pPr>
              <w:ind w:leftChars="0" w:left="0" w:right="0"/>
            </w:pPr>
            <w:r>
              <w:t>XNZE</w:t>
            </w:r>
          </w:p>
        </w:tc>
        <w:tc>
          <w:tcPr>
            <w:cnfStyle w:evenVBand="true" w:oddVBand="false" w:firstColumn="false"/>
            <w:tcW w:w="33.333333%" w:type="pct"/>
          </w:tcPr>
          <w:p>
            <w:pPr>
              <w:ind w:leftChars="0" w:left="0" w:right="0"/>
            </w:pPr>
            <w:r>
              <w:t>XNZE</w:t>
            </w:r>
          </w:p>
        </w:tc>
        <w:tc>
          <w:tcPr>
            <w:cnfStyle w:evenVBand="false" w:oddVBand="true" w:firstColumn="false"/>
            <w:tcW w:w="33.333333%" w:type="pct"/>
          </w:tcPr>
          <w:p>
            <w:pPr>
              <w:ind w:leftChars="0" w:left="0" w:right="0"/>
            </w:pPr>
            <w:r>
              <w:t>NEW ZEALAND EXCHANGE LTD</w:t>
            </w:r>
          </w:p>
        </w:tc>
      </w:tr>
      <w:tr>
        <w:trPr>
          <w:cnfStyle w:evenHBand="false" w:oddHBand="true" w:firstRow="false"/>
        </w:trPr>
        <w:tc>
          <w:tcPr>
            <w:cnfStyle w:evenVBand="false" w:oddVBand="true" w:firstColumn="false"/>
            <w:tcW w:w="33.333333%" w:type="pct"/>
          </w:tcPr>
          <w:p>
            <w:pPr>
              <w:ind w:leftChars="0" w:left="0" w:right="0"/>
            </w:pPr>
            <w:r>
              <w:t>XOAA</w:t>
            </w:r>
          </w:p>
        </w:tc>
        <w:tc>
          <w:tcPr>
            <w:cnfStyle w:evenVBand="true" w:oddVBand="false" w:firstColumn="false"/>
            <w:tcW w:w="33.333333%" w:type="pct"/>
          </w:tcPr>
          <w:p>
            <w:pPr>
              <w:ind w:leftChars="0" w:left="0" w:right="0"/>
            </w:pPr>
            <w:r>
              <w:t>XOAA</w:t>
            </w:r>
          </w:p>
        </w:tc>
        <w:tc>
          <w:tcPr>
            <w:cnfStyle w:evenVBand="false" w:oddVBand="true" w:firstColumn="false"/>
            <w:tcW w:w="33.333333%" w:type="pct"/>
          </w:tcPr>
          <w:p>
            <w:pPr>
              <w:ind w:leftChars="0" w:left="0" w:right="0"/>
            </w:pPr>
            <w:r>
              <w:t>OSLO BORS ASA - OSLO AXESS LIT X AUCTIONS</w:t>
            </w:r>
          </w:p>
        </w:tc>
      </w:tr>
      <w:tr>
        <w:trPr>
          <w:cnfStyle w:evenHBand="true" w:oddHBand="false" w:firstRow="false"/>
        </w:trPr>
        <w:tc>
          <w:tcPr>
            <w:cnfStyle w:evenVBand="false" w:oddVBand="true" w:firstColumn="false"/>
            <w:tcW w:w="33.333333%" w:type="pct"/>
          </w:tcPr>
          <w:p>
            <w:pPr>
              <w:ind w:leftChars="0" w:left="0" w:right="0"/>
            </w:pPr>
            <w:r>
              <w:t>XOAD</w:t>
            </w:r>
          </w:p>
        </w:tc>
        <w:tc>
          <w:tcPr>
            <w:cnfStyle w:evenVBand="true" w:oddVBand="false" w:firstColumn="false"/>
            <w:tcW w:w="33.333333%" w:type="pct"/>
          </w:tcPr>
          <w:p>
            <w:pPr>
              <w:ind w:leftChars="0" w:left="0" w:right="0"/>
            </w:pPr>
            <w:r>
              <w:t>XOAD</w:t>
            </w:r>
          </w:p>
        </w:tc>
        <w:tc>
          <w:tcPr>
            <w:cnfStyle w:evenVBand="false" w:oddVBand="true" w:firstColumn="false"/>
            <w:tcW w:w="33.333333%" w:type="pct"/>
          </w:tcPr>
          <w:p>
            <w:pPr>
              <w:ind w:leftChars="0" w:left="0" w:right="0"/>
            </w:pPr>
            <w:r>
              <w:t>OSLO AXESS NORTH SEA - DARK POOL</w:t>
            </w:r>
          </w:p>
        </w:tc>
      </w:tr>
      <w:tr>
        <w:trPr>
          <w:cnfStyle w:evenHBand="false" w:oddHBand="true" w:firstRow="false"/>
        </w:trPr>
        <w:tc>
          <w:tcPr>
            <w:cnfStyle w:evenVBand="false" w:oddVBand="true" w:firstColumn="false"/>
            <w:tcW w:w="33.333333%" w:type="pct"/>
          </w:tcPr>
          <w:p>
            <w:pPr>
              <w:ind w:leftChars="0" w:left="0" w:right="0"/>
            </w:pPr>
            <w:r>
              <w:t>XOAM</w:t>
            </w:r>
          </w:p>
        </w:tc>
        <w:tc>
          <w:tcPr>
            <w:cnfStyle w:evenVBand="true" w:oddVBand="false" w:firstColumn="false"/>
            <w:tcW w:w="33.333333%" w:type="pct"/>
          </w:tcPr>
          <w:p>
            <w:pPr>
              <w:ind w:leftChars="0" w:left="0" w:right="0"/>
            </w:pPr>
            <w:r>
              <w:t>XOAM</w:t>
            </w:r>
          </w:p>
        </w:tc>
        <w:tc>
          <w:tcPr>
            <w:cnfStyle w:evenVBand="false" w:oddVBand="true" w:firstColumn="false"/>
            <w:tcW w:w="33.333333%" w:type="pct"/>
          </w:tcPr>
          <w:p>
            <w:pPr>
              <w:ind w:leftChars="0" w:left="0" w:right="0"/>
            </w:pPr>
            <w:r>
              <w:t>NORDIC ALTERNATIVE BOND MARKET</w:t>
            </w:r>
          </w:p>
        </w:tc>
      </w:tr>
      <w:tr>
        <w:trPr>
          <w:cnfStyle w:evenHBand="true" w:oddHBand="false" w:firstRow="false"/>
        </w:trPr>
        <w:tc>
          <w:tcPr>
            <w:cnfStyle w:evenVBand="false" w:oddVBand="true" w:firstColumn="false"/>
            <w:tcW w:w="33.333333%" w:type="pct"/>
          </w:tcPr>
          <w:p>
            <w:pPr>
              <w:ind w:leftChars="0" w:left="0" w:right="0"/>
            </w:pPr>
            <w:r>
              <w:t>XOAS</w:t>
            </w:r>
          </w:p>
        </w:tc>
        <w:tc>
          <w:tcPr>
            <w:cnfStyle w:evenVBand="true" w:oddVBand="false" w:firstColumn="false"/>
            <w:tcW w:w="33.333333%" w:type="pct"/>
          </w:tcPr>
          <w:p>
            <w:pPr>
              <w:ind w:leftChars="0" w:left="0" w:right="0"/>
            </w:pPr>
            <w:r>
              <w:t>XOAS</w:t>
            </w:r>
          </w:p>
        </w:tc>
        <w:tc>
          <w:tcPr>
            <w:cnfStyle w:evenVBand="false" w:oddVBand="true" w:firstColumn="false"/>
            <w:tcW w:w="33.333333%" w:type="pct"/>
          </w:tcPr>
          <w:p>
            <w:pPr>
              <w:ind w:leftChars="0" w:left="0" w:right="0"/>
            </w:pPr>
            <w:r>
              <w:t>EURONEXT EXPAND OSLO</w:t>
            </w:r>
          </w:p>
        </w:tc>
      </w:tr>
      <w:tr>
        <w:trPr>
          <w:cnfStyle w:evenHBand="false" w:oddHBand="true" w:firstRow="false"/>
        </w:trPr>
        <w:tc>
          <w:tcPr>
            <w:cnfStyle w:evenVBand="false" w:oddVBand="true" w:firstColumn="false"/>
            <w:tcW w:w="33.333333%" w:type="pct"/>
          </w:tcPr>
          <w:p>
            <w:pPr>
              <w:ind w:leftChars="0" w:left="0" w:right="0"/>
            </w:pPr>
            <w:r>
              <w:t>XOBD</w:t>
            </w:r>
          </w:p>
        </w:tc>
        <w:tc>
          <w:tcPr>
            <w:cnfStyle w:evenVBand="true" w:oddVBand="false" w:firstColumn="false"/>
            <w:tcW w:w="33.333333%" w:type="pct"/>
          </w:tcPr>
          <w:p>
            <w:pPr>
              <w:ind w:leftChars="0" w:left="0" w:right="0"/>
            </w:pPr>
            <w:r>
              <w:t>XOBD</w:t>
            </w:r>
          </w:p>
        </w:tc>
        <w:tc>
          <w:tcPr>
            <w:cnfStyle w:evenVBand="false" w:oddVBand="true" w:firstColumn="false"/>
            <w:tcW w:w="33.333333%" w:type="pct"/>
          </w:tcPr>
          <w:p>
            <w:pPr>
              <w:ind w:leftChars="0" w:left="0" w:right="0"/>
            </w:pPr>
            <w:r>
              <w:t>OSLO BORS - DERIVATIVES MARKET</w:t>
            </w:r>
          </w:p>
        </w:tc>
      </w:tr>
      <w:tr>
        <w:trPr>
          <w:cnfStyle w:evenHBand="true" w:oddHBand="false" w:firstRow="false"/>
        </w:trPr>
        <w:tc>
          <w:tcPr>
            <w:cnfStyle w:evenVBand="false" w:oddVBand="true" w:firstColumn="false"/>
            <w:tcW w:w="33.333333%" w:type="pct"/>
          </w:tcPr>
          <w:p>
            <w:pPr>
              <w:ind w:leftChars="0" w:left="0" w:right="0"/>
            </w:pPr>
            <w:r>
              <w:t>XOCH</w:t>
            </w:r>
          </w:p>
        </w:tc>
        <w:tc>
          <w:tcPr>
            <w:cnfStyle w:evenVBand="true" w:oddVBand="false" w:firstColumn="false"/>
            <w:tcW w:w="33.333333%" w:type="pct"/>
          </w:tcPr>
          <w:p>
            <w:pPr>
              <w:ind w:leftChars="0" w:left="0" w:right="0"/>
            </w:pPr>
            <w:r>
              <w:t>XOCH</w:t>
            </w:r>
          </w:p>
        </w:tc>
        <w:tc>
          <w:tcPr>
            <w:cnfStyle w:evenVBand="false" w:oddVBand="true" w:firstColumn="false"/>
            <w:tcW w:w="33.333333%" w:type="pct"/>
          </w:tcPr>
          <w:p>
            <w:pPr>
              <w:ind w:leftChars="0" w:left="0" w:right="0"/>
            </w:pPr>
            <w:r>
              <w:t>ONECHICAGO, LLC</w:t>
            </w:r>
          </w:p>
        </w:tc>
      </w:tr>
      <w:tr>
        <w:trPr>
          <w:cnfStyle w:evenHBand="false" w:oddHBand="true" w:firstRow="false"/>
        </w:trPr>
        <w:tc>
          <w:tcPr>
            <w:cnfStyle w:evenVBand="false" w:oddVBand="true" w:firstColumn="false"/>
            <w:tcW w:w="33.333333%" w:type="pct"/>
          </w:tcPr>
          <w:p>
            <w:pPr>
              <w:ind w:leftChars="0" w:left="0" w:right="0"/>
            </w:pPr>
            <w:r>
              <w:t>XODE</w:t>
            </w:r>
          </w:p>
        </w:tc>
        <w:tc>
          <w:tcPr>
            <w:cnfStyle w:evenVBand="true" w:oddVBand="false" w:firstColumn="false"/>
            <w:tcW w:w="33.333333%" w:type="pct"/>
          </w:tcPr>
          <w:p>
            <w:pPr>
              <w:ind w:leftChars="0" w:left="0" w:right="0"/>
            </w:pPr>
            <w:r>
              <w:t>XODE</w:t>
            </w:r>
          </w:p>
        </w:tc>
        <w:tc>
          <w:tcPr>
            <w:cnfStyle w:evenVBand="false" w:oddVBand="true" w:firstColumn="false"/>
            <w:tcW w:w="33.333333%" w:type="pct"/>
          </w:tcPr>
          <w:p>
            <w:pPr>
              <w:ind w:leftChars="0" w:left="0" w:right="0"/>
            </w:pPr>
            <w:r>
              <w:t>ODESSA COMMODITY EXCHANGE</w:t>
            </w:r>
          </w:p>
        </w:tc>
      </w:tr>
      <w:tr>
        <w:trPr>
          <w:cnfStyle w:evenHBand="true" w:oddHBand="false" w:firstRow="false"/>
        </w:trPr>
        <w:tc>
          <w:tcPr>
            <w:cnfStyle w:evenVBand="false" w:oddVBand="true" w:firstColumn="false"/>
            <w:tcW w:w="33.333333%" w:type="pct"/>
          </w:tcPr>
          <w:p>
            <w:pPr>
              <w:ind w:leftChars="0" w:left="0" w:right="0"/>
            </w:pPr>
            <w:r>
              <w:t>XOFF</w:t>
            </w:r>
          </w:p>
        </w:tc>
        <w:tc>
          <w:tcPr>
            <w:cnfStyle w:evenVBand="true" w:oddVBand="false" w:firstColumn="false"/>
            <w:tcW w:w="33.333333%" w:type="pct"/>
          </w:tcPr>
          <w:p>
            <w:pPr>
              <w:ind w:leftChars="0" w:left="0" w:right="0"/>
            </w:pPr>
            <w:r>
              <w:t>XOFF</w:t>
            </w:r>
          </w:p>
        </w:tc>
        <w:tc>
          <w:tcPr>
            <w:cnfStyle w:evenVBand="false" w:oddVBand="true" w:firstColumn="false"/>
            <w:tcW w:w="33.333333%" w:type="pct"/>
          </w:tcPr>
          <w:p>
            <w:pPr>
              <w:ind w:leftChars="0" w:left="0" w:right="0"/>
            </w:pPr>
            <w:r>
              <w:t>OFF-EXCHANGE TRANSACTIONS - LISTED INSTRUMENTS</w:t>
            </w:r>
          </w:p>
        </w:tc>
      </w:tr>
      <w:tr>
        <w:trPr>
          <w:cnfStyle w:evenHBand="false" w:oddHBand="true" w:firstRow="false"/>
        </w:trPr>
        <w:tc>
          <w:tcPr>
            <w:cnfStyle w:evenVBand="false" w:oddVBand="true" w:firstColumn="false"/>
            <w:tcW w:w="33.333333%" w:type="pct"/>
          </w:tcPr>
          <w:p>
            <w:pPr>
              <w:ind w:leftChars="0" w:left="0" w:right="0"/>
            </w:pPr>
            <w:r>
              <w:t>XOME</w:t>
            </w:r>
          </w:p>
        </w:tc>
        <w:tc>
          <w:tcPr>
            <w:cnfStyle w:evenVBand="true" w:oddVBand="false" w:firstColumn="false"/>
            <w:tcW w:w="33.333333%" w:type="pct"/>
          </w:tcPr>
          <w:p>
            <w:pPr>
              <w:ind w:leftChars="0" w:left="0" w:right="0"/>
            </w:pPr>
            <w:r>
              <w:t>XOME</w:t>
            </w:r>
          </w:p>
        </w:tc>
        <w:tc>
          <w:tcPr>
            <w:cnfStyle w:evenVBand="false" w:oddVBand="true" w:firstColumn="false"/>
            <w:tcW w:w="33.333333%" w:type="pct"/>
          </w:tcPr>
          <w:p>
            <w:pPr>
              <w:ind w:leftChars="0" w:left="0" w:right="0"/>
            </w:pPr>
            <w:r>
              <w:t>OMX NORDIC EXCHANGE STOCKHOLM AB</w:t>
            </w:r>
          </w:p>
        </w:tc>
      </w:tr>
      <w:tr>
        <w:trPr>
          <w:cnfStyle w:evenHBand="true" w:oddHBand="false" w:firstRow="false"/>
        </w:trPr>
        <w:tc>
          <w:tcPr>
            <w:cnfStyle w:evenVBand="false" w:oddVBand="true" w:firstColumn="false"/>
            <w:tcW w:w="33.333333%" w:type="pct"/>
          </w:tcPr>
          <w:p>
            <w:pPr>
              <w:ind w:leftChars="0" w:left="0" w:right="0"/>
            </w:pPr>
            <w:r>
              <w:t>XOPV</w:t>
            </w:r>
          </w:p>
        </w:tc>
        <w:tc>
          <w:tcPr>
            <w:cnfStyle w:evenVBand="true" w:oddVBand="false" w:firstColumn="false"/>
            <w:tcW w:w="33.333333%" w:type="pct"/>
          </w:tcPr>
          <w:p>
            <w:pPr>
              <w:ind w:leftChars="0" w:left="0" w:right="0"/>
            </w:pPr>
            <w:r>
              <w:t>XOPV</w:t>
            </w:r>
          </w:p>
        </w:tc>
        <w:tc>
          <w:tcPr>
            <w:cnfStyle w:evenVBand="false" w:oddVBand="true" w:firstColumn="false"/>
            <w:tcW w:w="33.333333%" w:type="pct"/>
          </w:tcPr>
          <w:p>
            <w:pPr>
              <w:ind w:leftChars="0" w:left="0" w:right="0"/>
            </w:pPr>
            <w:r>
              <w:t>OTC PUBLICATION VENUE</w:t>
            </w:r>
          </w:p>
        </w:tc>
      </w:tr>
      <w:tr>
        <w:trPr>
          <w:cnfStyle w:evenHBand="false" w:oddHBand="true" w:firstRow="false"/>
        </w:trPr>
        <w:tc>
          <w:tcPr>
            <w:cnfStyle w:evenVBand="false" w:oddVBand="true" w:firstColumn="false"/>
            <w:tcW w:w="33.333333%" w:type="pct"/>
          </w:tcPr>
          <w:p>
            <w:pPr>
              <w:ind w:leftChars="0" w:left="0" w:right="0"/>
            </w:pPr>
            <w:r>
              <w:t>XOSA</w:t>
            </w:r>
          </w:p>
        </w:tc>
        <w:tc>
          <w:tcPr>
            <w:cnfStyle w:evenVBand="true" w:oddVBand="false" w:firstColumn="false"/>
            <w:tcW w:w="33.333333%" w:type="pct"/>
          </w:tcPr>
          <w:p>
            <w:pPr>
              <w:ind w:leftChars="0" w:left="0" w:right="0"/>
            </w:pPr>
            <w:r>
              <w:t>XOSA</w:t>
            </w:r>
          </w:p>
        </w:tc>
        <w:tc>
          <w:tcPr>
            <w:cnfStyle w:evenVBand="false" w:oddVBand="true" w:firstColumn="false"/>
            <w:tcW w:w="33.333333%" w:type="pct"/>
          </w:tcPr>
          <w:p>
            <w:pPr>
              <w:ind w:leftChars="0" w:left="0" w:right="0"/>
            </w:pPr>
            <w:r>
              <w:t>OSLO BORS - LIT X AUCTIONS</w:t>
            </w:r>
          </w:p>
        </w:tc>
      </w:tr>
      <w:tr>
        <w:trPr>
          <w:cnfStyle w:evenHBand="true" w:oddHBand="false" w:firstRow="false"/>
        </w:trPr>
        <w:tc>
          <w:tcPr>
            <w:cnfStyle w:evenVBand="false" w:oddVBand="true" w:firstColumn="false"/>
            <w:tcW w:w="33.333333%" w:type="pct"/>
          </w:tcPr>
          <w:p>
            <w:pPr>
              <w:ind w:leftChars="0" w:left="0" w:right="0"/>
            </w:pPr>
            <w:r>
              <w:t>XOSC</w:t>
            </w:r>
          </w:p>
        </w:tc>
        <w:tc>
          <w:tcPr>
            <w:cnfStyle w:evenVBand="true" w:oddVBand="false" w:firstColumn="false"/>
            <w:tcW w:w="33.333333%" w:type="pct"/>
          </w:tcPr>
          <w:p>
            <w:pPr>
              <w:ind w:leftChars="0" w:left="0" w:right="0"/>
            </w:pPr>
            <w:r>
              <w:t>XOSC</w:t>
            </w:r>
          </w:p>
        </w:tc>
        <w:tc>
          <w:tcPr>
            <w:cnfStyle w:evenVBand="false" w:oddVBand="true" w:firstColumn="false"/>
            <w:tcW w:w="33.333333%" w:type="pct"/>
          </w:tcPr>
          <w:p>
            <w:pPr>
              <w:ind w:leftChars="0" w:left="0" w:right="0"/>
            </w:pPr>
            <w:r>
              <w:t>OSLO CONNECT</w:t>
            </w:r>
          </w:p>
        </w:tc>
      </w:tr>
      <w:tr>
        <w:trPr>
          <w:cnfStyle w:evenHBand="false" w:oddHBand="true" w:firstRow="false"/>
        </w:trPr>
        <w:tc>
          <w:tcPr>
            <w:cnfStyle w:evenVBand="false" w:oddVBand="true" w:firstColumn="false"/>
            <w:tcW w:w="33.333333%" w:type="pct"/>
          </w:tcPr>
          <w:p>
            <w:pPr>
              <w:ind w:leftChars="0" w:left="0" w:right="0"/>
            </w:pPr>
            <w:r>
              <w:t>XOSD</w:t>
            </w:r>
          </w:p>
        </w:tc>
        <w:tc>
          <w:tcPr>
            <w:cnfStyle w:evenVBand="true" w:oddVBand="false" w:firstColumn="false"/>
            <w:tcW w:w="33.333333%" w:type="pct"/>
          </w:tcPr>
          <w:p>
            <w:pPr>
              <w:ind w:leftChars="0" w:left="0" w:right="0"/>
            </w:pPr>
            <w:r>
              <w:t>XOSD</w:t>
            </w:r>
          </w:p>
        </w:tc>
        <w:tc>
          <w:tcPr>
            <w:cnfStyle w:evenVBand="false" w:oddVBand="true" w:firstColumn="false"/>
            <w:tcW w:w="33.333333%" w:type="pct"/>
          </w:tcPr>
          <w:p>
            <w:pPr>
              <w:ind w:leftChars="0" w:left="0" w:right="0"/>
            </w:pPr>
            <w:r>
              <w:t>OSLO BORS NORTH SEA - DARK POOL</w:t>
            </w:r>
          </w:p>
        </w:tc>
      </w:tr>
      <w:tr>
        <w:trPr>
          <w:cnfStyle w:evenHBand="true" w:oddHBand="false" w:firstRow="false"/>
        </w:trPr>
        <w:tc>
          <w:tcPr>
            <w:cnfStyle w:evenVBand="false" w:oddVBand="true" w:firstColumn="false"/>
            <w:tcW w:w="33.333333%" w:type="pct"/>
          </w:tcPr>
          <w:p>
            <w:pPr>
              <w:ind w:leftChars="0" w:left="0" w:right="0"/>
            </w:pPr>
            <w:r>
              <w:t>XOSE</w:t>
            </w:r>
          </w:p>
        </w:tc>
        <w:tc>
          <w:tcPr>
            <w:cnfStyle w:evenVBand="true" w:oddVBand="false" w:firstColumn="false"/>
            <w:tcW w:w="33.333333%" w:type="pct"/>
          </w:tcPr>
          <w:p>
            <w:pPr>
              <w:ind w:leftChars="0" w:left="0" w:right="0"/>
            </w:pPr>
            <w:r>
              <w:t>XOSE</w:t>
            </w:r>
          </w:p>
        </w:tc>
        <w:tc>
          <w:tcPr>
            <w:cnfStyle w:evenVBand="false" w:oddVBand="true" w:firstColumn="false"/>
            <w:tcW w:w="33.333333%" w:type="pct"/>
          </w:tcPr>
          <w:p>
            <w:pPr>
              <w:ind w:leftChars="0" w:left="0" w:right="0"/>
            </w:pPr>
            <w:r>
              <w:t>OSAKA EXCHANGE</w:t>
            </w:r>
          </w:p>
        </w:tc>
      </w:tr>
      <w:tr>
        <w:trPr>
          <w:cnfStyle w:evenHBand="false" w:oddHBand="true" w:firstRow="false"/>
        </w:trPr>
        <w:tc>
          <w:tcPr>
            <w:cnfStyle w:evenVBand="false" w:oddVBand="true" w:firstColumn="false"/>
            <w:tcW w:w="33.333333%" w:type="pct"/>
          </w:tcPr>
          <w:p>
            <w:pPr>
              <w:ind w:leftChars="0" w:left="0" w:right="0"/>
            </w:pPr>
            <w:r>
              <w:t>XOSJ</w:t>
            </w:r>
          </w:p>
        </w:tc>
        <w:tc>
          <w:tcPr>
            <w:cnfStyle w:evenVBand="true" w:oddVBand="false" w:firstColumn="false"/>
            <w:tcW w:w="33.333333%" w:type="pct"/>
          </w:tcPr>
          <w:p>
            <w:pPr>
              <w:ind w:leftChars="0" w:left="0" w:right="0"/>
            </w:pPr>
            <w:r>
              <w:t>XOSJ</w:t>
            </w:r>
          </w:p>
        </w:tc>
        <w:tc>
          <w:tcPr>
            <w:cnfStyle w:evenVBand="false" w:oddVBand="true" w:firstColumn="false"/>
            <w:tcW w:w="33.333333%" w:type="pct"/>
          </w:tcPr>
          <w:p>
            <w:pPr>
              <w:ind w:leftChars="0" w:left="0" w:right="0"/>
            </w:pPr>
            <w:r>
              <w:t>OSAKA EXCHANGE J-NET</w:t>
            </w:r>
          </w:p>
        </w:tc>
      </w:tr>
      <w:tr>
        <w:trPr>
          <w:cnfStyle w:evenHBand="true" w:oddHBand="false" w:firstRow="false"/>
        </w:trPr>
        <w:tc>
          <w:tcPr>
            <w:cnfStyle w:evenVBand="false" w:oddVBand="true" w:firstColumn="false"/>
            <w:tcW w:w="33.333333%" w:type="pct"/>
          </w:tcPr>
          <w:p>
            <w:pPr>
              <w:ind w:leftChars="0" w:left="0" w:right="0"/>
            </w:pPr>
            <w:r>
              <w:t>XOSL</w:t>
            </w:r>
          </w:p>
        </w:tc>
        <w:tc>
          <w:tcPr>
            <w:cnfStyle w:evenVBand="true" w:oddVBand="false" w:firstColumn="false"/>
            <w:tcW w:w="33.333333%" w:type="pct"/>
          </w:tcPr>
          <w:p>
            <w:pPr>
              <w:ind w:leftChars="0" w:left="0" w:right="0"/>
            </w:pPr>
            <w:r>
              <w:t>XOSL</w:t>
            </w:r>
          </w:p>
        </w:tc>
        <w:tc>
          <w:tcPr>
            <w:cnfStyle w:evenVBand="false" w:oddVBand="true" w:firstColumn="false"/>
            <w:tcW w:w="33.333333%" w:type="pct"/>
          </w:tcPr>
          <w:p>
            <w:pPr>
              <w:ind w:leftChars="0" w:left="0" w:right="0"/>
            </w:pPr>
            <w:r>
              <w:t>OSLO BORS</w:t>
            </w:r>
          </w:p>
        </w:tc>
      </w:tr>
      <w:tr>
        <w:trPr>
          <w:cnfStyle w:evenHBand="false" w:oddHBand="true" w:firstRow="false"/>
        </w:trPr>
        <w:tc>
          <w:tcPr>
            <w:cnfStyle w:evenVBand="false" w:oddVBand="true" w:firstColumn="false"/>
            <w:tcW w:w="33.333333%" w:type="pct"/>
          </w:tcPr>
          <w:p>
            <w:pPr>
              <w:ind w:leftChars="0" w:left="0" w:right="0"/>
            </w:pPr>
            <w:r>
              <w:t>XOSM</w:t>
            </w:r>
          </w:p>
        </w:tc>
        <w:tc>
          <w:tcPr>
            <w:cnfStyle w:evenVBand="true" w:oddVBand="false" w:firstColumn="false"/>
            <w:tcW w:w="33.333333%" w:type="pct"/>
          </w:tcPr>
          <w:p>
            <w:pPr>
              <w:ind w:leftChars="0" w:left="0" w:right="0"/>
            </w:pPr>
            <w:r>
              <w:t>XOSM</w:t>
            </w:r>
          </w:p>
        </w:tc>
        <w:tc>
          <w:tcPr>
            <w:cnfStyle w:evenVBand="false" w:oddVBand="true" w:firstColumn="false"/>
            <w:tcW w:w="33.333333%" w:type="pct"/>
          </w:tcPr>
          <w:p>
            <w:pPr>
              <w:ind w:leftChars="0" w:left="0" w:right="0"/>
            </w:pPr>
            <w:r>
              <w:t>OSAKA MERCANTILE EXCHANGE</w:t>
            </w:r>
          </w:p>
        </w:tc>
      </w:tr>
      <w:tr>
        <w:trPr>
          <w:cnfStyle w:evenHBand="true" w:oddHBand="false" w:firstRow="false"/>
        </w:trPr>
        <w:tc>
          <w:tcPr>
            <w:cnfStyle w:evenVBand="false" w:oddVBand="true" w:firstColumn="false"/>
            <w:tcW w:w="33.333333%" w:type="pct"/>
          </w:tcPr>
          <w:p>
            <w:pPr>
              <w:ind w:leftChars="0" w:left="0" w:right="0"/>
            </w:pPr>
            <w:r>
              <w:t>XOST</w:t>
            </w:r>
          </w:p>
        </w:tc>
        <w:tc>
          <w:tcPr>
            <w:cnfStyle w:evenVBand="true" w:oddVBand="false" w:firstColumn="false"/>
            <w:tcW w:w="33.333333%" w:type="pct"/>
          </w:tcPr>
          <w:p>
            <w:pPr>
              <w:ind w:leftChars="0" w:left="0" w:right="0"/>
            </w:pPr>
            <w:r>
              <w:t>XOST</w:t>
            </w:r>
          </w:p>
        </w:tc>
        <w:tc>
          <w:tcPr>
            <w:cnfStyle w:evenVBand="false" w:oddVBand="true" w:firstColumn="false"/>
            <w:tcW w:w="33.333333%" w:type="pct"/>
          </w:tcPr>
          <w:p>
            <w:pPr>
              <w:ind w:leftChars="0" w:left="0" w:right="0"/>
            </w:pPr>
            <w:r>
              <w:t>OSAKA SENI TORIHIKIJO (TEXTILE EXCHANGE)</w:t>
            </w:r>
          </w:p>
        </w:tc>
      </w:tr>
      <w:tr>
        <w:trPr>
          <w:cnfStyle w:evenHBand="false" w:oddHBand="true" w:firstRow="false"/>
        </w:trPr>
        <w:tc>
          <w:tcPr>
            <w:cnfStyle w:evenVBand="false" w:oddVBand="true" w:firstColumn="false"/>
            <w:tcW w:w="33.333333%" w:type="pct"/>
          </w:tcPr>
          <w:p>
            <w:pPr>
              <w:ind w:leftChars="0" w:left="0" w:right="0"/>
            </w:pPr>
            <w:r>
              <w:t>XOTB</w:t>
            </w:r>
          </w:p>
        </w:tc>
        <w:tc>
          <w:tcPr>
            <w:cnfStyle w:evenVBand="true" w:oddVBand="false" w:firstColumn="false"/>
            <w:tcW w:w="33.333333%" w:type="pct"/>
          </w:tcPr>
          <w:p>
            <w:pPr>
              <w:ind w:leftChars="0" w:left="0" w:right="0"/>
            </w:pPr>
            <w:r>
              <w:t>XOTB</w:t>
            </w:r>
          </w:p>
        </w:tc>
        <w:tc>
          <w:tcPr>
            <w:cnfStyle w:evenVBand="false" w:oddVBand="true" w:firstColumn="false"/>
            <w:tcW w:w="33.333333%" w:type="pct"/>
          </w:tcPr>
          <w:p>
            <w:pPr>
              <w:ind w:leftChars="0" w:left="0" w:right="0"/>
            </w:pPr>
            <w:r>
              <w:t>OESTERREICHISCHE TERMIN- UND OPTIONENBOERSE, CLEARING BANK AG</w:t>
            </w:r>
          </w:p>
        </w:tc>
      </w:tr>
      <w:tr>
        <w:trPr>
          <w:cnfStyle w:evenHBand="true" w:oddHBand="false" w:firstRow="false"/>
        </w:trPr>
        <w:tc>
          <w:tcPr>
            <w:cnfStyle w:evenVBand="false" w:oddVBand="true" w:firstColumn="false"/>
            <w:tcW w:w="33.333333%" w:type="pct"/>
          </w:tcPr>
          <w:p>
            <w:pPr>
              <w:ind w:leftChars="0" w:left="0" w:right="0"/>
            </w:pPr>
            <w:r>
              <w:t>XOTC</w:t>
            </w:r>
          </w:p>
        </w:tc>
        <w:tc>
          <w:tcPr>
            <w:cnfStyle w:evenVBand="true" w:oddVBand="false" w:firstColumn="false"/>
            <w:tcW w:w="33.333333%" w:type="pct"/>
          </w:tcPr>
          <w:p>
            <w:pPr>
              <w:ind w:leftChars="0" w:left="0" w:right="0"/>
            </w:pPr>
            <w:r>
              <w:t>XOTC</w:t>
            </w:r>
          </w:p>
        </w:tc>
        <w:tc>
          <w:tcPr>
            <w:cnfStyle w:evenVBand="false" w:oddVBand="true" w:firstColumn="false"/>
            <w:tcW w:w="33.333333%" w:type="pct"/>
          </w:tcPr>
          <w:p>
            <w:pPr>
              <w:ind w:leftChars="0" w:left="0" w:right="0"/>
            </w:pPr>
            <w:r>
              <w:t>OTCBB</w:t>
            </w:r>
          </w:p>
        </w:tc>
      </w:tr>
      <w:tr>
        <w:trPr>
          <w:cnfStyle w:evenHBand="false" w:oddHBand="true" w:firstRow="false"/>
        </w:trPr>
        <w:tc>
          <w:tcPr>
            <w:cnfStyle w:evenVBand="false" w:oddVBand="true" w:firstColumn="false"/>
            <w:tcW w:w="33.333333%" w:type="pct"/>
          </w:tcPr>
          <w:p>
            <w:pPr>
              <w:ind w:leftChars="0" w:left="0" w:right="0"/>
            </w:pPr>
            <w:r>
              <w:t>XOTP</w:t>
            </w:r>
          </w:p>
        </w:tc>
        <w:tc>
          <w:tcPr>
            <w:cnfStyle w:evenVBand="true" w:oddVBand="false" w:firstColumn="false"/>
            <w:tcW w:w="33.333333%" w:type="pct"/>
          </w:tcPr>
          <w:p>
            <w:pPr>
              <w:ind w:leftChars="0" w:left="0" w:right="0"/>
            </w:pPr>
            <w:r>
              <w:t>XOTP</w:t>
            </w:r>
          </w:p>
        </w:tc>
        <w:tc>
          <w:tcPr>
            <w:cnfStyle w:evenVBand="false" w:oddVBand="true" w:firstColumn="false"/>
            <w:tcW w:w="33.333333%" w:type="pct"/>
          </w:tcPr>
          <w:p>
            <w:pPr>
              <w:ind w:leftChars="0" w:left="0" w:right="0"/>
            </w:pPr>
            <w:r>
              <w:t>OTP BANKA D.D.</w:t>
            </w:r>
          </w:p>
        </w:tc>
      </w:tr>
      <w:tr>
        <w:trPr>
          <w:cnfStyle w:evenHBand="true" w:oddHBand="false" w:firstRow="false"/>
        </w:trPr>
        <w:tc>
          <w:tcPr>
            <w:cnfStyle w:evenVBand="false" w:oddVBand="true" w:firstColumn="false"/>
            <w:tcW w:w="33.333333%" w:type="pct"/>
          </w:tcPr>
          <w:p>
            <w:pPr>
              <w:ind w:leftChars="0" w:left="0" w:right="0"/>
            </w:pPr>
            <w:r>
              <w:t>XPAC</w:t>
            </w:r>
          </w:p>
        </w:tc>
        <w:tc>
          <w:tcPr>
            <w:cnfStyle w:evenVBand="true" w:oddVBand="false" w:firstColumn="false"/>
            <w:tcW w:w="33.333333%" w:type="pct"/>
          </w:tcPr>
          <w:p>
            <w:pPr>
              <w:ind w:leftChars="0" w:left="0" w:right="0"/>
            </w:pPr>
            <w:r>
              <w:t>XPAC</w:t>
            </w:r>
          </w:p>
        </w:tc>
        <w:tc>
          <w:tcPr>
            <w:cnfStyle w:evenVBand="false" w:oddVBand="true" w:firstColumn="false"/>
            <w:tcW w:w="33.333333%" w:type="pct"/>
          </w:tcPr>
          <w:p>
            <w:pPr>
              <w:ind w:leftChars="0" w:left="0" w:right="0"/>
            </w:pPr>
            <w:r>
              <w:t>POSIT AUCTION</w:t>
            </w:r>
          </w:p>
        </w:tc>
      </w:tr>
      <w:tr>
        <w:trPr>
          <w:cnfStyle w:evenHBand="false" w:oddHBand="true" w:firstRow="false"/>
        </w:trPr>
        <w:tc>
          <w:tcPr>
            <w:cnfStyle w:evenVBand="false" w:oddVBand="true" w:firstColumn="false"/>
            <w:tcW w:w="33.333333%" w:type="pct"/>
          </w:tcPr>
          <w:p>
            <w:pPr>
              <w:ind w:leftChars="0" w:left="0" w:right="0"/>
            </w:pPr>
            <w:r>
              <w:t>XPAE</w:t>
            </w:r>
          </w:p>
        </w:tc>
        <w:tc>
          <w:tcPr>
            <w:cnfStyle w:evenVBand="true" w:oddVBand="false" w:firstColumn="false"/>
            <w:tcW w:w="33.333333%" w:type="pct"/>
          </w:tcPr>
          <w:p>
            <w:pPr>
              <w:ind w:leftChars="0" w:left="0" w:right="0"/>
            </w:pPr>
            <w:r>
              <w:t>XPAE</w:t>
            </w:r>
          </w:p>
        </w:tc>
        <w:tc>
          <w:tcPr>
            <w:cnfStyle w:evenVBand="false" w:oddVBand="true" w:firstColumn="false"/>
            <w:tcW w:w="33.333333%" w:type="pct"/>
          </w:tcPr>
          <w:p>
            <w:pPr>
              <w:ind w:leftChars="0" w:left="0" w:right="0"/>
            </w:pPr>
            <w:r>
              <w:t>PALESTINE SECURITIES EXCHANGE</w:t>
            </w:r>
          </w:p>
        </w:tc>
      </w:tr>
      <w:tr>
        <w:trPr>
          <w:cnfStyle w:evenHBand="true" w:oddHBand="false" w:firstRow="false"/>
        </w:trPr>
        <w:tc>
          <w:tcPr>
            <w:cnfStyle w:evenVBand="false" w:oddVBand="true" w:firstColumn="false"/>
            <w:tcW w:w="33.333333%" w:type="pct"/>
          </w:tcPr>
          <w:p>
            <w:pPr>
              <w:ind w:leftChars="0" w:left="0" w:right="0"/>
            </w:pPr>
            <w:r>
              <w:t>XPAL</w:t>
            </w:r>
          </w:p>
        </w:tc>
        <w:tc>
          <w:tcPr>
            <w:cnfStyle w:evenVBand="true" w:oddVBand="false" w:firstColumn="false"/>
            <w:tcW w:w="33.333333%" w:type="pct"/>
          </w:tcPr>
          <w:p>
            <w:pPr>
              <w:ind w:leftChars="0" w:left="0" w:right="0"/>
            </w:pPr>
            <w:r>
              <w:t>XPAL</w:t>
            </w:r>
          </w:p>
        </w:tc>
        <w:tc>
          <w:tcPr>
            <w:cnfStyle w:evenVBand="false" w:oddVBand="true" w:firstColumn="false"/>
            <w:tcW w:w="33.333333%" w:type="pct"/>
          </w:tcPr>
          <w:p>
            <w:pPr>
              <w:ind w:leftChars="0" w:left="0" w:right="0"/>
            </w:pPr>
            <w:r>
              <w:t>POSIT AUCTION UK</w:t>
            </w:r>
          </w:p>
        </w:tc>
      </w:tr>
      <w:tr>
        <w:trPr>
          <w:cnfStyle w:evenHBand="false" w:oddHBand="true" w:firstRow="false"/>
        </w:trPr>
        <w:tc>
          <w:tcPr>
            <w:cnfStyle w:evenVBand="false" w:oddVBand="true" w:firstColumn="false"/>
            <w:tcW w:w="33.333333%" w:type="pct"/>
          </w:tcPr>
          <w:p>
            <w:pPr>
              <w:ind w:leftChars="0" w:left="0" w:right="0"/>
            </w:pPr>
            <w:r>
              <w:t>XPAR</w:t>
            </w:r>
          </w:p>
        </w:tc>
        <w:tc>
          <w:tcPr>
            <w:cnfStyle w:evenVBand="true" w:oddVBand="false" w:firstColumn="false"/>
            <w:tcW w:w="33.333333%" w:type="pct"/>
          </w:tcPr>
          <w:p>
            <w:pPr>
              <w:ind w:leftChars="0" w:left="0" w:right="0"/>
            </w:pPr>
            <w:r>
              <w:t>XPAR</w:t>
            </w:r>
          </w:p>
        </w:tc>
        <w:tc>
          <w:tcPr>
            <w:cnfStyle w:evenVBand="false" w:oddVBand="true" w:firstColumn="false"/>
            <w:tcW w:w="33.333333%" w:type="pct"/>
          </w:tcPr>
          <w:p>
            <w:pPr>
              <w:ind w:leftChars="0" w:left="0" w:right="0"/>
            </w:pPr>
            <w:r>
              <w:t>EURONEXT - EURONEXT PARIS</w:t>
            </w:r>
          </w:p>
        </w:tc>
      </w:tr>
      <w:tr>
        <w:trPr>
          <w:cnfStyle w:evenHBand="true" w:oddHBand="false" w:firstRow="false"/>
        </w:trPr>
        <w:tc>
          <w:tcPr>
            <w:cnfStyle w:evenVBand="false" w:oddVBand="true" w:firstColumn="false"/>
            <w:tcW w:w="33.333333%" w:type="pct"/>
          </w:tcPr>
          <w:p>
            <w:pPr>
              <w:ind w:leftChars="0" w:left="0" w:right="0"/>
            </w:pPr>
            <w:r>
              <w:t>XPBT</w:t>
            </w:r>
          </w:p>
        </w:tc>
        <w:tc>
          <w:tcPr>
            <w:cnfStyle w:evenVBand="true" w:oddVBand="false" w:firstColumn="false"/>
            <w:tcW w:w="33.333333%" w:type="pct"/>
          </w:tcPr>
          <w:p>
            <w:pPr>
              <w:ind w:leftChars="0" w:left="0" w:right="0"/>
            </w:pPr>
            <w:r>
              <w:t>XPBT</w:t>
            </w:r>
          </w:p>
        </w:tc>
        <w:tc>
          <w:tcPr>
            <w:cnfStyle w:evenVBand="false" w:oddVBand="true" w:firstColumn="false"/>
            <w:tcW w:w="33.333333%" w:type="pct"/>
          </w:tcPr>
          <w:p>
            <w:pPr>
              <w:ind w:leftChars="0" w:left="0" w:right="0"/>
            </w:pPr>
            <w:r>
              <w:t>NASDAQ OMX FUTURES EXCHANGE</w:t>
            </w:r>
          </w:p>
        </w:tc>
      </w:tr>
      <w:tr>
        <w:trPr>
          <w:cnfStyle w:evenHBand="false" w:oddHBand="true" w:firstRow="false"/>
        </w:trPr>
        <w:tc>
          <w:tcPr>
            <w:cnfStyle w:evenVBand="false" w:oddVBand="true" w:firstColumn="false"/>
            <w:tcW w:w="33.333333%" w:type="pct"/>
          </w:tcPr>
          <w:p>
            <w:pPr>
              <w:ind w:leftChars="0" w:left="0" w:right="0"/>
            </w:pPr>
            <w:r>
              <w:t>XPET</w:t>
            </w:r>
          </w:p>
        </w:tc>
        <w:tc>
          <w:tcPr>
            <w:cnfStyle w:evenVBand="true" w:oddVBand="false" w:firstColumn="false"/>
            <w:tcW w:w="33.333333%" w:type="pct"/>
          </w:tcPr>
          <w:p>
            <w:pPr>
              <w:ind w:leftChars="0" w:left="0" w:right="0"/>
            </w:pPr>
            <w:r>
              <w:t>XPET</w:t>
            </w:r>
          </w:p>
        </w:tc>
        <w:tc>
          <w:tcPr>
            <w:cnfStyle w:evenVBand="false" w:oddVBand="true" w:firstColumn="false"/>
            <w:tcW w:w="33.333333%" w:type="pct"/>
          </w:tcPr>
          <w:p>
            <w:pPr>
              <w:ind w:leftChars="0" w:left="0" w:right="0"/>
            </w:pPr>
            <w:r>
              <w:t>STOCK EXCHANGE SAINT PETERSBURG</w:t>
            </w:r>
          </w:p>
        </w:tc>
      </w:tr>
      <w:tr>
        <w:trPr>
          <w:cnfStyle w:evenHBand="true" w:oddHBand="false" w:firstRow="false"/>
        </w:trPr>
        <w:tc>
          <w:tcPr>
            <w:cnfStyle w:evenVBand="false" w:oddVBand="true" w:firstColumn="false"/>
            <w:tcW w:w="33.333333%" w:type="pct"/>
          </w:tcPr>
          <w:p>
            <w:pPr>
              <w:ind w:leftChars="0" w:left="0" w:right="0"/>
            </w:pPr>
            <w:r>
              <w:t>XPHL</w:t>
            </w:r>
          </w:p>
        </w:tc>
        <w:tc>
          <w:tcPr>
            <w:cnfStyle w:evenVBand="true" w:oddVBand="false" w:firstColumn="false"/>
            <w:tcW w:w="33.333333%" w:type="pct"/>
          </w:tcPr>
          <w:p>
            <w:pPr>
              <w:ind w:leftChars="0" w:left="0" w:right="0"/>
            </w:pPr>
            <w:r>
              <w:t>XPHL</w:t>
            </w:r>
          </w:p>
        </w:tc>
        <w:tc>
          <w:tcPr>
            <w:cnfStyle w:evenVBand="false" w:oddVBand="true" w:firstColumn="false"/>
            <w:tcW w:w="33.333333%" w:type="pct"/>
          </w:tcPr>
          <w:p>
            <w:pPr>
              <w:ind w:leftChars="0" w:left="0" w:right="0"/>
            </w:pPr>
            <w:r>
              <w:t>NASDAQ OMX PHLX</w:t>
            </w:r>
          </w:p>
        </w:tc>
      </w:tr>
      <w:tr>
        <w:trPr>
          <w:cnfStyle w:evenHBand="false" w:oddHBand="true" w:firstRow="false"/>
        </w:trPr>
        <w:tc>
          <w:tcPr>
            <w:cnfStyle w:evenVBand="false" w:oddVBand="true" w:firstColumn="false"/>
            <w:tcW w:w="33.333333%" w:type="pct"/>
          </w:tcPr>
          <w:p>
            <w:pPr>
              <w:ind w:leftChars="0" w:left="0" w:right="0"/>
            </w:pPr>
            <w:r>
              <w:t>XPHO</w:t>
            </w:r>
          </w:p>
        </w:tc>
        <w:tc>
          <w:tcPr>
            <w:cnfStyle w:evenVBand="true" w:oddVBand="false" w:firstColumn="false"/>
            <w:tcW w:w="33.333333%" w:type="pct"/>
          </w:tcPr>
          <w:p>
            <w:pPr>
              <w:ind w:leftChars="0" w:left="0" w:right="0"/>
            </w:pPr>
            <w:r>
              <w:t>XPHO</w:t>
            </w:r>
          </w:p>
        </w:tc>
        <w:tc>
          <w:tcPr>
            <w:cnfStyle w:evenVBand="false" w:oddVBand="true" w:firstColumn="false"/>
            <w:tcW w:w="33.333333%" w:type="pct"/>
          </w:tcPr>
          <w:p>
            <w:pPr>
              <w:ind w:leftChars="0" w:left="0" w:right="0"/>
            </w:pPr>
            <w:r>
              <w:t>PHILADELPHIA OPTIONS EXCHANGE</w:t>
            </w:r>
          </w:p>
        </w:tc>
      </w:tr>
      <w:tr>
        <w:trPr>
          <w:cnfStyle w:evenHBand="true" w:oddHBand="false" w:firstRow="false"/>
        </w:trPr>
        <w:tc>
          <w:tcPr>
            <w:cnfStyle w:evenVBand="false" w:oddVBand="true" w:firstColumn="false"/>
            <w:tcW w:w="33.333333%" w:type="pct"/>
          </w:tcPr>
          <w:p>
            <w:pPr>
              <w:ind w:leftChars="0" w:left="0" w:right="0"/>
            </w:pPr>
            <w:r>
              <w:t>XPHS</w:t>
            </w:r>
          </w:p>
        </w:tc>
        <w:tc>
          <w:tcPr>
            <w:cnfStyle w:evenVBand="true" w:oddVBand="false" w:firstColumn="false"/>
            <w:tcW w:w="33.333333%" w:type="pct"/>
          </w:tcPr>
          <w:p>
            <w:pPr>
              <w:ind w:leftChars="0" w:left="0" w:right="0"/>
            </w:pPr>
            <w:r>
              <w:t>XPHS</w:t>
            </w:r>
          </w:p>
        </w:tc>
        <w:tc>
          <w:tcPr>
            <w:cnfStyle w:evenVBand="false" w:oddVBand="true" w:firstColumn="false"/>
            <w:tcW w:w="33.333333%" w:type="pct"/>
          </w:tcPr>
          <w:p>
            <w:pPr>
              <w:ind w:leftChars="0" w:left="0" w:right="0"/>
            </w:pPr>
            <w:r>
              <w:t>PHILIPPINE STOCK EXCHANGE, INC.</w:t>
            </w:r>
          </w:p>
        </w:tc>
      </w:tr>
      <w:tr>
        <w:trPr>
          <w:cnfStyle w:evenHBand="false" w:oddHBand="true" w:firstRow="false"/>
        </w:trPr>
        <w:tc>
          <w:tcPr>
            <w:cnfStyle w:evenVBand="false" w:oddVBand="true" w:firstColumn="false"/>
            <w:tcW w:w="33.333333%" w:type="pct"/>
          </w:tcPr>
          <w:p>
            <w:pPr>
              <w:ind w:leftChars="0" w:left="0" w:right="0"/>
            </w:pPr>
            <w:r>
              <w:t>XPHX</w:t>
            </w:r>
          </w:p>
        </w:tc>
        <w:tc>
          <w:tcPr>
            <w:cnfStyle w:evenVBand="true" w:oddVBand="false" w:firstColumn="false"/>
            <w:tcW w:w="33.333333%" w:type="pct"/>
          </w:tcPr>
          <w:p>
            <w:pPr>
              <w:ind w:leftChars="0" w:left="0" w:right="0"/>
            </w:pPr>
            <w:r>
              <w:t>XPHX</w:t>
            </w:r>
          </w:p>
        </w:tc>
        <w:tc>
          <w:tcPr>
            <w:cnfStyle w:evenVBand="false" w:oddVBand="true" w:firstColumn="false"/>
            <w:tcW w:w="33.333333%" w:type="pct"/>
          </w:tcPr>
          <w:p>
            <w:pPr>
              <w:ind w:leftChars="0" w:left="0" w:right="0"/>
            </w:pPr>
            <w:r>
              <w:t>PEEL HUNT CROSSING</w:t>
            </w:r>
          </w:p>
        </w:tc>
      </w:tr>
      <w:tr>
        <w:trPr>
          <w:cnfStyle w:evenHBand="true" w:oddHBand="false" w:firstRow="false"/>
        </w:trPr>
        <w:tc>
          <w:tcPr>
            <w:cnfStyle w:evenVBand="false" w:oddVBand="true" w:firstColumn="false"/>
            <w:tcW w:w="33.333333%" w:type="pct"/>
          </w:tcPr>
          <w:p>
            <w:pPr>
              <w:ind w:leftChars="0" w:left="0" w:right="0"/>
            </w:pPr>
            <w:r>
              <w:t>XPIC</w:t>
            </w:r>
          </w:p>
        </w:tc>
        <w:tc>
          <w:tcPr>
            <w:cnfStyle w:evenVBand="true" w:oddVBand="false" w:firstColumn="false"/>
            <w:tcW w:w="33.333333%" w:type="pct"/>
          </w:tcPr>
          <w:p>
            <w:pPr>
              <w:ind w:leftChars="0" w:left="0" w:right="0"/>
            </w:pPr>
            <w:r>
              <w:t>XPIC</w:t>
            </w:r>
          </w:p>
        </w:tc>
        <w:tc>
          <w:tcPr>
            <w:cnfStyle w:evenVBand="false" w:oddVBand="true" w:firstColumn="false"/>
            <w:tcW w:w="33.333333%" w:type="pct"/>
          </w:tcPr>
          <w:p>
            <w:pPr>
              <w:ind w:leftChars="0" w:left="0" w:right="0"/>
            </w:pPr>
            <w:r>
              <w:t>SAINT-PETERSBURG CURRENCY EXCHANGE</w:t>
            </w:r>
          </w:p>
        </w:tc>
      </w:tr>
      <w:tr>
        <w:trPr>
          <w:cnfStyle w:evenHBand="false" w:oddHBand="true" w:firstRow="false"/>
        </w:trPr>
        <w:tc>
          <w:tcPr>
            <w:cnfStyle w:evenVBand="false" w:oddVBand="true" w:firstColumn="false"/>
            <w:tcW w:w="33.333333%" w:type="pct"/>
          </w:tcPr>
          <w:p>
            <w:pPr>
              <w:ind w:leftChars="0" w:left="0" w:right="0"/>
            </w:pPr>
            <w:r>
              <w:t>XPIN</w:t>
            </w:r>
          </w:p>
        </w:tc>
        <w:tc>
          <w:tcPr>
            <w:cnfStyle w:evenVBand="true" w:oddVBand="false" w:firstColumn="false"/>
            <w:tcW w:w="33.333333%" w:type="pct"/>
          </w:tcPr>
          <w:p>
            <w:pPr>
              <w:ind w:leftChars="0" w:left="0" w:right="0"/>
            </w:pPr>
            <w:r>
              <w:t>XPIN</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XPLU</w:t>
            </w:r>
          </w:p>
        </w:tc>
        <w:tc>
          <w:tcPr>
            <w:cnfStyle w:evenVBand="true" w:oddVBand="false" w:firstColumn="false"/>
            <w:tcW w:w="33.333333%" w:type="pct"/>
          </w:tcPr>
          <w:p>
            <w:pPr>
              <w:ind w:leftChars="0" w:left="0" w:right="0"/>
            </w:pPr>
            <w:r>
              <w:t>XPLU</w:t>
            </w:r>
          </w:p>
        </w:tc>
        <w:tc>
          <w:tcPr>
            <w:cnfStyle w:evenVBand="false" w:oddVBand="true" w:firstColumn="false"/>
            <w:tcW w:w="33.333333%" w:type="pct"/>
          </w:tcPr>
          <w:p>
            <w:pPr>
              <w:ind w:leftChars="0" w:left="0" w:right="0"/>
            </w:pPr>
            <w:r>
              <w:t>PLUS MARKETS GROUP</w:t>
            </w:r>
          </w:p>
        </w:tc>
      </w:tr>
      <w:tr>
        <w:trPr>
          <w:cnfStyle w:evenHBand="false" w:oddHBand="true" w:firstRow="false"/>
        </w:trPr>
        <w:tc>
          <w:tcPr>
            <w:cnfStyle w:evenVBand="false" w:oddVBand="true" w:firstColumn="false"/>
            <w:tcW w:w="33.333333%" w:type="pct"/>
          </w:tcPr>
          <w:p>
            <w:pPr>
              <w:ind w:leftChars="0" w:left="0" w:right="0"/>
            </w:pPr>
            <w:r>
              <w:t>XPMS</w:t>
            </w:r>
          </w:p>
        </w:tc>
        <w:tc>
          <w:tcPr>
            <w:cnfStyle w:evenVBand="true" w:oddVBand="false" w:firstColumn="false"/>
            <w:tcW w:w="33.333333%" w:type="pct"/>
          </w:tcPr>
          <w:p>
            <w:pPr>
              <w:ind w:leftChars="0" w:left="0" w:right="0"/>
            </w:pPr>
            <w:r>
              <w:t>XPMS</w:t>
            </w:r>
          </w:p>
        </w:tc>
        <w:tc>
          <w:tcPr>
            <w:cnfStyle w:evenVBand="false" w:oddVBand="true" w:firstColumn="false"/>
            <w:tcW w:w="33.333333%" w:type="pct"/>
          </w:tcPr>
          <w:p>
            <w:pPr>
              <w:ind w:leftChars="0" w:left="0" w:right="0"/>
            </w:pPr>
            <w:r>
              <w:t>BORSA ISTANBUL - PRECIOUS METALS AND DIAMONDS MARKETS</w:t>
            </w:r>
          </w:p>
        </w:tc>
      </w:tr>
      <w:tr>
        <w:trPr>
          <w:cnfStyle w:evenHBand="true" w:oddHBand="false" w:firstRow="false"/>
        </w:trPr>
        <w:tc>
          <w:tcPr>
            <w:cnfStyle w:evenVBand="false" w:oddVBand="true" w:firstColumn="false"/>
            <w:tcW w:w="33.333333%" w:type="pct"/>
          </w:tcPr>
          <w:p>
            <w:pPr>
              <w:ind w:leftChars="0" w:left="0" w:right="0"/>
            </w:pPr>
            <w:r>
              <w:t>XPOL</w:t>
            </w:r>
          </w:p>
        </w:tc>
        <w:tc>
          <w:tcPr>
            <w:cnfStyle w:evenVBand="true" w:oddVBand="false" w:firstColumn="false"/>
            <w:tcW w:w="33.333333%" w:type="pct"/>
          </w:tcPr>
          <w:p>
            <w:pPr>
              <w:ind w:leftChars="0" w:left="0" w:right="0"/>
            </w:pPr>
            <w:r>
              <w:t>XPOL</w:t>
            </w:r>
          </w:p>
        </w:tc>
        <w:tc>
          <w:tcPr>
            <w:cnfStyle w:evenVBand="false" w:oddVBand="true" w:firstColumn="false"/>
            <w:tcW w:w="33.333333%" w:type="pct"/>
          </w:tcPr>
          <w:p>
            <w:pPr>
              <w:ind w:leftChars="0" w:left="0" w:right="0"/>
            </w:pPr>
            <w:r>
              <w:t>POSIT DARK UK</w:t>
            </w:r>
          </w:p>
        </w:tc>
      </w:tr>
      <w:tr>
        <w:trPr>
          <w:cnfStyle w:evenHBand="false" w:oddHBand="true" w:firstRow="false"/>
        </w:trPr>
        <w:tc>
          <w:tcPr>
            <w:cnfStyle w:evenVBand="false" w:oddVBand="true" w:firstColumn="false"/>
            <w:tcW w:w="33.333333%" w:type="pct"/>
          </w:tcPr>
          <w:p>
            <w:pPr>
              <w:ind w:leftChars="0" w:left="0" w:right="0"/>
            </w:pPr>
            <w:r>
              <w:t>XPOM</w:t>
            </w:r>
          </w:p>
        </w:tc>
        <w:tc>
          <w:tcPr>
            <w:cnfStyle w:evenVBand="true" w:oddVBand="false" w:firstColumn="false"/>
            <w:tcW w:w="33.333333%" w:type="pct"/>
          </w:tcPr>
          <w:p>
            <w:pPr>
              <w:ind w:leftChars="0" w:left="0" w:right="0"/>
            </w:pPr>
            <w:r>
              <w:t>XPOM</w:t>
            </w:r>
          </w:p>
        </w:tc>
        <w:tc>
          <w:tcPr>
            <w:cnfStyle w:evenVBand="false" w:oddVBand="true" w:firstColumn="false"/>
            <w:tcW w:w="33.333333%" w:type="pct"/>
          </w:tcPr>
          <w:p>
            <w:pPr>
              <w:ind w:leftChars="0" w:left="0" w:right="0"/>
            </w:pPr>
            <w:r>
              <w:t>PNGX MARKETS LIMITED</w:t>
            </w:r>
          </w:p>
        </w:tc>
      </w:tr>
      <w:tr>
        <w:trPr>
          <w:cnfStyle w:evenHBand="true" w:oddHBand="false" w:firstRow="false"/>
        </w:trPr>
        <w:tc>
          <w:tcPr>
            <w:cnfStyle w:evenVBand="false" w:oddVBand="true" w:firstColumn="false"/>
            <w:tcW w:w="33.333333%" w:type="pct"/>
          </w:tcPr>
          <w:p>
            <w:pPr>
              <w:ind w:leftChars="0" w:left="0" w:right="0"/>
            </w:pPr>
            <w:r>
              <w:t>XPOR</w:t>
            </w:r>
          </w:p>
        </w:tc>
        <w:tc>
          <w:tcPr>
            <w:cnfStyle w:evenVBand="true" w:oddVBand="false" w:firstColumn="false"/>
            <w:tcW w:w="33.333333%" w:type="pct"/>
          </w:tcPr>
          <w:p>
            <w:pPr>
              <w:ind w:leftChars="0" w:left="0" w:right="0"/>
            </w:pPr>
            <w:r>
              <w:t>XPOR</w:t>
            </w:r>
          </w:p>
        </w:tc>
        <w:tc>
          <w:tcPr>
            <w:cnfStyle w:evenVBand="false" w:oddVBand="true" w:firstColumn="false"/>
            <w:tcW w:w="33.333333%" w:type="pct"/>
          </w:tcPr>
          <w:p>
            <w:pPr>
              <w:ind w:leftChars="0" w:left="0" w:right="0"/>
            </w:pPr>
            <w:r>
              <w:t>PORTAL</w:t>
            </w:r>
          </w:p>
        </w:tc>
      </w:tr>
      <w:tr>
        <w:trPr>
          <w:cnfStyle w:evenHBand="false" w:oddHBand="true" w:firstRow="false"/>
        </w:trPr>
        <w:tc>
          <w:tcPr>
            <w:cnfStyle w:evenVBand="false" w:oddVBand="true" w:firstColumn="false"/>
            <w:tcW w:w="33.333333%" w:type="pct"/>
          </w:tcPr>
          <w:p>
            <w:pPr>
              <w:ind w:leftChars="0" w:left="0" w:right="0"/>
            </w:pPr>
            <w:r>
              <w:t>XPOS</w:t>
            </w:r>
          </w:p>
        </w:tc>
        <w:tc>
          <w:tcPr>
            <w:cnfStyle w:evenVBand="true" w:oddVBand="false" w:firstColumn="false"/>
            <w:tcW w:w="33.333333%" w:type="pct"/>
          </w:tcPr>
          <w:p>
            <w:pPr>
              <w:ind w:leftChars="0" w:left="0" w:right="0"/>
            </w:pPr>
            <w:r>
              <w:t>XPOS</w:t>
            </w:r>
          </w:p>
        </w:tc>
        <w:tc>
          <w:tcPr>
            <w:cnfStyle w:evenVBand="false" w:oddVBand="true" w:firstColumn="false"/>
            <w:tcW w:w="33.333333%" w:type="pct"/>
          </w:tcPr>
          <w:p>
            <w:pPr>
              <w:ind w:leftChars="0" w:left="0" w:right="0"/>
            </w:pPr>
            <w:r>
              <w:t>POSIT DARK</w:t>
            </w:r>
          </w:p>
        </w:tc>
      </w:tr>
      <w:tr>
        <w:trPr>
          <w:cnfStyle w:evenHBand="true" w:oddHBand="false" w:firstRow="false"/>
        </w:trPr>
        <w:tc>
          <w:tcPr>
            <w:cnfStyle w:evenVBand="false" w:oddVBand="true" w:firstColumn="false"/>
            <w:tcW w:w="33.333333%" w:type="pct"/>
          </w:tcPr>
          <w:p>
            <w:pPr>
              <w:ind w:leftChars="0" w:left="0" w:right="0"/>
            </w:pPr>
            <w:r>
              <w:t>XPOT</w:t>
            </w:r>
          </w:p>
        </w:tc>
        <w:tc>
          <w:tcPr>
            <w:cnfStyle w:evenVBand="true" w:oddVBand="false" w:firstColumn="false"/>
            <w:tcW w:w="33.333333%" w:type="pct"/>
          </w:tcPr>
          <w:p>
            <w:pPr>
              <w:ind w:leftChars="0" w:left="0" w:right="0"/>
            </w:pPr>
            <w:r>
              <w:t>XPOT</w:t>
            </w:r>
          </w:p>
        </w:tc>
        <w:tc>
          <w:tcPr>
            <w:cnfStyle w:evenVBand="false" w:oddVBand="true" w:firstColumn="false"/>
            <w:tcW w:w="33.333333%" w:type="pct"/>
          </w:tcPr>
          <w:p>
            <w:pPr>
              <w:ind w:leftChars="0" w:left="0" w:right="0"/>
            </w:pPr>
            <w:r>
              <w:t>EUROPEAN ENERGY EXCHANGE - OTF GAS MARKET</w:t>
            </w:r>
          </w:p>
        </w:tc>
      </w:tr>
      <w:tr>
        <w:trPr>
          <w:cnfStyle w:evenHBand="false" w:oddHBand="true" w:firstRow="false"/>
        </w:trPr>
        <w:tc>
          <w:tcPr>
            <w:cnfStyle w:evenVBand="false" w:oddVBand="true" w:firstColumn="false"/>
            <w:tcW w:w="33.333333%" w:type="pct"/>
          </w:tcPr>
          <w:p>
            <w:pPr>
              <w:ind w:leftChars="0" w:left="0" w:right="0"/>
            </w:pPr>
            <w:r>
              <w:t>XPOW</w:t>
            </w:r>
          </w:p>
        </w:tc>
        <w:tc>
          <w:tcPr>
            <w:cnfStyle w:evenVBand="true" w:oddVBand="false" w:firstColumn="false"/>
            <w:tcW w:w="33.333333%" w:type="pct"/>
          </w:tcPr>
          <w:p>
            <w:pPr>
              <w:ind w:leftChars="0" w:left="0" w:right="0"/>
            </w:pPr>
            <w:r>
              <w:t>XPOW</w:t>
            </w:r>
          </w:p>
        </w:tc>
        <w:tc>
          <w:tcPr>
            <w:cnfStyle w:evenVBand="false" w:oddVBand="true" w:firstColumn="false"/>
            <w:tcW w:w="33.333333%" w:type="pct"/>
          </w:tcPr>
          <w:p>
            <w:pPr>
              <w:ind w:leftChars="0" w:left="0" w:right="0"/>
            </w:pPr>
            <w:r>
              <w:t>POWERNEXT</w:t>
            </w:r>
          </w:p>
        </w:tc>
      </w:tr>
      <w:tr>
        <w:trPr>
          <w:cnfStyle w:evenHBand="true" w:oddHBand="false" w:firstRow="false"/>
        </w:trPr>
        <w:tc>
          <w:tcPr>
            <w:cnfStyle w:evenVBand="false" w:oddVBand="true" w:firstColumn="false"/>
            <w:tcW w:w="33.333333%" w:type="pct"/>
          </w:tcPr>
          <w:p>
            <w:pPr>
              <w:ind w:leftChars="0" w:left="0" w:right="0"/>
            </w:pPr>
            <w:r>
              <w:t>XPRA</w:t>
            </w:r>
          </w:p>
        </w:tc>
        <w:tc>
          <w:tcPr>
            <w:cnfStyle w:evenVBand="true" w:oddVBand="false" w:firstColumn="false"/>
            <w:tcW w:w="33.333333%" w:type="pct"/>
          </w:tcPr>
          <w:p>
            <w:pPr>
              <w:ind w:leftChars="0" w:left="0" w:right="0"/>
            </w:pPr>
            <w:r>
              <w:t>XPRA</w:t>
            </w:r>
          </w:p>
        </w:tc>
        <w:tc>
          <w:tcPr>
            <w:cnfStyle w:evenVBand="false" w:oddVBand="true" w:firstColumn="false"/>
            <w:tcW w:w="33.333333%" w:type="pct"/>
          </w:tcPr>
          <w:p>
            <w:pPr>
              <w:ind w:leftChars="0" w:left="0" w:right="0"/>
            </w:pPr>
            <w:r>
              <w:t>PRAGUE STOCK EXCHANGE</w:t>
            </w:r>
          </w:p>
        </w:tc>
      </w:tr>
      <w:tr>
        <w:trPr>
          <w:cnfStyle w:evenHBand="false" w:oddHBand="true" w:firstRow="false"/>
        </w:trPr>
        <w:tc>
          <w:tcPr>
            <w:cnfStyle w:evenVBand="false" w:oddVBand="true" w:firstColumn="false"/>
            <w:tcW w:w="33.333333%" w:type="pct"/>
          </w:tcPr>
          <w:p>
            <w:pPr>
              <w:ind w:leftChars="0" w:left="0" w:right="0"/>
            </w:pPr>
            <w:r>
              <w:t>XPRI</w:t>
            </w:r>
          </w:p>
        </w:tc>
        <w:tc>
          <w:tcPr>
            <w:cnfStyle w:evenVBand="true" w:oddVBand="false" w:firstColumn="false"/>
            <w:tcW w:w="33.333333%" w:type="pct"/>
          </w:tcPr>
          <w:p>
            <w:pPr>
              <w:ind w:leftChars="0" w:left="0" w:right="0"/>
            </w:pPr>
            <w:r>
              <w:t>XPRI</w:t>
            </w:r>
          </w:p>
        </w:tc>
        <w:tc>
          <w:tcPr>
            <w:cnfStyle w:evenVBand="false" w:oddVBand="true" w:firstColumn="false"/>
            <w:tcW w:w="33.333333%" w:type="pct"/>
          </w:tcPr>
          <w:p>
            <w:pPr>
              <w:ind w:leftChars="0" w:left="0" w:right="0"/>
            </w:pPr>
            <w:r>
              <w:t>PRIDNEPROVSK COMMODITY EXCHANGE</w:t>
            </w:r>
          </w:p>
        </w:tc>
      </w:tr>
      <w:tr>
        <w:trPr>
          <w:cnfStyle w:evenHBand="true" w:oddHBand="false" w:firstRow="false"/>
        </w:trPr>
        <w:tc>
          <w:tcPr>
            <w:cnfStyle w:evenVBand="false" w:oddVBand="true" w:firstColumn="false"/>
            <w:tcW w:w="33.333333%" w:type="pct"/>
          </w:tcPr>
          <w:p>
            <w:pPr>
              <w:ind w:leftChars="0" w:left="0" w:right="0"/>
            </w:pPr>
            <w:r>
              <w:t>XPRM</w:t>
            </w:r>
          </w:p>
        </w:tc>
        <w:tc>
          <w:tcPr>
            <w:cnfStyle w:evenVBand="true" w:oddVBand="false" w:firstColumn="false"/>
            <w:tcW w:w="33.333333%" w:type="pct"/>
          </w:tcPr>
          <w:p>
            <w:pPr>
              <w:ind w:leftChars="0" w:left="0" w:right="0"/>
            </w:pPr>
            <w:r>
              <w:t>XPRM</w:t>
            </w:r>
          </w:p>
        </w:tc>
        <w:tc>
          <w:tcPr>
            <w:cnfStyle w:evenVBand="false" w:oddVBand="true" w:firstColumn="false"/>
            <w:tcW w:w="33.333333%" w:type="pct"/>
          </w:tcPr>
          <w:p>
            <w:pPr>
              <w:ind w:leftChars="0" w:left="0" w:right="0"/>
            </w:pPr>
            <w:r>
              <w:t>PRAGUE STOCK EXCHANGE - MTF</w:t>
            </w:r>
          </w:p>
        </w:tc>
      </w:tr>
      <w:tr>
        <w:trPr>
          <w:cnfStyle w:evenHBand="false" w:oddHBand="true" w:firstRow="false"/>
        </w:trPr>
        <w:tc>
          <w:tcPr>
            <w:cnfStyle w:evenVBand="false" w:oddVBand="true" w:firstColumn="false"/>
            <w:tcW w:w="33.333333%" w:type="pct"/>
          </w:tcPr>
          <w:p>
            <w:pPr>
              <w:ind w:leftChars="0" w:left="0" w:right="0"/>
            </w:pPr>
            <w:r>
              <w:t>XPSE</w:t>
            </w:r>
          </w:p>
        </w:tc>
        <w:tc>
          <w:tcPr>
            <w:cnfStyle w:evenVBand="true" w:oddVBand="false" w:firstColumn="false"/>
            <w:tcW w:w="33.333333%" w:type="pct"/>
          </w:tcPr>
          <w:p>
            <w:pPr>
              <w:ind w:leftChars="0" w:left="0" w:right="0"/>
            </w:pPr>
            <w:r>
              <w:t>XPSE</w:t>
            </w:r>
          </w:p>
        </w:tc>
        <w:tc>
          <w:tcPr>
            <w:cnfStyle w:evenVBand="false" w:oddVBand="true" w:firstColumn="false"/>
            <w:tcW w:w="33.333333%" w:type="pct"/>
          </w:tcPr>
          <w:p>
            <w:pPr>
              <w:ind w:leftChars="0" w:left="0" w:right="0"/>
            </w:pPr>
            <w:r>
              <w:t>PACIFIC EXCHANGE</w:t>
            </w:r>
          </w:p>
        </w:tc>
      </w:tr>
      <w:tr>
        <w:trPr>
          <w:cnfStyle w:evenHBand="true" w:oddHBand="false" w:firstRow="false"/>
        </w:trPr>
        <w:tc>
          <w:tcPr>
            <w:cnfStyle w:evenVBand="false" w:oddVBand="true" w:firstColumn="false"/>
            <w:tcW w:w="33.333333%" w:type="pct"/>
          </w:tcPr>
          <w:p>
            <w:pPr>
              <w:ind w:leftChars="0" w:left="0" w:right="0"/>
            </w:pPr>
            <w:r>
              <w:t>XPSF</w:t>
            </w:r>
          </w:p>
        </w:tc>
        <w:tc>
          <w:tcPr>
            <w:cnfStyle w:evenVBand="true" w:oddVBand="false" w:firstColumn="false"/>
            <w:tcW w:w="33.333333%" w:type="pct"/>
          </w:tcPr>
          <w:p>
            <w:pPr>
              <w:ind w:leftChars="0" w:left="0" w:right="0"/>
            </w:pPr>
            <w:r>
              <w:t>XPSF</w:t>
            </w:r>
          </w:p>
        </w:tc>
        <w:tc>
          <w:tcPr>
            <w:cnfStyle w:evenVBand="false" w:oddVBand="true" w:firstColumn="false"/>
            <w:tcW w:w="33.333333%" w:type="pct"/>
          </w:tcPr>
          <w:p>
            <w:pPr>
              <w:ind w:leftChars="0" w:left="0" w:right="0"/>
            </w:pPr>
            <w:r>
              <w:t>EUROPEAN ENERGY EXCHANGE - REGULATED GAS MARKET</w:t>
            </w:r>
          </w:p>
        </w:tc>
      </w:tr>
      <w:tr>
        <w:trPr>
          <w:cnfStyle w:evenHBand="false" w:oddHBand="true" w:firstRow="false"/>
        </w:trPr>
        <w:tc>
          <w:tcPr>
            <w:cnfStyle w:evenVBand="false" w:oddVBand="true" w:firstColumn="false"/>
            <w:tcW w:w="33.333333%" w:type="pct"/>
          </w:tcPr>
          <w:p>
            <w:pPr>
              <w:ind w:leftChars="0" w:left="0" w:right="0"/>
            </w:pPr>
            <w:r>
              <w:t>XPST</w:t>
            </w:r>
          </w:p>
        </w:tc>
        <w:tc>
          <w:tcPr>
            <w:cnfStyle w:evenVBand="true" w:oddVBand="false" w:firstColumn="false"/>
            <w:tcW w:w="33.333333%" w:type="pct"/>
          </w:tcPr>
          <w:p>
            <w:pPr>
              <w:ind w:leftChars="0" w:left="0" w:right="0"/>
            </w:pPr>
            <w:r>
              <w:t>XPST</w:t>
            </w:r>
          </w:p>
        </w:tc>
        <w:tc>
          <w:tcPr>
            <w:cnfStyle w:evenVBand="false" w:oddVBand="true" w:firstColumn="false"/>
            <w:tcW w:w="33.333333%" w:type="pct"/>
          </w:tcPr>
          <w:p>
            <w:pPr>
              <w:ind w:leftChars="0" w:left="0" w:right="0"/>
            </w:pPr>
            <w:r>
              <w:t>POSIT - ASIA PACIFIC</w:t>
            </w:r>
          </w:p>
        </w:tc>
      </w:tr>
      <w:tr>
        <w:trPr>
          <w:cnfStyle w:evenHBand="true" w:oddHBand="false" w:firstRow="false"/>
        </w:trPr>
        <w:tc>
          <w:tcPr>
            <w:cnfStyle w:evenVBand="false" w:oddVBand="true" w:firstColumn="false"/>
            <w:tcW w:w="33.333333%" w:type="pct"/>
          </w:tcPr>
          <w:p>
            <w:pPr>
              <w:ind w:leftChars="0" w:left="0" w:right="0"/>
            </w:pPr>
            <w:r>
              <w:t>XPSX</w:t>
            </w:r>
          </w:p>
        </w:tc>
        <w:tc>
          <w:tcPr>
            <w:cnfStyle w:evenVBand="true" w:oddVBand="false" w:firstColumn="false"/>
            <w:tcW w:w="33.333333%" w:type="pct"/>
          </w:tcPr>
          <w:p>
            <w:pPr>
              <w:ind w:leftChars="0" w:left="0" w:right="0"/>
            </w:pPr>
            <w:r>
              <w:t>XPSX</w:t>
            </w:r>
          </w:p>
        </w:tc>
        <w:tc>
          <w:tcPr>
            <w:cnfStyle w:evenVBand="false" w:oddVBand="true" w:firstColumn="false"/>
            <w:tcW w:w="33.333333%" w:type="pct"/>
          </w:tcPr>
          <w:p>
            <w:pPr>
              <w:ind w:leftChars="0" w:left="0" w:right="0"/>
            </w:pPr>
            <w:r>
              <w:t>NASDAQ OMX PSX</w:t>
            </w:r>
          </w:p>
        </w:tc>
      </w:tr>
      <w:tr>
        <w:trPr>
          <w:cnfStyle w:evenHBand="false" w:oddHBand="true" w:firstRow="false"/>
        </w:trPr>
        <w:tc>
          <w:tcPr>
            <w:cnfStyle w:evenVBand="false" w:oddVBand="true" w:firstColumn="false"/>
            <w:tcW w:w="33.333333%" w:type="pct"/>
          </w:tcPr>
          <w:p>
            <w:pPr>
              <w:ind w:leftChars="0" w:left="0" w:right="0"/>
            </w:pPr>
            <w:r>
              <w:t>XPTY</w:t>
            </w:r>
          </w:p>
        </w:tc>
        <w:tc>
          <w:tcPr>
            <w:cnfStyle w:evenVBand="true" w:oddVBand="false" w:firstColumn="false"/>
            <w:tcW w:w="33.333333%" w:type="pct"/>
          </w:tcPr>
          <w:p>
            <w:pPr>
              <w:ind w:leftChars="0" w:left="0" w:right="0"/>
            </w:pPr>
            <w:r>
              <w:t>XPTY</w:t>
            </w:r>
          </w:p>
        </w:tc>
        <w:tc>
          <w:tcPr>
            <w:cnfStyle w:evenVBand="false" w:oddVBand="true" w:firstColumn="false"/>
            <w:tcW w:w="33.333333%" w:type="pct"/>
          </w:tcPr>
          <w:p>
            <w:pPr>
              <w:ind w:leftChars="0" w:left="0" w:right="0"/>
            </w:pPr>
            <w:r>
              <w:t>LATIN AMERICAN STOCK EXCHANGE, INC.</w:t>
            </w:r>
          </w:p>
        </w:tc>
      </w:tr>
      <w:tr>
        <w:trPr>
          <w:cnfStyle w:evenHBand="true" w:oddHBand="false" w:firstRow="false"/>
        </w:trPr>
        <w:tc>
          <w:tcPr>
            <w:cnfStyle w:evenVBand="false" w:oddVBand="true" w:firstColumn="false"/>
            <w:tcW w:w="33.333333%" w:type="pct"/>
          </w:tcPr>
          <w:p>
            <w:pPr>
              <w:ind w:leftChars="0" w:left="0" w:right="0"/>
            </w:pPr>
            <w:r>
              <w:t>XPUK</w:t>
            </w:r>
          </w:p>
        </w:tc>
        <w:tc>
          <w:tcPr>
            <w:cnfStyle w:evenVBand="true" w:oddVBand="false" w:firstColumn="false"/>
            <w:tcW w:w="33.333333%" w:type="pct"/>
          </w:tcPr>
          <w:p>
            <w:pPr>
              <w:ind w:leftChars="0" w:left="0" w:right="0"/>
            </w:pPr>
            <w:r>
              <w:t>XPUK</w:t>
            </w:r>
          </w:p>
        </w:tc>
        <w:tc>
          <w:tcPr>
            <w:cnfStyle w:evenVBand="false" w:oddVBand="true" w:firstColumn="false"/>
            <w:tcW w:w="33.333333%" w:type="pct"/>
          </w:tcPr>
          <w:p>
            <w:pPr>
              <w:ind w:leftChars="0" w:left="0" w:right="0"/>
            </w:pPr>
            <w:r>
              <w:t>XP INVESTMENTS UK LLP</w:t>
            </w:r>
          </w:p>
        </w:tc>
      </w:tr>
      <w:tr>
        <w:trPr>
          <w:cnfStyle w:evenHBand="false" w:oddHBand="true" w:firstRow="false"/>
        </w:trPr>
        <w:tc>
          <w:tcPr>
            <w:cnfStyle w:evenVBand="false" w:oddVBand="true" w:firstColumn="false"/>
            <w:tcW w:w="33.333333%" w:type="pct"/>
          </w:tcPr>
          <w:p>
            <w:pPr>
              <w:ind w:leftChars="0" w:left="0" w:right="0"/>
            </w:pPr>
            <w:r>
              <w:t>XPUS</w:t>
            </w:r>
          </w:p>
        </w:tc>
        <w:tc>
          <w:tcPr>
            <w:cnfStyle w:evenVBand="true" w:oddVBand="false" w:firstColumn="false"/>
            <w:tcW w:w="33.333333%" w:type="pct"/>
          </w:tcPr>
          <w:p>
            <w:pPr>
              <w:ind w:leftChars="0" w:left="0" w:right="0"/>
            </w:pPr>
            <w:r>
              <w:t>XPUS</w:t>
            </w:r>
          </w:p>
        </w:tc>
        <w:tc>
          <w:tcPr>
            <w:cnfStyle w:evenVBand="false" w:oddVBand="true" w:firstColumn="false"/>
            <w:tcW w:w="33.333333%" w:type="pct"/>
          </w:tcPr>
          <w:p>
            <w:pPr>
              <w:ind w:leftChars="0" w:left="0" w:right="0"/>
            </w:pPr>
            <w:r>
              <w:t>XP INVESTMENTS US, LLC</w:t>
            </w:r>
          </w:p>
        </w:tc>
      </w:tr>
      <w:tr>
        <w:trPr>
          <w:cnfStyle w:evenHBand="true" w:oddHBand="false" w:firstRow="false"/>
        </w:trPr>
        <w:tc>
          <w:tcPr>
            <w:cnfStyle w:evenVBand="false" w:oddVBand="true" w:firstColumn="false"/>
            <w:tcW w:w="33.333333%" w:type="pct"/>
          </w:tcPr>
          <w:p>
            <w:pPr>
              <w:ind w:leftChars="0" w:left="0" w:right="0"/>
            </w:pPr>
            <w:r>
              <w:t>XPXE</w:t>
            </w:r>
          </w:p>
        </w:tc>
        <w:tc>
          <w:tcPr>
            <w:cnfStyle w:evenVBand="true" w:oddVBand="false" w:firstColumn="false"/>
            <w:tcW w:w="33.333333%" w:type="pct"/>
          </w:tcPr>
          <w:p>
            <w:pPr>
              <w:ind w:leftChars="0" w:left="0" w:right="0"/>
            </w:pPr>
            <w:r>
              <w:t>XPXE</w:t>
            </w:r>
          </w:p>
        </w:tc>
        <w:tc>
          <w:tcPr>
            <w:cnfStyle w:evenVBand="false" w:oddVBand="true" w:firstColumn="false"/>
            <w:tcW w:w="33.333333%" w:type="pct"/>
          </w:tcPr>
          <w:p>
            <w:pPr>
              <w:ind w:leftChars="0" w:left="0" w:right="0"/>
            </w:pPr>
            <w:r>
              <w:t>POWER EXCHANGE CENTRAL EUROPE</w:t>
            </w:r>
          </w:p>
        </w:tc>
      </w:tr>
      <w:tr>
        <w:trPr>
          <w:cnfStyle w:evenHBand="false" w:oddHBand="true" w:firstRow="false"/>
        </w:trPr>
        <w:tc>
          <w:tcPr>
            <w:cnfStyle w:evenVBand="false" w:oddVBand="true" w:firstColumn="false"/>
            <w:tcW w:w="33.333333%" w:type="pct"/>
          </w:tcPr>
          <w:p>
            <w:pPr>
              <w:ind w:leftChars="0" w:left="0" w:right="0"/>
            </w:pPr>
            <w:r>
              <w:t>XQLX</w:t>
            </w:r>
          </w:p>
        </w:tc>
        <w:tc>
          <w:tcPr>
            <w:cnfStyle w:evenVBand="true" w:oddVBand="false" w:firstColumn="false"/>
            <w:tcW w:w="33.333333%" w:type="pct"/>
          </w:tcPr>
          <w:p>
            <w:pPr>
              <w:ind w:leftChars="0" w:left="0" w:right="0"/>
            </w:pPr>
            <w:r>
              <w:t>XQLX</w:t>
            </w:r>
          </w:p>
        </w:tc>
        <w:tc>
          <w:tcPr>
            <w:cnfStyle w:evenVBand="false" w:oddVBand="true" w:firstColumn="false"/>
            <w:tcW w:w="33.333333%" w:type="pct"/>
          </w:tcPr>
          <w:p>
            <w:pPr>
              <w:ind w:leftChars="0" w:left="0" w:right="0"/>
            </w:pPr>
            <w:r>
              <w:t>QLX</w:t>
            </w:r>
          </w:p>
        </w:tc>
      </w:tr>
      <w:tr>
        <w:trPr>
          <w:cnfStyle w:evenHBand="true" w:oddHBand="false" w:firstRow="false"/>
        </w:trPr>
        <w:tc>
          <w:tcPr>
            <w:cnfStyle w:evenVBand="false" w:oddVBand="true" w:firstColumn="false"/>
            <w:tcW w:w="33.333333%" w:type="pct"/>
          </w:tcPr>
          <w:p>
            <w:pPr>
              <w:ind w:leftChars="0" w:left="0" w:right="0"/>
            </w:pPr>
            <w:r>
              <w:t>XQMH</w:t>
            </w:r>
          </w:p>
        </w:tc>
        <w:tc>
          <w:tcPr>
            <w:cnfStyle w:evenVBand="true" w:oddVBand="false" w:firstColumn="false"/>
            <w:tcW w:w="33.333333%" w:type="pct"/>
          </w:tcPr>
          <w:p>
            <w:pPr>
              <w:ind w:leftChars="0" w:left="0" w:right="0"/>
            </w:pPr>
            <w:r>
              <w:t>XQMH</w:t>
            </w:r>
          </w:p>
        </w:tc>
        <w:tc>
          <w:tcPr>
            <w:cnfStyle w:evenVBand="false" w:oddVBand="true" w:firstColumn="false"/>
            <w:tcW w:w="33.333333%" w:type="pct"/>
          </w:tcPr>
          <w:p>
            <w:pPr>
              <w:ind w:leftChars="0" w:left="0" w:right="0"/>
            </w:pPr>
            <w:r>
              <w:t>SIX SWISS EXCHANGE - STRUCTURED PRODUCTS</w:t>
            </w:r>
          </w:p>
        </w:tc>
      </w:tr>
      <w:tr>
        <w:trPr>
          <w:cnfStyle w:evenHBand="false" w:oddHBand="true" w:firstRow="false"/>
        </w:trPr>
        <w:tc>
          <w:tcPr>
            <w:cnfStyle w:evenVBand="false" w:oddVBand="true" w:firstColumn="false"/>
            <w:tcW w:w="33.333333%" w:type="pct"/>
          </w:tcPr>
          <w:p>
            <w:pPr>
              <w:ind w:leftChars="0" w:left="0" w:right="0"/>
            </w:pPr>
            <w:r>
              <w:t>XQOD</w:t>
            </w:r>
          </w:p>
        </w:tc>
        <w:tc>
          <w:tcPr>
            <w:cnfStyle w:evenVBand="true" w:oddVBand="false" w:firstColumn="false"/>
            <w:tcW w:w="33.333333%" w:type="pct"/>
          </w:tcPr>
          <w:p>
            <w:pPr>
              <w:ind w:leftChars="0" w:left="0" w:right="0"/>
            </w:pPr>
            <w:r>
              <w:t>XQOD</w:t>
            </w:r>
          </w:p>
        </w:tc>
        <w:tc>
          <w:tcPr>
            <w:cnfStyle w:evenVBand="false" w:oddVBand="true" w:firstColumn="false"/>
            <w:tcW w:w="33.333333%" w:type="pct"/>
          </w:tcPr>
          <w:p>
            <w:pPr>
              <w:ind w:leftChars="0" w:left="0" w:right="0"/>
            </w:pPr>
            <w:r>
              <w:t>SIX SWISS EXCHANGE - ETF QOD</w:t>
            </w:r>
          </w:p>
        </w:tc>
      </w:tr>
      <w:tr>
        <w:trPr>
          <w:cnfStyle w:evenHBand="true" w:oddHBand="false" w:firstRow="false"/>
        </w:trPr>
        <w:tc>
          <w:tcPr>
            <w:cnfStyle w:evenVBand="false" w:oddVBand="true" w:firstColumn="false"/>
            <w:tcW w:w="33.333333%" w:type="pct"/>
          </w:tcPr>
          <w:p>
            <w:pPr>
              <w:ind w:leftChars="0" w:left="0" w:right="0"/>
            </w:pPr>
            <w:r>
              <w:t>XQTX</w:t>
            </w:r>
          </w:p>
        </w:tc>
        <w:tc>
          <w:tcPr>
            <w:cnfStyle w:evenVBand="true" w:oddVBand="false" w:firstColumn="false"/>
            <w:tcW w:w="33.333333%" w:type="pct"/>
          </w:tcPr>
          <w:p>
            <w:pPr>
              <w:ind w:leftChars="0" w:left="0" w:right="0"/>
            </w:pPr>
            <w:r>
              <w:t>XQTX</w:t>
            </w:r>
          </w:p>
        </w:tc>
        <w:tc>
          <w:tcPr>
            <w:cnfStyle w:evenVBand="false" w:oddVBand="true" w:firstColumn="false"/>
            <w:tcW w:w="33.333333%" w:type="pct"/>
          </w:tcPr>
          <w:p>
            <w:pPr>
              <w:ind w:leftChars="0" w:left="0" w:right="0"/>
            </w:pPr>
            <w:r>
              <w:t>BOERSE DUESSELDORF - QUOTRIX</w:t>
            </w:r>
          </w:p>
        </w:tc>
      </w:tr>
      <w:tr>
        <w:trPr>
          <w:cnfStyle w:evenHBand="false" w:oddHBand="true" w:firstRow="false"/>
        </w:trPr>
        <w:tc>
          <w:tcPr>
            <w:cnfStyle w:evenVBand="false" w:oddVBand="true" w:firstColumn="false"/>
            <w:tcW w:w="33.333333%" w:type="pct"/>
          </w:tcPr>
          <w:p>
            <w:pPr>
              <w:ind w:leftChars="0" w:left="0" w:right="0"/>
            </w:pPr>
            <w:r>
              <w:t>XQUI</w:t>
            </w:r>
          </w:p>
        </w:tc>
        <w:tc>
          <w:tcPr>
            <w:cnfStyle w:evenVBand="true" w:oddVBand="false" w:firstColumn="false"/>
            <w:tcW w:w="33.333333%" w:type="pct"/>
          </w:tcPr>
          <w:p>
            <w:pPr>
              <w:ind w:leftChars="0" w:left="0" w:right="0"/>
            </w:pPr>
            <w:r>
              <w:t>XQUI</w:t>
            </w:r>
          </w:p>
        </w:tc>
        <w:tc>
          <w:tcPr>
            <w:cnfStyle w:evenVBand="false" w:oddVBand="true" w:firstColumn="false"/>
            <w:tcW w:w="33.333333%" w:type="pct"/>
          </w:tcPr>
          <w:p>
            <w:pPr>
              <w:ind w:leftChars="0" w:left="0" w:right="0"/>
            </w:pPr>
            <w:r>
              <w:t>BOLSA DE VALORES DE QUITO</w:t>
            </w:r>
          </w:p>
        </w:tc>
      </w:tr>
      <w:tr>
        <w:trPr>
          <w:cnfStyle w:evenHBand="true" w:oddHBand="false" w:firstRow="false"/>
        </w:trPr>
        <w:tc>
          <w:tcPr>
            <w:cnfStyle w:evenVBand="false" w:oddVBand="true" w:firstColumn="false"/>
            <w:tcW w:w="33.333333%" w:type="pct"/>
          </w:tcPr>
          <w:p>
            <w:pPr>
              <w:ind w:leftChars="0" w:left="0" w:right="0"/>
            </w:pPr>
            <w:r>
              <w:t>XRAS</w:t>
            </w:r>
          </w:p>
        </w:tc>
        <w:tc>
          <w:tcPr>
            <w:cnfStyle w:evenVBand="true" w:oddVBand="false" w:firstColumn="false"/>
            <w:tcW w:w="33.333333%" w:type="pct"/>
          </w:tcPr>
          <w:p>
            <w:pPr>
              <w:ind w:leftChars="0" w:left="0" w:right="0"/>
            </w:pPr>
            <w:r>
              <w:t>XRAS</w:t>
            </w:r>
          </w:p>
        </w:tc>
        <w:tc>
          <w:tcPr>
            <w:cnfStyle w:evenVBand="false" w:oddVBand="true" w:firstColumn="false"/>
            <w:tcW w:w="33.333333%" w:type="pct"/>
          </w:tcPr>
          <w:p>
            <w:pPr>
              <w:ind w:leftChars="0" w:left="0" w:right="0"/>
            </w:pPr>
            <w:r>
              <w:t>RASDAQ</w:t>
            </w:r>
          </w:p>
        </w:tc>
      </w:tr>
      <w:tr>
        <w:trPr>
          <w:cnfStyle w:evenHBand="false" w:oddHBand="true" w:firstRow="false"/>
        </w:trPr>
        <w:tc>
          <w:tcPr>
            <w:cnfStyle w:evenVBand="false" w:oddVBand="true" w:firstColumn="false"/>
            <w:tcW w:w="33.333333%" w:type="pct"/>
          </w:tcPr>
          <w:p>
            <w:pPr>
              <w:ind w:leftChars="0" w:left="0" w:right="0"/>
            </w:pPr>
            <w:r>
              <w:t>XRBM</w:t>
            </w:r>
          </w:p>
        </w:tc>
        <w:tc>
          <w:tcPr>
            <w:cnfStyle w:evenVBand="true" w:oddVBand="false" w:firstColumn="false"/>
            <w:tcW w:w="33.333333%" w:type="pct"/>
          </w:tcPr>
          <w:p>
            <w:pPr>
              <w:ind w:leftChars="0" w:left="0" w:right="0"/>
            </w:pPr>
            <w:r>
              <w:t>XRBM</w:t>
            </w:r>
          </w:p>
        </w:tc>
        <w:tc>
          <w:tcPr>
            <w:cnfStyle w:evenVBand="false" w:oddVBand="true" w:firstColumn="false"/>
            <w:tcW w:w="33.333333%" w:type="pct"/>
          </w:tcPr>
          <w:p>
            <w:pPr>
              <w:ind w:leftChars="0" w:left="0" w:right="0"/>
            </w:pPr>
            <w:r>
              <w:t>RINGGIT BOND MARKET</w:t>
            </w:r>
          </w:p>
        </w:tc>
      </w:tr>
      <w:tr>
        <w:trPr>
          <w:cnfStyle w:evenHBand="true" w:oddHBand="false" w:firstRow="false"/>
        </w:trPr>
        <w:tc>
          <w:tcPr>
            <w:cnfStyle w:evenVBand="false" w:oddVBand="true" w:firstColumn="false"/>
            <w:tcW w:w="33.333333%" w:type="pct"/>
          </w:tcPr>
          <w:p>
            <w:pPr>
              <w:ind w:leftChars="0" w:left="0" w:right="0"/>
            </w:pPr>
            <w:r>
              <w:t>XRCB</w:t>
            </w:r>
          </w:p>
        </w:tc>
        <w:tc>
          <w:tcPr>
            <w:cnfStyle w:evenVBand="true" w:oddVBand="false" w:firstColumn="false"/>
            <w:tcW w:w="33.333333%" w:type="pct"/>
          </w:tcPr>
          <w:p>
            <w:pPr>
              <w:ind w:leftChars="0" w:left="0" w:right="0"/>
            </w:pPr>
            <w:r>
              <w:t>XRCB</w:t>
            </w:r>
          </w:p>
        </w:tc>
        <w:tc>
          <w:tcPr>
            <w:cnfStyle w:evenVBand="false" w:oddVBand="true" w:firstColumn="false"/>
            <w:tcW w:w="33.333333%" w:type="pct"/>
          </w:tcPr>
          <w:p>
            <w:pPr>
              <w:ind w:leftChars="0" w:left="0" w:right="0"/>
            </w:pPr>
            <w:r>
              <w:t>RAIFFEISEN CENTROBANK AG - SYSTEMATIC INTERNALISER</w:t>
            </w:r>
          </w:p>
        </w:tc>
      </w:tr>
      <w:tr>
        <w:trPr>
          <w:cnfStyle w:evenHBand="false" w:oddHBand="true" w:firstRow="false"/>
        </w:trPr>
        <w:tc>
          <w:tcPr>
            <w:cnfStyle w:evenVBand="false" w:oddVBand="true" w:firstColumn="false"/>
            <w:tcW w:w="33.333333%" w:type="pct"/>
          </w:tcPr>
          <w:p>
            <w:pPr>
              <w:ind w:leftChars="0" w:left="0" w:right="0"/>
            </w:pPr>
            <w:r>
              <w:t>XREP</w:t>
            </w:r>
          </w:p>
        </w:tc>
        <w:tc>
          <w:tcPr>
            <w:cnfStyle w:evenVBand="true" w:oddVBand="false" w:firstColumn="false"/>
            <w:tcW w:w="33.333333%" w:type="pct"/>
          </w:tcPr>
          <w:p>
            <w:pPr>
              <w:ind w:leftChars="0" w:left="0" w:right="0"/>
            </w:pPr>
            <w:r>
              <w:t>XREP</w:t>
            </w:r>
          </w:p>
        </w:tc>
        <w:tc>
          <w:tcPr>
            <w:cnfStyle w:evenVBand="false" w:oddVBand="true" w:firstColumn="false"/>
            <w:tcW w:w="33.333333%" w:type="pct"/>
          </w:tcPr>
          <w:p>
            <w:pPr>
              <w:ind w:leftChars="0" w:left="0" w:right="0"/>
            </w:pPr>
            <w:r>
              <w:t>SIX REPO AG - CH REPO MARKET</w:t>
            </w:r>
          </w:p>
        </w:tc>
      </w:tr>
      <w:tr>
        <w:trPr>
          <w:cnfStyle w:evenHBand="true" w:oddHBand="false" w:firstRow="false"/>
        </w:trPr>
        <w:tc>
          <w:tcPr>
            <w:cnfStyle w:evenVBand="false" w:oddVBand="true" w:firstColumn="false"/>
            <w:tcW w:w="33.333333%" w:type="pct"/>
          </w:tcPr>
          <w:p>
            <w:pPr>
              <w:ind w:leftChars="0" w:left="0" w:right="0"/>
            </w:pPr>
            <w:r>
              <w:t>XRFQ</w:t>
            </w:r>
          </w:p>
        </w:tc>
        <w:tc>
          <w:tcPr>
            <w:cnfStyle w:evenVBand="true" w:oddVBand="false" w:firstColumn="false"/>
            <w:tcW w:w="33.333333%" w:type="pct"/>
          </w:tcPr>
          <w:p>
            <w:pPr>
              <w:ind w:leftChars="0" w:left="0" w:right="0"/>
            </w:pPr>
            <w:r>
              <w:t>XRFQ</w:t>
            </w:r>
          </w:p>
        </w:tc>
        <w:tc>
          <w:tcPr>
            <w:cnfStyle w:evenVBand="false" w:oddVBand="true" w:firstColumn="false"/>
            <w:tcW w:w="33.333333%" w:type="pct"/>
          </w:tcPr>
          <w:p>
            <w:pPr>
              <w:ind w:leftChars="0" w:left="0" w:right="0"/>
            </w:pPr>
            <w:r>
              <w:t>POSIT RFQ</w:t>
            </w:r>
          </w:p>
        </w:tc>
      </w:tr>
      <w:tr>
        <w:trPr>
          <w:cnfStyle w:evenHBand="false" w:oddHBand="true" w:firstRow="false"/>
        </w:trPr>
        <w:tc>
          <w:tcPr>
            <w:cnfStyle w:evenVBand="false" w:oddVBand="true" w:firstColumn="false"/>
            <w:tcW w:w="33.333333%" w:type="pct"/>
          </w:tcPr>
          <w:p>
            <w:pPr>
              <w:ind w:leftChars="0" w:left="0" w:right="0"/>
            </w:pPr>
            <w:r>
              <w:t>XRIO</w:t>
            </w:r>
          </w:p>
        </w:tc>
        <w:tc>
          <w:tcPr>
            <w:cnfStyle w:evenVBand="true" w:oddVBand="false" w:firstColumn="false"/>
            <w:tcW w:w="33.333333%" w:type="pct"/>
          </w:tcPr>
          <w:p>
            <w:pPr>
              <w:ind w:leftChars="0" w:left="0" w:right="0"/>
            </w:pPr>
            <w:r>
              <w:t>XRIO</w:t>
            </w:r>
          </w:p>
        </w:tc>
        <w:tc>
          <w:tcPr>
            <w:cnfStyle w:evenVBand="false" w:oddVBand="true" w:firstColumn="false"/>
            <w:tcW w:w="33.333333%" w:type="pct"/>
          </w:tcPr>
          <w:p>
            <w:pPr>
              <w:ind w:leftChars="0" w:left="0" w:right="0"/>
            </w:pPr>
            <w:r>
              <w:t>BOLSA DE VALORES DO RIO DE JANEIRO</w:t>
            </w:r>
          </w:p>
        </w:tc>
      </w:tr>
      <w:tr>
        <w:trPr>
          <w:cnfStyle w:evenHBand="true" w:oddHBand="false" w:firstRow="false"/>
        </w:trPr>
        <w:tc>
          <w:tcPr>
            <w:cnfStyle w:evenVBand="false" w:oddVBand="true" w:firstColumn="false"/>
            <w:tcW w:w="33.333333%" w:type="pct"/>
          </w:tcPr>
          <w:p>
            <w:pPr>
              <w:ind w:leftChars="0" w:left="0" w:right="0"/>
            </w:pPr>
            <w:r>
              <w:t>XRIS</w:t>
            </w:r>
          </w:p>
        </w:tc>
        <w:tc>
          <w:tcPr>
            <w:cnfStyle w:evenVBand="true" w:oddVBand="false" w:firstColumn="false"/>
            <w:tcW w:w="33.333333%" w:type="pct"/>
          </w:tcPr>
          <w:p>
            <w:pPr>
              <w:ind w:leftChars="0" w:left="0" w:right="0"/>
            </w:pPr>
            <w:r>
              <w:t>XRIS</w:t>
            </w:r>
          </w:p>
        </w:tc>
        <w:tc>
          <w:tcPr>
            <w:cnfStyle w:evenVBand="false" w:oddVBand="true" w:firstColumn="false"/>
            <w:tcW w:w="33.333333%" w:type="pct"/>
          </w:tcPr>
          <w:p>
            <w:pPr>
              <w:ind w:leftChars="0" w:left="0" w:right="0"/>
            </w:pPr>
            <w:r>
              <w:t>NASDAQ RIGA AS</w:t>
            </w:r>
          </w:p>
        </w:tc>
      </w:tr>
      <w:tr>
        <w:trPr>
          <w:cnfStyle w:evenHBand="false" w:oddHBand="true" w:firstRow="false"/>
        </w:trPr>
        <w:tc>
          <w:tcPr>
            <w:cnfStyle w:evenVBand="false" w:oddVBand="true" w:firstColumn="false"/>
            <w:tcW w:w="33.333333%" w:type="pct"/>
          </w:tcPr>
          <w:p>
            <w:pPr>
              <w:ind w:leftChars="0" w:left="0" w:right="0"/>
            </w:pPr>
            <w:r>
              <w:t>XRMO</w:t>
            </w:r>
          </w:p>
        </w:tc>
        <w:tc>
          <w:tcPr>
            <w:cnfStyle w:evenVBand="true" w:oddVBand="false" w:firstColumn="false"/>
            <w:tcW w:w="33.333333%" w:type="pct"/>
          </w:tcPr>
          <w:p>
            <w:pPr>
              <w:ind w:leftChars="0" w:left="0" w:right="0"/>
            </w:pPr>
            <w:r>
              <w:t>XRMO</w:t>
            </w:r>
          </w:p>
        </w:tc>
        <w:tc>
          <w:tcPr>
            <w:cnfStyle w:evenVBand="false" w:oddVBand="true" w:firstColumn="false"/>
            <w:tcW w:w="33.333333%" w:type="pct"/>
          </w:tcPr>
          <w:p>
            <w:pPr>
              <w:ind w:leftChars="0" w:left="0" w:right="0"/>
            </w:pPr>
            <w:r>
              <w:t>RM-SYSTEM CZECH STOCK EXCHANGE - MTF</w:t>
            </w:r>
          </w:p>
        </w:tc>
      </w:tr>
      <w:tr>
        <w:trPr>
          <w:cnfStyle w:evenHBand="true" w:oddHBand="false" w:firstRow="false"/>
        </w:trPr>
        <w:tc>
          <w:tcPr>
            <w:cnfStyle w:evenVBand="false" w:oddVBand="true" w:firstColumn="false"/>
            <w:tcW w:w="33.333333%" w:type="pct"/>
          </w:tcPr>
          <w:p>
            <w:pPr>
              <w:ind w:leftChars="0" w:left="0" w:right="0"/>
            </w:pPr>
            <w:r>
              <w:t>XRMS</w:t>
            </w:r>
          </w:p>
        </w:tc>
        <w:tc>
          <w:tcPr>
            <w:cnfStyle w:evenVBand="true" w:oddVBand="false" w:firstColumn="false"/>
            <w:tcW w:w="33.333333%" w:type="pct"/>
          </w:tcPr>
          <w:p>
            <w:pPr>
              <w:ind w:leftChars="0" w:left="0" w:right="0"/>
            </w:pPr>
            <w:r>
              <w:t>XRMS</w:t>
            </w:r>
          </w:p>
        </w:tc>
        <w:tc>
          <w:tcPr>
            <w:cnfStyle w:evenVBand="false" w:oddVBand="true" w:firstColumn="false"/>
            <w:tcW w:w="33.333333%" w:type="pct"/>
          </w:tcPr>
          <w:p>
            <w:pPr>
              <w:ind w:leftChars="0" w:left="0" w:right="0"/>
            </w:pPr>
            <w:r>
              <w:t>SK RM-S (SLOVAK STOCK EXCHANGE)</w:t>
            </w:r>
          </w:p>
        </w:tc>
      </w:tr>
      <w:tr>
        <w:trPr>
          <w:cnfStyle w:evenHBand="false" w:oddHBand="true" w:firstRow="false"/>
        </w:trPr>
        <w:tc>
          <w:tcPr>
            <w:cnfStyle w:evenVBand="false" w:oddVBand="true" w:firstColumn="false"/>
            <w:tcW w:w="33.333333%" w:type="pct"/>
          </w:tcPr>
          <w:p>
            <w:pPr>
              <w:ind w:leftChars="0" w:left="0" w:right="0"/>
            </w:pPr>
            <w:r>
              <w:t>XRMZ</w:t>
            </w:r>
          </w:p>
        </w:tc>
        <w:tc>
          <w:tcPr>
            <w:cnfStyle w:evenVBand="true" w:oddVBand="false" w:firstColumn="false"/>
            <w:tcW w:w="33.333333%" w:type="pct"/>
          </w:tcPr>
          <w:p>
            <w:pPr>
              <w:ind w:leftChars="0" w:left="0" w:right="0"/>
            </w:pPr>
            <w:r>
              <w:t>XRMZ</w:t>
            </w:r>
          </w:p>
        </w:tc>
        <w:tc>
          <w:tcPr>
            <w:cnfStyle w:evenVBand="false" w:oddVBand="true" w:firstColumn="false"/>
            <w:tcW w:w="33.333333%" w:type="pct"/>
          </w:tcPr>
          <w:p>
            <w:pPr>
              <w:ind w:leftChars="0" w:left="0" w:right="0"/>
            </w:pPr>
            <w:r>
              <w:t>RM-SYSTEM CZECH STOCK EXCHANGE</w:t>
            </w:r>
          </w:p>
        </w:tc>
      </w:tr>
      <w:tr>
        <w:trPr>
          <w:cnfStyle w:evenHBand="true" w:oddHBand="false" w:firstRow="false"/>
        </w:trPr>
        <w:tc>
          <w:tcPr>
            <w:cnfStyle w:evenVBand="false" w:oddVBand="true" w:firstColumn="false"/>
            <w:tcW w:w="33.333333%" w:type="pct"/>
          </w:tcPr>
          <w:p>
            <w:pPr>
              <w:ind w:leftChars="0" w:left="0" w:right="0"/>
            </w:pPr>
            <w:r>
              <w:t>XROS</w:t>
            </w:r>
          </w:p>
        </w:tc>
        <w:tc>
          <w:tcPr>
            <w:cnfStyle w:evenVBand="true" w:oddVBand="false" w:firstColumn="false"/>
            <w:tcW w:w="33.333333%" w:type="pct"/>
          </w:tcPr>
          <w:p>
            <w:pPr>
              <w:ind w:leftChars="0" w:left="0" w:right="0"/>
            </w:pPr>
            <w:r>
              <w:t>XROS</w:t>
            </w:r>
          </w:p>
        </w:tc>
        <w:tc>
          <w:tcPr>
            <w:cnfStyle w:evenVBand="false" w:oddVBand="true" w:firstColumn="false"/>
            <w:tcW w:w="33.333333%" w:type="pct"/>
          </w:tcPr>
          <w:p>
            <w:pPr>
              <w:ind w:leftChars="0" w:left="0" w:right="0"/>
            </w:pPr>
            <w:r>
              <w:t>BOLSA DE COMERCIO ROSARIO</w:t>
            </w:r>
          </w:p>
        </w:tc>
      </w:tr>
      <w:tr>
        <w:trPr>
          <w:cnfStyle w:evenHBand="false" w:oddHBand="true" w:firstRow="false"/>
        </w:trPr>
        <w:tc>
          <w:tcPr>
            <w:cnfStyle w:evenVBand="false" w:oddVBand="true" w:firstColumn="false"/>
            <w:tcW w:w="33.333333%" w:type="pct"/>
          </w:tcPr>
          <w:p>
            <w:pPr>
              <w:ind w:leftChars="0" w:left="0" w:right="0"/>
            </w:pPr>
            <w:r>
              <w:t>XROT</w:t>
            </w:r>
          </w:p>
        </w:tc>
        <w:tc>
          <w:tcPr>
            <w:cnfStyle w:evenVBand="true" w:oddVBand="false" w:firstColumn="false"/>
            <w:tcW w:w="33.333333%" w:type="pct"/>
          </w:tcPr>
          <w:p>
            <w:pPr>
              <w:ind w:leftChars="0" w:left="0" w:right="0"/>
            </w:pPr>
            <w:r>
              <w:t>XROT</w:t>
            </w:r>
          </w:p>
        </w:tc>
        <w:tc>
          <w:tcPr>
            <w:cnfStyle w:evenVBand="false" w:oddVBand="true" w:firstColumn="false"/>
            <w:tcW w:w="33.333333%" w:type="pct"/>
          </w:tcPr>
          <w:p>
            <w:pPr>
              <w:ind w:leftChars="0" w:left="0" w:right="0"/>
            </w:pPr>
            <w:r>
              <w:t>SIX REPO AG - OTC SPOT MARKET</w:t>
            </w:r>
          </w:p>
        </w:tc>
      </w:tr>
      <w:tr>
        <w:trPr>
          <w:cnfStyle w:evenHBand="true" w:oddHBand="false" w:firstRow="false"/>
        </w:trPr>
        <w:tc>
          <w:tcPr>
            <w:cnfStyle w:evenVBand="false" w:oddVBand="true" w:firstColumn="false"/>
            <w:tcW w:w="33.333333%" w:type="pct"/>
          </w:tcPr>
          <w:p>
            <w:pPr>
              <w:ind w:leftChars="0" w:left="0" w:right="0"/>
            </w:pPr>
            <w:r>
              <w:t>XROV</w:t>
            </w:r>
          </w:p>
        </w:tc>
        <w:tc>
          <w:tcPr>
            <w:cnfStyle w:evenVBand="true" w:oddVBand="false" w:firstColumn="false"/>
            <w:tcW w:w="33.333333%" w:type="pct"/>
          </w:tcPr>
          <w:p>
            <w:pPr>
              <w:ind w:leftChars="0" w:left="0" w:right="0"/>
            </w:pPr>
            <w:r>
              <w:t>XROV</w:t>
            </w:r>
          </w:p>
        </w:tc>
        <w:tc>
          <w:tcPr>
            <w:cnfStyle w:evenVBand="false" w:oddVBand="true" w:firstColumn="false"/>
            <w:tcW w:w="33.333333%" w:type="pct"/>
          </w:tcPr>
          <w:p>
            <w:pPr>
              <w:ind w:leftChars="0" w:left="0" w:right="0"/>
            </w:pPr>
            <w:r>
              <w:t>REGIONAL EXCHANGE CENTRE - MICEX SOUTH</w:t>
            </w:r>
          </w:p>
        </w:tc>
      </w:tr>
      <w:tr>
        <w:trPr>
          <w:cnfStyle w:evenHBand="false" w:oddHBand="true" w:firstRow="false"/>
        </w:trPr>
        <w:tc>
          <w:tcPr>
            <w:cnfStyle w:evenVBand="false" w:oddVBand="true" w:firstColumn="false"/>
            <w:tcW w:w="33.333333%" w:type="pct"/>
          </w:tcPr>
          <w:p>
            <w:pPr>
              <w:ind w:leftChars="0" w:left="0" w:right="0"/>
            </w:pPr>
            <w:r>
              <w:t>XROX</w:t>
            </w:r>
          </w:p>
        </w:tc>
        <w:tc>
          <w:tcPr>
            <w:cnfStyle w:evenVBand="true" w:oddVBand="false" w:firstColumn="false"/>
            <w:tcW w:w="33.333333%" w:type="pct"/>
          </w:tcPr>
          <w:p>
            <w:pPr>
              <w:ind w:leftChars="0" w:left="0" w:right="0"/>
            </w:pPr>
            <w:r>
              <w:t>XROX</w:t>
            </w:r>
          </w:p>
        </w:tc>
        <w:tc>
          <w:tcPr>
            <w:cnfStyle w:evenVBand="false" w:oddVBand="true" w:firstColumn="false"/>
            <w:tcW w:w="33.333333%" w:type="pct"/>
          </w:tcPr>
          <w:p>
            <w:pPr>
              <w:ind w:leftChars="0" w:left="0" w:right="0"/>
            </w:pPr>
            <w:r>
              <w:t>MERCADO DE VALORES DE ROSARIO S.A.</w:t>
            </w:r>
          </w:p>
        </w:tc>
      </w:tr>
      <w:tr>
        <w:trPr>
          <w:cnfStyle w:evenHBand="true" w:oddHBand="false" w:firstRow="false"/>
        </w:trPr>
        <w:tc>
          <w:tcPr>
            <w:cnfStyle w:evenVBand="false" w:oddVBand="true" w:firstColumn="false"/>
            <w:tcW w:w="33.333333%" w:type="pct"/>
          </w:tcPr>
          <w:p>
            <w:pPr>
              <w:ind w:leftChars="0" w:left="0" w:right="0"/>
            </w:pPr>
            <w:r>
              <w:t>XRPM</w:t>
            </w:r>
          </w:p>
        </w:tc>
        <w:tc>
          <w:tcPr>
            <w:cnfStyle w:evenVBand="true" w:oddVBand="false" w:firstColumn="false"/>
            <w:tcW w:w="33.333333%" w:type="pct"/>
          </w:tcPr>
          <w:p>
            <w:pPr>
              <w:ind w:leftChars="0" w:left="0" w:right="0"/>
            </w:pPr>
            <w:r>
              <w:t>XRPM</w:t>
            </w:r>
          </w:p>
        </w:tc>
        <w:tc>
          <w:tcPr>
            <w:cnfStyle w:evenVBand="false" w:oddVBand="true" w:firstColumn="false"/>
            <w:tcW w:w="33.333333%" w:type="pct"/>
          </w:tcPr>
          <w:p>
            <w:pPr>
              <w:ind w:leftChars="0" w:left="0" w:right="0"/>
            </w:pPr>
            <w:r>
              <w:t>ROMANIAN POWER MARKET</w:t>
            </w:r>
          </w:p>
        </w:tc>
      </w:tr>
      <w:tr>
        <w:trPr>
          <w:cnfStyle w:evenHBand="false" w:oddHBand="true" w:firstRow="false"/>
        </w:trPr>
        <w:tc>
          <w:tcPr>
            <w:cnfStyle w:evenVBand="false" w:oddVBand="true" w:firstColumn="false"/>
            <w:tcW w:w="33.333333%" w:type="pct"/>
          </w:tcPr>
          <w:p>
            <w:pPr>
              <w:ind w:leftChars="0" w:left="0" w:right="0"/>
            </w:pPr>
            <w:r>
              <w:t>XRSP</w:t>
            </w:r>
          </w:p>
        </w:tc>
        <w:tc>
          <w:tcPr>
            <w:cnfStyle w:evenVBand="true" w:oddVBand="false" w:firstColumn="false"/>
            <w:tcW w:w="33.333333%" w:type="pct"/>
          </w:tcPr>
          <w:p>
            <w:pPr>
              <w:ind w:leftChars="0" w:left="0" w:right="0"/>
            </w:pPr>
            <w:r>
              <w:t>XRSP</w:t>
            </w:r>
          </w:p>
        </w:tc>
        <w:tc>
          <w:tcPr>
            <w:cnfStyle w:evenVBand="false" w:oddVBand="true" w:firstColumn="false"/>
            <w:tcW w:w="33.333333%" w:type="pct"/>
          </w:tcPr>
          <w:p>
            <w:pPr>
              <w:ind w:leftChars="0" w:left="0" w:right="0"/>
            </w:pPr>
            <w:r>
              <w:t>PEEL HUNT RETAIL</w:t>
            </w:r>
          </w:p>
        </w:tc>
      </w:tr>
      <w:tr>
        <w:trPr>
          <w:cnfStyle w:evenHBand="true" w:oddHBand="false" w:firstRow="false"/>
        </w:trPr>
        <w:tc>
          <w:tcPr>
            <w:cnfStyle w:evenVBand="false" w:oddVBand="true" w:firstColumn="false"/>
            <w:tcW w:w="33.333333%" w:type="pct"/>
          </w:tcPr>
          <w:p>
            <w:pPr>
              <w:ind w:leftChars="0" w:left="0" w:right="0"/>
            </w:pPr>
            <w:r>
              <w:t>XRTR</w:t>
            </w:r>
          </w:p>
        </w:tc>
        <w:tc>
          <w:tcPr>
            <w:cnfStyle w:evenVBand="true" w:oddVBand="false" w:firstColumn="false"/>
            <w:tcW w:w="33.333333%" w:type="pct"/>
          </w:tcPr>
          <w:p>
            <w:pPr>
              <w:ind w:leftChars="0" w:left="0" w:right="0"/>
            </w:pPr>
            <w:r>
              <w:t>XRTR</w:t>
            </w:r>
          </w:p>
        </w:tc>
        <w:tc>
          <w:tcPr>
            <w:cnfStyle w:evenVBand="false" w:oddVBand="true" w:firstColumn="false"/>
            <w:tcW w:w="33.333333%" w:type="pct"/>
          </w:tcPr>
          <w:p>
            <w:pPr>
              <w:ind w:leftChars="0" w:left="0" w:right="0"/>
            </w:pPr>
            <w:r>
              <w:t>RTR (REUTERS-REALTIME-DATEN)</w:t>
            </w:r>
          </w:p>
        </w:tc>
      </w:tr>
      <w:tr>
        <w:trPr>
          <w:cnfStyle w:evenHBand="false" w:oddHBand="true" w:firstRow="false"/>
        </w:trPr>
        <w:tc>
          <w:tcPr>
            <w:cnfStyle w:evenVBand="false" w:oddVBand="true" w:firstColumn="false"/>
            <w:tcW w:w="33.333333%" w:type="pct"/>
          </w:tcPr>
          <w:p>
            <w:pPr>
              <w:ind w:leftChars="0" w:left="0" w:right="0"/>
            </w:pPr>
            <w:r>
              <w:t>XRUS</w:t>
            </w:r>
          </w:p>
        </w:tc>
        <w:tc>
          <w:tcPr>
            <w:cnfStyle w:evenVBand="true" w:oddVBand="false" w:firstColumn="false"/>
            <w:tcW w:w="33.333333%" w:type="pct"/>
          </w:tcPr>
          <w:p>
            <w:pPr>
              <w:ind w:leftChars="0" w:left="0" w:right="0"/>
            </w:pPr>
            <w:r>
              <w:t>XRUS</w:t>
            </w:r>
          </w:p>
        </w:tc>
        <w:tc>
          <w:tcPr>
            <w:cnfStyle w:evenVBand="false" w:oddVBand="true" w:firstColumn="false"/>
            <w:tcW w:w="33.333333%" w:type="pct"/>
          </w:tcPr>
          <w:p>
            <w:pPr>
              <w:ind w:leftChars="0" w:left="0" w:right="0"/>
            </w:pPr>
            <w:r>
              <w:t>INTERNET DIRECT-ACCESS EXCHANGE</w:t>
            </w:r>
          </w:p>
        </w:tc>
      </w:tr>
      <w:tr>
        <w:trPr>
          <w:cnfStyle w:evenHBand="true" w:oddHBand="false" w:firstRow="false"/>
        </w:trPr>
        <w:tc>
          <w:tcPr>
            <w:cnfStyle w:evenVBand="false" w:oddVBand="true" w:firstColumn="false"/>
            <w:tcW w:w="33.333333%" w:type="pct"/>
          </w:tcPr>
          <w:p>
            <w:pPr>
              <w:ind w:leftChars="0" w:left="0" w:right="0"/>
            </w:pPr>
            <w:r>
              <w:t>XSAF</w:t>
            </w:r>
          </w:p>
        </w:tc>
        <w:tc>
          <w:tcPr>
            <w:cnfStyle w:evenVBand="true" w:oddVBand="false" w:firstColumn="false"/>
            <w:tcW w:w="33.333333%" w:type="pct"/>
          </w:tcPr>
          <w:p>
            <w:pPr>
              <w:ind w:leftChars="0" w:left="0" w:right="0"/>
            </w:pPr>
            <w:r>
              <w:t>XSAF</w:t>
            </w:r>
          </w:p>
        </w:tc>
        <w:tc>
          <w:tcPr>
            <w:cnfStyle w:evenVBand="false" w:oddVBand="true" w:firstColumn="false"/>
            <w:tcW w:w="33.333333%" w:type="pct"/>
          </w:tcPr>
          <w:p>
            <w:pPr>
              <w:ind w:leftChars="0" w:left="0" w:right="0"/>
            </w:pPr>
            <w:r>
              <w:t>JSE EQUITY DERIVATIVES MARKET</w:t>
            </w:r>
          </w:p>
        </w:tc>
      </w:tr>
      <w:tr>
        <w:trPr>
          <w:cnfStyle w:evenHBand="false" w:oddHBand="true" w:firstRow="false"/>
        </w:trPr>
        <w:tc>
          <w:tcPr>
            <w:cnfStyle w:evenVBand="false" w:oddVBand="true" w:firstColumn="false"/>
            <w:tcW w:w="33.333333%" w:type="pct"/>
          </w:tcPr>
          <w:p>
            <w:pPr>
              <w:ind w:leftChars="0" w:left="0" w:right="0"/>
            </w:pPr>
            <w:r>
              <w:t>XSAM</w:t>
            </w:r>
          </w:p>
        </w:tc>
        <w:tc>
          <w:tcPr>
            <w:cnfStyle w:evenVBand="true" w:oddVBand="false" w:firstColumn="false"/>
            <w:tcW w:w="33.333333%" w:type="pct"/>
          </w:tcPr>
          <w:p>
            <w:pPr>
              <w:ind w:leftChars="0" w:left="0" w:right="0"/>
            </w:pPr>
            <w:r>
              <w:t>XSAM</w:t>
            </w:r>
          </w:p>
        </w:tc>
        <w:tc>
          <w:tcPr>
            <w:cnfStyle w:evenVBand="false" w:oddVBand="true" w:firstColumn="false"/>
            <w:tcW w:w="33.333333%" w:type="pct"/>
          </w:tcPr>
          <w:p>
            <w:pPr>
              <w:ind w:leftChars="0" w:left="0" w:right="0"/>
            </w:pPr>
            <w:r>
              <w:t>SAMARA CURRENCY INTERBANK EXCHANGE</w:t>
            </w:r>
          </w:p>
        </w:tc>
      </w:tr>
      <w:tr>
        <w:trPr>
          <w:cnfStyle w:evenHBand="true" w:oddHBand="false" w:firstRow="false"/>
        </w:trPr>
        <w:tc>
          <w:tcPr>
            <w:cnfStyle w:evenVBand="false" w:oddVBand="true" w:firstColumn="false"/>
            <w:tcW w:w="33.333333%" w:type="pct"/>
          </w:tcPr>
          <w:p>
            <w:pPr>
              <w:ind w:leftChars="0" w:left="0" w:right="0"/>
            </w:pPr>
            <w:r>
              <w:t>XSAP</w:t>
            </w:r>
          </w:p>
        </w:tc>
        <w:tc>
          <w:tcPr>
            <w:cnfStyle w:evenVBand="true" w:oddVBand="false" w:firstColumn="false"/>
            <w:tcW w:w="33.333333%" w:type="pct"/>
          </w:tcPr>
          <w:p>
            <w:pPr>
              <w:ind w:leftChars="0" w:left="0" w:right="0"/>
            </w:pPr>
            <w:r>
              <w:t>XSAP</w:t>
            </w:r>
          </w:p>
        </w:tc>
        <w:tc>
          <w:tcPr>
            <w:cnfStyle w:evenVBand="false" w:oddVBand="true" w:firstColumn="false"/>
            <w:tcW w:w="33.333333%" w:type="pct"/>
          </w:tcPr>
          <w:p>
            <w:pPr>
              <w:ind w:leftChars="0" w:left="0" w:right="0"/>
            </w:pPr>
            <w:r>
              <w:t>SAPPORO SECURITIES EXCHANGE</w:t>
            </w:r>
          </w:p>
        </w:tc>
      </w:tr>
      <w:tr>
        <w:trPr>
          <w:cnfStyle w:evenHBand="false" w:oddHBand="true" w:firstRow="false"/>
        </w:trPr>
        <w:tc>
          <w:tcPr>
            <w:cnfStyle w:evenVBand="false" w:oddVBand="true" w:firstColumn="false"/>
            <w:tcW w:w="33.333333%" w:type="pct"/>
          </w:tcPr>
          <w:p>
            <w:pPr>
              <w:ind w:leftChars="0" w:left="0" w:right="0"/>
            </w:pPr>
            <w:r>
              <w:t>XSAT</w:t>
            </w:r>
          </w:p>
        </w:tc>
        <w:tc>
          <w:tcPr>
            <w:cnfStyle w:evenVBand="true" w:oddVBand="false" w:firstColumn="false"/>
            <w:tcW w:w="33.333333%" w:type="pct"/>
          </w:tcPr>
          <w:p>
            <w:pPr>
              <w:ind w:leftChars="0" w:left="0" w:right="0"/>
            </w:pPr>
            <w:r>
              <w:t>XSAT</w:t>
            </w:r>
          </w:p>
        </w:tc>
        <w:tc>
          <w:tcPr>
            <w:cnfStyle w:evenVBand="false" w:oddVBand="true" w:firstColumn="false"/>
            <w:tcW w:w="33.333333%" w:type="pct"/>
          </w:tcPr>
          <w:p>
            <w:pPr>
              <w:ind w:leftChars="0" w:left="0" w:right="0"/>
            </w:pPr>
            <w:r>
              <w:t>SPOTLIGHT STOCK MARKET AB</w:t>
            </w:r>
          </w:p>
        </w:tc>
      </w:tr>
      <w:tr>
        <w:trPr>
          <w:cnfStyle w:evenHBand="true" w:oddHBand="false" w:firstRow="false"/>
        </w:trPr>
        <w:tc>
          <w:tcPr>
            <w:cnfStyle w:evenVBand="false" w:oddVBand="true" w:firstColumn="false"/>
            <w:tcW w:w="33.333333%" w:type="pct"/>
          </w:tcPr>
          <w:p>
            <w:pPr>
              <w:ind w:leftChars="0" w:left="0" w:right="0"/>
            </w:pPr>
            <w:r>
              <w:t>XSAU</w:t>
            </w:r>
          </w:p>
        </w:tc>
        <w:tc>
          <w:tcPr>
            <w:cnfStyle w:evenVBand="true" w:oddVBand="false" w:firstColumn="false"/>
            <w:tcW w:w="33.333333%" w:type="pct"/>
          </w:tcPr>
          <w:p>
            <w:pPr>
              <w:ind w:leftChars="0" w:left="0" w:right="0"/>
            </w:pPr>
            <w:r>
              <w:t>XSAU</w:t>
            </w:r>
          </w:p>
        </w:tc>
        <w:tc>
          <w:tcPr>
            <w:cnfStyle w:evenVBand="false" w:oddVBand="true" w:firstColumn="false"/>
            <w:tcW w:w="33.333333%" w:type="pct"/>
          </w:tcPr>
          <w:p>
            <w:pPr>
              <w:ind w:leftChars="0" w:left="0" w:right="0"/>
            </w:pPr>
            <w:r>
              <w:t>SAUDI STOCK EXCHANGE</w:t>
            </w:r>
          </w:p>
        </w:tc>
      </w:tr>
      <w:tr>
        <w:trPr>
          <w:cnfStyle w:evenHBand="false" w:oddHBand="true" w:firstRow="false"/>
        </w:trPr>
        <w:tc>
          <w:tcPr>
            <w:cnfStyle w:evenVBand="false" w:oddVBand="true" w:firstColumn="false"/>
            <w:tcW w:w="33.333333%" w:type="pct"/>
          </w:tcPr>
          <w:p>
            <w:pPr>
              <w:ind w:leftChars="0" w:left="0" w:right="0"/>
            </w:pPr>
            <w:r>
              <w:t>XSBI</w:t>
            </w:r>
          </w:p>
        </w:tc>
        <w:tc>
          <w:tcPr>
            <w:cnfStyle w:evenVBand="true" w:oddVBand="false" w:firstColumn="false"/>
            <w:tcW w:w="33.333333%" w:type="pct"/>
          </w:tcPr>
          <w:p>
            <w:pPr>
              <w:ind w:leftChars="0" w:left="0" w:right="0"/>
            </w:pPr>
            <w:r>
              <w:t>XSBI</w:t>
            </w:r>
          </w:p>
        </w:tc>
        <w:tc>
          <w:tcPr>
            <w:cnfStyle w:evenVBand="false" w:oddVBand="true" w:firstColumn="false"/>
            <w:tcW w:w="33.333333%" w:type="pct"/>
          </w:tcPr>
          <w:p>
            <w:pPr>
              <w:ind w:leftChars="0" w:left="0" w:right="0"/>
            </w:pPr>
            <w:r>
              <w:t>JAPANNEXT - X - MARKET</w:t>
            </w:r>
          </w:p>
        </w:tc>
      </w:tr>
      <w:tr>
        <w:trPr>
          <w:cnfStyle w:evenHBand="true" w:oddHBand="false" w:firstRow="false"/>
        </w:trPr>
        <w:tc>
          <w:tcPr>
            <w:cnfStyle w:evenVBand="false" w:oddVBand="true" w:firstColumn="false"/>
            <w:tcW w:w="33.333333%" w:type="pct"/>
          </w:tcPr>
          <w:p>
            <w:pPr>
              <w:ind w:leftChars="0" w:left="0" w:right="0"/>
            </w:pPr>
            <w:r>
              <w:t>XSBT</w:t>
            </w:r>
          </w:p>
        </w:tc>
        <w:tc>
          <w:tcPr>
            <w:cnfStyle w:evenVBand="true" w:oddVBand="false" w:firstColumn="false"/>
            <w:tcW w:w="33.333333%" w:type="pct"/>
          </w:tcPr>
          <w:p>
            <w:pPr>
              <w:ind w:leftChars="0" w:left="0" w:right="0"/>
            </w:pPr>
            <w:r>
              <w:t>XSBT</w:t>
            </w:r>
          </w:p>
        </w:tc>
        <w:tc>
          <w:tcPr>
            <w:cnfStyle w:evenVBand="false" w:oddVBand="true" w:firstColumn="false"/>
            <w:tcW w:w="33.333333%" w:type="pct"/>
          </w:tcPr>
          <w:p>
            <w:pPr>
              <w:ind w:leftChars="0" w:left="0" w:right="0"/>
            </w:pPr>
            <w:r>
              <w:t>SINGAPORE EXCHANGE BOND TRADING PTE. LTD</w:t>
            </w:r>
          </w:p>
        </w:tc>
      </w:tr>
      <w:tr>
        <w:trPr>
          <w:cnfStyle w:evenHBand="false" w:oddHBand="true" w:firstRow="false"/>
        </w:trPr>
        <w:tc>
          <w:tcPr>
            <w:cnfStyle w:evenVBand="false" w:oddVBand="true" w:firstColumn="false"/>
            <w:tcW w:w="33.333333%" w:type="pct"/>
          </w:tcPr>
          <w:p>
            <w:pPr>
              <w:ind w:leftChars="0" w:left="0" w:right="0"/>
            </w:pPr>
            <w:r>
              <w:t>XSC1</w:t>
            </w:r>
          </w:p>
        </w:tc>
        <w:tc>
          <w:tcPr>
            <w:cnfStyle w:evenVBand="true" w:oddVBand="false" w:firstColumn="false"/>
            <w:tcW w:w="33.333333%" w:type="pct"/>
          </w:tcPr>
          <w:p>
            <w:pPr>
              <w:ind w:leftChars="0" w:left="0" w:right="0"/>
            </w:pPr>
            <w:r>
              <w:t>XSC1</w:t>
            </w:r>
          </w:p>
        </w:tc>
        <w:tc>
          <w:tcPr>
            <w:cnfStyle w:evenVBand="false" w:oddVBand="true" w:firstColumn="false"/>
            <w:tcW w:w="33.333333%" w:type="pct"/>
          </w:tcPr>
          <w:p>
            <w:pPr>
              <w:ind w:leftChars="0" w:left="0" w:right="0"/>
            </w:pPr>
            <w:r>
              <w:t>BOERSE FRANKFURT WARRANTS TECHNICAL 1</w:t>
            </w:r>
          </w:p>
        </w:tc>
      </w:tr>
      <w:tr>
        <w:trPr>
          <w:cnfStyle w:evenHBand="true" w:oddHBand="false" w:firstRow="false"/>
        </w:trPr>
        <w:tc>
          <w:tcPr>
            <w:cnfStyle w:evenVBand="false" w:oddVBand="true" w:firstColumn="false"/>
            <w:tcW w:w="33.333333%" w:type="pct"/>
          </w:tcPr>
          <w:p>
            <w:pPr>
              <w:ind w:leftChars="0" w:left="0" w:right="0"/>
            </w:pPr>
            <w:r>
              <w:t>XSC2</w:t>
            </w:r>
          </w:p>
        </w:tc>
        <w:tc>
          <w:tcPr>
            <w:cnfStyle w:evenVBand="true" w:oddVBand="false" w:firstColumn="false"/>
            <w:tcW w:w="33.333333%" w:type="pct"/>
          </w:tcPr>
          <w:p>
            <w:pPr>
              <w:ind w:leftChars="0" w:left="0" w:right="0"/>
            </w:pPr>
            <w:r>
              <w:t>XSC2</w:t>
            </w:r>
          </w:p>
        </w:tc>
        <w:tc>
          <w:tcPr>
            <w:cnfStyle w:evenVBand="false" w:oddVBand="true" w:firstColumn="false"/>
            <w:tcW w:w="33.333333%" w:type="pct"/>
          </w:tcPr>
          <w:p>
            <w:pPr>
              <w:ind w:leftChars="0" w:left="0" w:right="0"/>
            </w:pPr>
            <w:r>
              <w:t>BOERSE FRANKFURT WARRANTS TECHNICAL 2</w:t>
            </w:r>
          </w:p>
        </w:tc>
      </w:tr>
      <w:tr>
        <w:trPr>
          <w:cnfStyle w:evenHBand="false" w:oddHBand="true" w:firstRow="false"/>
        </w:trPr>
        <w:tc>
          <w:tcPr>
            <w:cnfStyle w:evenVBand="false" w:oddVBand="true" w:firstColumn="false"/>
            <w:tcW w:w="33.333333%" w:type="pct"/>
          </w:tcPr>
          <w:p>
            <w:pPr>
              <w:ind w:leftChars="0" w:left="0" w:right="0"/>
            </w:pPr>
            <w:r>
              <w:t>XSC3</w:t>
            </w:r>
          </w:p>
        </w:tc>
        <w:tc>
          <w:tcPr>
            <w:cnfStyle w:evenVBand="true" w:oddVBand="false" w:firstColumn="false"/>
            <w:tcW w:w="33.333333%" w:type="pct"/>
          </w:tcPr>
          <w:p>
            <w:pPr>
              <w:ind w:leftChars="0" w:left="0" w:right="0"/>
            </w:pPr>
            <w:r>
              <w:t>XSC3</w:t>
            </w:r>
          </w:p>
        </w:tc>
        <w:tc>
          <w:tcPr>
            <w:cnfStyle w:evenVBand="false" w:oddVBand="true" w:firstColumn="false"/>
            <w:tcW w:w="33.333333%" w:type="pct"/>
          </w:tcPr>
          <w:p>
            <w:pPr>
              <w:ind w:leftChars="0" w:left="0" w:right="0"/>
            </w:pPr>
            <w:r>
              <w:t>BOERSE FRANKFURT WARRANTS TECHNICAL 3</w:t>
            </w:r>
          </w:p>
        </w:tc>
      </w:tr>
      <w:tr>
        <w:trPr>
          <w:cnfStyle w:evenHBand="true" w:oddHBand="false" w:firstRow="false"/>
        </w:trPr>
        <w:tc>
          <w:tcPr>
            <w:cnfStyle w:evenVBand="false" w:oddVBand="true" w:firstColumn="false"/>
            <w:tcW w:w="33.333333%" w:type="pct"/>
          </w:tcPr>
          <w:p>
            <w:pPr>
              <w:ind w:leftChars="0" w:left="0" w:right="0"/>
            </w:pPr>
            <w:r>
              <w:t>XSCA</w:t>
            </w:r>
          </w:p>
        </w:tc>
        <w:tc>
          <w:tcPr>
            <w:cnfStyle w:evenVBand="true" w:oddVBand="false" w:firstColumn="false"/>
            <w:tcW w:w="33.333333%" w:type="pct"/>
          </w:tcPr>
          <w:p>
            <w:pPr>
              <w:ind w:leftChars="0" w:left="0" w:right="0"/>
            </w:pPr>
            <w:r>
              <w:t>XSCA</w:t>
            </w:r>
          </w:p>
        </w:tc>
        <w:tc>
          <w:tcPr>
            <w:cnfStyle w:evenVBand="false" w:oddVBand="true" w:firstColumn="false"/>
            <w:tcW w:w="33.333333%" w:type="pct"/>
          </w:tcPr>
          <w:p>
            <w:pPr>
              <w:ind w:leftChars="0" w:left="0" w:right="0"/>
            </w:pPr>
            <w:r>
              <w:t>SINGAPORE CATALIST MARKET</w:t>
            </w:r>
          </w:p>
        </w:tc>
      </w:tr>
      <w:tr>
        <w:trPr>
          <w:cnfStyle w:evenHBand="false" w:oddHBand="true" w:firstRow="false"/>
        </w:trPr>
        <w:tc>
          <w:tcPr>
            <w:cnfStyle w:evenVBand="false" w:oddVBand="true" w:firstColumn="false"/>
            <w:tcW w:w="33.333333%" w:type="pct"/>
          </w:tcPr>
          <w:p>
            <w:pPr>
              <w:ind w:leftChars="0" w:left="0" w:right="0"/>
            </w:pPr>
            <w:r>
              <w:t>XSCE</w:t>
            </w:r>
          </w:p>
        </w:tc>
        <w:tc>
          <w:tcPr>
            <w:cnfStyle w:evenVBand="true" w:oddVBand="false" w:firstColumn="false"/>
            <w:tcW w:w="33.333333%" w:type="pct"/>
          </w:tcPr>
          <w:p>
            <w:pPr>
              <w:ind w:leftChars="0" w:left="0" w:right="0"/>
            </w:pPr>
            <w:r>
              <w:t>XSCE</w:t>
            </w:r>
          </w:p>
        </w:tc>
        <w:tc>
          <w:tcPr>
            <w:cnfStyle w:evenVBand="false" w:oddVBand="true" w:firstColumn="false"/>
            <w:tcW w:w="33.333333%" w:type="pct"/>
          </w:tcPr>
          <w:p>
            <w:pPr>
              <w:ind w:leftChars="0" w:left="0" w:right="0"/>
            </w:pPr>
            <w:r>
              <w:t>SINGAPORE COMMODITY EXCHANGE</w:t>
            </w:r>
          </w:p>
        </w:tc>
      </w:tr>
      <w:tr>
        <w:trPr>
          <w:cnfStyle w:evenHBand="true" w:oddHBand="false" w:firstRow="false"/>
        </w:trPr>
        <w:tc>
          <w:tcPr>
            <w:cnfStyle w:evenVBand="false" w:oddVBand="true" w:firstColumn="false"/>
            <w:tcW w:w="33.333333%" w:type="pct"/>
          </w:tcPr>
          <w:p>
            <w:pPr>
              <w:ind w:leftChars="0" w:left="0" w:right="0"/>
            </w:pPr>
            <w:r>
              <w:t>XSCL</w:t>
            </w:r>
          </w:p>
        </w:tc>
        <w:tc>
          <w:tcPr>
            <w:cnfStyle w:evenVBand="true" w:oddVBand="false" w:firstColumn="false"/>
            <w:tcW w:w="33.333333%" w:type="pct"/>
          </w:tcPr>
          <w:p>
            <w:pPr>
              <w:ind w:leftChars="0" w:left="0" w:right="0"/>
            </w:pPr>
            <w:r>
              <w:t>XSCL</w:t>
            </w:r>
          </w:p>
        </w:tc>
        <w:tc>
          <w:tcPr>
            <w:cnfStyle w:evenVBand="false" w:oddVBand="true" w:firstColumn="false"/>
            <w:tcW w:w="33.333333%" w:type="pct"/>
          </w:tcPr>
          <w:p>
            <w:pPr>
              <w:ind w:leftChars="0" w:left="0" w:right="0"/>
            </w:pPr>
            <w:r>
              <w:t>SINGAPORE CENTRAL LIMIT ORDER BOOK INTERNATIONAL</w:t>
            </w:r>
          </w:p>
        </w:tc>
      </w:tr>
      <w:tr>
        <w:trPr>
          <w:cnfStyle w:evenHBand="false" w:oddHBand="true" w:firstRow="false"/>
        </w:trPr>
        <w:tc>
          <w:tcPr>
            <w:cnfStyle w:evenVBand="false" w:oddVBand="true" w:firstColumn="false"/>
            <w:tcW w:w="33.333333%" w:type="pct"/>
          </w:tcPr>
          <w:p>
            <w:pPr>
              <w:ind w:leftChars="0" w:left="0" w:right="0"/>
            </w:pPr>
            <w:r>
              <w:t>XSCO</w:t>
            </w:r>
          </w:p>
        </w:tc>
        <w:tc>
          <w:tcPr>
            <w:cnfStyle w:evenVBand="true" w:oddVBand="false" w:firstColumn="false"/>
            <w:tcW w:w="33.333333%" w:type="pct"/>
          </w:tcPr>
          <w:p>
            <w:pPr>
              <w:ind w:leftChars="0" w:left="0" w:right="0"/>
            </w:pPr>
            <w:r>
              <w:t>XSCO</w:t>
            </w:r>
          </w:p>
        </w:tc>
        <w:tc>
          <w:tcPr>
            <w:cnfStyle w:evenVBand="false" w:oddVBand="true" w:firstColumn="false"/>
            <w:tcW w:w="33.333333%" w:type="pct"/>
          </w:tcPr>
          <w:p>
            <w:pPr>
              <w:ind w:leftChars="0" w:left="0" w:right="0"/>
            </w:pPr>
            <w:r>
              <w:t>BOERSE FRANKFURT WARRANTS TECHNICAL</w:t>
            </w:r>
          </w:p>
        </w:tc>
      </w:tr>
      <w:tr>
        <w:trPr>
          <w:cnfStyle w:evenHBand="true" w:oddHBand="false" w:firstRow="false"/>
        </w:trPr>
        <w:tc>
          <w:tcPr>
            <w:cnfStyle w:evenVBand="false" w:oddVBand="true" w:firstColumn="false"/>
            <w:tcW w:w="33.333333%" w:type="pct"/>
          </w:tcPr>
          <w:p>
            <w:pPr>
              <w:ind w:leftChars="0" w:left="0" w:right="0"/>
            </w:pPr>
            <w:r>
              <w:t>XSCU</w:t>
            </w:r>
          </w:p>
        </w:tc>
        <w:tc>
          <w:tcPr>
            <w:cnfStyle w:evenVBand="true" w:oddVBand="false" w:firstColumn="false"/>
            <w:tcW w:w="33.333333%" w:type="pct"/>
          </w:tcPr>
          <w:p>
            <w:pPr>
              <w:ind w:leftChars="0" w:left="0" w:right="0"/>
            </w:pPr>
            <w:r>
              <w:t>XSCU</w:t>
            </w:r>
          </w:p>
        </w:tc>
        <w:tc>
          <w:tcPr>
            <w:cnfStyle w:evenVBand="false" w:oddVBand="true" w:firstColumn="false"/>
            <w:tcW w:w="33.333333%" w:type="pct"/>
          </w:tcPr>
          <w:p>
            <w:pPr>
              <w:ind w:leftChars="0" w:left="0" w:right="0"/>
            </w:pPr>
            <w:r>
              <w:t>STOXX LIMITED - CUSTOMIZED INDICES</w:t>
            </w:r>
          </w:p>
        </w:tc>
      </w:tr>
      <w:tr>
        <w:trPr>
          <w:cnfStyle w:evenHBand="false" w:oddHBand="true" w:firstRow="false"/>
        </w:trPr>
        <w:tc>
          <w:tcPr>
            <w:cnfStyle w:evenVBand="false" w:oddVBand="true" w:firstColumn="false"/>
            <w:tcW w:w="33.333333%" w:type="pct"/>
          </w:tcPr>
          <w:p>
            <w:pPr>
              <w:ind w:leftChars="0" w:left="0" w:right="0"/>
            </w:pPr>
            <w:r>
              <w:t>XSDX</w:t>
            </w:r>
          </w:p>
        </w:tc>
        <w:tc>
          <w:tcPr>
            <w:cnfStyle w:evenVBand="true" w:oddVBand="false" w:firstColumn="false"/>
            <w:tcW w:w="33.333333%" w:type="pct"/>
          </w:tcPr>
          <w:p>
            <w:pPr>
              <w:ind w:leftChars="0" w:left="0" w:right="0"/>
            </w:pPr>
            <w:r>
              <w:t>XSDX</w:t>
            </w:r>
          </w:p>
        </w:tc>
        <w:tc>
          <w:tcPr>
            <w:cnfStyle w:evenVBand="false" w:oddVBand="true" w:firstColumn="false"/>
            <w:tcW w:w="33.333333%" w:type="pct"/>
          </w:tcPr>
          <w:p>
            <w:pPr>
              <w:ind w:leftChars="0" w:left="0" w:right="0"/>
            </w:pPr>
            <w:r>
              <w:t>SIX DIGITAL EXCHANGE</w:t>
            </w:r>
          </w:p>
        </w:tc>
      </w:tr>
      <w:tr>
        <w:trPr>
          <w:cnfStyle w:evenHBand="true" w:oddHBand="false" w:firstRow="false"/>
        </w:trPr>
        <w:tc>
          <w:tcPr>
            <w:cnfStyle w:evenVBand="false" w:oddVBand="true" w:firstColumn="false"/>
            <w:tcW w:w="33.333333%" w:type="pct"/>
          </w:tcPr>
          <w:p>
            <w:pPr>
              <w:ind w:leftChars="0" w:left="0" w:right="0"/>
            </w:pPr>
            <w:r>
              <w:t>XSEB</w:t>
            </w:r>
          </w:p>
        </w:tc>
        <w:tc>
          <w:tcPr>
            <w:cnfStyle w:evenVBand="true" w:oddVBand="false" w:firstColumn="false"/>
            <w:tcW w:w="33.333333%" w:type="pct"/>
          </w:tcPr>
          <w:p>
            <w:pPr>
              <w:ind w:leftChars="0" w:left="0" w:right="0"/>
            </w:pPr>
            <w:r>
              <w:t>XSEB</w:t>
            </w:r>
          </w:p>
        </w:tc>
        <w:tc>
          <w:tcPr>
            <w:cnfStyle w:evenVBand="false" w:oddVBand="true" w:firstColumn="false"/>
            <w:tcW w:w="33.333333%" w:type="pct"/>
          </w:tcPr>
          <w:p>
            <w:pPr>
              <w:ind w:leftChars="0" w:left="0" w:right="0"/>
            </w:pPr>
            <w:r>
              <w:t>SIX SWISS EXCHANGE - EBBO BOOK</w:t>
            </w:r>
          </w:p>
        </w:tc>
      </w:tr>
      <w:tr>
        <w:trPr>
          <w:cnfStyle w:evenHBand="false" w:oddHBand="true" w:firstRow="false"/>
        </w:trPr>
        <w:tc>
          <w:tcPr>
            <w:cnfStyle w:evenVBand="false" w:oddVBand="true" w:firstColumn="false"/>
            <w:tcW w:w="33.333333%" w:type="pct"/>
          </w:tcPr>
          <w:p>
            <w:pPr>
              <w:ind w:leftChars="0" w:left="0" w:right="0"/>
            </w:pPr>
            <w:r>
              <w:t>XSEC</w:t>
            </w:r>
          </w:p>
        </w:tc>
        <w:tc>
          <w:tcPr>
            <w:cnfStyle w:evenVBand="true" w:oddVBand="false" w:firstColumn="false"/>
            <w:tcW w:w="33.333333%" w:type="pct"/>
          </w:tcPr>
          <w:p>
            <w:pPr>
              <w:ind w:leftChars="0" w:left="0" w:right="0"/>
            </w:pPr>
            <w:r>
              <w:t>XSEC</w:t>
            </w:r>
          </w:p>
        </w:tc>
        <w:tc>
          <w:tcPr>
            <w:cnfStyle w:evenVBand="false" w:oddVBand="true" w:firstColumn="false"/>
            <w:tcW w:w="33.333333%" w:type="pct"/>
          </w:tcPr>
          <w:p>
            <w:pPr>
              <w:ind w:leftChars="0" w:left="0" w:right="0"/>
            </w:pPr>
            <w:r>
              <w:t>SHENZHEN STOCK EXCHANGE - SHENZHEN - HONG KONG STOCK CONNECT</w:t>
            </w:r>
          </w:p>
        </w:tc>
      </w:tr>
      <w:tr>
        <w:trPr>
          <w:cnfStyle w:evenHBand="true" w:oddHBand="false" w:firstRow="false"/>
        </w:trPr>
        <w:tc>
          <w:tcPr>
            <w:cnfStyle w:evenVBand="false" w:oddVBand="true" w:firstColumn="false"/>
            <w:tcW w:w="33.333333%" w:type="pct"/>
          </w:tcPr>
          <w:p>
            <w:pPr>
              <w:ind w:leftChars="0" w:left="0" w:right="0"/>
            </w:pPr>
            <w:r>
              <w:t>XSEF</w:t>
            </w:r>
          </w:p>
        </w:tc>
        <w:tc>
          <w:tcPr>
            <w:cnfStyle w:evenVBand="true" w:oddVBand="false" w:firstColumn="false"/>
            <w:tcW w:w="33.333333%" w:type="pct"/>
          </w:tcPr>
          <w:p>
            <w:pPr>
              <w:ind w:leftChars="0" w:left="0" w:right="0"/>
            </w:pPr>
            <w:r>
              <w:t>XSEF</w:t>
            </w:r>
          </w:p>
        </w:tc>
        <w:tc>
          <w:tcPr>
            <w:cnfStyle w:evenVBand="false" w:oddVBand="true" w:firstColumn="false"/>
            <w:tcW w:w="33.333333%" w:type="pct"/>
          </w:tcPr>
          <w:p>
            <w:pPr>
              <w:ind w:leftChars="0" w:left="0" w:right="0"/>
            </w:pPr>
            <w:r>
              <w:t>SWAPEX, LLC</w:t>
            </w:r>
          </w:p>
        </w:tc>
      </w:tr>
      <w:tr>
        <w:trPr>
          <w:cnfStyle w:evenHBand="false" w:oddHBand="true" w:firstRow="false"/>
        </w:trPr>
        <w:tc>
          <w:tcPr>
            <w:cnfStyle w:evenVBand="false" w:oddVBand="true" w:firstColumn="false"/>
            <w:tcW w:w="33.333333%" w:type="pct"/>
          </w:tcPr>
          <w:p>
            <w:pPr>
              <w:ind w:leftChars="0" w:left="0" w:right="0"/>
            </w:pPr>
            <w:r>
              <w:t>XSES</w:t>
            </w:r>
          </w:p>
        </w:tc>
        <w:tc>
          <w:tcPr>
            <w:cnfStyle w:evenVBand="true" w:oddVBand="false" w:firstColumn="false"/>
            <w:tcW w:w="33.333333%" w:type="pct"/>
          </w:tcPr>
          <w:p>
            <w:pPr>
              <w:ind w:leftChars="0" w:left="0" w:right="0"/>
            </w:pPr>
            <w:r>
              <w:t>XSES</w:t>
            </w:r>
          </w:p>
        </w:tc>
        <w:tc>
          <w:tcPr>
            <w:cnfStyle w:evenVBand="false" w:oddVBand="true" w:firstColumn="false"/>
            <w:tcW w:w="33.333333%" w:type="pct"/>
          </w:tcPr>
          <w:p>
            <w:pPr>
              <w:ind w:leftChars="0" w:left="0" w:right="0"/>
            </w:pPr>
            <w:r>
              <w:t>SINGAPORE EXCHANGE</w:t>
            </w:r>
          </w:p>
        </w:tc>
      </w:tr>
      <w:tr>
        <w:trPr>
          <w:cnfStyle w:evenHBand="true" w:oddHBand="false" w:firstRow="false"/>
        </w:trPr>
        <w:tc>
          <w:tcPr>
            <w:cnfStyle w:evenVBand="false" w:oddVBand="true" w:firstColumn="false"/>
            <w:tcW w:w="33.333333%" w:type="pct"/>
          </w:tcPr>
          <w:p>
            <w:pPr>
              <w:ind w:leftChars="0" w:left="0" w:right="0"/>
            </w:pPr>
            <w:r>
              <w:t>XSFA</w:t>
            </w:r>
          </w:p>
        </w:tc>
        <w:tc>
          <w:tcPr>
            <w:cnfStyle w:evenVBand="true" w:oddVBand="false" w:firstColumn="false"/>
            <w:tcW w:w="33.333333%" w:type="pct"/>
          </w:tcPr>
          <w:p>
            <w:pPr>
              <w:ind w:leftChars="0" w:left="0" w:right="0"/>
            </w:pPr>
            <w:r>
              <w:t>XSFA</w:t>
            </w:r>
          </w:p>
        </w:tc>
        <w:tc>
          <w:tcPr>
            <w:cnfStyle w:evenVBand="false" w:oddVBand="true" w:firstColumn="false"/>
            <w:tcW w:w="33.333333%" w:type="pct"/>
          </w:tcPr>
          <w:p>
            <w:pPr>
              <w:ind w:leftChars="0" w:left="0" w:right="0"/>
            </w:pPr>
            <w:r>
              <w:t>JSE COMMODITY DERIVATIVES MARKET</w:t>
            </w:r>
          </w:p>
        </w:tc>
      </w:tr>
      <w:tr>
        <w:trPr>
          <w:cnfStyle w:evenHBand="false" w:oddHBand="true" w:firstRow="false"/>
        </w:trPr>
        <w:tc>
          <w:tcPr>
            <w:cnfStyle w:evenVBand="false" w:oddVBand="true" w:firstColumn="false"/>
            <w:tcW w:w="33.333333%" w:type="pct"/>
          </w:tcPr>
          <w:p>
            <w:pPr>
              <w:ind w:leftChars="0" w:left="0" w:right="0"/>
            </w:pPr>
            <w:r>
              <w:t>XSFE</w:t>
            </w:r>
          </w:p>
        </w:tc>
        <w:tc>
          <w:tcPr>
            <w:cnfStyle w:evenVBand="true" w:oddVBand="false" w:firstColumn="false"/>
            <w:tcW w:w="33.333333%" w:type="pct"/>
          </w:tcPr>
          <w:p>
            <w:pPr>
              <w:ind w:leftChars="0" w:left="0" w:right="0"/>
            </w:pPr>
            <w:r>
              <w:t>XSFE</w:t>
            </w:r>
          </w:p>
        </w:tc>
        <w:tc>
          <w:tcPr>
            <w:cnfStyle w:evenVBand="false" w:oddVBand="true" w:firstColumn="false"/>
            <w:tcW w:w="33.333333%" w:type="pct"/>
          </w:tcPr>
          <w:p>
            <w:pPr>
              <w:ind w:leftChars="0" w:left="0" w:right="0"/>
            </w:pPr>
            <w:r>
              <w:t>ASX - TRADE24</w:t>
            </w:r>
          </w:p>
        </w:tc>
      </w:tr>
      <w:tr>
        <w:trPr>
          <w:cnfStyle w:evenHBand="true" w:oddHBand="false" w:firstRow="false"/>
        </w:trPr>
        <w:tc>
          <w:tcPr>
            <w:cnfStyle w:evenVBand="false" w:oddVBand="true" w:firstColumn="false"/>
            <w:tcW w:w="33.333333%" w:type="pct"/>
          </w:tcPr>
          <w:p>
            <w:pPr>
              <w:ind w:leftChars="0" w:left="0" w:right="0"/>
            </w:pPr>
            <w:r>
              <w:t>XSGA</w:t>
            </w:r>
          </w:p>
        </w:tc>
        <w:tc>
          <w:tcPr>
            <w:cnfStyle w:evenVBand="true" w:oddVBand="false" w:firstColumn="false"/>
            <w:tcW w:w="33.333333%" w:type="pct"/>
          </w:tcPr>
          <w:p>
            <w:pPr>
              <w:ind w:leftChars="0" w:left="0" w:right="0"/>
            </w:pPr>
            <w:r>
              <w:t>XSGA</w:t>
            </w:r>
          </w:p>
        </w:tc>
        <w:tc>
          <w:tcPr>
            <w:cnfStyle w:evenVBand="false" w:oddVBand="true" w:firstColumn="false"/>
            <w:tcW w:w="33.333333%" w:type="pct"/>
          </w:tcPr>
          <w:p>
            <w:pPr>
              <w:ind w:leftChars="0" w:left="0" w:right="0"/>
            </w:pPr>
            <w:r>
              <w:t>SOCIETE GENERALE - SYSTEMATIC INTERNALISER</w:t>
            </w:r>
          </w:p>
        </w:tc>
      </w:tr>
      <w:tr>
        <w:trPr>
          <w:cnfStyle w:evenHBand="false" w:oddHBand="true" w:firstRow="false"/>
        </w:trPr>
        <w:tc>
          <w:tcPr>
            <w:cnfStyle w:evenVBand="false" w:oddVBand="true" w:firstColumn="false"/>
            <w:tcW w:w="33.333333%" w:type="pct"/>
          </w:tcPr>
          <w:p>
            <w:pPr>
              <w:ind w:leftChars="0" w:left="0" w:right="0"/>
            </w:pPr>
            <w:r>
              <w:t>XSGB</w:t>
            </w:r>
          </w:p>
        </w:tc>
        <w:tc>
          <w:tcPr>
            <w:cnfStyle w:evenVBand="true" w:oddVBand="false" w:firstColumn="false"/>
            <w:tcW w:w="33.333333%" w:type="pct"/>
          </w:tcPr>
          <w:p>
            <w:pPr>
              <w:ind w:leftChars="0" w:left="0" w:right="0"/>
            </w:pPr>
            <w:r>
              <w:t>XSGB</w:t>
            </w:r>
          </w:p>
        </w:tc>
        <w:tc>
          <w:tcPr>
            <w:cnfStyle w:evenVBand="false" w:oddVBand="true" w:firstColumn="false"/>
            <w:tcW w:w="33.333333%" w:type="pct"/>
          </w:tcPr>
          <w:p>
            <w:pPr>
              <w:ind w:leftChars="0" w:left="0" w:right="0"/>
            </w:pPr>
            <w:r>
              <w:t>SOCIETE GENERALE (LONDON BRANCH) - SYSTEMATIC INTERNALISER</w:t>
            </w:r>
          </w:p>
        </w:tc>
      </w:tr>
      <w:tr>
        <w:trPr>
          <w:cnfStyle w:evenHBand="true" w:oddHBand="false" w:firstRow="false"/>
        </w:trPr>
        <w:tc>
          <w:tcPr>
            <w:cnfStyle w:evenVBand="false" w:oddVBand="true" w:firstColumn="false"/>
            <w:tcW w:w="33.333333%" w:type="pct"/>
          </w:tcPr>
          <w:p>
            <w:pPr>
              <w:ind w:leftChars="0" w:left="0" w:right="0"/>
            </w:pPr>
            <w:r>
              <w:t>XSGE</w:t>
            </w:r>
          </w:p>
        </w:tc>
        <w:tc>
          <w:tcPr>
            <w:cnfStyle w:evenVBand="true" w:oddVBand="false" w:firstColumn="false"/>
            <w:tcW w:w="33.333333%" w:type="pct"/>
          </w:tcPr>
          <w:p>
            <w:pPr>
              <w:ind w:leftChars="0" w:left="0" w:right="0"/>
            </w:pPr>
            <w:r>
              <w:t>XSGE</w:t>
            </w:r>
          </w:p>
        </w:tc>
        <w:tc>
          <w:tcPr>
            <w:cnfStyle w:evenVBand="false" w:oddVBand="true" w:firstColumn="false"/>
            <w:tcW w:w="33.333333%" w:type="pct"/>
          </w:tcPr>
          <w:p>
            <w:pPr>
              <w:ind w:leftChars="0" w:left="0" w:right="0"/>
            </w:pPr>
            <w:r>
              <w:t>SHANGHAI FUTURES EXCHANGE</w:t>
            </w:r>
          </w:p>
        </w:tc>
      </w:tr>
      <w:tr>
        <w:trPr>
          <w:cnfStyle w:evenHBand="false" w:oddHBand="true" w:firstRow="false"/>
        </w:trPr>
        <w:tc>
          <w:tcPr>
            <w:cnfStyle w:evenVBand="false" w:oddVBand="true" w:firstColumn="false"/>
            <w:tcW w:w="33.333333%" w:type="pct"/>
          </w:tcPr>
          <w:p>
            <w:pPr>
              <w:ind w:leftChars="0" w:left="0" w:right="0"/>
            </w:pPr>
            <w:r>
              <w:t>XSGO</w:t>
            </w:r>
          </w:p>
        </w:tc>
        <w:tc>
          <w:tcPr>
            <w:cnfStyle w:evenVBand="true" w:oddVBand="false" w:firstColumn="false"/>
            <w:tcW w:w="33.333333%" w:type="pct"/>
          </w:tcPr>
          <w:p>
            <w:pPr>
              <w:ind w:leftChars="0" w:left="0" w:right="0"/>
            </w:pPr>
            <w:r>
              <w:t>XSGO</w:t>
            </w:r>
          </w:p>
        </w:tc>
        <w:tc>
          <w:tcPr>
            <w:cnfStyle w:evenVBand="false" w:oddVBand="true" w:firstColumn="false"/>
            <w:tcW w:w="33.333333%" w:type="pct"/>
          </w:tcPr>
          <w:p>
            <w:pPr>
              <w:ind w:leftChars="0" w:left="0" w:right="0"/>
            </w:pPr>
            <w:r>
              <w:t>SANTIAGO STOCK EXCHANGE</w:t>
            </w:r>
          </w:p>
        </w:tc>
      </w:tr>
      <w:tr>
        <w:trPr>
          <w:cnfStyle w:evenHBand="true" w:oddHBand="false" w:firstRow="false"/>
        </w:trPr>
        <w:tc>
          <w:tcPr>
            <w:cnfStyle w:evenVBand="false" w:oddVBand="true" w:firstColumn="false"/>
            <w:tcW w:w="33.333333%" w:type="pct"/>
          </w:tcPr>
          <w:p>
            <w:pPr>
              <w:ind w:leftChars="0" w:left="0" w:right="0"/>
            </w:pPr>
            <w:r>
              <w:t>XSHE</w:t>
            </w:r>
          </w:p>
        </w:tc>
        <w:tc>
          <w:tcPr>
            <w:cnfStyle w:evenVBand="true" w:oddVBand="false" w:firstColumn="false"/>
            <w:tcW w:w="33.333333%" w:type="pct"/>
          </w:tcPr>
          <w:p>
            <w:pPr>
              <w:ind w:leftChars="0" w:left="0" w:right="0"/>
            </w:pPr>
            <w:r>
              <w:t>XSHE</w:t>
            </w:r>
          </w:p>
        </w:tc>
        <w:tc>
          <w:tcPr>
            <w:cnfStyle w:evenVBand="false" w:oddVBand="true" w:firstColumn="false"/>
            <w:tcW w:w="33.333333%" w:type="pct"/>
          </w:tcPr>
          <w:p>
            <w:pPr>
              <w:ind w:leftChars="0" w:left="0" w:right="0"/>
            </w:pPr>
            <w:r>
              <w:t>SHENZHEN STOCK EXCHANGE</w:t>
            </w:r>
          </w:p>
        </w:tc>
      </w:tr>
      <w:tr>
        <w:trPr>
          <w:cnfStyle w:evenHBand="false" w:oddHBand="true" w:firstRow="false"/>
        </w:trPr>
        <w:tc>
          <w:tcPr>
            <w:cnfStyle w:evenVBand="false" w:oddVBand="true" w:firstColumn="false"/>
            <w:tcW w:w="33.333333%" w:type="pct"/>
          </w:tcPr>
          <w:p>
            <w:pPr>
              <w:ind w:leftChars="0" w:left="0" w:right="0"/>
            </w:pPr>
            <w:r>
              <w:t>XSHG</w:t>
            </w:r>
          </w:p>
        </w:tc>
        <w:tc>
          <w:tcPr>
            <w:cnfStyle w:evenVBand="true" w:oddVBand="false" w:firstColumn="false"/>
            <w:tcW w:w="33.333333%" w:type="pct"/>
          </w:tcPr>
          <w:p>
            <w:pPr>
              <w:ind w:leftChars="0" w:left="0" w:right="0"/>
            </w:pPr>
            <w:r>
              <w:t>XSHG</w:t>
            </w:r>
          </w:p>
        </w:tc>
        <w:tc>
          <w:tcPr>
            <w:cnfStyle w:evenVBand="false" w:oddVBand="true" w:firstColumn="false"/>
            <w:tcW w:w="33.333333%" w:type="pct"/>
          </w:tcPr>
          <w:p>
            <w:pPr>
              <w:ind w:leftChars="0" w:left="0" w:right="0"/>
            </w:pPr>
            <w:r>
              <w:t>SHANGHAI STOCK EXCHANGE</w:t>
            </w:r>
          </w:p>
        </w:tc>
      </w:tr>
      <w:tr>
        <w:trPr>
          <w:cnfStyle w:evenHBand="true" w:oddHBand="false" w:firstRow="false"/>
        </w:trPr>
        <w:tc>
          <w:tcPr>
            <w:cnfStyle w:evenVBand="false" w:oddVBand="true" w:firstColumn="false"/>
            <w:tcW w:w="33.333333%" w:type="pct"/>
          </w:tcPr>
          <w:p>
            <w:pPr>
              <w:ind w:leftChars="0" w:left="0" w:right="0"/>
            </w:pPr>
            <w:r>
              <w:t>XSIB</w:t>
            </w:r>
          </w:p>
        </w:tc>
        <w:tc>
          <w:tcPr>
            <w:cnfStyle w:evenVBand="true" w:oddVBand="false" w:firstColumn="false"/>
            <w:tcW w:w="33.333333%" w:type="pct"/>
          </w:tcPr>
          <w:p>
            <w:pPr>
              <w:ind w:leftChars="0" w:left="0" w:right="0"/>
            </w:pPr>
            <w:r>
              <w:t>XSIB</w:t>
            </w:r>
          </w:p>
        </w:tc>
        <w:tc>
          <w:tcPr>
            <w:cnfStyle w:evenVBand="false" w:oddVBand="true" w:firstColumn="false"/>
            <w:tcW w:w="33.333333%" w:type="pct"/>
          </w:tcPr>
          <w:p>
            <w:pPr>
              <w:ind w:leftChars="0" w:left="0" w:right="0"/>
            </w:pPr>
            <w:r>
              <w:t>SIBERIAN EXCHANGE</w:t>
            </w:r>
          </w:p>
        </w:tc>
      </w:tr>
      <w:tr>
        <w:trPr>
          <w:cnfStyle w:evenHBand="false" w:oddHBand="true" w:firstRow="false"/>
        </w:trPr>
        <w:tc>
          <w:tcPr>
            <w:cnfStyle w:evenVBand="false" w:oddVBand="true" w:firstColumn="false"/>
            <w:tcW w:w="33.333333%" w:type="pct"/>
          </w:tcPr>
          <w:p>
            <w:pPr>
              <w:ind w:leftChars="0" w:left="0" w:right="0"/>
            </w:pPr>
            <w:r>
              <w:t>XSIC</w:t>
            </w:r>
          </w:p>
        </w:tc>
        <w:tc>
          <w:tcPr>
            <w:cnfStyle w:evenVBand="true" w:oddVBand="false" w:firstColumn="false"/>
            <w:tcW w:w="33.333333%" w:type="pct"/>
          </w:tcPr>
          <w:p>
            <w:pPr>
              <w:ind w:leftChars="0" w:left="0" w:right="0"/>
            </w:pPr>
            <w:r>
              <w:t>XSIC</w:t>
            </w:r>
          </w:p>
        </w:tc>
        <w:tc>
          <w:tcPr>
            <w:cnfStyle w:evenVBand="false" w:oddVBand="true" w:firstColumn="false"/>
            <w:tcW w:w="33.333333%" w:type="pct"/>
          </w:tcPr>
          <w:p>
            <w:pPr>
              <w:ind w:leftChars="0" w:left="0" w:right="0"/>
            </w:pPr>
            <w:r>
              <w:t>SIBERIAN INTERBANK CURRENCY EXCHANGE</w:t>
            </w:r>
          </w:p>
        </w:tc>
      </w:tr>
      <w:tr>
        <w:trPr>
          <w:cnfStyle w:evenHBand="true" w:oddHBand="false" w:firstRow="false"/>
        </w:trPr>
        <w:tc>
          <w:tcPr>
            <w:cnfStyle w:evenVBand="false" w:oddVBand="true" w:firstColumn="false"/>
            <w:tcW w:w="33.333333%" w:type="pct"/>
          </w:tcPr>
          <w:p>
            <w:pPr>
              <w:ind w:leftChars="0" w:left="0" w:right="0"/>
            </w:pPr>
            <w:r>
              <w:t>XSIM</w:t>
            </w:r>
          </w:p>
        </w:tc>
        <w:tc>
          <w:tcPr>
            <w:cnfStyle w:evenVBand="true" w:oddVBand="false" w:firstColumn="false"/>
            <w:tcW w:w="33.333333%" w:type="pct"/>
          </w:tcPr>
          <w:p>
            <w:pPr>
              <w:ind w:leftChars="0" w:left="0" w:right="0"/>
            </w:pPr>
            <w:r>
              <w:t>XSIM</w:t>
            </w:r>
          </w:p>
        </w:tc>
        <w:tc>
          <w:tcPr>
            <w:cnfStyle w:evenVBand="false" w:oddVBand="true" w:firstColumn="false"/>
            <w:tcW w:w="33.333333%" w:type="pct"/>
          </w:tcPr>
          <w:p>
            <w:pPr>
              <w:ind w:leftChars="0" w:left="0" w:right="0"/>
            </w:pPr>
            <w:r>
              <w:t>SINGAPORE EXCHANGE DERIVATIVES CLEARING LIMITED</w:t>
            </w:r>
          </w:p>
        </w:tc>
      </w:tr>
      <w:tr>
        <w:trPr>
          <w:cnfStyle w:evenHBand="false" w:oddHBand="true" w:firstRow="false"/>
        </w:trPr>
        <w:tc>
          <w:tcPr>
            <w:cnfStyle w:evenVBand="false" w:oddVBand="true" w:firstColumn="false"/>
            <w:tcW w:w="33.333333%" w:type="pct"/>
          </w:tcPr>
          <w:p>
            <w:pPr>
              <w:ind w:leftChars="0" w:left="0" w:right="0"/>
            </w:pPr>
            <w:r>
              <w:t>XSLS</w:t>
            </w:r>
          </w:p>
        </w:tc>
        <w:tc>
          <w:tcPr>
            <w:cnfStyle w:evenVBand="true" w:oddVBand="false" w:firstColumn="false"/>
            <w:tcW w:w="33.333333%" w:type="pct"/>
          </w:tcPr>
          <w:p>
            <w:pPr>
              <w:ind w:leftChars="0" w:left="0" w:right="0"/>
            </w:pPr>
            <w:r>
              <w:t>XSLS</w:t>
            </w:r>
          </w:p>
        </w:tc>
        <w:tc>
          <w:tcPr>
            <w:cnfStyle w:evenVBand="false" w:oddVBand="true" w:firstColumn="false"/>
            <w:tcW w:w="33.333333%" w:type="pct"/>
          </w:tcPr>
          <w:p>
            <w:pPr>
              <w:ind w:leftChars="0" w:left="0" w:right="0"/>
            </w:pPr>
            <w:r>
              <w:t>SIX SWISS EXCHANGE - SLS</w:t>
            </w:r>
          </w:p>
        </w:tc>
      </w:tr>
      <w:tr>
        <w:trPr>
          <w:cnfStyle w:evenHBand="true" w:oddHBand="false" w:firstRow="false"/>
        </w:trPr>
        <w:tc>
          <w:tcPr>
            <w:cnfStyle w:evenVBand="false" w:oddVBand="true" w:firstColumn="false"/>
            <w:tcW w:w="33.333333%" w:type="pct"/>
          </w:tcPr>
          <w:p>
            <w:pPr>
              <w:ind w:leftChars="0" w:left="0" w:right="0"/>
            </w:pPr>
            <w:r>
              <w:t>XSME</w:t>
            </w:r>
          </w:p>
        </w:tc>
        <w:tc>
          <w:tcPr>
            <w:cnfStyle w:evenVBand="true" w:oddVBand="false" w:firstColumn="false"/>
            <w:tcW w:w="33.333333%" w:type="pct"/>
          </w:tcPr>
          <w:p>
            <w:pPr>
              <w:ind w:leftChars="0" w:left="0" w:right="0"/>
            </w:pPr>
            <w:r>
              <w:t>XSME</w:t>
            </w:r>
          </w:p>
        </w:tc>
        <w:tc>
          <w:tcPr>
            <w:cnfStyle w:evenVBand="false" w:oddVBand="true" w:firstColumn="false"/>
            <w:tcW w:w="33.333333%" w:type="pct"/>
          </w:tcPr>
          <w:p>
            <w:pPr>
              <w:ind w:leftChars="0" w:left="0" w:right="0"/>
            </w:pPr>
            <w:r>
              <w:t>SHENZHEN MERCANTILE EXCHANGE</w:t>
            </w:r>
          </w:p>
        </w:tc>
      </w:tr>
      <w:tr>
        <w:trPr>
          <w:cnfStyle w:evenHBand="false" w:oddHBand="true" w:firstRow="false"/>
        </w:trPr>
        <w:tc>
          <w:tcPr>
            <w:cnfStyle w:evenVBand="false" w:oddVBand="true" w:firstColumn="false"/>
            <w:tcW w:w="33.333333%" w:type="pct"/>
          </w:tcPr>
          <w:p>
            <w:pPr>
              <w:ind w:leftChars="0" w:left="0" w:right="0"/>
            </w:pPr>
            <w:r>
              <w:t>XSMP</w:t>
            </w:r>
          </w:p>
        </w:tc>
        <w:tc>
          <w:tcPr>
            <w:cnfStyle w:evenVBand="true" w:oddVBand="false" w:firstColumn="false"/>
            <w:tcW w:w="33.333333%" w:type="pct"/>
          </w:tcPr>
          <w:p>
            <w:pPr>
              <w:ind w:leftChars="0" w:left="0" w:right="0"/>
            </w:pPr>
            <w:r>
              <w:t>XSMP</w:t>
            </w:r>
          </w:p>
        </w:tc>
        <w:tc>
          <w:tcPr>
            <w:cnfStyle w:evenVBand="false" w:oddVBand="true" w:firstColumn="false"/>
            <w:tcW w:w="33.333333%" w:type="pct"/>
          </w:tcPr>
          <w:p>
            <w:pPr>
              <w:ind w:leftChars="0" w:left="0" w:right="0"/>
            </w:pPr>
            <w:r>
              <w:t>EURONEXT BLOCK</w:t>
            </w:r>
          </w:p>
        </w:tc>
      </w:tr>
      <w:tr>
        <w:trPr>
          <w:cnfStyle w:evenHBand="true" w:oddHBand="false" w:firstRow="false"/>
        </w:trPr>
        <w:tc>
          <w:tcPr>
            <w:cnfStyle w:evenVBand="false" w:oddVBand="true" w:firstColumn="false"/>
            <w:tcW w:w="33.333333%" w:type="pct"/>
          </w:tcPr>
          <w:p>
            <w:pPr>
              <w:ind w:leftChars="0" w:left="0" w:right="0"/>
            </w:pPr>
            <w:r>
              <w:t>XSOM</w:t>
            </w:r>
          </w:p>
        </w:tc>
        <w:tc>
          <w:tcPr>
            <w:cnfStyle w:evenVBand="true" w:oddVBand="false" w:firstColumn="false"/>
            <w:tcW w:w="33.333333%" w:type="pct"/>
          </w:tcPr>
          <w:p>
            <w:pPr>
              <w:ind w:leftChars="0" w:left="0" w:right="0"/>
            </w:pPr>
            <w:r>
              <w:t>XSOM</w:t>
            </w:r>
          </w:p>
        </w:tc>
        <w:tc>
          <w:tcPr>
            <w:cnfStyle w:evenVBand="false" w:oddVBand="true" w:firstColumn="false"/>
            <w:tcW w:w="33.333333%" w:type="pct"/>
          </w:tcPr>
          <w:p>
            <w:pPr>
              <w:ind w:leftChars="0" w:left="0" w:right="0"/>
            </w:pPr>
            <w:r>
              <w:t>BOLSA DE VALORES DE SAO PAULO - SOMA</w:t>
            </w:r>
          </w:p>
        </w:tc>
      </w:tr>
      <w:tr>
        <w:trPr>
          <w:cnfStyle w:evenHBand="false" w:oddHBand="true" w:firstRow="false"/>
        </w:trPr>
        <w:tc>
          <w:tcPr>
            <w:cnfStyle w:evenVBand="false" w:oddVBand="true" w:firstColumn="false"/>
            <w:tcW w:w="33.333333%" w:type="pct"/>
          </w:tcPr>
          <w:p>
            <w:pPr>
              <w:ind w:leftChars="0" w:left="0" w:right="0"/>
            </w:pPr>
            <w:r>
              <w:t>XSOP</w:t>
            </w:r>
          </w:p>
        </w:tc>
        <w:tc>
          <w:tcPr>
            <w:cnfStyle w:evenVBand="true" w:oddVBand="false" w:firstColumn="false"/>
            <w:tcW w:w="33.333333%" w:type="pct"/>
          </w:tcPr>
          <w:p>
            <w:pPr>
              <w:ind w:leftChars="0" w:left="0" w:right="0"/>
            </w:pPr>
            <w:r>
              <w:t>XSOP</w:t>
            </w:r>
          </w:p>
        </w:tc>
        <w:tc>
          <w:tcPr>
            <w:cnfStyle w:evenVBand="false" w:oddVBand="true" w:firstColumn="false"/>
            <w:tcW w:w="33.333333%" w:type="pct"/>
          </w:tcPr>
          <w:p>
            <w:pPr>
              <w:ind w:leftChars="0" w:left="0" w:right="0"/>
            </w:pPr>
            <w:r>
              <w:t>BSP REGIONAL ENERGY EXCHANGE - SOUTH POOL</w:t>
            </w:r>
          </w:p>
        </w:tc>
      </w:tr>
      <w:tr>
        <w:trPr>
          <w:cnfStyle w:evenHBand="true" w:oddHBand="false" w:firstRow="false"/>
        </w:trPr>
        <w:tc>
          <w:tcPr>
            <w:cnfStyle w:evenVBand="false" w:oddVBand="true" w:firstColumn="false"/>
            <w:tcW w:w="33.333333%" w:type="pct"/>
          </w:tcPr>
          <w:p>
            <w:pPr>
              <w:ind w:leftChars="0" w:left="0" w:right="0"/>
            </w:pPr>
            <w:r>
              <w:t>XSPM</w:t>
            </w:r>
          </w:p>
        </w:tc>
        <w:tc>
          <w:tcPr>
            <w:cnfStyle w:evenVBand="true" w:oddVBand="false" w:firstColumn="false"/>
            <w:tcW w:w="33.333333%" w:type="pct"/>
          </w:tcPr>
          <w:p>
            <w:pPr>
              <w:ind w:leftChars="0" w:left="0" w:right="0"/>
            </w:pPr>
            <w:r>
              <w:t>XSPM</w:t>
            </w:r>
          </w:p>
        </w:tc>
        <w:tc>
          <w:tcPr>
            <w:cnfStyle w:evenVBand="false" w:oddVBand="true" w:firstColumn="false"/>
            <w:tcW w:w="33.333333%" w:type="pct"/>
          </w:tcPr>
          <w:p>
            <w:pPr>
              <w:ind w:leftChars="0" w:left="0" w:right="0"/>
            </w:pPr>
            <w:r>
              <w:t>EURONEXT STRUCTURED PRODUCTS MTF</w:t>
            </w:r>
          </w:p>
        </w:tc>
      </w:tr>
      <w:tr>
        <w:trPr>
          <w:cnfStyle w:evenHBand="false" w:oddHBand="true" w:firstRow="false"/>
        </w:trPr>
        <w:tc>
          <w:tcPr>
            <w:cnfStyle w:evenVBand="false" w:oddVBand="true" w:firstColumn="false"/>
            <w:tcW w:w="33.333333%" w:type="pct"/>
          </w:tcPr>
          <w:p>
            <w:pPr>
              <w:ind w:leftChars="0" w:left="0" w:right="0"/>
            </w:pPr>
            <w:r>
              <w:t>XSPS</w:t>
            </w:r>
          </w:p>
        </w:tc>
        <w:tc>
          <w:tcPr>
            <w:cnfStyle w:evenVBand="true" w:oddVBand="false" w:firstColumn="false"/>
            <w:tcW w:w="33.333333%" w:type="pct"/>
          </w:tcPr>
          <w:p>
            <w:pPr>
              <w:ind w:leftChars="0" w:left="0" w:right="0"/>
            </w:pPr>
            <w:r>
              <w:t>XSPS</w:t>
            </w:r>
          </w:p>
        </w:tc>
        <w:tc>
          <w:tcPr>
            <w:cnfStyle w:evenVBand="false" w:oddVBand="true" w:firstColumn="false"/>
            <w:tcW w:w="33.333333%" w:type="pct"/>
          </w:tcPr>
          <w:p>
            <w:pPr>
              <w:ind w:leftChars="0" w:left="0" w:right="0"/>
            </w:pPr>
            <w:r>
              <w:t>SOUTH PACIFIC STOCK EXCHANGE</w:t>
            </w:r>
          </w:p>
        </w:tc>
      </w:tr>
      <w:tr>
        <w:trPr>
          <w:cnfStyle w:evenHBand="true" w:oddHBand="false" w:firstRow="false"/>
        </w:trPr>
        <w:tc>
          <w:tcPr>
            <w:cnfStyle w:evenVBand="false" w:oddVBand="true" w:firstColumn="false"/>
            <w:tcW w:w="33.333333%" w:type="pct"/>
          </w:tcPr>
          <w:p>
            <w:pPr>
              <w:ind w:leftChars="0" w:left="0" w:right="0"/>
            </w:pPr>
            <w:r>
              <w:t>XSRM</w:t>
            </w:r>
          </w:p>
        </w:tc>
        <w:tc>
          <w:tcPr>
            <w:cnfStyle w:evenVBand="true" w:oddVBand="false" w:firstColumn="false"/>
            <w:tcW w:w="33.333333%" w:type="pct"/>
          </w:tcPr>
          <w:p>
            <w:pPr>
              <w:ind w:leftChars="0" w:left="0" w:right="0"/>
            </w:pPr>
            <w:r>
              <w:t>XSRM</w:t>
            </w:r>
          </w:p>
        </w:tc>
        <w:tc>
          <w:tcPr>
            <w:cnfStyle w:evenVBand="false" w:oddVBand="true" w:firstColumn="false"/>
            <w:tcW w:w="33.333333%" w:type="pct"/>
          </w:tcPr>
          <w:p>
            <w:pPr>
              <w:ind w:leftChars="0" w:left="0" w:right="0"/>
            </w:pPr>
            <w:r>
              <w:t>MERCADO DE FUTUROS DE ACEITE DE OLIVA, S.A.</w:t>
            </w:r>
          </w:p>
        </w:tc>
      </w:tr>
      <w:tr>
        <w:trPr>
          <w:cnfStyle w:evenHBand="false" w:oddHBand="true" w:firstRow="false"/>
        </w:trPr>
        <w:tc>
          <w:tcPr>
            <w:cnfStyle w:evenVBand="false" w:oddVBand="true" w:firstColumn="false"/>
            <w:tcW w:w="33.333333%" w:type="pct"/>
          </w:tcPr>
          <w:p>
            <w:pPr>
              <w:ind w:leftChars="0" w:left="0" w:right="0"/>
            </w:pPr>
            <w:r>
              <w:t>XSSC</w:t>
            </w:r>
          </w:p>
        </w:tc>
        <w:tc>
          <w:tcPr>
            <w:cnfStyle w:evenVBand="true" w:oddVBand="false" w:firstColumn="false"/>
            <w:tcW w:w="33.333333%" w:type="pct"/>
          </w:tcPr>
          <w:p>
            <w:pPr>
              <w:ind w:leftChars="0" w:left="0" w:right="0"/>
            </w:pPr>
            <w:r>
              <w:t>XSSC</w:t>
            </w:r>
          </w:p>
        </w:tc>
        <w:tc>
          <w:tcPr>
            <w:cnfStyle w:evenVBand="false" w:oddVBand="true" w:firstColumn="false"/>
            <w:tcW w:w="33.333333%" w:type="pct"/>
          </w:tcPr>
          <w:p>
            <w:pPr>
              <w:ind w:leftChars="0" w:left="0" w:right="0"/>
            </w:pPr>
            <w:r>
              <w:t>SHANGHAI STOCK EXCHANGE - SHANGHAI - HONG KONG STOCK CONNECT</w:t>
            </w:r>
          </w:p>
        </w:tc>
      </w:tr>
      <w:tr>
        <w:trPr>
          <w:cnfStyle w:evenHBand="true" w:oddHBand="false" w:firstRow="false"/>
        </w:trPr>
        <w:tc>
          <w:tcPr>
            <w:cnfStyle w:evenVBand="false" w:oddVBand="true" w:firstColumn="false"/>
            <w:tcW w:w="33.333333%" w:type="pct"/>
          </w:tcPr>
          <w:p>
            <w:pPr>
              <w:ind w:leftChars="0" w:left="0" w:right="0"/>
            </w:pPr>
            <w:r>
              <w:t>XSSE</w:t>
            </w:r>
          </w:p>
        </w:tc>
        <w:tc>
          <w:tcPr>
            <w:cnfStyle w:evenVBand="true" w:oddVBand="false" w:firstColumn="false"/>
            <w:tcW w:w="33.333333%" w:type="pct"/>
          </w:tcPr>
          <w:p>
            <w:pPr>
              <w:ind w:leftChars="0" w:left="0" w:right="0"/>
            </w:pPr>
            <w:r>
              <w:t>XSSE</w:t>
            </w:r>
          </w:p>
        </w:tc>
        <w:tc>
          <w:tcPr>
            <w:cnfStyle w:evenVBand="false" w:oddVBand="true" w:firstColumn="false"/>
            <w:tcW w:w="33.333333%" w:type="pct"/>
          </w:tcPr>
          <w:p>
            <w:pPr>
              <w:ind w:leftChars="0" w:left="0" w:right="0"/>
            </w:pPr>
            <w:r>
              <w:t>SARAJEVO STOCK EXCHANGE</w:t>
            </w:r>
          </w:p>
        </w:tc>
      </w:tr>
      <w:tr>
        <w:trPr>
          <w:cnfStyle w:evenHBand="false" w:oddHBand="true" w:firstRow="false"/>
        </w:trPr>
        <w:tc>
          <w:tcPr>
            <w:cnfStyle w:evenVBand="false" w:oddVBand="true" w:firstColumn="false"/>
            <w:tcW w:w="33.333333%" w:type="pct"/>
          </w:tcPr>
          <w:p>
            <w:pPr>
              <w:ind w:leftChars="0" w:left="0" w:right="0"/>
            </w:pPr>
            <w:r>
              <w:t>XSTC</w:t>
            </w:r>
          </w:p>
        </w:tc>
        <w:tc>
          <w:tcPr>
            <w:cnfStyle w:evenVBand="true" w:oddVBand="false" w:firstColumn="false"/>
            <w:tcW w:w="33.333333%" w:type="pct"/>
          </w:tcPr>
          <w:p>
            <w:pPr>
              <w:ind w:leftChars="0" w:left="0" w:right="0"/>
            </w:pPr>
            <w:r>
              <w:t>XSTC</w:t>
            </w:r>
          </w:p>
        </w:tc>
        <w:tc>
          <w:tcPr>
            <w:cnfStyle w:evenVBand="false" w:oddVBand="true" w:firstColumn="false"/>
            <w:tcW w:w="33.333333%" w:type="pct"/>
          </w:tcPr>
          <w:p>
            <w:pPr>
              <w:ind w:leftChars="0" w:left="0" w:right="0"/>
            </w:pPr>
            <w:r>
              <w:t>HOCHIMINH STOCK EXCHANGE</w:t>
            </w:r>
          </w:p>
        </w:tc>
      </w:tr>
      <w:tr>
        <w:trPr>
          <w:cnfStyle w:evenHBand="true" w:oddHBand="false" w:firstRow="false"/>
        </w:trPr>
        <w:tc>
          <w:tcPr>
            <w:cnfStyle w:evenVBand="false" w:oddVBand="true" w:firstColumn="false"/>
            <w:tcW w:w="33.333333%" w:type="pct"/>
          </w:tcPr>
          <w:p>
            <w:pPr>
              <w:ind w:leftChars="0" w:left="0" w:right="0"/>
            </w:pPr>
            <w:r>
              <w:t>XSTE</w:t>
            </w:r>
          </w:p>
        </w:tc>
        <w:tc>
          <w:tcPr>
            <w:cnfStyle w:evenVBand="true" w:oddVBand="false" w:firstColumn="false"/>
            <w:tcW w:w="33.333333%" w:type="pct"/>
          </w:tcPr>
          <w:p>
            <w:pPr>
              <w:ind w:leftChars="0" w:left="0" w:right="0"/>
            </w:pPr>
            <w:r>
              <w:t>XSTE</w:t>
            </w:r>
          </w:p>
        </w:tc>
        <w:tc>
          <w:tcPr>
            <w:cnfStyle w:evenVBand="false" w:oddVBand="true" w:firstColumn="false"/>
            <w:tcW w:w="33.333333%" w:type="pct"/>
          </w:tcPr>
          <w:p>
            <w:pPr>
              <w:ind w:leftChars="0" w:left="0" w:right="0"/>
            </w:pPr>
            <w:r>
              <w:t>REPUBLICAN STOCK EXCHANGE</w:t>
            </w:r>
          </w:p>
        </w:tc>
      </w:tr>
      <w:tr>
        <w:trPr>
          <w:cnfStyle w:evenHBand="false" w:oddHBand="true" w:firstRow="false"/>
        </w:trPr>
        <w:tc>
          <w:tcPr>
            <w:cnfStyle w:evenVBand="false" w:oddVBand="true" w:firstColumn="false"/>
            <w:tcW w:w="33.333333%" w:type="pct"/>
          </w:tcPr>
          <w:p>
            <w:pPr>
              <w:ind w:leftChars="0" w:left="0" w:right="0"/>
            </w:pPr>
            <w:r>
              <w:t>XSTF</w:t>
            </w:r>
          </w:p>
        </w:tc>
        <w:tc>
          <w:tcPr>
            <w:cnfStyle w:evenVBand="true" w:oddVBand="false" w:firstColumn="false"/>
            <w:tcW w:w="33.333333%" w:type="pct"/>
          </w:tcPr>
          <w:p>
            <w:pPr>
              <w:ind w:leftChars="0" w:left="0" w:right="0"/>
            </w:pPr>
            <w:r>
              <w:t>XSTF</w:t>
            </w:r>
          </w:p>
        </w:tc>
        <w:tc>
          <w:tcPr>
            <w:cnfStyle w:evenVBand="false" w:oddVBand="true" w:firstColumn="false"/>
            <w:tcW w:w="33.333333%" w:type="pct"/>
          </w:tcPr>
          <w:p>
            <w:pPr>
              <w:ind w:leftChars="0" w:left="0" w:right="0"/>
            </w:pPr>
            <w:r>
              <w:t>BOERSE STUTTGART - TECHNICAL PLATFORM 2</w:t>
            </w:r>
          </w:p>
        </w:tc>
      </w:tr>
      <w:tr>
        <w:trPr>
          <w:cnfStyle w:evenHBand="true" w:oddHBand="false" w:firstRow="false"/>
        </w:trPr>
        <w:tc>
          <w:tcPr>
            <w:cnfStyle w:evenVBand="false" w:oddVBand="true" w:firstColumn="false"/>
            <w:tcW w:w="33.333333%" w:type="pct"/>
          </w:tcPr>
          <w:p>
            <w:pPr>
              <w:ind w:leftChars="0" w:left="0" w:right="0"/>
            </w:pPr>
            <w:r>
              <w:t>XSTM</w:t>
            </w:r>
          </w:p>
        </w:tc>
        <w:tc>
          <w:tcPr>
            <w:cnfStyle w:evenVBand="true" w:oddVBand="false" w:firstColumn="false"/>
            <w:tcW w:w="33.333333%" w:type="pct"/>
          </w:tcPr>
          <w:p>
            <w:pPr>
              <w:ind w:leftChars="0" w:left="0" w:right="0"/>
            </w:pPr>
            <w:r>
              <w:t>XSTM</w:t>
            </w:r>
          </w:p>
        </w:tc>
        <w:tc>
          <w:tcPr>
            <w:cnfStyle w:evenVBand="false" w:oddVBand="true" w:firstColumn="false"/>
            <w:tcW w:w="33.333333%" w:type="pct"/>
          </w:tcPr>
          <w:p>
            <w:pPr>
              <w:ind w:leftChars="0" w:left="0" w:right="0"/>
            </w:pPr>
            <w:r>
              <w:t>FIDELITY CROSSSTREAM ATS</w:t>
            </w:r>
          </w:p>
        </w:tc>
      </w:tr>
      <w:tr>
        <w:trPr>
          <w:cnfStyle w:evenHBand="false" w:oddHBand="true" w:firstRow="false"/>
        </w:trPr>
        <w:tc>
          <w:tcPr>
            <w:cnfStyle w:evenVBand="false" w:oddVBand="true" w:firstColumn="false"/>
            <w:tcW w:w="33.333333%" w:type="pct"/>
          </w:tcPr>
          <w:p>
            <w:pPr>
              <w:ind w:leftChars="0" w:left="0" w:right="0"/>
            </w:pPr>
            <w:r>
              <w:t>XSTO</w:t>
            </w:r>
          </w:p>
        </w:tc>
        <w:tc>
          <w:tcPr>
            <w:cnfStyle w:evenVBand="true" w:oddVBand="false" w:firstColumn="false"/>
            <w:tcW w:w="33.333333%" w:type="pct"/>
          </w:tcPr>
          <w:p>
            <w:pPr>
              <w:ind w:leftChars="0" w:left="0" w:right="0"/>
            </w:pPr>
            <w:r>
              <w:t>XSTO</w:t>
            </w:r>
          </w:p>
        </w:tc>
        <w:tc>
          <w:tcPr>
            <w:cnfStyle w:evenVBand="false" w:oddVBand="true" w:firstColumn="false"/>
            <w:tcW w:w="33.333333%" w:type="pct"/>
          </w:tcPr>
          <w:p>
            <w:pPr>
              <w:ind w:leftChars="0" w:left="0" w:right="0"/>
            </w:pPr>
            <w:r>
              <w:t>NASDAQ STOCKHOLM AB</w:t>
            </w:r>
          </w:p>
        </w:tc>
      </w:tr>
      <w:tr>
        <w:trPr>
          <w:cnfStyle w:evenHBand="true" w:oddHBand="false" w:firstRow="false"/>
        </w:trPr>
        <w:tc>
          <w:tcPr>
            <w:cnfStyle w:evenVBand="false" w:oddVBand="true" w:firstColumn="false"/>
            <w:tcW w:w="33.333333%" w:type="pct"/>
          </w:tcPr>
          <w:p>
            <w:pPr>
              <w:ind w:leftChars="0" w:left="0" w:right="0"/>
            </w:pPr>
            <w:r>
              <w:t>XSTP</w:t>
            </w:r>
          </w:p>
        </w:tc>
        <w:tc>
          <w:tcPr>
            <w:cnfStyle w:evenVBand="true" w:oddVBand="false" w:firstColumn="false"/>
            <w:tcW w:w="33.333333%" w:type="pct"/>
          </w:tcPr>
          <w:p>
            <w:pPr>
              <w:ind w:leftChars="0" w:left="0" w:right="0"/>
            </w:pPr>
            <w:r>
              <w:t>XSTP</w:t>
            </w:r>
          </w:p>
        </w:tc>
        <w:tc>
          <w:tcPr>
            <w:cnfStyle w:evenVBand="false" w:oddVBand="true" w:firstColumn="false"/>
            <w:tcW w:w="33.333333%" w:type="pct"/>
          </w:tcPr>
          <w:p>
            <w:pPr>
              <w:ind w:leftChars="0" w:left="0" w:right="0"/>
            </w:pPr>
            <w:r>
              <w:t>BOERSE STUTTGART - TECHNICAL PLATFORM 3</w:t>
            </w:r>
          </w:p>
        </w:tc>
      </w:tr>
      <w:tr>
        <w:trPr>
          <w:cnfStyle w:evenHBand="false" w:oddHBand="true" w:firstRow="false"/>
        </w:trPr>
        <w:tc>
          <w:tcPr>
            <w:cnfStyle w:evenVBand="false" w:oddVBand="true" w:firstColumn="false"/>
            <w:tcW w:w="33.333333%" w:type="pct"/>
          </w:tcPr>
          <w:p>
            <w:pPr>
              <w:ind w:leftChars="0" w:left="0" w:right="0"/>
            </w:pPr>
            <w:r>
              <w:t>XSTU</w:t>
            </w:r>
          </w:p>
        </w:tc>
        <w:tc>
          <w:tcPr>
            <w:cnfStyle w:evenVBand="true" w:oddVBand="false" w:firstColumn="false"/>
            <w:tcW w:w="33.333333%" w:type="pct"/>
          </w:tcPr>
          <w:p>
            <w:pPr>
              <w:ind w:leftChars="0" w:left="0" w:right="0"/>
            </w:pPr>
            <w:r>
              <w:t>XSTU</w:t>
            </w:r>
          </w:p>
        </w:tc>
        <w:tc>
          <w:tcPr>
            <w:cnfStyle w:evenVBand="false" w:oddVBand="true" w:firstColumn="false"/>
            <w:tcW w:w="33.333333%" w:type="pct"/>
          </w:tcPr>
          <w:p>
            <w:pPr>
              <w:ind w:leftChars="0" w:left="0" w:right="0"/>
            </w:pPr>
            <w:r>
              <w:t>BOERSE STUTTGART</w:t>
            </w:r>
          </w:p>
        </w:tc>
      </w:tr>
      <w:tr>
        <w:trPr>
          <w:cnfStyle w:evenHBand="true" w:oddHBand="false" w:firstRow="false"/>
        </w:trPr>
        <w:tc>
          <w:tcPr>
            <w:cnfStyle w:evenVBand="false" w:oddVBand="true" w:firstColumn="false"/>
            <w:tcW w:w="33.333333%" w:type="pct"/>
          </w:tcPr>
          <w:p>
            <w:pPr>
              <w:ind w:leftChars="0" w:left="0" w:right="0"/>
            </w:pPr>
            <w:r>
              <w:t>XSTV</w:t>
            </w:r>
          </w:p>
        </w:tc>
        <w:tc>
          <w:tcPr>
            <w:cnfStyle w:evenVBand="true" w:oddVBand="false" w:firstColumn="false"/>
            <w:tcW w:w="33.333333%" w:type="pct"/>
          </w:tcPr>
          <w:p>
            <w:pPr>
              <w:ind w:leftChars="0" w:left="0" w:right="0"/>
            </w:pPr>
            <w:r>
              <w:t>XSTV</w:t>
            </w:r>
          </w:p>
        </w:tc>
        <w:tc>
          <w:tcPr>
            <w:cnfStyle w:evenVBand="false" w:oddVBand="true" w:firstColumn="false"/>
            <w:tcW w:w="33.333333%" w:type="pct"/>
          </w:tcPr>
          <w:p>
            <w:pPr>
              <w:ind w:leftChars="0" w:left="0" w:right="0"/>
            </w:pPr>
            <w:r>
              <w:t>STOXX LIMITED - VOLATILITY INDICES</w:t>
            </w:r>
          </w:p>
        </w:tc>
      </w:tr>
      <w:tr>
        <w:trPr>
          <w:cnfStyle w:evenHBand="false" w:oddHBand="true" w:firstRow="false"/>
        </w:trPr>
        <w:tc>
          <w:tcPr>
            <w:cnfStyle w:evenVBand="false" w:oddVBand="true" w:firstColumn="false"/>
            <w:tcW w:w="33.333333%" w:type="pct"/>
          </w:tcPr>
          <w:p>
            <w:pPr>
              <w:ind w:leftChars="0" w:left="0" w:right="0"/>
            </w:pPr>
            <w:r>
              <w:t>XSTX</w:t>
            </w:r>
          </w:p>
        </w:tc>
        <w:tc>
          <w:tcPr>
            <w:cnfStyle w:evenVBand="true" w:oddVBand="false" w:firstColumn="false"/>
            <w:tcW w:w="33.333333%" w:type="pct"/>
          </w:tcPr>
          <w:p>
            <w:pPr>
              <w:ind w:leftChars="0" w:left="0" w:right="0"/>
            </w:pPr>
            <w:r>
              <w:t>XSTX</w:t>
            </w:r>
          </w:p>
        </w:tc>
        <w:tc>
          <w:tcPr>
            <w:cnfStyle w:evenVBand="false" w:oddVBand="true" w:firstColumn="false"/>
            <w:tcW w:w="33.333333%" w:type="pct"/>
          </w:tcPr>
          <w:p>
            <w:pPr>
              <w:ind w:leftChars="0" w:left="0" w:right="0"/>
            </w:pPr>
            <w:r>
              <w:t>STOXX LIMITED - INDICES</w:t>
            </w:r>
          </w:p>
        </w:tc>
      </w:tr>
      <w:tr>
        <w:trPr>
          <w:cnfStyle w:evenHBand="true" w:oddHBand="false" w:firstRow="false"/>
        </w:trPr>
        <w:tc>
          <w:tcPr>
            <w:cnfStyle w:evenVBand="false" w:oddVBand="true" w:firstColumn="false"/>
            <w:tcW w:w="33.333333%" w:type="pct"/>
          </w:tcPr>
          <w:p>
            <w:pPr>
              <w:ind w:leftChars="0" w:left="0" w:right="0"/>
            </w:pPr>
            <w:r>
              <w:t>XSUR</w:t>
            </w:r>
          </w:p>
        </w:tc>
        <w:tc>
          <w:tcPr>
            <w:cnfStyle w:evenVBand="true" w:oddVBand="false" w:firstColumn="false"/>
            <w:tcW w:w="33.333333%" w:type="pct"/>
          </w:tcPr>
          <w:p>
            <w:pPr>
              <w:ind w:leftChars="0" w:left="0" w:right="0"/>
            </w:pPr>
            <w:r>
              <w:t>XSUR</w:t>
            </w:r>
          </w:p>
        </w:tc>
        <w:tc>
          <w:tcPr>
            <w:cnfStyle w:evenVBand="false" w:oddVBand="true" w:firstColumn="false"/>
            <w:tcW w:w="33.333333%" w:type="pct"/>
          </w:tcPr>
          <w:p>
            <w:pPr>
              <w:ind w:leftChars="0" w:left="0" w:right="0"/>
            </w:pPr>
            <w:r>
              <w:t>SURABAYA STOCK EXCHANGE</w:t>
            </w:r>
          </w:p>
        </w:tc>
      </w:tr>
      <w:tr>
        <w:trPr>
          <w:cnfStyle w:evenHBand="false" w:oddHBand="true" w:firstRow="false"/>
        </w:trPr>
        <w:tc>
          <w:tcPr>
            <w:cnfStyle w:evenVBand="false" w:oddVBand="true" w:firstColumn="false"/>
            <w:tcW w:w="33.333333%" w:type="pct"/>
          </w:tcPr>
          <w:p>
            <w:pPr>
              <w:ind w:leftChars="0" w:left="0" w:right="0"/>
            </w:pPr>
            <w:r>
              <w:t>XSVA</w:t>
            </w:r>
          </w:p>
        </w:tc>
        <w:tc>
          <w:tcPr>
            <w:cnfStyle w:evenVBand="true" w:oddVBand="false" w:firstColumn="false"/>
            <w:tcW w:w="33.333333%" w:type="pct"/>
          </w:tcPr>
          <w:p>
            <w:pPr>
              <w:ind w:leftChars="0" w:left="0" w:right="0"/>
            </w:pPr>
            <w:r>
              <w:t>XSVA</w:t>
            </w:r>
          </w:p>
        </w:tc>
        <w:tc>
          <w:tcPr>
            <w:cnfStyle w:evenVBand="false" w:oddVBand="true" w:firstColumn="false"/>
            <w:tcW w:w="33.333333%" w:type="pct"/>
          </w:tcPr>
          <w:p>
            <w:pPr>
              <w:ind w:leftChars="0" w:left="0" w:right="0"/>
            </w:pPr>
            <w:r>
              <w:t>EL SALVADOR STOCK EXCHANGE</w:t>
            </w:r>
          </w:p>
        </w:tc>
      </w:tr>
      <w:tr>
        <w:trPr>
          <w:cnfStyle w:evenHBand="true" w:oddHBand="false" w:firstRow="false"/>
        </w:trPr>
        <w:tc>
          <w:tcPr>
            <w:cnfStyle w:evenVBand="false" w:oddVBand="true" w:firstColumn="false"/>
            <w:tcW w:w="33.333333%" w:type="pct"/>
          </w:tcPr>
          <w:p>
            <w:pPr>
              <w:ind w:leftChars="0" w:left="0" w:right="0"/>
            </w:pPr>
            <w:r>
              <w:t>XSWA</w:t>
            </w:r>
          </w:p>
        </w:tc>
        <w:tc>
          <w:tcPr>
            <w:cnfStyle w:evenVBand="true" w:oddVBand="false" w:firstColumn="false"/>
            <w:tcW w:w="33.333333%" w:type="pct"/>
          </w:tcPr>
          <w:p>
            <w:pPr>
              <w:ind w:leftChars="0" w:left="0" w:right="0"/>
            </w:pPr>
            <w:r>
              <w:t>XSWA</w:t>
            </w:r>
          </w:p>
        </w:tc>
        <w:tc>
          <w:tcPr>
            <w:cnfStyle w:evenVBand="false" w:oddVBand="true" w:firstColumn="false"/>
            <w:tcW w:w="33.333333%" w:type="pct"/>
          </w:tcPr>
          <w:p>
            <w:pPr>
              <w:ind w:leftChars="0" w:left="0" w:right="0"/>
            </w:pPr>
            <w:r>
              <w:t>SWAZILAND STOCK EXCHANGE</w:t>
            </w:r>
          </w:p>
        </w:tc>
      </w:tr>
      <w:tr>
        <w:trPr>
          <w:cnfStyle w:evenHBand="false" w:oddHBand="true" w:firstRow="false"/>
        </w:trPr>
        <w:tc>
          <w:tcPr>
            <w:cnfStyle w:evenVBand="false" w:oddVBand="true" w:firstColumn="false"/>
            <w:tcW w:w="33.333333%" w:type="pct"/>
          </w:tcPr>
          <w:p>
            <w:pPr>
              <w:ind w:leftChars="0" w:left="0" w:right="0"/>
            </w:pPr>
            <w:r>
              <w:t>XSWB</w:t>
            </w:r>
          </w:p>
        </w:tc>
        <w:tc>
          <w:tcPr>
            <w:cnfStyle w:evenVBand="true" w:oddVBand="false" w:firstColumn="false"/>
            <w:tcW w:w="33.333333%" w:type="pct"/>
          </w:tcPr>
          <w:p>
            <w:pPr>
              <w:ind w:leftChars="0" w:left="0" w:right="0"/>
            </w:pPr>
            <w:r>
              <w:t>XSWB</w:t>
            </w:r>
          </w:p>
        </w:tc>
        <w:tc>
          <w:tcPr>
            <w:cnfStyle w:evenVBand="false" w:oddVBand="true" w:firstColumn="false"/>
            <w:tcW w:w="33.333333%" w:type="pct"/>
          </w:tcPr>
          <w:p>
            <w:pPr>
              <w:ind w:leftChars="0" w:left="0" w:right="0"/>
            </w:pPr>
            <w:r>
              <w:t>SWX SWISS BLOCK</w:t>
            </w:r>
          </w:p>
        </w:tc>
      </w:tr>
      <w:tr>
        <w:trPr>
          <w:cnfStyle w:evenHBand="true" w:oddHBand="false" w:firstRow="false"/>
        </w:trPr>
        <w:tc>
          <w:tcPr>
            <w:cnfStyle w:evenVBand="false" w:oddVBand="true" w:firstColumn="false"/>
            <w:tcW w:w="33.333333%" w:type="pct"/>
          </w:tcPr>
          <w:p>
            <w:pPr>
              <w:ind w:leftChars="0" w:left="0" w:right="0"/>
            </w:pPr>
            <w:r>
              <w:t>XSWM</w:t>
            </w:r>
          </w:p>
        </w:tc>
        <w:tc>
          <w:tcPr>
            <w:cnfStyle w:evenVBand="true" w:oddVBand="false" w:firstColumn="false"/>
            <w:tcW w:w="33.333333%" w:type="pct"/>
          </w:tcPr>
          <w:p>
            <w:pPr>
              <w:ind w:leftChars="0" w:left="0" w:right="0"/>
            </w:pPr>
            <w:r>
              <w:t>XSWM</w:t>
            </w:r>
          </w:p>
        </w:tc>
        <w:tc>
          <w:tcPr>
            <w:cnfStyle w:evenVBand="false" w:oddVBand="true" w:firstColumn="false"/>
            <w:tcW w:w="33.333333%" w:type="pct"/>
          </w:tcPr>
          <w:p>
            <w:pPr>
              <w:ind w:leftChars="0" w:left="0" w:right="0"/>
            </w:pPr>
            <w:r>
              <w:t>SIX SWISS EXCHANGE - SIX SWISS EXCHANGE AT MIDPOINT</w:t>
            </w:r>
          </w:p>
        </w:tc>
      </w:tr>
      <w:tr>
        <w:trPr>
          <w:cnfStyle w:evenHBand="false" w:oddHBand="true" w:firstRow="false"/>
        </w:trPr>
        <w:tc>
          <w:tcPr>
            <w:cnfStyle w:evenVBand="false" w:oddVBand="true" w:firstColumn="false"/>
            <w:tcW w:w="33.333333%" w:type="pct"/>
          </w:tcPr>
          <w:p>
            <w:pPr>
              <w:ind w:leftChars="0" w:left="0" w:right="0"/>
            </w:pPr>
            <w:r>
              <w:t>XSWO</w:t>
            </w:r>
          </w:p>
        </w:tc>
        <w:tc>
          <w:tcPr>
            <w:cnfStyle w:evenVBand="true" w:oddVBand="false" w:firstColumn="false"/>
            <w:tcW w:w="33.333333%" w:type="pct"/>
          </w:tcPr>
          <w:p>
            <w:pPr>
              <w:ind w:leftChars="0" w:left="0" w:right="0"/>
            </w:pPr>
            <w:r>
              <w:t>XSWO</w:t>
            </w:r>
          </w:p>
        </w:tc>
        <w:tc>
          <w:tcPr>
            <w:cnfStyle w:evenVBand="false" w:oddVBand="true" w:firstColumn="false"/>
            <w:tcW w:w="33.333333%" w:type="pct"/>
          </w:tcPr>
          <w:p>
            <w:pPr>
              <w:ind w:leftChars="0" w:left="0" w:right="0"/>
            </w:pPr>
            <w:r>
              <w:t>SWISS OPTIONS AND FINANIAL FUTURES EXCHANGE</w:t>
            </w:r>
          </w:p>
        </w:tc>
      </w:tr>
      <w:tr>
        <w:trPr>
          <w:cnfStyle w:evenHBand="true" w:oddHBand="false" w:firstRow="false"/>
        </w:trPr>
        <w:tc>
          <w:tcPr>
            <w:cnfStyle w:evenVBand="false" w:oddVBand="true" w:firstColumn="false"/>
            <w:tcW w:w="33.333333%" w:type="pct"/>
          </w:tcPr>
          <w:p>
            <w:pPr>
              <w:ind w:leftChars="0" w:left="0" w:right="0"/>
            </w:pPr>
            <w:r>
              <w:t>XSWX</w:t>
            </w:r>
          </w:p>
        </w:tc>
        <w:tc>
          <w:tcPr>
            <w:cnfStyle w:evenVBand="true" w:oddVBand="false" w:firstColumn="false"/>
            <w:tcW w:w="33.333333%" w:type="pct"/>
          </w:tcPr>
          <w:p>
            <w:pPr>
              <w:ind w:leftChars="0" w:left="0" w:right="0"/>
            </w:pPr>
            <w:r>
              <w:t>XSWX</w:t>
            </w:r>
          </w:p>
        </w:tc>
        <w:tc>
          <w:tcPr>
            <w:cnfStyle w:evenVBand="false" w:oddVBand="true" w:firstColumn="false"/>
            <w:tcW w:w="33.333333%" w:type="pct"/>
          </w:tcPr>
          <w:p>
            <w:pPr>
              <w:ind w:leftChars="0" w:left="0" w:right="0"/>
            </w:pPr>
            <w:r>
              <w:t>SIX SWISS EXCHANGE</w:t>
            </w:r>
          </w:p>
        </w:tc>
      </w:tr>
      <w:tr>
        <w:trPr>
          <w:cnfStyle w:evenHBand="false" w:oddHBand="true" w:firstRow="false"/>
        </w:trPr>
        <w:tc>
          <w:tcPr>
            <w:cnfStyle w:evenVBand="false" w:oddVBand="true" w:firstColumn="false"/>
            <w:tcW w:w="33.333333%" w:type="pct"/>
          </w:tcPr>
          <w:p>
            <w:pPr>
              <w:ind w:leftChars="0" w:left="0" w:right="0"/>
            </w:pPr>
            <w:r>
              <w:t>XTAA</w:t>
            </w:r>
          </w:p>
        </w:tc>
        <w:tc>
          <w:tcPr>
            <w:cnfStyle w:evenVBand="true" w:oddVBand="false" w:firstColumn="false"/>
            <w:tcW w:w="33.333333%" w:type="pct"/>
          </w:tcPr>
          <w:p>
            <w:pPr>
              <w:ind w:leftChars="0" w:left="0" w:right="0"/>
            </w:pPr>
            <w:r>
              <w:t>XTAA</w:t>
            </w:r>
          </w:p>
        </w:tc>
        <w:tc>
          <w:tcPr>
            <w:cnfStyle w:evenVBand="false" w:oddVBand="true" w:firstColumn="false"/>
            <w:tcW w:w="33.333333%" w:type="pct"/>
          </w:tcPr>
          <w:p>
            <w:pPr>
              <w:ind w:leftChars="0" w:left="0" w:right="0"/>
            </w:pPr>
            <w:r>
              <w:t>FIRST NORTH ESTONIA</w:t>
            </w:r>
          </w:p>
        </w:tc>
      </w:tr>
      <w:tr>
        <w:trPr>
          <w:cnfStyle w:evenHBand="true" w:oddHBand="false" w:firstRow="false"/>
        </w:trPr>
        <w:tc>
          <w:tcPr>
            <w:cnfStyle w:evenVBand="false" w:oddVBand="true" w:firstColumn="false"/>
            <w:tcW w:w="33.333333%" w:type="pct"/>
          </w:tcPr>
          <w:p>
            <w:pPr>
              <w:ind w:leftChars="0" w:left="0" w:right="0"/>
            </w:pPr>
            <w:r>
              <w:t>XTAD</w:t>
            </w:r>
          </w:p>
        </w:tc>
        <w:tc>
          <w:tcPr>
            <w:cnfStyle w:evenVBand="true" w:oddVBand="false" w:firstColumn="false"/>
            <w:tcW w:w="33.333333%" w:type="pct"/>
          </w:tcPr>
          <w:p>
            <w:pPr>
              <w:ind w:leftChars="0" w:left="0" w:right="0"/>
            </w:pPr>
            <w:r>
              <w:t>XTAD</w:t>
            </w:r>
          </w:p>
        </w:tc>
        <w:tc>
          <w:tcPr>
            <w:cnfStyle w:evenVBand="false" w:oddVBand="true" w:firstColumn="false"/>
            <w:tcW w:w="33.333333%" w:type="pct"/>
          </w:tcPr>
          <w:p>
            <w:pPr>
              <w:ind w:leftChars="0" w:left="0" w:right="0"/>
            </w:pPr>
            <w:r>
              <w:t>TAISDAQ</w:t>
            </w:r>
          </w:p>
        </w:tc>
      </w:tr>
      <w:tr>
        <w:trPr>
          <w:cnfStyle w:evenHBand="false" w:oddHBand="true" w:firstRow="false"/>
        </w:trPr>
        <w:tc>
          <w:tcPr>
            <w:cnfStyle w:evenVBand="false" w:oddVBand="true" w:firstColumn="false"/>
            <w:tcW w:w="33.333333%" w:type="pct"/>
          </w:tcPr>
          <w:p>
            <w:pPr>
              <w:ind w:leftChars="0" w:left="0" w:right="0"/>
            </w:pPr>
            <w:r>
              <w:t>XTAE</w:t>
            </w:r>
          </w:p>
        </w:tc>
        <w:tc>
          <w:tcPr>
            <w:cnfStyle w:evenVBand="true" w:oddVBand="false" w:firstColumn="false"/>
            <w:tcW w:w="33.333333%" w:type="pct"/>
          </w:tcPr>
          <w:p>
            <w:pPr>
              <w:ind w:leftChars="0" w:left="0" w:right="0"/>
            </w:pPr>
            <w:r>
              <w:t>XTAE</w:t>
            </w:r>
          </w:p>
        </w:tc>
        <w:tc>
          <w:tcPr>
            <w:cnfStyle w:evenVBand="false" w:oddVBand="true" w:firstColumn="false"/>
            <w:tcW w:w="33.333333%" w:type="pct"/>
          </w:tcPr>
          <w:p>
            <w:pPr>
              <w:ind w:leftChars="0" w:left="0" w:right="0"/>
            </w:pPr>
            <w:r>
              <w:t>TEL AVIV STOCK EXCHANGE</w:t>
            </w:r>
          </w:p>
        </w:tc>
      </w:tr>
      <w:tr>
        <w:trPr>
          <w:cnfStyle w:evenHBand="true" w:oddHBand="false" w:firstRow="false"/>
        </w:trPr>
        <w:tc>
          <w:tcPr>
            <w:cnfStyle w:evenVBand="false" w:oddVBand="true" w:firstColumn="false"/>
            <w:tcW w:w="33.333333%" w:type="pct"/>
          </w:tcPr>
          <w:p>
            <w:pPr>
              <w:ind w:leftChars="0" w:left="0" w:right="0"/>
            </w:pPr>
            <w:r>
              <w:t>XTAF</w:t>
            </w:r>
          </w:p>
        </w:tc>
        <w:tc>
          <w:tcPr>
            <w:cnfStyle w:evenVBand="true" w:oddVBand="false" w:firstColumn="false"/>
            <w:tcW w:w="33.333333%" w:type="pct"/>
          </w:tcPr>
          <w:p>
            <w:pPr>
              <w:ind w:leftChars="0" w:left="0" w:right="0"/>
            </w:pPr>
            <w:r>
              <w:t>XTAF</w:t>
            </w:r>
          </w:p>
        </w:tc>
        <w:tc>
          <w:tcPr>
            <w:cnfStyle w:evenVBand="false" w:oddVBand="true" w:firstColumn="false"/>
            <w:tcW w:w="33.333333%" w:type="pct"/>
          </w:tcPr>
          <w:p>
            <w:pPr>
              <w:ind w:leftChars="0" w:left="0" w:right="0"/>
            </w:pPr>
            <w:r>
              <w:t>TAIWAN FUTURES EXCHANGE</w:t>
            </w:r>
          </w:p>
        </w:tc>
      </w:tr>
      <w:tr>
        <w:trPr>
          <w:cnfStyle w:evenHBand="false" w:oddHBand="true" w:firstRow="false"/>
        </w:trPr>
        <w:tc>
          <w:tcPr>
            <w:cnfStyle w:evenVBand="false" w:oddVBand="true" w:firstColumn="false"/>
            <w:tcW w:w="33.333333%" w:type="pct"/>
          </w:tcPr>
          <w:p>
            <w:pPr>
              <w:ind w:leftChars="0" w:left="0" w:right="0"/>
            </w:pPr>
            <w:r>
              <w:t>XTAI</w:t>
            </w:r>
          </w:p>
        </w:tc>
        <w:tc>
          <w:tcPr>
            <w:cnfStyle w:evenVBand="true" w:oddVBand="false" w:firstColumn="false"/>
            <w:tcW w:w="33.333333%" w:type="pct"/>
          </w:tcPr>
          <w:p>
            <w:pPr>
              <w:ind w:leftChars="0" w:left="0" w:right="0"/>
            </w:pPr>
            <w:r>
              <w:t>XTAI</w:t>
            </w:r>
          </w:p>
        </w:tc>
        <w:tc>
          <w:tcPr>
            <w:cnfStyle w:evenVBand="false" w:oddVBand="true" w:firstColumn="false"/>
            <w:tcW w:w="33.333333%" w:type="pct"/>
          </w:tcPr>
          <w:p>
            <w:pPr>
              <w:ind w:leftChars="0" w:left="0" w:right="0"/>
            </w:pPr>
            <w:r>
              <w:t>TAIWAN STOCK EXCHANGE</w:t>
            </w:r>
          </w:p>
        </w:tc>
      </w:tr>
      <w:tr>
        <w:trPr>
          <w:cnfStyle w:evenHBand="true" w:oddHBand="false" w:firstRow="false"/>
        </w:trPr>
        <w:tc>
          <w:tcPr>
            <w:cnfStyle w:evenVBand="false" w:oddVBand="true" w:firstColumn="false"/>
            <w:tcW w:w="33.333333%" w:type="pct"/>
          </w:tcPr>
          <w:p>
            <w:pPr>
              <w:ind w:leftChars="0" w:left="0" w:right="0"/>
            </w:pPr>
            <w:r>
              <w:t>XTAL</w:t>
            </w:r>
          </w:p>
        </w:tc>
        <w:tc>
          <w:tcPr>
            <w:cnfStyle w:evenVBand="true" w:oddVBand="false" w:firstColumn="false"/>
            <w:tcW w:w="33.333333%" w:type="pct"/>
          </w:tcPr>
          <w:p>
            <w:pPr>
              <w:ind w:leftChars="0" w:left="0" w:right="0"/>
            </w:pPr>
            <w:r>
              <w:t>XTAL</w:t>
            </w:r>
          </w:p>
        </w:tc>
        <w:tc>
          <w:tcPr>
            <w:cnfStyle w:evenVBand="false" w:oddVBand="true" w:firstColumn="false"/>
            <w:tcW w:w="33.333333%" w:type="pct"/>
          </w:tcPr>
          <w:p>
            <w:pPr>
              <w:ind w:leftChars="0" w:left="0" w:right="0"/>
            </w:pPr>
            <w:r>
              <w:t>NASDAQ TALLINN AS</w:t>
            </w:r>
          </w:p>
        </w:tc>
      </w:tr>
      <w:tr>
        <w:trPr>
          <w:cnfStyle w:evenHBand="false" w:oddHBand="true" w:firstRow="false"/>
        </w:trPr>
        <w:tc>
          <w:tcPr>
            <w:cnfStyle w:evenVBand="false" w:oddVBand="true" w:firstColumn="false"/>
            <w:tcW w:w="33.333333%" w:type="pct"/>
          </w:tcPr>
          <w:p>
            <w:pPr>
              <w:ind w:leftChars="0" w:left="0" w:right="0"/>
            </w:pPr>
            <w:r>
              <w:t>XTAM</w:t>
            </w:r>
          </w:p>
        </w:tc>
        <w:tc>
          <w:tcPr>
            <w:cnfStyle w:evenVBand="true" w:oddVBand="false" w:firstColumn="false"/>
            <w:tcW w:w="33.333333%" w:type="pct"/>
          </w:tcPr>
          <w:p>
            <w:pPr>
              <w:ind w:leftChars="0" w:left="0" w:right="0"/>
            </w:pPr>
            <w:r>
              <w:t>XTAM</w:t>
            </w:r>
          </w:p>
        </w:tc>
        <w:tc>
          <w:tcPr>
            <w:cnfStyle w:evenVBand="false" w:oddVBand="true" w:firstColumn="false"/>
            <w:tcW w:w="33.333333%" w:type="pct"/>
          </w:tcPr>
          <w:p>
            <w:pPr>
              <w:ind w:leftChars="0" w:left="0" w:right="0"/>
            </w:pPr>
            <w:r>
              <w:t>TOKYO STOCK EXCHANGE-TOKYO PRO MARKET</w:t>
            </w:r>
          </w:p>
        </w:tc>
      </w:tr>
      <w:tr>
        <w:trPr>
          <w:cnfStyle w:evenHBand="true" w:oddHBand="false" w:firstRow="false"/>
        </w:trPr>
        <w:tc>
          <w:tcPr>
            <w:cnfStyle w:evenVBand="false" w:oddVBand="true" w:firstColumn="false"/>
            <w:tcW w:w="33.333333%" w:type="pct"/>
          </w:tcPr>
          <w:p>
            <w:pPr>
              <w:ind w:leftChars="0" w:left="0" w:right="0"/>
            </w:pPr>
            <w:r>
              <w:t>XTAR</w:t>
            </w:r>
          </w:p>
        </w:tc>
        <w:tc>
          <w:tcPr>
            <w:cnfStyle w:evenVBand="true" w:oddVBand="false" w:firstColumn="false"/>
            <w:tcW w:w="33.333333%" w:type="pct"/>
          </w:tcPr>
          <w:p>
            <w:pPr>
              <w:ind w:leftChars="0" w:left="0" w:right="0"/>
            </w:pPr>
            <w:r>
              <w:t>XTAR</w:t>
            </w:r>
          </w:p>
        </w:tc>
        <w:tc>
          <w:tcPr>
            <w:cnfStyle w:evenVBand="false" w:oddVBand="true" w:firstColumn="false"/>
            <w:tcW w:w="33.333333%" w:type="pct"/>
          </w:tcPr>
          <w:p>
            <w:pPr>
              <w:ind w:leftChars="0" w:left="0" w:right="0"/>
            </w:pPr>
            <w:r>
              <w:t>TALLINN STOCK EXCHANGE - REGULATED MARKET</w:t>
            </w:r>
          </w:p>
        </w:tc>
      </w:tr>
      <w:tr>
        <w:trPr>
          <w:cnfStyle w:evenHBand="false" w:oddHBand="true" w:firstRow="false"/>
        </w:trPr>
        <w:tc>
          <w:tcPr>
            <w:cnfStyle w:evenVBand="false" w:oddVBand="true" w:firstColumn="false"/>
            <w:tcW w:w="33.333333%" w:type="pct"/>
          </w:tcPr>
          <w:p>
            <w:pPr>
              <w:ind w:leftChars="0" w:left="0" w:right="0"/>
            </w:pPr>
            <w:r>
              <w:t>XTEH</w:t>
            </w:r>
          </w:p>
        </w:tc>
        <w:tc>
          <w:tcPr>
            <w:cnfStyle w:evenVBand="true" w:oddVBand="false" w:firstColumn="false"/>
            <w:tcW w:w="33.333333%" w:type="pct"/>
          </w:tcPr>
          <w:p>
            <w:pPr>
              <w:ind w:leftChars="0" w:left="0" w:right="0"/>
            </w:pPr>
            <w:r>
              <w:t>XTEH</w:t>
            </w:r>
          </w:p>
        </w:tc>
        <w:tc>
          <w:tcPr>
            <w:cnfStyle w:evenVBand="false" w:oddVBand="true" w:firstColumn="false"/>
            <w:tcW w:w="33.333333%" w:type="pct"/>
          </w:tcPr>
          <w:p>
            <w:pPr>
              <w:ind w:leftChars="0" w:left="0" w:right="0"/>
            </w:pPr>
            <w:r>
              <w:t>TEHRAN STOCK EXCHANGE</w:t>
            </w:r>
          </w:p>
        </w:tc>
      </w:tr>
      <w:tr>
        <w:trPr>
          <w:cnfStyle w:evenHBand="true" w:oddHBand="false" w:firstRow="false"/>
        </w:trPr>
        <w:tc>
          <w:tcPr>
            <w:cnfStyle w:evenVBand="false" w:oddVBand="true" w:firstColumn="false"/>
            <w:tcW w:w="33.333333%" w:type="pct"/>
          </w:tcPr>
          <w:p>
            <w:pPr>
              <w:ind w:leftChars="0" w:left="0" w:right="0"/>
            </w:pPr>
            <w:r>
              <w:t>XTFE</w:t>
            </w:r>
          </w:p>
        </w:tc>
        <w:tc>
          <w:tcPr>
            <w:cnfStyle w:evenVBand="true" w:oddVBand="false" w:firstColumn="false"/>
            <w:tcW w:w="33.333333%" w:type="pct"/>
          </w:tcPr>
          <w:p>
            <w:pPr>
              <w:ind w:leftChars="0" w:left="0" w:right="0"/>
            </w:pPr>
            <w:r>
              <w:t>XTFE</w:t>
            </w:r>
          </w:p>
        </w:tc>
        <w:tc>
          <w:tcPr>
            <w:cnfStyle w:evenVBand="false" w:oddVBand="true" w:firstColumn="false"/>
            <w:tcW w:w="33.333333%" w:type="pct"/>
          </w:tcPr>
          <w:p>
            <w:pPr>
              <w:ind w:leftChars="0" w:left="0" w:right="0"/>
            </w:pPr>
            <w:r>
              <w:t>TORONTO FUTURES EXCHANGE</w:t>
            </w:r>
          </w:p>
        </w:tc>
      </w:tr>
      <w:tr>
        <w:trPr>
          <w:cnfStyle w:evenHBand="false" w:oddHBand="true" w:firstRow="false"/>
        </w:trPr>
        <w:tc>
          <w:tcPr>
            <w:cnfStyle w:evenVBand="false" w:oddVBand="true" w:firstColumn="false"/>
            <w:tcW w:w="33.333333%" w:type="pct"/>
          </w:tcPr>
          <w:p>
            <w:pPr>
              <w:ind w:leftChars="0" w:left="0" w:right="0"/>
            </w:pPr>
            <w:r>
              <w:t>XTFF</w:t>
            </w:r>
          </w:p>
        </w:tc>
        <w:tc>
          <w:tcPr>
            <w:cnfStyle w:evenVBand="true" w:oddVBand="false" w:firstColumn="false"/>
            <w:tcW w:w="33.333333%" w:type="pct"/>
          </w:tcPr>
          <w:p>
            <w:pPr>
              <w:ind w:leftChars="0" w:left="0" w:right="0"/>
            </w:pPr>
            <w:r>
              <w:t>XTFF</w:t>
            </w:r>
          </w:p>
        </w:tc>
        <w:tc>
          <w:tcPr>
            <w:cnfStyle w:evenVBand="false" w:oddVBand="true" w:firstColumn="false"/>
            <w:tcW w:w="33.333333%" w:type="pct"/>
          </w:tcPr>
          <w:p>
            <w:pPr>
              <w:ind w:leftChars="0" w:left="0" w:right="0"/>
            </w:pPr>
            <w:r>
              <w:t>TOKYO FINANCIAL  EXCHANGE</w:t>
            </w:r>
          </w:p>
        </w:tc>
      </w:tr>
      <w:tr>
        <w:trPr>
          <w:cnfStyle w:evenHBand="true" w:oddHBand="false" w:firstRow="false"/>
        </w:trPr>
        <w:tc>
          <w:tcPr>
            <w:cnfStyle w:evenVBand="false" w:oddVBand="true" w:firstColumn="false"/>
            <w:tcW w:w="33.333333%" w:type="pct"/>
          </w:tcPr>
          <w:p>
            <w:pPr>
              <w:ind w:leftChars="0" w:left="0" w:right="0"/>
            </w:pPr>
            <w:r>
              <w:t>XTFN</w:t>
            </w:r>
          </w:p>
        </w:tc>
        <w:tc>
          <w:tcPr>
            <w:cnfStyle w:evenVBand="true" w:oddVBand="false" w:firstColumn="false"/>
            <w:tcW w:w="33.333333%" w:type="pct"/>
          </w:tcPr>
          <w:p>
            <w:pPr>
              <w:ind w:leftChars="0" w:left="0" w:right="0"/>
            </w:pPr>
            <w:r>
              <w:t>XTFN</w:t>
            </w:r>
          </w:p>
        </w:tc>
        <w:tc>
          <w:tcPr>
            <w:cnfStyle w:evenVBand="false" w:oddVBand="true" w:firstColumn="false"/>
            <w:tcW w:w="33.333333%" w:type="pct"/>
          </w:tcPr>
          <w:p>
            <w:pPr>
              <w:ind w:leftChars="0" w:left="0" w:right="0"/>
            </w:pPr>
            <w:r>
              <w:t>TRADEPOINT FINANCIAL NETWORKS PLC</w:t>
            </w:r>
          </w:p>
        </w:tc>
      </w:tr>
      <w:tr>
        <w:trPr>
          <w:cnfStyle w:evenHBand="false" w:oddHBand="true" w:firstRow="false"/>
        </w:trPr>
        <w:tc>
          <w:tcPr>
            <w:cnfStyle w:evenVBand="false" w:oddVBand="true" w:firstColumn="false"/>
            <w:tcW w:w="33.333333%" w:type="pct"/>
          </w:tcPr>
          <w:p>
            <w:pPr>
              <w:ind w:leftChars="0" w:left="0" w:right="0"/>
            </w:pPr>
            <w:r>
              <w:t>XTIR</w:t>
            </w:r>
          </w:p>
        </w:tc>
        <w:tc>
          <w:tcPr>
            <w:cnfStyle w:evenVBand="true" w:oddVBand="false" w:firstColumn="false"/>
            <w:tcW w:w="33.333333%" w:type="pct"/>
          </w:tcPr>
          <w:p>
            <w:pPr>
              <w:ind w:leftChars="0" w:left="0" w:right="0"/>
            </w:pPr>
            <w:r>
              <w:t>XTIR</w:t>
            </w:r>
          </w:p>
        </w:tc>
        <w:tc>
          <w:tcPr>
            <w:cnfStyle w:evenVBand="false" w:oddVBand="true" w:firstColumn="false"/>
            <w:tcW w:w="33.333333%" w:type="pct"/>
          </w:tcPr>
          <w:p>
            <w:pPr>
              <w:ind w:leftChars="0" w:left="0" w:right="0"/>
            </w:pPr>
            <w:r>
              <w:t>TIRANA STOCK EXCHANGE</w:t>
            </w:r>
          </w:p>
        </w:tc>
      </w:tr>
      <w:tr>
        <w:trPr>
          <w:cnfStyle w:evenHBand="true" w:oddHBand="false" w:firstRow="false"/>
        </w:trPr>
        <w:tc>
          <w:tcPr>
            <w:cnfStyle w:evenVBand="false" w:oddVBand="true" w:firstColumn="false"/>
            <w:tcW w:w="33.333333%" w:type="pct"/>
          </w:tcPr>
          <w:p>
            <w:pPr>
              <w:ind w:leftChars="0" w:left="0" w:right="0"/>
            </w:pPr>
            <w:r>
              <w:t>XTK1</w:t>
            </w:r>
          </w:p>
        </w:tc>
        <w:tc>
          <w:tcPr>
            <w:cnfStyle w:evenVBand="true" w:oddVBand="false" w:firstColumn="false"/>
            <w:tcW w:w="33.333333%" w:type="pct"/>
          </w:tcPr>
          <w:p>
            <w:pPr>
              <w:ind w:leftChars="0" w:left="0" w:right="0"/>
            </w:pPr>
            <w:r>
              <w:t>XTK1</w:t>
            </w:r>
          </w:p>
        </w:tc>
        <w:tc>
          <w:tcPr>
            <w:cnfStyle w:evenVBand="false" w:oddVBand="true" w:firstColumn="false"/>
            <w:tcW w:w="33.333333%" w:type="pct"/>
          </w:tcPr>
          <w:p>
            <w:pPr>
              <w:ind w:leftChars="0" w:left="0" w:right="0"/>
            </w:pPr>
            <w:r>
              <w:t>TOKYO STOCK EXCHANGE - TOSTNET-1</w:t>
            </w:r>
          </w:p>
        </w:tc>
      </w:tr>
      <w:tr>
        <w:trPr>
          <w:cnfStyle w:evenHBand="false" w:oddHBand="true" w:firstRow="false"/>
        </w:trPr>
        <w:tc>
          <w:tcPr>
            <w:cnfStyle w:evenVBand="false" w:oddVBand="true" w:firstColumn="false"/>
            <w:tcW w:w="33.333333%" w:type="pct"/>
          </w:tcPr>
          <w:p>
            <w:pPr>
              <w:ind w:leftChars="0" w:left="0" w:right="0"/>
            </w:pPr>
            <w:r>
              <w:t>XTK2</w:t>
            </w:r>
          </w:p>
        </w:tc>
        <w:tc>
          <w:tcPr>
            <w:cnfStyle w:evenVBand="true" w:oddVBand="false" w:firstColumn="false"/>
            <w:tcW w:w="33.333333%" w:type="pct"/>
          </w:tcPr>
          <w:p>
            <w:pPr>
              <w:ind w:leftChars="0" w:left="0" w:right="0"/>
            </w:pPr>
            <w:r>
              <w:t>XTK2</w:t>
            </w:r>
          </w:p>
        </w:tc>
        <w:tc>
          <w:tcPr>
            <w:cnfStyle w:evenVBand="false" w:oddVBand="true" w:firstColumn="false"/>
            <w:tcW w:w="33.333333%" w:type="pct"/>
          </w:tcPr>
          <w:p>
            <w:pPr>
              <w:ind w:leftChars="0" w:left="0" w:right="0"/>
            </w:pPr>
            <w:r>
              <w:t>TOKYO STOCK EXCHANGE - TOSTNET-2</w:t>
            </w:r>
          </w:p>
        </w:tc>
      </w:tr>
      <w:tr>
        <w:trPr>
          <w:cnfStyle w:evenHBand="true" w:oddHBand="false" w:firstRow="false"/>
        </w:trPr>
        <w:tc>
          <w:tcPr>
            <w:cnfStyle w:evenVBand="false" w:oddVBand="true" w:firstColumn="false"/>
            <w:tcW w:w="33.333333%" w:type="pct"/>
          </w:tcPr>
          <w:p>
            <w:pPr>
              <w:ind w:leftChars="0" w:left="0" w:right="0"/>
            </w:pPr>
            <w:r>
              <w:t>XTK3</w:t>
            </w:r>
          </w:p>
        </w:tc>
        <w:tc>
          <w:tcPr>
            <w:cnfStyle w:evenVBand="true" w:oddVBand="false" w:firstColumn="false"/>
            <w:tcW w:w="33.333333%" w:type="pct"/>
          </w:tcPr>
          <w:p>
            <w:pPr>
              <w:ind w:leftChars="0" w:left="0" w:right="0"/>
            </w:pPr>
            <w:r>
              <w:t>XTK3</w:t>
            </w:r>
          </w:p>
        </w:tc>
        <w:tc>
          <w:tcPr>
            <w:cnfStyle w:evenVBand="false" w:oddVBand="true" w:firstColumn="false"/>
            <w:tcW w:w="33.333333%" w:type="pct"/>
          </w:tcPr>
          <w:p>
            <w:pPr>
              <w:ind w:leftChars="0" w:left="0" w:right="0"/>
            </w:pPr>
            <w:r>
              <w:t>TOKYO STOCK EXCHANGE - TOSTNET-3</w:t>
            </w:r>
          </w:p>
        </w:tc>
      </w:tr>
      <w:tr>
        <w:trPr>
          <w:cnfStyle w:evenHBand="false" w:oddHBand="true" w:firstRow="false"/>
        </w:trPr>
        <w:tc>
          <w:tcPr>
            <w:cnfStyle w:evenVBand="false" w:oddVBand="true" w:firstColumn="false"/>
            <w:tcW w:w="33.333333%" w:type="pct"/>
          </w:tcPr>
          <w:p>
            <w:pPr>
              <w:ind w:leftChars="0" w:left="0" w:right="0"/>
            </w:pPr>
            <w:r>
              <w:t>XTKA</w:t>
            </w:r>
          </w:p>
        </w:tc>
        <w:tc>
          <w:tcPr>
            <w:cnfStyle w:evenVBand="true" w:oddVBand="false" w:firstColumn="false"/>
            <w:tcW w:w="33.333333%" w:type="pct"/>
          </w:tcPr>
          <w:p>
            <w:pPr>
              <w:ind w:leftChars="0" w:left="0" w:right="0"/>
            </w:pPr>
            <w:r>
              <w:t>XTKA</w:t>
            </w:r>
          </w:p>
        </w:tc>
        <w:tc>
          <w:tcPr>
            <w:cnfStyle w:evenVBand="false" w:oddVBand="true" w:firstColumn="false"/>
            <w:tcW w:w="33.333333%" w:type="pct"/>
          </w:tcPr>
          <w:p>
            <w:pPr>
              <w:ind w:leftChars="0" w:left="0" w:right="0"/>
            </w:pPr>
            <w:r>
              <w:t>TOYOHASHI KANKEN TORIHIKIJO (DRIED COCOON EXCHANGE) - CHUBU COMMODITY EXCHANGE</w:t>
            </w:r>
          </w:p>
        </w:tc>
      </w:tr>
      <w:tr>
        <w:trPr>
          <w:cnfStyle w:evenHBand="true" w:oddHBand="false" w:firstRow="false"/>
        </w:trPr>
        <w:tc>
          <w:tcPr>
            <w:cnfStyle w:evenVBand="false" w:oddVBand="true" w:firstColumn="false"/>
            <w:tcW w:w="33.333333%" w:type="pct"/>
          </w:tcPr>
          <w:p>
            <w:pPr>
              <w:ind w:leftChars="0" w:left="0" w:right="0"/>
            </w:pPr>
            <w:r>
              <w:t>XTKO</w:t>
            </w:r>
          </w:p>
        </w:tc>
        <w:tc>
          <w:tcPr>
            <w:cnfStyle w:evenVBand="true" w:oddVBand="false" w:firstColumn="false"/>
            <w:tcW w:w="33.333333%" w:type="pct"/>
          </w:tcPr>
          <w:p>
            <w:pPr>
              <w:ind w:leftChars="0" w:left="0" w:right="0"/>
            </w:pPr>
            <w:r>
              <w:t>XTKO</w:t>
            </w:r>
          </w:p>
        </w:tc>
        <w:tc>
          <w:tcPr>
            <w:cnfStyle w:evenVBand="false" w:oddVBand="true" w:firstColumn="false"/>
            <w:tcW w:w="33.333333%" w:type="pct"/>
          </w:tcPr>
          <w:p>
            <w:pPr>
              <w:ind w:leftChars="0" w:left="0" w:right="0"/>
            </w:pPr>
            <w:r>
              <w:t>TOKYO GRAIN EXCHANGE</w:t>
            </w:r>
          </w:p>
        </w:tc>
      </w:tr>
      <w:tr>
        <w:trPr>
          <w:cnfStyle w:evenHBand="false" w:oddHBand="true" w:firstRow="false"/>
        </w:trPr>
        <w:tc>
          <w:tcPr>
            <w:cnfStyle w:evenVBand="false" w:oddVBand="true" w:firstColumn="false"/>
            <w:tcW w:w="33.333333%" w:type="pct"/>
          </w:tcPr>
          <w:p>
            <w:pPr>
              <w:ind w:leftChars="0" w:left="0" w:right="0"/>
            </w:pPr>
            <w:r>
              <w:t>XTKS</w:t>
            </w:r>
          </w:p>
        </w:tc>
        <w:tc>
          <w:tcPr>
            <w:cnfStyle w:evenVBand="true" w:oddVBand="false" w:firstColumn="false"/>
            <w:tcW w:w="33.333333%" w:type="pct"/>
          </w:tcPr>
          <w:p>
            <w:pPr>
              <w:ind w:leftChars="0" w:left="0" w:right="0"/>
            </w:pPr>
            <w:r>
              <w:t>XTKS</w:t>
            </w:r>
          </w:p>
        </w:tc>
        <w:tc>
          <w:tcPr>
            <w:cnfStyle w:evenVBand="false" w:oddVBand="true" w:firstColumn="false"/>
            <w:tcW w:w="33.333333%" w:type="pct"/>
          </w:tcPr>
          <w:p>
            <w:pPr>
              <w:ind w:leftChars="0" w:left="0" w:right="0"/>
            </w:pPr>
            <w:r>
              <w:t>TOKYO STOCK EXCHANGE</w:t>
            </w:r>
          </w:p>
        </w:tc>
      </w:tr>
      <w:tr>
        <w:trPr>
          <w:cnfStyle w:evenHBand="true" w:oddHBand="false" w:firstRow="false"/>
        </w:trPr>
        <w:tc>
          <w:tcPr>
            <w:cnfStyle w:evenVBand="false" w:oddVBand="true" w:firstColumn="false"/>
            <w:tcW w:w="33.333333%" w:type="pct"/>
          </w:tcPr>
          <w:p>
            <w:pPr>
              <w:ind w:leftChars="0" w:left="0" w:right="0"/>
            </w:pPr>
            <w:r>
              <w:t>XTKT</w:t>
            </w:r>
          </w:p>
        </w:tc>
        <w:tc>
          <w:tcPr>
            <w:cnfStyle w:evenVBand="true" w:oddVBand="false" w:firstColumn="false"/>
            <w:tcW w:w="33.333333%" w:type="pct"/>
          </w:tcPr>
          <w:p>
            <w:pPr>
              <w:ind w:leftChars="0" w:left="0" w:right="0"/>
            </w:pPr>
            <w:r>
              <w:t>XTKT</w:t>
            </w:r>
          </w:p>
        </w:tc>
        <w:tc>
          <w:tcPr>
            <w:cnfStyle w:evenVBand="false" w:oddVBand="true" w:firstColumn="false"/>
            <w:tcW w:w="33.333333%" w:type="pct"/>
          </w:tcPr>
          <w:p>
            <w:pPr>
              <w:ind w:leftChars="0" w:left="0" w:right="0"/>
            </w:pPr>
            <w:r>
              <w:t>TOKYO COMMODITY EXCHANGE</w:t>
            </w:r>
          </w:p>
        </w:tc>
      </w:tr>
      <w:tr>
        <w:trPr>
          <w:cnfStyle w:evenHBand="false" w:oddHBand="true" w:firstRow="false"/>
        </w:trPr>
        <w:tc>
          <w:tcPr>
            <w:cnfStyle w:evenVBand="false" w:oddVBand="true" w:firstColumn="false"/>
            <w:tcW w:w="33.333333%" w:type="pct"/>
          </w:tcPr>
          <w:p>
            <w:pPr>
              <w:ind w:leftChars="0" w:left="0" w:right="0"/>
            </w:pPr>
            <w:r>
              <w:t>XTLX</w:t>
            </w:r>
          </w:p>
        </w:tc>
        <w:tc>
          <w:tcPr>
            <w:cnfStyle w:evenVBand="true" w:oddVBand="false" w:firstColumn="false"/>
            <w:tcW w:w="33.333333%" w:type="pct"/>
          </w:tcPr>
          <w:p>
            <w:pPr>
              <w:ind w:leftChars="0" w:left="0" w:right="0"/>
            </w:pPr>
            <w:r>
              <w:t>XTLX</w:t>
            </w:r>
          </w:p>
        </w:tc>
        <w:tc>
          <w:tcPr>
            <w:cnfStyle w:evenVBand="false" w:oddVBand="true" w:firstColumn="false"/>
            <w:tcW w:w="33.333333%" w:type="pct"/>
          </w:tcPr>
          <w:p>
            <w:pPr>
              <w:ind w:leftChars="0" w:left="0" w:right="0"/>
            </w:pPr>
            <w:r>
              <w:t>TLX</w:t>
            </w:r>
          </w:p>
        </w:tc>
      </w:tr>
      <w:tr>
        <w:trPr>
          <w:cnfStyle w:evenHBand="true" w:oddHBand="false" w:firstRow="false"/>
        </w:trPr>
        <w:tc>
          <w:tcPr>
            <w:cnfStyle w:evenVBand="false" w:oddVBand="true" w:firstColumn="false"/>
            <w:tcW w:w="33.333333%" w:type="pct"/>
          </w:tcPr>
          <w:p>
            <w:pPr>
              <w:ind w:leftChars="0" w:left="0" w:right="0"/>
            </w:pPr>
            <w:r>
              <w:t>XTND</w:t>
            </w:r>
          </w:p>
        </w:tc>
        <w:tc>
          <w:tcPr>
            <w:cnfStyle w:evenVBand="true" w:oddVBand="false" w:firstColumn="false"/>
            <w:tcW w:w="33.333333%" w:type="pct"/>
          </w:tcPr>
          <w:p>
            <w:pPr>
              <w:ind w:leftChars="0" w:left="0" w:right="0"/>
            </w:pPr>
            <w:r>
              <w:t>XTND</w:t>
            </w:r>
          </w:p>
        </w:tc>
        <w:tc>
          <w:tcPr>
            <w:cnfStyle w:evenVBand="false" w:oddVBand="true" w:firstColumn="false"/>
            <w:tcW w:w="33.333333%" w:type="pct"/>
          </w:tcPr>
          <w:p>
            <w:pPr>
              <w:ind w:leftChars="0" w:left="0" w:right="0"/>
            </w:pPr>
            <w:r>
              <w:t>XTEND</w:t>
            </w:r>
          </w:p>
        </w:tc>
      </w:tr>
      <w:tr>
        <w:trPr>
          <w:cnfStyle w:evenHBand="false" w:oddHBand="true" w:firstRow="false"/>
        </w:trPr>
        <w:tc>
          <w:tcPr>
            <w:cnfStyle w:evenVBand="false" w:oddVBand="true" w:firstColumn="false"/>
            <w:tcW w:w="33.333333%" w:type="pct"/>
          </w:tcPr>
          <w:p>
            <w:pPr>
              <w:ind w:leftChars="0" w:left="0" w:right="0"/>
            </w:pPr>
            <w:r>
              <w:t>XTNX</w:t>
            </w:r>
          </w:p>
        </w:tc>
        <w:tc>
          <w:tcPr>
            <w:cnfStyle w:evenVBand="true" w:oddVBand="false" w:firstColumn="false"/>
            <w:tcW w:w="33.333333%" w:type="pct"/>
          </w:tcPr>
          <w:p>
            <w:pPr>
              <w:ind w:leftChars="0" w:left="0" w:right="0"/>
            </w:pPr>
            <w:r>
              <w:t>XTNX</w:t>
            </w:r>
          </w:p>
        </w:tc>
        <w:tc>
          <w:tcPr>
            <w:cnfStyle w:evenVBand="false" w:oddVBand="true" w:firstColumn="false"/>
            <w:tcW w:w="33.333333%" w:type="pct"/>
          </w:tcPr>
          <w:p>
            <w:pPr>
              <w:ind w:leftChars="0" w:left="0" w:right="0"/>
            </w:pPr>
            <w:r>
              <w:t>TSX VENTURE EXCHANGE - NEX</w:t>
            </w:r>
          </w:p>
        </w:tc>
      </w:tr>
      <w:tr>
        <w:trPr>
          <w:cnfStyle w:evenHBand="true" w:oddHBand="false" w:firstRow="false"/>
        </w:trPr>
        <w:tc>
          <w:tcPr>
            <w:cnfStyle w:evenVBand="false" w:oddVBand="true" w:firstColumn="false"/>
            <w:tcW w:w="33.333333%" w:type="pct"/>
          </w:tcPr>
          <w:p>
            <w:pPr>
              <w:ind w:leftChars="0" w:left="0" w:right="0"/>
            </w:pPr>
            <w:r>
              <w:t>XTOE</w:t>
            </w:r>
          </w:p>
        </w:tc>
        <w:tc>
          <w:tcPr>
            <w:cnfStyle w:evenVBand="true" w:oddVBand="false" w:firstColumn="false"/>
            <w:tcW w:w="33.333333%" w:type="pct"/>
          </w:tcPr>
          <w:p>
            <w:pPr>
              <w:ind w:leftChars="0" w:left="0" w:right="0"/>
            </w:pPr>
            <w:r>
              <w:t>XTOE</w:t>
            </w:r>
          </w:p>
        </w:tc>
        <w:tc>
          <w:tcPr>
            <w:cnfStyle w:evenVBand="false" w:oddVBand="true" w:firstColumn="false"/>
            <w:tcW w:w="33.333333%" w:type="pct"/>
          </w:tcPr>
          <w:p>
            <w:pPr>
              <w:ind w:leftChars="0" w:left="0" w:right="0"/>
            </w:pPr>
            <w:r>
              <w:t>TORONTO OPTIONS EXCHANGE</w:t>
            </w:r>
          </w:p>
        </w:tc>
      </w:tr>
      <w:tr>
        <w:trPr>
          <w:cnfStyle w:evenHBand="false" w:oddHBand="true" w:firstRow="false"/>
        </w:trPr>
        <w:tc>
          <w:tcPr>
            <w:cnfStyle w:evenVBand="false" w:oddVBand="true" w:firstColumn="false"/>
            <w:tcW w:w="33.333333%" w:type="pct"/>
          </w:tcPr>
          <w:p>
            <w:pPr>
              <w:ind w:leftChars="0" w:left="0" w:right="0"/>
            </w:pPr>
            <w:r>
              <w:t>XTPE</w:t>
            </w:r>
          </w:p>
        </w:tc>
        <w:tc>
          <w:tcPr>
            <w:cnfStyle w:evenVBand="true" w:oddVBand="false" w:firstColumn="false"/>
            <w:tcW w:w="33.333333%" w:type="pct"/>
          </w:tcPr>
          <w:p>
            <w:pPr>
              <w:ind w:leftChars="0" w:left="0" w:right="0"/>
            </w:pPr>
            <w:r>
              <w:t>XTPE</w:t>
            </w:r>
          </w:p>
        </w:tc>
        <w:tc>
          <w:tcPr>
            <w:cnfStyle w:evenVBand="false" w:oddVBand="true" w:firstColumn="false"/>
            <w:tcW w:w="33.333333%" w:type="pct"/>
          </w:tcPr>
          <w:p>
            <w:pPr>
              <w:ind w:leftChars="0" w:left="0" w:right="0"/>
            </w:pPr>
            <w:r>
              <w:t>TULLETT PREBON PLC - TP ENERGYTRADE</w:t>
            </w:r>
          </w:p>
        </w:tc>
      </w:tr>
      <w:tr>
        <w:trPr>
          <w:cnfStyle w:evenHBand="true" w:oddHBand="false" w:firstRow="false"/>
        </w:trPr>
        <w:tc>
          <w:tcPr>
            <w:cnfStyle w:evenVBand="false" w:oddVBand="true" w:firstColumn="false"/>
            <w:tcW w:w="33.333333%" w:type="pct"/>
          </w:tcPr>
          <w:p>
            <w:pPr>
              <w:ind w:leftChars="0" w:left="0" w:right="0"/>
            </w:pPr>
            <w:r>
              <w:t>XTPZ</w:t>
            </w:r>
          </w:p>
        </w:tc>
        <w:tc>
          <w:tcPr>
            <w:cnfStyle w:evenVBand="true" w:oddVBand="false" w:firstColumn="false"/>
            <w:tcW w:w="33.333333%" w:type="pct"/>
          </w:tcPr>
          <w:p>
            <w:pPr>
              <w:ind w:leftChars="0" w:left="0" w:right="0"/>
            </w:pPr>
            <w:r>
              <w:t>XTPZ</w:t>
            </w:r>
          </w:p>
        </w:tc>
        <w:tc>
          <w:tcPr>
            <w:cnfStyle w:evenVBand="false" w:oddVBand="true" w:firstColumn="false"/>
            <w:tcW w:w="33.333333%" w:type="pct"/>
          </w:tcPr>
          <w:p>
            <w:pPr>
              <w:ind w:leftChars="0" w:left="0" w:right="0"/>
            </w:pPr>
            <w:r>
              <w:t>INTERNATIONAL  SECURITIES EXCHANGE, LLC - TOPAZ</w:t>
            </w:r>
          </w:p>
        </w:tc>
      </w:tr>
      <w:tr>
        <w:trPr>
          <w:cnfStyle w:evenHBand="false" w:oddHBand="true" w:firstRow="false"/>
        </w:trPr>
        <w:tc>
          <w:tcPr>
            <w:cnfStyle w:evenVBand="false" w:oddVBand="true" w:firstColumn="false"/>
            <w:tcW w:w="33.333333%" w:type="pct"/>
          </w:tcPr>
          <w:p>
            <w:pPr>
              <w:ind w:leftChars="0" w:left="0" w:right="0"/>
            </w:pPr>
            <w:r>
              <w:t>XTRA</w:t>
            </w:r>
          </w:p>
        </w:tc>
        <w:tc>
          <w:tcPr>
            <w:cnfStyle w:evenVBand="true" w:oddVBand="false" w:firstColumn="false"/>
            <w:tcW w:w="33.333333%" w:type="pct"/>
          </w:tcPr>
          <w:p>
            <w:pPr>
              <w:ind w:leftChars="0" w:left="0" w:right="0"/>
            </w:pPr>
            <w:r>
              <w:t>XTRA</w:t>
            </w:r>
          </w:p>
        </w:tc>
        <w:tc>
          <w:tcPr>
            <w:cnfStyle w:evenVBand="false" w:oddVBand="true" w:firstColumn="false"/>
            <w:tcW w:w="33.333333%" w:type="pct"/>
          </w:tcPr>
          <w:p>
            <w:pPr>
              <w:ind w:leftChars="0" w:left="0" w:right="0"/>
            </w:pPr>
            <w:r>
              <w:t>XTRAMARKED</w:t>
            </w:r>
          </w:p>
        </w:tc>
      </w:tr>
      <w:tr>
        <w:trPr>
          <w:cnfStyle w:evenHBand="true" w:oddHBand="false" w:firstRow="false"/>
        </w:trPr>
        <w:tc>
          <w:tcPr>
            <w:cnfStyle w:evenVBand="false" w:oddVBand="true" w:firstColumn="false"/>
            <w:tcW w:w="33.333333%" w:type="pct"/>
          </w:tcPr>
          <w:p>
            <w:pPr>
              <w:ind w:leftChars="0" w:left="0" w:right="0"/>
            </w:pPr>
            <w:r>
              <w:t>XTRD</w:t>
            </w:r>
          </w:p>
        </w:tc>
        <w:tc>
          <w:tcPr>
            <w:cnfStyle w:evenVBand="true" w:oddVBand="false" w:firstColumn="false"/>
            <w:tcW w:w="33.333333%" w:type="pct"/>
          </w:tcPr>
          <w:p>
            <w:pPr>
              <w:ind w:leftChars="0" w:left="0" w:right="0"/>
            </w:pPr>
            <w:r>
              <w:t>XTRD</w:t>
            </w:r>
          </w:p>
        </w:tc>
        <w:tc>
          <w:tcPr>
            <w:cnfStyle w:evenVBand="false" w:oddVBand="true" w:firstColumn="false"/>
            <w:tcW w:w="33.333333%" w:type="pct"/>
          </w:tcPr>
          <w:p>
            <w:pPr>
              <w:ind w:leftChars="0" w:left="0" w:right="0"/>
            </w:pPr>
            <w:r>
              <w:t>XTRD</w:t>
            </w:r>
          </w:p>
        </w:tc>
      </w:tr>
      <w:tr>
        <w:trPr>
          <w:cnfStyle w:evenHBand="false" w:oddHBand="true" w:firstRow="false"/>
        </w:trPr>
        <w:tc>
          <w:tcPr>
            <w:cnfStyle w:evenVBand="false" w:oddVBand="true" w:firstColumn="false"/>
            <w:tcW w:w="33.333333%" w:type="pct"/>
          </w:tcPr>
          <w:p>
            <w:pPr>
              <w:ind w:leftChars="0" w:left="0" w:right="0"/>
            </w:pPr>
            <w:r>
              <w:t>XTRN</w:t>
            </w:r>
          </w:p>
        </w:tc>
        <w:tc>
          <w:tcPr>
            <w:cnfStyle w:evenVBand="true" w:oddVBand="false" w:firstColumn="false"/>
            <w:tcW w:w="33.333333%" w:type="pct"/>
          </w:tcPr>
          <w:p>
            <w:pPr>
              <w:ind w:leftChars="0" w:left="0" w:right="0"/>
            </w:pPr>
            <w:r>
              <w:t>XTRN</w:t>
            </w:r>
          </w:p>
        </w:tc>
        <w:tc>
          <w:tcPr>
            <w:cnfStyle w:evenVBand="false" w:oddVBand="true" w:firstColumn="false"/>
            <w:tcW w:w="33.333333%" w:type="pct"/>
          </w:tcPr>
          <w:p>
            <w:pPr>
              <w:ind w:leftChars="0" w:left="0" w:right="0"/>
            </w:pPr>
            <w:r>
              <w:t>TRINIDAD AND TOBAGO STOCK EXCHANGE</w:t>
            </w:r>
          </w:p>
        </w:tc>
      </w:tr>
      <w:tr>
        <w:trPr>
          <w:cnfStyle w:evenHBand="true" w:oddHBand="false" w:firstRow="false"/>
        </w:trPr>
        <w:tc>
          <w:tcPr>
            <w:cnfStyle w:evenVBand="false" w:oddVBand="true" w:firstColumn="false"/>
            <w:tcW w:w="33.333333%" w:type="pct"/>
          </w:tcPr>
          <w:p>
            <w:pPr>
              <w:ind w:leftChars="0" w:left="0" w:right="0"/>
            </w:pPr>
            <w:r>
              <w:t>XTRZ</w:t>
            </w:r>
          </w:p>
        </w:tc>
        <w:tc>
          <w:tcPr>
            <w:cnfStyle w:evenVBand="true" w:oddVBand="false" w:firstColumn="false"/>
            <w:tcW w:w="33.333333%" w:type="pct"/>
          </w:tcPr>
          <w:p>
            <w:pPr>
              <w:ind w:leftChars="0" w:left="0" w:right="0"/>
            </w:pPr>
            <w:r>
              <w:t>XTRZ</w:t>
            </w:r>
          </w:p>
        </w:tc>
        <w:tc>
          <w:tcPr>
            <w:cnfStyle w:evenVBand="false" w:oddVBand="true" w:firstColumn="false"/>
            <w:tcW w:w="33.333333%" w:type="pct"/>
          </w:tcPr>
          <w:p>
            <w:pPr>
              <w:ind w:leftChars="0" w:left="0" w:right="0"/>
            </w:pPr>
            <w:r>
              <w:t>ZAGREB MONEY AND SHORT TERM SECURITIES MARKET INC</w:t>
            </w:r>
          </w:p>
        </w:tc>
      </w:tr>
      <w:tr>
        <w:trPr>
          <w:cnfStyle w:evenHBand="false" w:oddHBand="true" w:firstRow="false"/>
        </w:trPr>
        <w:tc>
          <w:tcPr>
            <w:cnfStyle w:evenVBand="false" w:oddVBand="true" w:firstColumn="false"/>
            <w:tcW w:w="33.333333%" w:type="pct"/>
          </w:tcPr>
          <w:p>
            <w:pPr>
              <w:ind w:leftChars="0" w:left="0" w:right="0"/>
            </w:pPr>
            <w:r>
              <w:t>XTSE</w:t>
            </w:r>
          </w:p>
        </w:tc>
        <w:tc>
          <w:tcPr>
            <w:cnfStyle w:evenVBand="true" w:oddVBand="false" w:firstColumn="false"/>
            <w:tcW w:w="33.333333%" w:type="pct"/>
          </w:tcPr>
          <w:p>
            <w:pPr>
              <w:ind w:leftChars="0" w:left="0" w:right="0"/>
            </w:pPr>
            <w:r>
              <w:t>XTSE</w:t>
            </w:r>
          </w:p>
        </w:tc>
        <w:tc>
          <w:tcPr>
            <w:cnfStyle w:evenVBand="false" w:oddVBand="true" w:firstColumn="false"/>
            <w:tcW w:w="33.333333%" w:type="pct"/>
          </w:tcPr>
          <w:p>
            <w:pPr>
              <w:ind w:leftChars="0" w:left="0" w:right="0"/>
            </w:pPr>
            <w:r>
              <w:t>TORONTO STOCK EXCHANGE</w:t>
            </w:r>
          </w:p>
        </w:tc>
      </w:tr>
      <w:tr>
        <w:trPr>
          <w:cnfStyle w:evenHBand="true" w:oddHBand="false" w:firstRow="false"/>
        </w:trPr>
        <w:tc>
          <w:tcPr>
            <w:cnfStyle w:evenVBand="false" w:oddVBand="true" w:firstColumn="false"/>
            <w:tcW w:w="33.333333%" w:type="pct"/>
          </w:tcPr>
          <w:p>
            <w:pPr>
              <w:ind w:leftChars="0" w:left="0" w:right="0"/>
            </w:pPr>
            <w:r>
              <w:t>XTSX</w:t>
            </w:r>
          </w:p>
        </w:tc>
        <w:tc>
          <w:tcPr>
            <w:cnfStyle w:evenVBand="true" w:oddVBand="false" w:firstColumn="false"/>
            <w:tcW w:w="33.333333%" w:type="pct"/>
          </w:tcPr>
          <w:p>
            <w:pPr>
              <w:ind w:leftChars="0" w:left="0" w:right="0"/>
            </w:pPr>
            <w:r>
              <w:t>XTSX</w:t>
            </w:r>
          </w:p>
        </w:tc>
        <w:tc>
          <w:tcPr>
            <w:cnfStyle w:evenVBand="false" w:oddVBand="true" w:firstColumn="false"/>
            <w:tcW w:w="33.333333%" w:type="pct"/>
          </w:tcPr>
          <w:p>
            <w:pPr>
              <w:ind w:leftChars="0" w:left="0" w:right="0"/>
            </w:pPr>
            <w:r>
              <w:t>TSX VENTURE EXCHANGE</w:t>
            </w:r>
          </w:p>
        </w:tc>
      </w:tr>
      <w:tr>
        <w:trPr>
          <w:cnfStyle w:evenHBand="false" w:oddHBand="true" w:firstRow="false"/>
        </w:trPr>
        <w:tc>
          <w:tcPr>
            <w:cnfStyle w:evenVBand="false" w:oddVBand="true" w:firstColumn="false"/>
            <w:tcW w:w="33.333333%" w:type="pct"/>
          </w:tcPr>
          <w:p>
            <w:pPr>
              <w:ind w:leftChars="0" w:left="0" w:right="0"/>
            </w:pPr>
            <w:r>
              <w:t>XTUC</w:t>
            </w:r>
          </w:p>
        </w:tc>
        <w:tc>
          <w:tcPr>
            <w:cnfStyle w:evenVBand="true" w:oddVBand="false" w:firstColumn="false"/>
            <w:tcW w:w="33.333333%" w:type="pct"/>
          </w:tcPr>
          <w:p>
            <w:pPr>
              <w:ind w:leftChars="0" w:left="0" w:right="0"/>
            </w:pPr>
            <w:r>
              <w:t>XTUC</w:t>
            </w:r>
          </w:p>
        </w:tc>
        <w:tc>
          <w:tcPr>
            <w:cnfStyle w:evenVBand="false" w:oddVBand="true" w:firstColumn="false"/>
            <w:tcW w:w="33.333333%" w:type="pct"/>
          </w:tcPr>
          <w:p>
            <w:pPr>
              <w:ind w:leftChars="0" w:left="0" w:right="0"/>
            </w:pPr>
            <w:r>
              <w:t>NUEVA BOLSA DE COMERCIO DE TUCUMAN S.A.</w:t>
            </w:r>
          </w:p>
        </w:tc>
      </w:tr>
      <w:tr>
        <w:trPr>
          <w:cnfStyle w:evenHBand="true" w:oddHBand="false" w:firstRow="false"/>
        </w:trPr>
        <w:tc>
          <w:tcPr>
            <w:cnfStyle w:evenVBand="false" w:oddVBand="true" w:firstColumn="false"/>
            <w:tcW w:w="33.333333%" w:type="pct"/>
          </w:tcPr>
          <w:p>
            <w:pPr>
              <w:ind w:leftChars="0" w:left="0" w:right="0"/>
            </w:pPr>
            <w:r>
              <w:t>XTUN</w:t>
            </w:r>
          </w:p>
        </w:tc>
        <w:tc>
          <w:tcPr>
            <w:cnfStyle w:evenVBand="true" w:oddVBand="false" w:firstColumn="false"/>
            <w:tcW w:w="33.333333%" w:type="pct"/>
          </w:tcPr>
          <w:p>
            <w:pPr>
              <w:ind w:leftChars="0" w:left="0" w:right="0"/>
            </w:pPr>
            <w:r>
              <w:t>XTUN</w:t>
            </w:r>
          </w:p>
        </w:tc>
        <w:tc>
          <w:tcPr>
            <w:cnfStyle w:evenVBand="false" w:oddVBand="true" w:firstColumn="false"/>
            <w:tcW w:w="33.333333%" w:type="pct"/>
          </w:tcPr>
          <w:p>
            <w:pPr>
              <w:ind w:leftChars="0" w:left="0" w:right="0"/>
            </w:pPr>
            <w:r>
              <w:t>TUNIS STOCK EXCHANGE (BOURSE DE TUNIS)</w:t>
            </w:r>
          </w:p>
        </w:tc>
      </w:tr>
      <w:tr>
        <w:trPr>
          <w:cnfStyle w:evenHBand="false" w:oddHBand="true" w:firstRow="false"/>
        </w:trPr>
        <w:tc>
          <w:tcPr>
            <w:cnfStyle w:evenVBand="false" w:oddVBand="true" w:firstColumn="false"/>
            <w:tcW w:w="33.333333%" w:type="pct"/>
          </w:tcPr>
          <w:p>
            <w:pPr>
              <w:ind w:leftChars="0" w:left="0" w:right="0"/>
            </w:pPr>
            <w:r>
              <w:t>XTUP</w:t>
            </w:r>
          </w:p>
        </w:tc>
        <w:tc>
          <w:tcPr>
            <w:cnfStyle w:evenVBand="true" w:oddVBand="false" w:firstColumn="false"/>
            <w:tcW w:w="33.333333%" w:type="pct"/>
          </w:tcPr>
          <w:p>
            <w:pPr>
              <w:ind w:leftChars="0" w:left="0" w:right="0"/>
            </w:pPr>
            <w:r>
              <w:t>XTUP</w:t>
            </w:r>
          </w:p>
        </w:tc>
        <w:tc>
          <w:tcPr>
            <w:cnfStyle w:evenVBand="false" w:oddVBand="true" w:firstColumn="false"/>
            <w:tcW w:w="33.333333%" w:type="pct"/>
          </w:tcPr>
          <w:p>
            <w:pPr>
              <w:ind w:leftChars="0" w:left="0" w:right="0"/>
            </w:pPr>
            <w:r>
              <w:t>TULLETT PREBON PLC</w:t>
            </w:r>
          </w:p>
        </w:tc>
      </w:tr>
      <w:tr>
        <w:trPr>
          <w:cnfStyle w:evenHBand="true" w:oddHBand="false" w:firstRow="false"/>
        </w:trPr>
        <w:tc>
          <w:tcPr>
            <w:cnfStyle w:evenVBand="false" w:oddVBand="true" w:firstColumn="false"/>
            <w:tcW w:w="33.333333%" w:type="pct"/>
          </w:tcPr>
          <w:p>
            <w:pPr>
              <w:ind w:leftChars="0" w:left="0" w:right="0"/>
            </w:pPr>
            <w:r>
              <w:t>XTUR</w:t>
            </w:r>
          </w:p>
        </w:tc>
        <w:tc>
          <w:tcPr>
            <w:cnfStyle w:evenVBand="true" w:oddVBand="false" w:firstColumn="false"/>
            <w:tcW w:w="33.333333%" w:type="pct"/>
          </w:tcPr>
          <w:p>
            <w:pPr>
              <w:ind w:leftChars="0" w:left="0" w:right="0"/>
            </w:pPr>
            <w:r>
              <w:t>XTUR</w:t>
            </w:r>
          </w:p>
        </w:tc>
        <w:tc>
          <w:tcPr>
            <w:cnfStyle w:evenVBand="false" w:oddVBand="true" w:firstColumn="false"/>
            <w:tcW w:w="33.333333%" w:type="pct"/>
          </w:tcPr>
          <w:p>
            <w:pPr>
              <w:ind w:leftChars="0" w:left="0" w:right="0"/>
            </w:pPr>
            <w:r>
              <w:t>TURKISH DERIVATIVES EXCHANGE</w:t>
            </w:r>
          </w:p>
        </w:tc>
      </w:tr>
      <w:tr>
        <w:trPr>
          <w:cnfStyle w:evenHBand="false" w:oddHBand="true" w:firstRow="false"/>
        </w:trPr>
        <w:tc>
          <w:tcPr>
            <w:cnfStyle w:evenVBand="false" w:oddVBand="true" w:firstColumn="false"/>
            <w:tcW w:w="33.333333%" w:type="pct"/>
          </w:tcPr>
          <w:p>
            <w:pPr>
              <w:ind w:leftChars="0" w:left="0" w:right="0"/>
            </w:pPr>
            <w:r>
              <w:t>XTXD</w:t>
            </w:r>
          </w:p>
        </w:tc>
        <w:tc>
          <w:tcPr>
            <w:cnfStyle w:evenVBand="true" w:oddVBand="false" w:firstColumn="false"/>
            <w:tcW w:w="33.333333%" w:type="pct"/>
          </w:tcPr>
          <w:p>
            <w:pPr>
              <w:ind w:leftChars="0" w:left="0" w:right="0"/>
            </w:pPr>
            <w:r>
              <w:t>XTXD</w:t>
            </w:r>
          </w:p>
        </w:tc>
        <w:tc>
          <w:tcPr>
            <w:cnfStyle w:evenVBand="false" w:oddVBand="true" w:firstColumn="false"/>
            <w:tcW w:w="33.333333%" w:type="pct"/>
          </w:tcPr>
          <w:p>
            <w:pPr>
              <w:ind w:leftChars="0" w:left="0" w:right="0"/>
            </w:pPr>
            <w:r>
              <w:t>XTX DIRECT</w:t>
            </w:r>
          </w:p>
        </w:tc>
      </w:tr>
      <w:tr>
        <w:trPr>
          <w:cnfStyle w:evenHBand="true" w:oddHBand="false" w:firstRow="false"/>
        </w:trPr>
        <w:tc>
          <w:tcPr>
            <w:cnfStyle w:evenVBand="false" w:oddVBand="true" w:firstColumn="false"/>
            <w:tcW w:w="33.333333%" w:type="pct"/>
          </w:tcPr>
          <w:p>
            <w:pPr>
              <w:ind w:leftChars="0" w:left="0" w:right="0"/>
            </w:pPr>
            <w:r>
              <w:t>XTXE</w:t>
            </w:r>
          </w:p>
        </w:tc>
        <w:tc>
          <w:tcPr>
            <w:cnfStyle w:evenVBand="true" w:oddVBand="false" w:firstColumn="false"/>
            <w:tcW w:w="33.333333%" w:type="pct"/>
          </w:tcPr>
          <w:p>
            <w:pPr>
              <w:ind w:leftChars="0" w:left="0" w:right="0"/>
            </w:pPr>
            <w:r>
              <w:t>XTXE</w:t>
            </w:r>
          </w:p>
        </w:tc>
        <w:tc>
          <w:tcPr>
            <w:cnfStyle w:evenVBand="false" w:oddVBand="true" w:firstColumn="false"/>
            <w:tcW w:w="33.333333%" w:type="pct"/>
          </w:tcPr>
          <w:p>
            <w:pPr>
              <w:ind w:leftChars="0" w:left="0" w:right="0"/>
            </w:pPr>
            <w:r>
              <w:t>XTX MARKETS SAS</w:t>
            </w:r>
          </w:p>
        </w:tc>
      </w:tr>
      <w:tr>
        <w:trPr>
          <w:cnfStyle w:evenHBand="false" w:oddHBand="true" w:firstRow="false"/>
        </w:trPr>
        <w:tc>
          <w:tcPr>
            <w:cnfStyle w:evenVBand="false" w:oddVBand="true" w:firstColumn="false"/>
            <w:tcW w:w="33.333333%" w:type="pct"/>
          </w:tcPr>
          <w:p>
            <w:pPr>
              <w:ind w:leftChars="0" w:left="0" w:right="0"/>
            </w:pPr>
            <w:r>
              <w:t>XTXM</w:t>
            </w:r>
          </w:p>
        </w:tc>
        <w:tc>
          <w:tcPr>
            <w:cnfStyle w:evenVBand="true" w:oddVBand="false" w:firstColumn="false"/>
            <w:tcW w:w="33.333333%" w:type="pct"/>
          </w:tcPr>
          <w:p>
            <w:pPr>
              <w:ind w:leftChars="0" w:left="0" w:right="0"/>
            </w:pPr>
            <w:r>
              <w:t>XTXM</w:t>
            </w:r>
          </w:p>
        </w:tc>
        <w:tc>
          <w:tcPr>
            <w:cnfStyle w:evenVBand="false" w:oddVBand="true" w:firstColumn="false"/>
            <w:tcW w:w="33.333333%" w:type="pct"/>
          </w:tcPr>
          <w:p>
            <w:pPr>
              <w:ind w:leftChars="0" w:left="0" w:right="0"/>
            </w:pPr>
            <w:r>
              <w:t>XTX MARKETS</w:t>
            </w:r>
          </w:p>
        </w:tc>
      </w:tr>
      <w:tr>
        <w:trPr>
          <w:cnfStyle w:evenHBand="true" w:oddHBand="false" w:firstRow="false"/>
        </w:trPr>
        <w:tc>
          <w:tcPr>
            <w:cnfStyle w:evenVBand="false" w:oddVBand="true" w:firstColumn="false"/>
            <w:tcW w:w="33.333333%" w:type="pct"/>
          </w:tcPr>
          <w:p>
            <w:pPr>
              <w:ind w:leftChars="0" w:left="0" w:right="0"/>
            </w:pPr>
            <w:r>
              <w:t>XUAX</w:t>
            </w:r>
          </w:p>
        </w:tc>
        <w:tc>
          <w:tcPr>
            <w:cnfStyle w:evenVBand="true" w:oddVBand="false" w:firstColumn="false"/>
            <w:tcW w:w="33.333333%" w:type="pct"/>
          </w:tcPr>
          <w:p>
            <w:pPr>
              <w:ind w:leftChars="0" w:left="0" w:right="0"/>
            </w:pPr>
            <w:r>
              <w:t>XUAX</w:t>
            </w:r>
          </w:p>
        </w:tc>
        <w:tc>
          <w:tcPr>
            <w:cnfStyle w:evenVBand="false" w:oddVBand="true" w:firstColumn="false"/>
            <w:tcW w:w="33.333333%" w:type="pct"/>
          </w:tcPr>
          <w:p>
            <w:pPr>
              <w:ind w:leftChars="0" w:left="0" w:right="0"/>
            </w:pPr>
            <w:r>
              <w:t>UKRAINIAN STOCK EXCHANGE</w:t>
            </w:r>
          </w:p>
        </w:tc>
      </w:tr>
      <w:tr>
        <w:trPr>
          <w:cnfStyle w:evenHBand="false" w:oddHBand="true" w:firstRow="false"/>
        </w:trPr>
        <w:tc>
          <w:tcPr>
            <w:cnfStyle w:evenVBand="false" w:oddVBand="true" w:firstColumn="false"/>
            <w:tcW w:w="33.333333%" w:type="pct"/>
          </w:tcPr>
          <w:p>
            <w:pPr>
              <w:ind w:leftChars="0" w:left="0" w:right="0"/>
            </w:pPr>
            <w:r>
              <w:t>XUBS</w:t>
            </w:r>
          </w:p>
        </w:tc>
        <w:tc>
          <w:tcPr>
            <w:cnfStyle w:evenVBand="true" w:oddVBand="false" w:firstColumn="false"/>
            <w:tcW w:w="33.333333%" w:type="pct"/>
          </w:tcPr>
          <w:p>
            <w:pPr>
              <w:ind w:leftChars="0" w:left="0" w:right="0"/>
            </w:pPr>
            <w:r>
              <w:t>XUBS</w:t>
            </w:r>
          </w:p>
        </w:tc>
        <w:tc>
          <w:tcPr>
            <w:cnfStyle w:evenVBand="false" w:oddVBand="true" w:firstColumn="false"/>
            <w:tcW w:w="33.333333%" w:type="pct"/>
          </w:tcPr>
          <w:p>
            <w:pPr>
              <w:ind w:leftChars="0" w:left="0" w:right="0"/>
            </w:pPr>
            <w:r>
              <w:t>AQUIS EXCHANGE PLC - AMP - DARK ORDER BOOK</w:t>
            </w:r>
          </w:p>
        </w:tc>
      </w:tr>
      <w:tr>
        <w:trPr>
          <w:cnfStyle w:evenHBand="true" w:oddHBand="false" w:firstRow="false"/>
        </w:trPr>
        <w:tc>
          <w:tcPr>
            <w:cnfStyle w:evenVBand="false" w:oddVBand="true" w:firstColumn="false"/>
            <w:tcW w:w="33.333333%" w:type="pct"/>
          </w:tcPr>
          <w:p>
            <w:pPr>
              <w:ind w:leftChars="0" w:left="0" w:right="0"/>
            </w:pPr>
            <w:r>
              <w:t>XUGA</w:t>
            </w:r>
          </w:p>
        </w:tc>
        <w:tc>
          <w:tcPr>
            <w:cnfStyle w:evenVBand="true" w:oddVBand="false" w:firstColumn="false"/>
            <w:tcW w:w="33.333333%" w:type="pct"/>
          </w:tcPr>
          <w:p>
            <w:pPr>
              <w:ind w:leftChars="0" w:left="0" w:right="0"/>
            </w:pPr>
            <w:r>
              <w:t>XUGA</w:t>
            </w:r>
          </w:p>
        </w:tc>
        <w:tc>
          <w:tcPr>
            <w:cnfStyle w:evenVBand="false" w:oddVBand="true" w:firstColumn="false"/>
            <w:tcW w:w="33.333333%" w:type="pct"/>
          </w:tcPr>
          <w:p>
            <w:pPr>
              <w:ind w:leftChars="0" w:left="0" w:right="0"/>
            </w:pPr>
            <w:r>
              <w:t>UGANDA SECURITIES EXCHANGE</w:t>
            </w:r>
          </w:p>
        </w:tc>
      </w:tr>
      <w:tr>
        <w:trPr>
          <w:cnfStyle w:evenHBand="false" w:oddHBand="true" w:firstRow="false"/>
        </w:trPr>
        <w:tc>
          <w:tcPr>
            <w:cnfStyle w:evenVBand="false" w:oddVBand="true" w:firstColumn="false"/>
            <w:tcW w:w="33.333333%" w:type="pct"/>
          </w:tcPr>
          <w:p>
            <w:pPr>
              <w:ind w:leftChars="0" w:left="0" w:right="0"/>
            </w:pPr>
            <w:r>
              <w:t>XUKR</w:t>
            </w:r>
          </w:p>
        </w:tc>
        <w:tc>
          <w:tcPr>
            <w:cnfStyle w:evenVBand="true" w:oddVBand="false" w:firstColumn="false"/>
            <w:tcW w:w="33.333333%" w:type="pct"/>
          </w:tcPr>
          <w:p>
            <w:pPr>
              <w:ind w:leftChars="0" w:left="0" w:right="0"/>
            </w:pPr>
            <w:r>
              <w:t>XUKR</w:t>
            </w:r>
          </w:p>
        </w:tc>
        <w:tc>
          <w:tcPr>
            <w:cnfStyle w:evenVBand="false" w:oddVBand="true" w:firstColumn="false"/>
            <w:tcW w:w="33.333333%" w:type="pct"/>
          </w:tcPr>
          <w:p>
            <w:pPr>
              <w:ind w:leftChars="0" w:left="0" w:right="0"/>
            </w:pPr>
            <w:r>
              <w:t>UKRAINIAN UNIVERSAL COMMODITY EXCHANGE</w:t>
            </w:r>
          </w:p>
        </w:tc>
      </w:tr>
      <w:tr>
        <w:trPr>
          <w:cnfStyle w:evenHBand="true" w:oddHBand="false" w:firstRow="false"/>
        </w:trPr>
        <w:tc>
          <w:tcPr>
            <w:cnfStyle w:evenVBand="false" w:oddVBand="true" w:firstColumn="false"/>
            <w:tcW w:w="33.333333%" w:type="pct"/>
          </w:tcPr>
          <w:p>
            <w:pPr>
              <w:ind w:leftChars="0" w:left="0" w:right="0"/>
            </w:pPr>
            <w:r>
              <w:t>XULA</w:t>
            </w:r>
          </w:p>
        </w:tc>
        <w:tc>
          <w:tcPr>
            <w:cnfStyle w:evenVBand="true" w:oddVBand="false" w:firstColumn="false"/>
            <w:tcW w:w="33.333333%" w:type="pct"/>
          </w:tcPr>
          <w:p>
            <w:pPr>
              <w:ind w:leftChars="0" w:left="0" w:right="0"/>
            </w:pPr>
            <w:r>
              <w:t>XULA</w:t>
            </w:r>
          </w:p>
        </w:tc>
        <w:tc>
          <w:tcPr>
            <w:cnfStyle w:evenVBand="false" w:oddVBand="true" w:firstColumn="false"/>
            <w:tcW w:w="33.333333%" w:type="pct"/>
          </w:tcPr>
          <w:p>
            <w:pPr>
              <w:ind w:leftChars="0" w:left="0" w:right="0"/>
            </w:pPr>
            <w:r>
              <w:t>MONGOLIAN STOCK EXCHANGE</w:t>
            </w:r>
          </w:p>
        </w:tc>
      </w:tr>
      <w:tr>
        <w:trPr>
          <w:cnfStyle w:evenHBand="false" w:oddHBand="true" w:firstRow="false"/>
        </w:trPr>
        <w:tc>
          <w:tcPr>
            <w:cnfStyle w:evenVBand="false" w:oddVBand="true" w:firstColumn="false"/>
            <w:tcW w:w="33.333333%" w:type="pct"/>
          </w:tcPr>
          <w:p>
            <w:pPr>
              <w:ind w:leftChars="0" w:left="0" w:right="0"/>
            </w:pPr>
            <w:r>
              <w:t>XUMP</w:t>
            </w:r>
          </w:p>
        </w:tc>
        <w:tc>
          <w:tcPr>
            <w:cnfStyle w:evenVBand="true" w:oddVBand="false" w:firstColumn="false"/>
            <w:tcW w:w="33.333333%" w:type="pct"/>
          </w:tcPr>
          <w:p>
            <w:pPr>
              <w:ind w:leftChars="0" w:left="0" w:right="0"/>
            </w:pPr>
            <w:r>
              <w:t>XUMP</w:t>
            </w:r>
          </w:p>
        </w:tc>
        <w:tc>
          <w:tcPr>
            <w:cnfStyle w:evenVBand="false" w:oddVBand="true" w:firstColumn="false"/>
            <w:tcW w:w="33.333333%" w:type="pct"/>
          </w:tcPr>
          <w:p>
            <w:pPr>
              <w:ind w:leftChars="0" w:left="0" w:right="0"/>
            </w:pPr>
            <w:r>
              <w:t>UBS MTF LIMITED - PERIODIC AUCTION ORDER BOOK</w:t>
            </w:r>
          </w:p>
        </w:tc>
      </w:tr>
      <w:tr>
        <w:trPr>
          <w:cnfStyle w:evenHBand="true" w:oddHBand="false" w:firstRow="false"/>
        </w:trPr>
        <w:tc>
          <w:tcPr>
            <w:cnfStyle w:evenVBand="false" w:oddVBand="true" w:firstColumn="false"/>
            <w:tcW w:w="33.333333%" w:type="pct"/>
          </w:tcPr>
          <w:p>
            <w:pPr>
              <w:ind w:leftChars="0" w:left="0" w:right="0"/>
            </w:pPr>
            <w:r>
              <w:t>XUNI</w:t>
            </w:r>
          </w:p>
        </w:tc>
        <w:tc>
          <w:tcPr>
            <w:cnfStyle w:evenVBand="true" w:oddVBand="false" w:firstColumn="false"/>
            <w:tcW w:w="33.333333%" w:type="pct"/>
          </w:tcPr>
          <w:p>
            <w:pPr>
              <w:ind w:leftChars="0" w:left="0" w:right="0"/>
            </w:pPr>
            <w:r>
              <w:t>XUNI</w:t>
            </w:r>
          </w:p>
        </w:tc>
        <w:tc>
          <w:tcPr>
            <w:cnfStyle w:evenVBand="false" w:oddVBand="true" w:firstColumn="false"/>
            <w:tcW w:w="33.333333%" w:type="pct"/>
          </w:tcPr>
          <w:p>
            <w:pPr>
              <w:ind w:leftChars="0" w:left="0" w:right="0"/>
            </w:pPr>
            <w:r>
              <w:t>UNIVERSAL BROKER’S EXCHANGE “TASHKENT”</w:t>
            </w:r>
          </w:p>
        </w:tc>
      </w:tr>
      <w:tr>
        <w:trPr>
          <w:cnfStyle w:evenHBand="false" w:oddHBand="true" w:firstRow="false"/>
        </w:trPr>
        <w:tc>
          <w:tcPr>
            <w:cnfStyle w:evenVBand="false" w:oddVBand="true" w:firstColumn="false"/>
            <w:tcW w:w="33.333333%" w:type="pct"/>
          </w:tcPr>
          <w:p>
            <w:pPr>
              <w:ind w:leftChars="0" w:left="0" w:right="0"/>
            </w:pPr>
            <w:r>
              <w:t>XUSE</w:t>
            </w:r>
          </w:p>
        </w:tc>
        <w:tc>
          <w:tcPr>
            <w:cnfStyle w:evenVBand="true" w:oddVBand="false" w:firstColumn="false"/>
            <w:tcW w:w="33.333333%" w:type="pct"/>
          </w:tcPr>
          <w:p>
            <w:pPr>
              <w:ind w:leftChars="0" w:left="0" w:right="0"/>
            </w:pPr>
            <w:r>
              <w:t>XUSE</w:t>
            </w:r>
          </w:p>
        </w:tc>
        <w:tc>
          <w:tcPr>
            <w:cnfStyle w:evenVBand="false" w:oddVBand="true" w:firstColumn="false"/>
            <w:tcW w:w="33.333333%" w:type="pct"/>
          </w:tcPr>
          <w:p>
            <w:pPr>
              <w:ind w:leftChars="0" w:left="0" w:right="0"/>
            </w:pPr>
            <w:r>
              <w:t>UNITED STOCK EXCHANGE</w:t>
            </w:r>
          </w:p>
        </w:tc>
      </w:tr>
      <w:tr>
        <w:trPr>
          <w:cnfStyle w:evenHBand="true" w:oddHBand="false" w:firstRow="false"/>
        </w:trPr>
        <w:tc>
          <w:tcPr>
            <w:cnfStyle w:evenVBand="false" w:oddVBand="true" w:firstColumn="false"/>
            <w:tcW w:w="33.333333%" w:type="pct"/>
          </w:tcPr>
          <w:p>
            <w:pPr>
              <w:ind w:leftChars="0" w:left="0" w:right="0"/>
            </w:pPr>
            <w:r>
              <w:t>XVAL</w:t>
            </w:r>
          </w:p>
        </w:tc>
        <w:tc>
          <w:tcPr>
            <w:cnfStyle w:evenVBand="true" w:oddVBand="false" w:firstColumn="false"/>
            <w:tcW w:w="33.333333%" w:type="pct"/>
          </w:tcPr>
          <w:p>
            <w:pPr>
              <w:ind w:leftChars="0" w:left="0" w:right="0"/>
            </w:pPr>
            <w:r>
              <w:t>XVAL</w:t>
            </w:r>
          </w:p>
        </w:tc>
        <w:tc>
          <w:tcPr>
            <w:cnfStyle w:evenVBand="false" w:oddVBand="true" w:firstColumn="false"/>
            <w:tcW w:w="33.333333%" w:type="pct"/>
          </w:tcPr>
          <w:p>
            <w:pPr>
              <w:ind w:leftChars="0" w:left="0" w:right="0"/>
            </w:pPr>
            <w:r>
              <w:t>BOLSA DE VALENCIA</w:t>
            </w:r>
          </w:p>
        </w:tc>
      </w:tr>
      <w:tr>
        <w:trPr>
          <w:cnfStyle w:evenHBand="false" w:oddHBand="true" w:firstRow="false"/>
        </w:trPr>
        <w:tc>
          <w:tcPr>
            <w:cnfStyle w:evenVBand="false" w:oddVBand="true" w:firstColumn="false"/>
            <w:tcW w:w="33.333333%" w:type="pct"/>
          </w:tcPr>
          <w:p>
            <w:pPr>
              <w:ind w:leftChars="0" w:left="0" w:right="0"/>
            </w:pPr>
            <w:r>
              <w:t>XVAR</w:t>
            </w:r>
          </w:p>
        </w:tc>
        <w:tc>
          <w:tcPr>
            <w:cnfStyle w:evenVBand="true" w:oddVBand="false" w:firstColumn="false"/>
            <w:tcW w:w="33.333333%" w:type="pct"/>
          </w:tcPr>
          <w:p>
            <w:pPr>
              <w:ind w:leftChars="0" w:left="0" w:right="0"/>
            </w:pPr>
            <w:r>
              <w:t>XVAR</w:t>
            </w:r>
          </w:p>
        </w:tc>
        <w:tc>
          <w:tcPr>
            <w:cnfStyle w:evenVBand="false" w:oddVBand="true" w:firstColumn="false"/>
            <w:tcW w:w="33.333333%" w:type="pct"/>
          </w:tcPr>
          <w:p>
            <w:pPr>
              <w:ind w:leftChars="0" w:left="0" w:right="0"/>
            </w:pPr>
            <w:r>
              <w:t>VARAZDIN STOCK EXCHANGE, THE</w:t>
            </w:r>
          </w:p>
        </w:tc>
      </w:tr>
      <w:tr>
        <w:trPr>
          <w:cnfStyle w:evenHBand="true" w:oddHBand="false" w:firstRow="false"/>
        </w:trPr>
        <w:tc>
          <w:tcPr>
            <w:cnfStyle w:evenVBand="false" w:oddVBand="true" w:firstColumn="false"/>
            <w:tcW w:w="33.333333%" w:type="pct"/>
          </w:tcPr>
          <w:p>
            <w:pPr>
              <w:ind w:leftChars="0" w:left="0" w:right="0"/>
            </w:pPr>
            <w:r>
              <w:t>XVES</w:t>
            </w:r>
          </w:p>
        </w:tc>
        <w:tc>
          <w:tcPr>
            <w:cnfStyle w:evenVBand="true" w:oddVBand="false" w:firstColumn="false"/>
            <w:tcW w:w="33.333333%" w:type="pct"/>
          </w:tcPr>
          <w:p>
            <w:pPr>
              <w:ind w:leftChars="0" w:left="0" w:right="0"/>
            </w:pPr>
            <w:r>
              <w:t>XVES</w:t>
            </w:r>
          </w:p>
        </w:tc>
        <w:tc>
          <w:tcPr>
            <w:cnfStyle w:evenVBand="false" w:oddVBand="true" w:firstColumn="false"/>
            <w:tcW w:w="33.333333%" w:type="pct"/>
          </w:tcPr>
          <w:p>
            <w:pPr>
              <w:ind w:leftChars="0" w:left="0" w:right="0"/>
            </w:pPr>
            <w:r>
              <w:t>VESTIMA</w:t>
            </w:r>
          </w:p>
        </w:tc>
      </w:tr>
      <w:tr>
        <w:trPr>
          <w:cnfStyle w:evenHBand="false" w:oddHBand="true" w:firstRow="false"/>
        </w:trPr>
        <w:tc>
          <w:tcPr>
            <w:cnfStyle w:evenVBand="false" w:oddVBand="true" w:firstColumn="false"/>
            <w:tcW w:w="33.333333%" w:type="pct"/>
          </w:tcPr>
          <w:p>
            <w:pPr>
              <w:ind w:leftChars="0" w:left="0" w:right="0"/>
            </w:pPr>
            <w:r>
              <w:t>XVIA</w:t>
            </w:r>
          </w:p>
        </w:tc>
        <w:tc>
          <w:tcPr>
            <w:cnfStyle w:evenVBand="true" w:oddVBand="false" w:firstColumn="false"/>
            <w:tcW w:w="33.333333%" w:type="pct"/>
          </w:tcPr>
          <w:p>
            <w:pPr>
              <w:ind w:leftChars="0" w:left="0" w:right="0"/>
            </w:pPr>
            <w:r>
              <w:t>XVIA</w:t>
            </w:r>
          </w:p>
        </w:tc>
        <w:tc>
          <w:tcPr>
            <w:cnfStyle w:evenVBand="false" w:oddVBand="true" w:firstColumn="false"/>
            <w:tcW w:w="33.333333%" w:type="pct"/>
          </w:tcPr>
          <w:p>
            <w:pPr>
              <w:ind w:leftChars="0" w:left="0" w:right="0"/>
            </w:pPr>
            <w:r>
              <w:t>ALTERNATIVE MARKET-FIRST NORTH LITHUANIA</w:t>
            </w:r>
          </w:p>
        </w:tc>
      </w:tr>
      <w:tr>
        <w:trPr>
          <w:cnfStyle w:evenHBand="true" w:oddHBand="false" w:firstRow="false"/>
        </w:trPr>
        <w:tc>
          <w:tcPr>
            <w:cnfStyle w:evenVBand="false" w:oddVBand="true" w:firstColumn="false"/>
            <w:tcW w:w="33.333333%" w:type="pct"/>
          </w:tcPr>
          <w:p>
            <w:pPr>
              <w:ind w:leftChars="0" w:left="0" w:right="0"/>
            </w:pPr>
            <w:r>
              <w:t>XVIE</w:t>
            </w:r>
          </w:p>
        </w:tc>
        <w:tc>
          <w:tcPr>
            <w:cnfStyle w:evenVBand="true" w:oddVBand="false" w:firstColumn="false"/>
            <w:tcW w:w="33.333333%" w:type="pct"/>
          </w:tcPr>
          <w:p>
            <w:pPr>
              <w:ind w:leftChars="0" w:left="0" w:right="0"/>
            </w:pPr>
            <w:r>
              <w:t>XVIE</w:t>
            </w:r>
          </w:p>
        </w:tc>
        <w:tc>
          <w:tcPr>
            <w:cnfStyle w:evenVBand="false" w:oddVBand="true" w:firstColumn="false"/>
            <w:tcW w:w="33.333333%" w:type="pct"/>
          </w:tcPr>
          <w:p>
            <w:pPr>
              <w:ind w:leftChars="0" w:left="0" w:right="0"/>
            </w:pPr>
            <w:r>
              <w:t>WIENER BOERSE AG, WERTPAPIERBOERSE (SECURITIES EXCHANGE)</w:t>
            </w:r>
          </w:p>
        </w:tc>
      </w:tr>
      <w:tr>
        <w:trPr>
          <w:cnfStyle w:evenHBand="false" w:oddHBand="true" w:firstRow="false"/>
        </w:trPr>
        <w:tc>
          <w:tcPr>
            <w:cnfStyle w:evenVBand="false" w:oddVBand="true" w:firstColumn="false"/>
            <w:tcW w:w="33.333333%" w:type="pct"/>
          </w:tcPr>
          <w:p>
            <w:pPr>
              <w:ind w:leftChars="0" w:left="0" w:right="0"/>
            </w:pPr>
            <w:r>
              <w:t>XVLA</w:t>
            </w:r>
          </w:p>
        </w:tc>
        <w:tc>
          <w:tcPr>
            <w:cnfStyle w:evenVBand="true" w:oddVBand="false" w:firstColumn="false"/>
            <w:tcW w:w="33.333333%" w:type="pct"/>
          </w:tcPr>
          <w:p>
            <w:pPr>
              <w:ind w:leftChars="0" w:left="0" w:right="0"/>
            </w:pPr>
            <w:r>
              <w:t>XVLA</w:t>
            </w:r>
          </w:p>
        </w:tc>
        <w:tc>
          <w:tcPr>
            <w:cnfStyle w:evenVBand="false" w:oddVBand="true" w:firstColumn="false"/>
            <w:tcW w:w="33.333333%" w:type="pct"/>
          </w:tcPr>
          <w:p>
            <w:pPr>
              <w:ind w:leftChars="0" w:left="0" w:right="0"/>
            </w:pPr>
            <w:r>
              <w:t>VLADIVOSTOK (RUSSIA) STOCK EXCHANGE</w:t>
            </w:r>
          </w:p>
        </w:tc>
      </w:tr>
      <w:tr>
        <w:trPr>
          <w:cnfStyle w:evenHBand="true" w:oddHBand="false" w:firstRow="false"/>
        </w:trPr>
        <w:tc>
          <w:tcPr>
            <w:cnfStyle w:evenVBand="false" w:oddVBand="true" w:firstColumn="false"/>
            <w:tcW w:w="33.333333%" w:type="pct"/>
          </w:tcPr>
          <w:p>
            <w:pPr>
              <w:ind w:leftChars="0" w:left="0" w:right="0"/>
            </w:pPr>
            <w:r>
              <w:t>XVPA</w:t>
            </w:r>
          </w:p>
        </w:tc>
        <w:tc>
          <w:tcPr>
            <w:cnfStyle w:evenVBand="true" w:oddVBand="false" w:firstColumn="false"/>
            <w:tcW w:w="33.333333%" w:type="pct"/>
          </w:tcPr>
          <w:p>
            <w:pPr>
              <w:ind w:leftChars="0" w:left="0" w:right="0"/>
            </w:pPr>
            <w:r>
              <w:t>XVPA</w:t>
            </w:r>
          </w:p>
        </w:tc>
        <w:tc>
          <w:tcPr>
            <w:cnfStyle w:evenVBand="false" w:oddVBand="true" w:firstColumn="false"/>
            <w:tcW w:w="33.333333%" w:type="pct"/>
          </w:tcPr>
          <w:p>
            <w:pPr>
              <w:ind w:leftChars="0" w:left="0" w:right="0"/>
            </w:pPr>
            <w:r>
              <w:t>BOLSA DE VALORES Y PRODUCTOS DE ASUNCION SA</w:t>
            </w:r>
          </w:p>
        </w:tc>
      </w:tr>
      <w:tr>
        <w:trPr>
          <w:cnfStyle w:evenHBand="false" w:oddHBand="true" w:firstRow="false"/>
        </w:trPr>
        <w:tc>
          <w:tcPr>
            <w:cnfStyle w:evenVBand="false" w:oddVBand="true" w:firstColumn="false"/>
            <w:tcW w:w="33.333333%" w:type="pct"/>
          </w:tcPr>
          <w:p>
            <w:pPr>
              <w:ind w:leftChars="0" w:left="0" w:right="0"/>
            </w:pPr>
            <w:r>
              <w:t>XVPB</w:t>
            </w:r>
          </w:p>
        </w:tc>
        <w:tc>
          <w:tcPr>
            <w:cnfStyle w:evenVBand="true" w:oddVBand="false" w:firstColumn="false"/>
            <w:tcW w:w="33.333333%" w:type="pct"/>
          </w:tcPr>
          <w:p>
            <w:pPr>
              <w:ind w:leftChars="0" w:left="0" w:right="0"/>
            </w:pPr>
            <w:r>
              <w:t>XVPB</w:t>
            </w:r>
          </w:p>
        </w:tc>
        <w:tc>
          <w:tcPr>
            <w:cnfStyle w:evenVBand="false" w:oddVBand="true" w:firstColumn="false"/>
            <w:tcW w:w="33.333333%" w:type="pct"/>
          </w:tcPr>
          <w:p>
            <w:pPr>
              <w:ind w:leftChars="0" w:left="0" w:right="0"/>
            </w:pPr>
            <w:r>
              <w:t>VP BANK AG - SYSTEMATIC INTERNALISER</w:t>
            </w:r>
          </w:p>
        </w:tc>
      </w:tr>
      <w:tr>
        <w:trPr>
          <w:cnfStyle w:evenHBand="true" w:oddHBand="false" w:firstRow="false"/>
        </w:trPr>
        <w:tc>
          <w:tcPr>
            <w:cnfStyle w:evenVBand="false" w:oddVBand="true" w:firstColumn="false"/>
            <w:tcW w:w="33.333333%" w:type="pct"/>
          </w:tcPr>
          <w:p>
            <w:pPr>
              <w:ind w:leftChars="0" w:left="0" w:right="0"/>
            </w:pPr>
            <w:r>
              <w:t>XVSE</w:t>
            </w:r>
          </w:p>
        </w:tc>
        <w:tc>
          <w:tcPr>
            <w:cnfStyle w:evenVBand="true" w:oddVBand="false" w:firstColumn="false"/>
            <w:tcW w:w="33.333333%" w:type="pct"/>
          </w:tcPr>
          <w:p>
            <w:pPr>
              <w:ind w:leftChars="0" w:left="0" w:right="0"/>
            </w:pPr>
            <w:r>
              <w:t>XVSE</w:t>
            </w:r>
          </w:p>
        </w:tc>
        <w:tc>
          <w:tcPr>
            <w:cnfStyle w:evenVBand="false" w:oddVBand="true" w:firstColumn="false"/>
            <w:tcW w:w="33.333333%" w:type="pct"/>
          </w:tcPr>
          <w:p>
            <w:pPr>
              <w:ind w:leftChars="0" w:left="0" w:right="0"/>
            </w:pPr>
            <w:r>
              <w:t>VANCOUVER STOCK EXCHANGE</w:t>
            </w:r>
          </w:p>
        </w:tc>
      </w:tr>
      <w:tr>
        <w:trPr>
          <w:cnfStyle w:evenHBand="false" w:oddHBand="true" w:firstRow="false"/>
        </w:trPr>
        <w:tc>
          <w:tcPr>
            <w:cnfStyle w:evenVBand="false" w:oddVBand="true" w:firstColumn="false"/>
            <w:tcW w:w="33.333333%" w:type="pct"/>
          </w:tcPr>
          <w:p>
            <w:pPr>
              <w:ind w:leftChars="0" w:left="0" w:right="0"/>
            </w:pPr>
            <w:r>
              <w:t>XVTX</w:t>
            </w:r>
          </w:p>
        </w:tc>
        <w:tc>
          <w:tcPr>
            <w:cnfStyle w:evenVBand="true" w:oddVBand="false" w:firstColumn="false"/>
            <w:tcW w:w="33.333333%" w:type="pct"/>
          </w:tcPr>
          <w:p>
            <w:pPr>
              <w:ind w:leftChars="0" w:left="0" w:right="0"/>
            </w:pPr>
            <w:r>
              <w:t>XVTX</w:t>
            </w:r>
          </w:p>
        </w:tc>
        <w:tc>
          <w:tcPr>
            <w:cnfStyle w:evenVBand="false" w:oddVBand="true" w:firstColumn="false"/>
            <w:tcW w:w="33.333333%" w:type="pct"/>
          </w:tcPr>
          <w:p>
            <w:pPr>
              <w:ind w:leftChars="0" w:left="0" w:right="0"/>
            </w:pPr>
            <w:r>
              <w:t>SIX SWISS EXCHANGE - BLUE CHIPS SEGMENT</w:t>
            </w:r>
          </w:p>
        </w:tc>
      </w:tr>
      <w:tr>
        <w:trPr>
          <w:cnfStyle w:evenHBand="true" w:oddHBand="false" w:firstRow="false"/>
        </w:trPr>
        <w:tc>
          <w:tcPr>
            <w:cnfStyle w:evenVBand="false" w:oddVBand="true" w:firstColumn="false"/>
            <w:tcW w:w="33.333333%" w:type="pct"/>
          </w:tcPr>
          <w:p>
            <w:pPr>
              <w:ind w:leftChars="0" w:left="0" w:right="0"/>
            </w:pPr>
            <w:r>
              <w:t>XWAR</w:t>
            </w:r>
          </w:p>
        </w:tc>
        <w:tc>
          <w:tcPr>
            <w:cnfStyle w:evenVBand="true" w:oddVBand="false" w:firstColumn="false"/>
            <w:tcW w:w="33.333333%" w:type="pct"/>
          </w:tcPr>
          <w:p>
            <w:pPr>
              <w:ind w:leftChars="0" w:left="0" w:right="0"/>
            </w:pPr>
            <w:r>
              <w:t>XWAR</w:t>
            </w:r>
          </w:p>
        </w:tc>
        <w:tc>
          <w:tcPr>
            <w:cnfStyle w:evenVBand="false" w:oddVBand="true" w:firstColumn="false"/>
            <w:tcW w:w="33.333333%" w:type="pct"/>
          </w:tcPr>
          <w:p>
            <w:pPr>
              <w:ind w:leftChars="0" w:left="0" w:right="0"/>
            </w:pPr>
            <w:r>
              <w:t>WARSAW STOCK EXCHANGE/EQUITIES/MAIN MARKET</w:t>
            </w:r>
          </w:p>
        </w:tc>
      </w:tr>
      <w:tr>
        <w:trPr>
          <w:cnfStyle w:evenHBand="false" w:oddHBand="true" w:firstRow="false"/>
        </w:trPr>
        <w:tc>
          <w:tcPr>
            <w:cnfStyle w:evenVBand="false" w:oddVBand="true" w:firstColumn="false"/>
            <w:tcW w:w="33.333333%" w:type="pct"/>
          </w:tcPr>
          <w:p>
            <w:pPr>
              <w:ind w:leftChars="0" w:left="0" w:right="0"/>
            </w:pPr>
            <w:r>
              <w:t>XWBO</w:t>
            </w:r>
          </w:p>
        </w:tc>
        <w:tc>
          <w:tcPr>
            <w:cnfStyle w:evenVBand="true" w:oddVBand="false" w:firstColumn="false"/>
            <w:tcW w:w="33.333333%" w:type="pct"/>
          </w:tcPr>
          <w:p>
            <w:pPr>
              <w:ind w:leftChars="0" w:left="0" w:right="0"/>
            </w:pPr>
            <w:r>
              <w:t>XWBO</w:t>
            </w:r>
          </w:p>
        </w:tc>
        <w:tc>
          <w:tcPr>
            <w:cnfStyle w:evenVBand="false" w:oddVBand="true" w:firstColumn="false"/>
            <w:tcW w:w="33.333333%" w:type="pct"/>
          </w:tcPr>
          <w:p>
            <w:pPr>
              <w:ind w:leftChars="0" w:left="0" w:right="0"/>
            </w:pPr>
            <w:r>
              <w:t>WIENER BOERSE AG</w:t>
            </w:r>
          </w:p>
        </w:tc>
      </w:tr>
      <w:tr>
        <w:trPr>
          <w:cnfStyle w:evenHBand="true" w:oddHBand="false" w:firstRow="false"/>
        </w:trPr>
        <w:tc>
          <w:tcPr>
            <w:cnfStyle w:evenVBand="false" w:oddVBand="true" w:firstColumn="false"/>
            <w:tcW w:w="33.333333%" w:type="pct"/>
          </w:tcPr>
          <w:p>
            <w:pPr>
              <w:ind w:leftChars="0" w:left="0" w:right="0"/>
            </w:pPr>
            <w:r>
              <w:t>XWCE</w:t>
            </w:r>
          </w:p>
        </w:tc>
        <w:tc>
          <w:tcPr>
            <w:cnfStyle w:evenVBand="true" w:oddVBand="false" w:firstColumn="false"/>
            <w:tcW w:w="33.333333%" w:type="pct"/>
          </w:tcPr>
          <w:p>
            <w:pPr>
              <w:ind w:leftChars="0" w:left="0" w:right="0"/>
            </w:pPr>
            <w:r>
              <w:t>XWCE</w:t>
            </w:r>
          </w:p>
        </w:tc>
        <w:tc>
          <w:tcPr>
            <w:cnfStyle w:evenVBand="false" w:oddVBand="true" w:firstColumn="false"/>
            <w:tcW w:w="33.333333%" w:type="pct"/>
          </w:tcPr>
          <w:p>
            <w:pPr>
              <w:ind w:leftChars="0" w:left="0" w:right="0"/>
            </w:pPr>
            <w:r>
              <w:t>INTERCONTINENTAL EXCHANGE - ICE FUTURES CANADA</w:t>
            </w:r>
          </w:p>
        </w:tc>
      </w:tr>
      <w:tr>
        <w:trPr>
          <w:cnfStyle w:evenHBand="false" w:oddHBand="true" w:firstRow="false"/>
        </w:trPr>
        <w:tc>
          <w:tcPr>
            <w:cnfStyle w:evenVBand="false" w:oddVBand="true" w:firstColumn="false"/>
            <w:tcW w:w="33.333333%" w:type="pct"/>
          </w:tcPr>
          <w:p>
            <w:pPr>
              <w:ind w:leftChars="0" w:left="0" w:right="0"/>
            </w:pPr>
            <w:r>
              <w:t>XWEE</w:t>
            </w:r>
          </w:p>
        </w:tc>
        <w:tc>
          <w:tcPr>
            <w:cnfStyle w:evenVBand="true" w:oddVBand="false" w:firstColumn="false"/>
            <w:tcW w:w="33.333333%" w:type="pct"/>
          </w:tcPr>
          <w:p>
            <w:pPr>
              <w:ind w:leftChars="0" w:left="0" w:right="0"/>
            </w:pPr>
            <w:r>
              <w:t>XWEE</w:t>
            </w:r>
          </w:p>
        </w:tc>
        <w:tc>
          <w:tcPr>
            <w:cnfStyle w:evenVBand="false" w:oddVBand="true" w:firstColumn="false"/>
            <w:tcW w:w="33.333333%" w:type="pct"/>
          </w:tcPr>
          <w:p>
            <w:pPr>
              <w:ind w:leftChars="0" w:left="0" w:right="0"/>
            </w:pPr>
            <w:r>
              <w:t>WEEDEN ATS</w:t>
            </w:r>
          </w:p>
        </w:tc>
      </w:tr>
      <w:tr>
        <w:trPr>
          <w:cnfStyle w:evenHBand="true" w:oddHBand="false" w:firstRow="false"/>
        </w:trPr>
        <w:tc>
          <w:tcPr>
            <w:cnfStyle w:evenVBand="false" w:oddVBand="true" w:firstColumn="false"/>
            <w:tcW w:w="33.333333%" w:type="pct"/>
          </w:tcPr>
          <w:p>
            <w:pPr>
              <w:ind w:leftChars="0" w:left="0" w:right="0"/>
            </w:pPr>
            <w:r>
              <w:t>XXSC</w:t>
            </w:r>
          </w:p>
        </w:tc>
        <w:tc>
          <w:tcPr>
            <w:cnfStyle w:evenVBand="true" w:oddVBand="false" w:firstColumn="false"/>
            <w:tcW w:w="33.333333%" w:type="pct"/>
          </w:tcPr>
          <w:p>
            <w:pPr>
              <w:ind w:leftChars="0" w:left="0" w:right="0"/>
            </w:pPr>
            <w:r>
              <w:t>XXSC</w:t>
            </w:r>
          </w:p>
        </w:tc>
        <w:tc>
          <w:tcPr>
            <w:cnfStyle w:evenVBand="false" w:oddVBand="true" w:firstColumn="false"/>
            <w:tcW w:w="33.333333%" w:type="pct"/>
          </w:tcPr>
          <w:p>
            <w:pPr>
              <w:ind w:leftChars="0" w:left="0" w:right="0"/>
            </w:pPr>
            <w:r>
              <w:t>FRANKFURT CEF SC</w:t>
            </w:r>
          </w:p>
        </w:tc>
      </w:tr>
      <w:tr>
        <w:trPr>
          <w:cnfStyle w:evenHBand="false" w:oddHBand="true" w:firstRow="false"/>
        </w:trPr>
        <w:tc>
          <w:tcPr>
            <w:cnfStyle w:evenVBand="false" w:oddVBand="true" w:firstColumn="false"/>
            <w:tcW w:w="33.333333%" w:type="pct"/>
          </w:tcPr>
          <w:p>
            <w:pPr>
              <w:ind w:leftChars="0" w:left="0" w:right="0"/>
            </w:pPr>
            <w:r>
              <w:t>XXXX</w:t>
            </w:r>
          </w:p>
        </w:tc>
        <w:tc>
          <w:tcPr>
            <w:cnfStyle w:evenVBand="true" w:oddVBand="false" w:firstColumn="false"/>
            <w:tcW w:w="33.333333%" w:type="pct"/>
          </w:tcPr>
          <w:p>
            <w:pPr>
              <w:ind w:leftChars="0" w:left="0" w:right="0"/>
            </w:pPr>
            <w:r>
              <w:t>XXXX</w:t>
            </w:r>
          </w:p>
        </w:tc>
        <w:tc>
          <w:tcPr>
            <w:cnfStyle w:evenVBand="false" w:oddVBand="true" w:firstColumn="false"/>
            <w:tcW w:w="33.333333%" w:type="pct"/>
          </w:tcPr>
          <w:p>
            <w:pPr>
              <w:ind w:leftChars="0" w:left="0" w:right="0"/>
            </w:pPr>
            <w:r>
              <w:t>NO MARKET (E.G. UNLISTED)</w:t>
            </w:r>
          </w:p>
        </w:tc>
      </w:tr>
      <w:tr>
        <w:trPr>
          <w:cnfStyle w:evenHBand="true" w:oddHBand="false" w:firstRow="false"/>
        </w:trPr>
        <w:tc>
          <w:tcPr>
            <w:cnfStyle w:evenVBand="false" w:oddVBand="true" w:firstColumn="false"/>
            <w:tcW w:w="33.333333%" w:type="pct"/>
          </w:tcPr>
          <w:p>
            <w:pPr>
              <w:ind w:leftChars="0" w:left="0" w:right="0"/>
            </w:pPr>
            <w:r>
              <w:t>XYIE</w:t>
            </w:r>
          </w:p>
        </w:tc>
        <w:tc>
          <w:tcPr>
            <w:cnfStyle w:evenVBand="true" w:oddVBand="false" w:firstColumn="false"/>
            <w:tcW w:w="33.333333%" w:type="pct"/>
          </w:tcPr>
          <w:p>
            <w:pPr>
              <w:ind w:leftChars="0" w:left="0" w:right="0"/>
            </w:pPr>
            <w:r>
              <w:t>XYIE</w:t>
            </w:r>
          </w:p>
        </w:tc>
        <w:tc>
          <w:tcPr>
            <w:cnfStyle w:evenVBand="false" w:oddVBand="true" w:firstColumn="false"/>
            <w:tcW w:w="33.333333%" w:type="pct"/>
          </w:tcPr>
          <w:p>
            <w:pPr>
              <w:ind w:leftChars="0" w:left="0" w:right="0"/>
            </w:pPr>
            <w:r>
              <w:t>YIELDBROKER PTY LTD</w:t>
            </w:r>
          </w:p>
        </w:tc>
      </w:tr>
      <w:tr>
        <w:trPr>
          <w:cnfStyle w:evenHBand="false" w:oddHBand="true" w:firstRow="false"/>
        </w:trPr>
        <w:tc>
          <w:tcPr>
            <w:cnfStyle w:evenVBand="false" w:oddVBand="true" w:firstColumn="false"/>
            <w:tcW w:w="33.333333%" w:type="pct"/>
          </w:tcPr>
          <w:p>
            <w:pPr>
              <w:ind w:leftChars="0" w:left="0" w:right="0"/>
            </w:pPr>
            <w:r>
              <w:t>XYKT</w:t>
            </w:r>
          </w:p>
        </w:tc>
        <w:tc>
          <w:tcPr>
            <w:cnfStyle w:evenVBand="true" w:oddVBand="false" w:firstColumn="false"/>
            <w:tcW w:w="33.333333%" w:type="pct"/>
          </w:tcPr>
          <w:p>
            <w:pPr>
              <w:ind w:leftChars="0" w:left="0" w:right="0"/>
            </w:pPr>
            <w:r>
              <w:t>XYKT</w:t>
            </w:r>
          </w:p>
        </w:tc>
        <w:tc>
          <w:tcPr>
            <w:cnfStyle w:evenVBand="false" w:oddVBand="true" w:firstColumn="false"/>
            <w:tcW w:w="33.333333%" w:type="pct"/>
          </w:tcPr>
          <w:p>
            <w:pPr>
              <w:ind w:leftChars="0" w:left="0" w:right="0"/>
            </w:pPr>
            <w:r>
              <w:t>YOKOHAMA COMMODITY EXCHANGE (WRONGLY RENAMED TOKYO GRAIN EXCHANGE SEPT 2006)</w:t>
            </w:r>
          </w:p>
        </w:tc>
      </w:tr>
      <w:tr>
        <w:trPr>
          <w:cnfStyle w:evenHBand="true" w:oddHBand="false" w:firstRow="false"/>
        </w:trPr>
        <w:tc>
          <w:tcPr>
            <w:cnfStyle w:evenVBand="false" w:oddVBand="true" w:firstColumn="false"/>
            <w:tcW w:w="33.333333%" w:type="pct"/>
          </w:tcPr>
          <w:p>
            <w:pPr>
              <w:ind w:leftChars="0" w:left="0" w:right="0"/>
            </w:pPr>
            <w:r>
              <w:t>XZAG</w:t>
            </w:r>
          </w:p>
        </w:tc>
        <w:tc>
          <w:tcPr>
            <w:cnfStyle w:evenVBand="true" w:oddVBand="false" w:firstColumn="false"/>
            <w:tcW w:w="33.333333%" w:type="pct"/>
          </w:tcPr>
          <w:p>
            <w:pPr>
              <w:ind w:leftChars="0" w:left="0" w:right="0"/>
            </w:pPr>
            <w:r>
              <w:t>XZAG</w:t>
            </w:r>
          </w:p>
        </w:tc>
        <w:tc>
          <w:tcPr>
            <w:cnfStyle w:evenVBand="false" w:oddVBand="true" w:firstColumn="false"/>
            <w:tcW w:w="33.333333%" w:type="pct"/>
          </w:tcPr>
          <w:p>
            <w:pPr>
              <w:ind w:leftChars="0" w:left="0" w:right="0"/>
            </w:pPr>
            <w:r>
              <w:t>ZAGREB STOCK EXCHANGE</w:t>
            </w:r>
          </w:p>
        </w:tc>
      </w:tr>
      <w:tr>
        <w:trPr>
          <w:cnfStyle w:evenHBand="false" w:oddHBand="true" w:firstRow="false"/>
        </w:trPr>
        <w:tc>
          <w:tcPr>
            <w:cnfStyle w:evenVBand="false" w:oddVBand="true" w:firstColumn="false"/>
            <w:tcW w:w="33.333333%" w:type="pct"/>
          </w:tcPr>
          <w:p>
            <w:pPr>
              <w:ind w:leftChars="0" w:left="0" w:right="0"/>
            </w:pPr>
            <w:r>
              <w:t>XZAM</w:t>
            </w:r>
          </w:p>
        </w:tc>
        <w:tc>
          <w:tcPr>
            <w:cnfStyle w:evenVBand="true" w:oddVBand="false" w:firstColumn="false"/>
            <w:tcW w:w="33.333333%" w:type="pct"/>
          </w:tcPr>
          <w:p>
            <w:pPr>
              <w:ind w:leftChars="0" w:left="0" w:right="0"/>
            </w:pPr>
            <w:r>
              <w:t>XZAM</w:t>
            </w:r>
          </w:p>
        </w:tc>
        <w:tc>
          <w:tcPr>
            <w:cnfStyle w:evenVBand="false" w:oddVBand="true" w:firstColumn="false"/>
            <w:tcW w:w="33.333333%" w:type="pct"/>
          </w:tcPr>
          <w:p>
            <w:pPr>
              <w:ind w:leftChars="0" w:left="0" w:right="0"/>
            </w:pPr>
            <w:r>
              <w:t>THE ZAGREB STOCK EXCHANGE MTF</w:t>
            </w:r>
          </w:p>
        </w:tc>
      </w:tr>
      <w:tr>
        <w:trPr>
          <w:cnfStyle w:evenHBand="true" w:oddHBand="false" w:firstRow="false"/>
        </w:trPr>
        <w:tc>
          <w:tcPr>
            <w:cnfStyle w:evenVBand="false" w:oddVBand="true" w:firstColumn="false"/>
            <w:tcW w:w="33.333333%" w:type="pct"/>
          </w:tcPr>
          <w:p>
            <w:pPr>
              <w:ind w:leftChars="0" w:left="0" w:right="0"/>
            </w:pPr>
            <w:r>
              <w:t>XZAP</w:t>
            </w:r>
          </w:p>
        </w:tc>
        <w:tc>
          <w:tcPr>
            <w:cnfStyle w:evenVBand="true" w:oddVBand="false" w:firstColumn="false"/>
            <w:tcW w:w="33.333333%" w:type="pct"/>
          </w:tcPr>
          <w:p>
            <w:pPr>
              <w:ind w:leftChars="0" w:left="0" w:right="0"/>
            </w:pPr>
            <w:r>
              <w:t>XZAP</w:t>
            </w:r>
          </w:p>
        </w:tc>
        <w:tc>
          <w:tcPr>
            <w:cnfStyle w:evenVBand="false" w:oddVBand="true" w:firstColumn="false"/>
            <w:tcW w:w="33.333333%" w:type="pct"/>
          </w:tcPr>
          <w:p>
            <w:pPr>
              <w:ind w:leftChars="0" w:left="0" w:right="0"/>
            </w:pPr>
            <w:r>
              <w:t>PROGRESS MARKET</w:t>
            </w:r>
          </w:p>
        </w:tc>
      </w:tr>
      <w:tr>
        <w:trPr>
          <w:cnfStyle w:evenHBand="false" w:oddHBand="true" w:firstRow="false"/>
        </w:trPr>
        <w:tc>
          <w:tcPr>
            <w:cnfStyle w:evenVBand="false" w:oddVBand="true" w:firstColumn="false"/>
            <w:tcW w:w="33.333333%" w:type="pct"/>
          </w:tcPr>
          <w:p>
            <w:pPr>
              <w:ind w:leftChars="0" w:left="0" w:right="0"/>
            </w:pPr>
            <w:r>
              <w:t>XZCE</w:t>
            </w:r>
          </w:p>
        </w:tc>
        <w:tc>
          <w:tcPr>
            <w:cnfStyle w:evenVBand="true" w:oddVBand="false" w:firstColumn="false"/>
            <w:tcW w:w="33.333333%" w:type="pct"/>
          </w:tcPr>
          <w:p>
            <w:pPr>
              <w:ind w:leftChars="0" w:left="0" w:right="0"/>
            </w:pPr>
            <w:r>
              <w:t>XZCE</w:t>
            </w:r>
          </w:p>
        </w:tc>
        <w:tc>
          <w:tcPr>
            <w:cnfStyle w:evenVBand="false" w:oddVBand="true" w:firstColumn="false"/>
            <w:tcW w:w="33.333333%" w:type="pct"/>
          </w:tcPr>
          <w:p>
            <w:pPr>
              <w:ind w:leftChars="0" w:left="0" w:right="0"/>
            </w:pPr>
            <w:r>
              <w:t>ZHENGZHOU COMMODITY EXCHANGE</w:t>
            </w:r>
          </w:p>
        </w:tc>
      </w:tr>
      <w:tr>
        <w:trPr>
          <w:cnfStyle w:evenHBand="true" w:oddHBand="false" w:firstRow="false"/>
        </w:trPr>
        <w:tc>
          <w:tcPr>
            <w:cnfStyle w:evenVBand="false" w:oddVBand="true" w:firstColumn="false"/>
            <w:tcW w:w="33.333333%" w:type="pct"/>
          </w:tcPr>
          <w:p>
            <w:pPr>
              <w:ind w:leftChars="0" w:left="0" w:right="0"/>
            </w:pPr>
            <w:r>
              <w:t>XZIM</w:t>
            </w:r>
          </w:p>
        </w:tc>
        <w:tc>
          <w:tcPr>
            <w:cnfStyle w:evenVBand="true" w:oddVBand="false" w:firstColumn="false"/>
            <w:tcW w:w="33.333333%" w:type="pct"/>
          </w:tcPr>
          <w:p>
            <w:pPr>
              <w:ind w:leftChars="0" w:left="0" w:right="0"/>
            </w:pPr>
            <w:r>
              <w:t>XZIM</w:t>
            </w:r>
          </w:p>
        </w:tc>
        <w:tc>
          <w:tcPr>
            <w:cnfStyle w:evenVBand="false" w:oddVBand="true" w:firstColumn="false"/>
            <w:tcW w:w="33.333333%" w:type="pct"/>
          </w:tcPr>
          <w:p>
            <w:pPr>
              <w:ind w:leftChars="0" w:left="0" w:right="0"/>
            </w:pPr>
            <w:r>
              <w:t>ZIMBABWE STOCK EXCHANGE</w:t>
            </w:r>
          </w:p>
        </w:tc>
      </w:tr>
      <w:tr>
        <w:trPr>
          <w:cnfStyle w:evenHBand="false" w:oddHBand="true" w:firstRow="false"/>
        </w:trPr>
        <w:tc>
          <w:tcPr>
            <w:cnfStyle w:evenVBand="false" w:oddVBand="true" w:firstColumn="false"/>
            <w:tcW w:w="33.333333%" w:type="pct"/>
          </w:tcPr>
          <w:p>
            <w:pPr>
              <w:ind w:leftChars="0" w:left="0" w:right="0"/>
            </w:pPr>
            <w:r>
              <w:t>YKNA</w:t>
            </w:r>
          </w:p>
        </w:tc>
        <w:tc>
          <w:tcPr>
            <w:cnfStyle w:evenVBand="true" w:oddVBand="false" w:firstColumn="false"/>
            <w:tcW w:w="33.333333%" w:type="pct"/>
          </w:tcPr>
          <w:p>
            <w:pPr>
              <w:ind w:leftChars="0" w:left="0" w:right="0"/>
            </w:pPr>
            <w:r>
              <w:t>YKNA</w:t>
            </w:r>
          </w:p>
        </w:tc>
        <w:tc>
          <w:tcPr>
            <w:cnfStyle w:evenVBand="false" w:oddVBand="true" w:firstColumn="false"/>
            <w:tcW w:w="33.333333%" w:type="pct"/>
          </w:tcPr>
          <w:p>
            <w:pPr>
              <w:ind w:leftChars="0" w:left="0" w:right="0"/>
            </w:pPr>
            <w:r>
              <w:t>COMHAR CAPITAL MARKETS, LLC - US EQUITIES</w:t>
            </w:r>
          </w:p>
        </w:tc>
      </w:tr>
      <w:tr>
        <w:trPr>
          <w:cnfStyle w:evenHBand="true" w:oddHBand="false" w:firstRow="false"/>
        </w:trPr>
        <w:tc>
          <w:tcPr>
            <w:cnfStyle w:evenVBand="false" w:oddVBand="true" w:firstColumn="false"/>
            <w:tcW w:w="33.333333%" w:type="pct"/>
          </w:tcPr>
          <w:p>
            <w:pPr>
              <w:ind w:leftChars="0" w:left="0" w:right="0"/>
            </w:pPr>
            <w:r>
              <w:t>YLDX</w:t>
            </w:r>
          </w:p>
        </w:tc>
        <w:tc>
          <w:tcPr>
            <w:cnfStyle w:evenVBand="true" w:oddVBand="false" w:firstColumn="false"/>
            <w:tcW w:w="33.333333%" w:type="pct"/>
          </w:tcPr>
          <w:p>
            <w:pPr>
              <w:ind w:leftChars="0" w:left="0" w:right="0"/>
            </w:pPr>
            <w:r>
              <w:t>YLDX</w:t>
            </w:r>
          </w:p>
        </w:tc>
        <w:tc>
          <w:tcPr>
            <w:cnfStyle w:evenVBand="false" w:oddVBand="true" w:firstColumn="false"/>
            <w:tcW w:w="33.333333%" w:type="pct"/>
          </w:tcPr>
          <w:p>
            <w:pPr>
              <w:ind w:leftChars="0" w:left="0" w:right="0"/>
            </w:pPr>
            <w:r>
              <w:t>JSE INTEREST RATE DERIVATIVES MARKET</w:t>
            </w:r>
          </w:p>
        </w:tc>
      </w:tr>
      <w:tr>
        <w:trPr>
          <w:cnfStyle w:evenHBand="false" w:oddHBand="true" w:firstRow="false"/>
        </w:trPr>
        <w:tc>
          <w:tcPr>
            <w:cnfStyle w:evenVBand="false" w:oddVBand="true" w:firstColumn="false"/>
            <w:tcW w:w="33.333333%" w:type="pct"/>
          </w:tcPr>
          <w:p>
            <w:pPr>
              <w:ind w:leftChars="0" w:left="0" w:right="0"/>
            </w:pPr>
            <w:r>
              <w:t>ZAPA</w:t>
            </w:r>
          </w:p>
        </w:tc>
        <w:tc>
          <w:tcPr>
            <w:cnfStyle w:evenVBand="true" w:oddVBand="false" w:firstColumn="false"/>
            <w:tcW w:w="33.333333%" w:type="pct"/>
          </w:tcPr>
          <w:p>
            <w:pPr>
              <w:ind w:leftChars="0" w:left="0" w:right="0"/>
            </w:pPr>
            <w:r>
              <w:t>ZAPA</w:t>
            </w:r>
          </w:p>
        </w:tc>
        <w:tc>
          <w:tcPr>
            <w:cnfStyle w:evenVBand="false" w:oddVBand="true" w:firstColumn="false"/>
            <w:tcW w:w="33.333333%" w:type="pct"/>
          </w:tcPr>
          <w:p>
            <w:pPr>
              <w:ind w:leftChars="0" w:left="0" w:right="0"/>
            </w:pPr>
            <w:r>
              <w:t>ZAGREB STOCK EXCHANGE - APA</w:t>
            </w:r>
          </w:p>
        </w:tc>
      </w:tr>
      <w:tr>
        <w:trPr>
          <w:cnfStyle w:evenHBand="true" w:oddHBand="false" w:firstRow="false"/>
        </w:trPr>
        <w:tc>
          <w:tcPr>
            <w:cnfStyle w:evenVBand="false" w:oddVBand="true" w:firstColumn="false"/>
            <w:tcW w:w="33.333333%" w:type="pct"/>
          </w:tcPr>
          <w:p>
            <w:pPr>
              <w:ind w:leftChars="0" w:left="0" w:right="0"/>
            </w:pPr>
            <w:r>
              <w:t>ZARX</w:t>
            </w:r>
          </w:p>
        </w:tc>
        <w:tc>
          <w:tcPr>
            <w:cnfStyle w:evenVBand="true" w:oddVBand="false" w:firstColumn="false"/>
            <w:tcW w:w="33.333333%" w:type="pct"/>
          </w:tcPr>
          <w:p>
            <w:pPr>
              <w:ind w:leftChars="0" w:left="0" w:right="0"/>
            </w:pPr>
            <w:r>
              <w:t>ZARX</w:t>
            </w:r>
          </w:p>
        </w:tc>
        <w:tc>
          <w:tcPr>
            <w:cnfStyle w:evenVBand="false" w:oddVBand="true" w:firstColumn="false"/>
            <w:tcW w:w="33.333333%" w:type="pct"/>
          </w:tcPr>
          <w:p>
            <w:pPr>
              <w:ind w:leftChars="0" w:left="0" w:right="0"/>
            </w:pPr>
            <w:r>
              <w:t>ZAR X</w:t>
            </w:r>
          </w:p>
        </w:tc>
      </w:tr>
      <w:tr>
        <w:trPr>
          <w:cnfStyle w:evenHBand="false" w:oddHBand="true" w:firstRow="false"/>
        </w:trPr>
        <w:tc>
          <w:tcPr>
            <w:cnfStyle w:evenVBand="false" w:oddVBand="true" w:firstColumn="false"/>
            <w:tcW w:w="33.333333%" w:type="pct"/>
          </w:tcPr>
          <w:p>
            <w:pPr>
              <w:ind w:leftChars="0" w:left="0" w:right="0"/>
            </w:pPr>
            <w:r>
              <w:t>ZBUL</w:t>
            </w:r>
          </w:p>
        </w:tc>
        <w:tc>
          <w:tcPr>
            <w:cnfStyle w:evenVBand="true" w:oddVBand="false" w:firstColumn="false"/>
            <w:tcW w:w="33.333333%" w:type="pct"/>
          </w:tcPr>
          <w:p>
            <w:pPr>
              <w:ind w:leftChars="0" w:left="0" w:right="0"/>
            </w:pPr>
            <w:r>
              <w:t>ZBUL</w:t>
            </w:r>
          </w:p>
        </w:tc>
        <w:tc>
          <w:tcPr>
            <w:cnfStyle w:evenVBand="false" w:oddVBand="true" w:firstColumn="false"/>
            <w:tcW w:w="33.333333%" w:type="pct"/>
          </w:tcPr>
          <w:p>
            <w:pPr>
              <w:ind w:leftChars="0" w:left="0" w:right="0"/>
            </w:pPr>
            <w:r>
              <w:t>BULGARIAN STOCK EXCHANGE - MAIN MARKET</w:t>
            </w:r>
          </w:p>
        </w:tc>
      </w:tr>
      <w:tr>
        <w:trPr>
          <w:cnfStyle w:evenHBand="true" w:oddHBand="false" w:firstRow="false"/>
        </w:trPr>
        <w:tc>
          <w:tcPr>
            <w:cnfStyle w:evenVBand="false" w:oddVBand="true" w:firstColumn="false"/>
            <w:tcW w:w="33.333333%" w:type="pct"/>
          </w:tcPr>
          <w:p>
            <w:pPr>
              <w:ind w:leftChars="0" w:left="0" w:right="0"/>
            </w:pPr>
            <w:r>
              <w:t>ZERO</w:t>
            </w:r>
          </w:p>
        </w:tc>
        <w:tc>
          <w:tcPr>
            <w:cnfStyle w:evenVBand="true" w:oddVBand="false" w:firstColumn="false"/>
            <w:tcW w:w="33.333333%" w:type="pct"/>
          </w:tcPr>
          <w:p>
            <w:pPr>
              <w:ind w:leftChars="0" w:left="0" w:right="0"/>
            </w:pPr>
            <w:r>
              <w:t>ZERO</w:t>
            </w:r>
          </w:p>
        </w:tc>
        <w:tc>
          <w:tcPr>
            <w:cnfStyle w:evenVBand="false" w:oddVBand="true" w:firstColumn="false"/>
            <w:tcW w:w="33.333333%" w:type="pct"/>
          </w:tcPr>
          <w:p>
            <w:pPr>
              <w:ind w:leftChars="0" w:left="0" w:right="0"/>
            </w:pPr>
            <w:r>
              <w:t>ZERO HASH</w:t>
            </w:r>
          </w:p>
        </w:tc>
      </w:tr>
      <w:tr>
        <w:trPr>
          <w:cnfStyle w:evenHBand="false" w:oddHBand="true" w:firstRow="false"/>
        </w:trPr>
        <w:tc>
          <w:tcPr>
            <w:cnfStyle w:evenVBand="false" w:oddVBand="true" w:firstColumn="false"/>
            <w:tcW w:w="33.333333%" w:type="pct"/>
          </w:tcPr>
          <w:p>
            <w:pPr>
              <w:ind w:leftChars="0" w:left="0" w:right="0"/>
            </w:pPr>
            <w:r>
              <w:t>ZFXM</w:t>
            </w:r>
          </w:p>
        </w:tc>
        <w:tc>
          <w:tcPr>
            <w:cnfStyle w:evenVBand="true" w:oddVBand="false" w:firstColumn="false"/>
            <w:tcW w:w="33.333333%" w:type="pct"/>
          </w:tcPr>
          <w:p>
            <w:pPr>
              <w:ind w:leftChars="0" w:left="0" w:right="0"/>
            </w:pPr>
            <w:r>
              <w:t>ZFXM</w:t>
            </w:r>
          </w:p>
        </w:tc>
        <w:tc>
          <w:tcPr>
            <w:cnfStyle w:evenVBand="false" w:oddVBand="true" w:firstColumn="false"/>
            <w:tcW w:w="33.333333%" w:type="pct"/>
          </w:tcPr>
          <w:p>
            <w:pPr>
              <w:ind w:leftChars="0" w:left="0" w:right="0"/>
            </w:pPr>
            <w:r>
              <w:t>JSE CURRENCY DERIVATIVES MARKET</w:t>
            </w:r>
          </w:p>
        </w:tc>
      </w:tr>
      <w:tr>
        <w:trPr>
          <w:cnfStyle w:evenHBand="true" w:oddHBand="false" w:firstRow="false"/>
        </w:trPr>
        <w:tc>
          <w:tcPr>
            <w:cnfStyle w:evenVBand="false" w:oddVBand="true" w:firstColumn="false"/>
            <w:tcW w:w="33.333333%" w:type="pct"/>
          </w:tcPr>
          <w:p>
            <w:pPr>
              <w:ind w:leftChars="0" w:left="0" w:right="0"/>
            </w:pPr>
            <w:r>
              <w:t>ZKBX</w:t>
            </w:r>
          </w:p>
        </w:tc>
        <w:tc>
          <w:tcPr>
            <w:cnfStyle w:evenVBand="true" w:oddVBand="false" w:firstColumn="false"/>
            <w:tcW w:w="33.333333%" w:type="pct"/>
          </w:tcPr>
          <w:p>
            <w:pPr>
              <w:ind w:leftChars="0" w:left="0" w:right="0"/>
            </w:pPr>
            <w:r>
              <w:t>ZKBX</w:t>
            </w:r>
          </w:p>
        </w:tc>
        <w:tc>
          <w:tcPr>
            <w:cnfStyle w:evenVBand="false" w:oddVBand="true" w:firstColumn="false"/>
            <w:tcW w:w="33.333333%" w:type="pct"/>
          </w:tcPr>
          <w:p>
            <w:pPr>
              <w:ind w:leftChars="0" w:left="0" w:right="0"/>
            </w:pPr>
            <w:r>
              <w:t>ZURCHER KANTONALBANK SECURITIES EXCHANGE</w:t>
            </w:r>
          </w:p>
        </w:tc>
      </w:tr>
      <w:tr>
        <w:trPr>
          <w:cnfStyle w:evenHBand="false" w:oddHBand="true" w:firstRow="false"/>
        </w:trPr>
        <w:tc>
          <w:tcPr>
            <w:cnfStyle w:evenVBand="false" w:oddVBand="true" w:firstColumn="false"/>
            <w:tcW w:w="33.333333%" w:type="pct"/>
          </w:tcPr>
          <w:p>
            <w:pPr>
              <w:ind w:leftChars="0" w:left="0" w:right="0"/>
            </w:pPr>
            <w:r>
              <w:t>ZOBX</w:t>
            </w:r>
          </w:p>
        </w:tc>
        <w:tc>
          <w:tcPr>
            <w:cnfStyle w:evenVBand="true" w:oddVBand="false" w:firstColumn="false"/>
            <w:tcW w:w="33.333333%" w:type="pct"/>
          </w:tcPr>
          <w:p>
            <w:pPr>
              <w:ind w:leftChars="0" w:left="0" w:right="0"/>
            </w:pPr>
            <w:r>
              <w:t>ZOBX</w:t>
            </w:r>
          </w:p>
        </w:tc>
        <w:tc>
          <w:tcPr>
            <w:cnfStyle w:evenVBand="false" w:oddVBand="true" w:firstColumn="false"/>
            <w:tcW w:w="33.333333%" w:type="pct"/>
          </w:tcPr>
          <w:p>
            <w:pPr>
              <w:ind w:leftChars="0" w:left="0" w:right="0"/>
            </w:pPr>
            <w:r>
              <w:t>ZOBEX</w:t>
            </w:r>
          </w:p>
        </w:tc>
      </w:tr>
      <w:tr>
        <w:trPr>
          <w:cnfStyle w:evenHBand="true" w:oddHBand="false" w:firstRow="false"/>
        </w:trPr>
        <w:tc>
          <w:tcPr>
            <w:cnfStyle w:evenVBand="false" w:oddVBand="true" w:firstColumn="false"/>
            <w:tcW w:w="33.333333%" w:type="pct"/>
          </w:tcPr>
          <w:p>
            <w:pPr>
              <w:ind w:leftChars="0" w:left="0" w:right="0"/>
            </w:pPr>
            <w:r>
              <w:t>ZODM</w:t>
            </w:r>
          </w:p>
        </w:tc>
        <w:tc>
          <w:tcPr>
            <w:cnfStyle w:evenVBand="true" w:oddVBand="false" w:firstColumn="false"/>
            <w:tcW w:w="33.333333%" w:type="pct"/>
          </w:tcPr>
          <w:p>
            <w:pPr>
              <w:ind w:leftChars="0" w:left="0" w:right="0"/>
            </w:pPr>
            <w:r>
              <w:t>ZODM</w:t>
            </w:r>
          </w:p>
        </w:tc>
        <w:tc>
          <w:tcPr>
            <w:cnfStyle w:evenVBand="false" w:oddVBand="true" w:firstColumn="false"/>
            <w:tcW w:w="33.333333%" w:type="pct"/>
          </w:tcPr>
          <w:p>
            <w:pPr>
              <w:ind w:leftChars="0" w:left="0" w:right="0"/>
            </w:pPr>
            <w:r>
              <w:t>ZODIA MARKETS</w:t>
            </w:r>
          </w:p>
        </w:tc>
      </w:tr>
    </w:tbl>
    <w:p>
      <w:pPr>
        <w:pStyle w:val="Table Bottom Margin"/>
      </w:pPr>
    </w:p>
    <w:bookmarkEnd w:id="313"/>
    <w:bookmarkEnd w:id="312"/>
    <w:bookmarkStart w:id="314" w:name="_36e17b49a2a54e7cbe2ad2670c904e82"/>
    <w:bookmarkStart w:id="315" w:name="_da1d5ce8790d218732f3cafb4a435c2c"/>
    <w:p>
      <w:pPr>
        <w:pStyle w:val="Heading5"/>
        <w:keepNext/>
      </w:pPr>
      <w:r>
        <w:t>INCM_EXPNS_ENUM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Interest paid</w:t>
            </w:r>
          </w:p>
        </w:tc>
        <w:tc>
          <w:tcPr>
            <w:cnfStyle w:evenVBand="false" w:oddVBand="true" w:firstColumn="false"/>
            <w:tcW w:w="33.333333%" w:type="pct"/>
          </w:tcPr>
          <w:p>
            <w:pPr>
              <w:ind w:leftChars="0" w:left="0" w:right="0"/>
            </w:pPr>
            <w:r>
              <w:t>Interest paid</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Rents paid</w:t>
            </w:r>
          </w:p>
        </w:tc>
        <w:tc>
          <w:tcPr>
            <w:cnfStyle w:evenVBand="false" w:oddVBand="true" w:firstColumn="false"/>
            <w:tcW w:w="33.333333%" w:type="pct"/>
          </w:tcPr>
          <w:p>
            <w:pPr>
              <w:ind w:leftChars="0" w:left="0" w:right="0"/>
            </w:pPr>
            <w:r>
              <w:t>Rents paid</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Financial fees/services paid by the fund (mostly for buying and selling financial assets)</w:t>
            </w:r>
          </w:p>
        </w:tc>
        <w:tc>
          <w:tcPr>
            <w:cnfStyle w:evenVBand="false" w:oddVBand="true" w:firstColumn="false"/>
            <w:tcW w:w="33.333333%" w:type="pct"/>
          </w:tcPr>
          <w:p>
            <w:pPr>
              <w:ind w:leftChars="0" w:left="0" w:right="0"/>
            </w:pPr>
            <w:r>
              <w:t>Financial fees/services paid by the fund (mostly for buying and selling financial assets)</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Management fees</w:t>
            </w:r>
          </w:p>
        </w:tc>
        <w:tc>
          <w:tcPr>
            <w:cnfStyle w:evenVBand="false" w:oddVBand="true" w:firstColumn="false"/>
            <w:tcW w:w="33.333333%" w:type="pct"/>
          </w:tcPr>
          <w:p>
            <w:pPr>
              <w:ind w:leftChars="0" w:left="0" w:right="0"/>
            </w:pPr>
            <w:r>
              <w:t>Management fees</w:t>
            </w:r>
          </w:p>
        </w:tc>
      </w:tr>
      <w:tr>
        <w:trPr>
          <w:cnfStyle w:evenHBand="true" w:oddHBand="false" w:firstRow="false"/>
        </w:trPr>
        <w:tc>
          <w:tcPr>
            <w:cnfStyle w:evenVBand="false" w:oddVBand="true" w:firstColumn="false"/>
            <w:tcW w:w="33.333333%" w:type="pct"/>
          </w:tcPr>
          <w:p>
            <w:pPr>
              <w:ind w:leftChars="0" w:left="0" w:right="0"/>
            </w:pPr>
            <w:r>
              <w:t>E5</w:t>
            </w:r>
          </w:p>
        </w:tc>
        <w:tc>
          <w:tcPr>
            <w:cnfStyle w:evenVBand="true" w:oddVBand="false" w:firstColumn="false"/>
            <w:tcW w:w="33.333333%" w:type="pct"/>
          </w:tcPr>
          <w:p>
            <w:pPr>
              <w:ind w:leftChars="0" w:left="0" w:right="0"/>
            </w:pPr>
            <w:r>
              <w:t>Depository fees</w:t>
            </w:r>
          </w:p>
        </w:tc>
        <w:tc>
          <w:tcPr>
            <w:cnfStyle w:evenVBand="false" w:oddVBand="true" w:firstColumn="false"/>
            <w:tcW w:w="33.333333%" w:type="pct"/>
          </w:tcPr>
          <w:p>
            <w:pPr>
              <w:ind w:leftChars="0" w:left="0" w:right="0"/>
            </w:pPr>
            <w:r>
              <w:t>Depository fees</w:t>
            </w:r>
          </w:p>
        </w:tc>
      </w:tr>
      <w:tr>
        <w:trPr>
          <w:cnfStyle w:evenHBand="false" w:oddHBand="true" w:firstRow="false"/>
        </w:trPr>
        <w:tc>
          <w:tcPr>
            <w:cnfStyle w:evenVBand="false" w:oddVBand="true" w:firstColumn="false"/>
            <w:tcW w:w="33.333333%" w:type="pct"/>
          </w:tcPr>
          <w:p>
            <w:pPr>
              <w:ind w:leftChars="0" w:left="0" w:right="0"/>
            </w:pPr>
            <w:r>
              <w:t>E6</w:t>
            </w:r>
          </w:p>
        </w:tc>
        <w:tc>
          <w:tcPr>
            <w:cnfStyle w:evenVBand="true" w:oddVBand="false" w:firstColumn="false"/>
            <w:tcW w:w="33.333333%" w:type="pct"/>
          </w:tcPr>
          <w:p>
            <w:pPr>
              <w:ind w:leftChars="0" w:left="0" w:right="0"/>
            </w:pPr>
            <w:r>
              <w:t>Taxes paid (but not those of behalf of shareholders)</w:t>
            </w:r>
          </w:p>
        </w:tc>
        <w:tc>
          <w:tcPr>
            <w:cnfStyle w:evenVBand="false" w:oddVBand="true" w:firstColumn="false"/>
            <w:tcW w:w="33.333333%" w:type="pct"/>
          </w:tcPr>
          <w:p>
            <w:pPr>
              <w:ind w:leftChars="0" w:left="0" w:right="0"/>
            </w:pPr>
            <w:r>
              <w:t>Taxes paid (but not those of behalf of shareholders)</w:t>
            </w:r>
          </w:p>
        </w:tc>
      </w:tr>
      <w:tr>
        <w:trPr>
          <w:cnfStyle w:evenHBand="true" w:oddHBand="false" w:firstRow="false"/>
        </w:trPr>
        <w:tc>
          <w:tcPr>
            <w:cnfStyle w:evenVBand="false" w:oddVBand="true" w:firstColumn="false"/>
            <w:tcW w:w="33.333333%" w:type="pct"/>
          </w:tcPr>
          <w:p>
            <w:pPr>
              <w:ind w:leftChars="0" w:left="0" w:right="0"/>
            </w:pPr>
            <w:r>
              <w:t>E7</w:t>
            </w:r>
          </w:p>
        </w:tc>
        <w:tc>
          <w:tcPr>
            <w:cnfStyle w:evenVBand="true" w:oddVBand="false" w:firstColumn="false"/>
            <w:tcW w:w="33.333333%" w:type="pct"/>
          </w:tcPr>
          <w:p>
            <w:pPr>
              <w:ind w:leftChars="0" w:left="0" w:right="0"/>
            </w:pPr>
            <w:r>
              <w:t>wages</w:t>
            </w:r>
          </w:p>
        </w:tc>
        <w:tc>
          <w:tcPr>
            <w:cnfStyle w:evenVBand="false" w:oddVBand="true" w:firstColumn="false"/>
            <w:tcW w:w="33.333333%" w:type="pct"/>
          </w:tcPr>
          <w:p>
            <w:pPr>
              <w:ind w:leftChars="0" w:left="0" w:right="0"/>
            </w:pPr>
            <w:r>
              <w:t>wages</w:t>
            </w:r>
          </w:p>
        </w:tc>
      </w:tr>
      <w:tr>
        <w:trPr>
          <w:cnfStyle w:evenHBand="false" w:oddHBand="true" w:firstRow="false"/>
        </w:trPr>
        <w:tc>
          <w:tcPr>
            <w:cnfStyle w:evenVBand="false" w:oddVBand="true" w:firstColumn="false"/>
            <w:tcW w:w="33.333333%" w:type="pct"/>
          </w:tcPr>
          <w:p>
            <w:pPr>
              <w:ind w:leftChars="0" w:left="0" w:right="0"/>
            </w:pPr>
            <w:r>
              <w:t>E8</w:t>
            </w:r>
          </w:p>
        </w:tc>
        <w:tc>
          <w:tcPr>
            <w:cnfStyle w:evenVBand="true" w:oddVBand="false" w:firstColumn="false"/>
            <w:tcW w:w="33.333333%" w:type="pct"/>
          </w:tcPr>
          <w:p>
            <w:pPr>
              <w:ind w:leftChars="0" w:left="0" w:right="0"/>
            </w:pPr>
            <w:r>
              <w:t>bad debt expense</w:t>
            </w:r>
          </w:p>
        </w:tc>
        <w:tc>
          <w:tcPr>
            <w:cnfStyle w:evenVBand="false" w:oddVBand="true" w:firstColumn="false"/>
            <w:tcW w:w="33.333333%" w:type="pct"/>
          </w:tcPr>
          <w:p>
            <w:pPr>
              <w:ind w:leftChars="0" w:left="0" w:right="0"/>
            </w:pPr>
            <w:r>
              <w:t>bad debt expense</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bad loan expense</w:t>
            </w:r>
          </w:p>
        </w:tc>
        <w:tc>
          <w:tcPr>
            <w:cnfStyle w:evenVBand="false" w:oddVBand="true" w:firstColumn="false"/>
            <w:tcW w:w="33.333333%" w:type="pct"/>
          </w:tcPr>
          <w:p>
            <w:pPr>
              <w:ind w:leftChars="0" w:left="0" w:right="0"/>
            </w:pPr>
            <w:r>
              <w:t>bad loan expense</w:t>
            </w:r>
          </w:p>
        </w:tc>
      </w:tr>
      <w:tr>
        <w:trPr>
          <w:cnfStyle w:evenHBand="false" w:oddHBand="true" w:firstRow="false"/>
        </w:trPr>
        <w:tc>
          <w:tcPr>
            <w:cnfStyle w:evenVBand="false" w:oddVBand="true" w:firstColumn="false"/>
            <w:tcW w:w="33.333333%" w:type="pct"/>
          </w:tcPr>
          <w:p>
            <w:pPr>
              <w:ind w:leftChars="0" w:left="0" w:right="0"/>
            </w:pPr>
            <w:r>
              <w:t>E10</w:t>
            </w:r>
          </w:p>
        </w:tc>
        <w:tc>
          <w:tcPr>
            <w:cnfStyle w:evenVBand="true" w:oddVBand="false" w:firstColumn="false"/>
            <w:tcW w:w="33.333333%" w:type="pct"/>
          </w:tcPr>
          <w:p>
            <w:pPr>
              <w:ind w:leftChars="0" w:left="0" w:right="0"/>
            </w:pPr>
            <w:r>
              <w:t>Other fees and charges paid</w:t>
            </w:r>
          </w:p>
        </w:tc>
        <w:tc>
          <w:tcPr>
            <w:cnfStyle w:evenVBand="false" w:oddVBand="true" w:firstColumn="false"/>
            <w:tcW w:w="33.333333%" w:type="pct"/>
          </w:tcPr>
          <w:p>
            <w:pPr>
              <w:ind w:leftChars="0" w:left="0" w:right="0"/>
            </w:pPr>
            <w:r>
              <w:t>Other fees and charges paid</w:t>
            </w:r>
          </w:p>
        </w:tc>
      </w:tr>
    </w:tbl>
    <w:p>
      <w:pPr>
        <w:pStyle w:val="Table Bottom Margin"/>
      </w:pPr>
    </w:p>
    <w:bookmarkEnd w:id="315"/>
    <w:bookmarkEnd w:id="314"/>
    <w:bookmarkStart w:id="316" w:name="_8b5ff941b8ed3b17c5dea2d58493cfb4"/>
    <w:bookmarkStart w:id="317" w:name="_362a6e60c5b95f4f5e57c95788158a2a"/>
    <w:p>
      <w:pPr>
        <w:pStyle w:val="Heading5"/>
        <w:keepNext/>
      </w:pPr>
      <w:r>
        <w:t>INCM_RVN_ENUM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R1</w:t>
            </w:r>
          </w:p>
        </w:tc>
        <w:tc>
          <w:tcPr>
            <w:cnfStyle w:evenVBand="true" w:oddVBand="false" w:firstColumn="false"/>
            <w:tcW w:w="33.333333%" w:type="pct"/>
          </w:tcPr>
          <w:p>
            <w:pPr>
              <w:ind w:leftChars="0" w:left="0" w:right="0"/>
            </w:pPr>
            <w:r>
              <w:t>Interest received</w:t>
            </w:r>
          </w:p>
        </w:tc>
        <w:tc>
          <w:tcPr>
            <w:cnfStyle w:evenVBand="false" w:oddVBand="true" w:firstColumn="false"/>
            <w:tcW w:w="33.333333%" w:type="pct"/>
          </w:tcPr>
          <w:p>
            <w:pPr>
              <w:ind w:leftChars="0" w:left="0" w:right="0"/>
            </w:pPr>
            <w:r>
              <w:t>Interest received</w:t>
            </w:r>
          </w:p>
        </w:tc>
      </w:tr>
      <w:tr>
        <w:trPr>
          <w:cnfStyle w:evenHBand="false" w:oddHBand="true" w:firstRow="false"/>
        </w:trPr>
        <w:tc>
          <w:tcPr>
            <w:cnfStyle w:evenVBand="false" w:oddVBand="true" w:firstColumn="false"/>
            <w:tcW w:w="33.333333%" w:type="pct"/>
          </w:tcPr>
          <w:p>
            <w:pPr>
              <w:ind w:leftChars="0" w:left="0" w:right="0"/>
            </w:pPr>
            <w:r>
              <w:t>R2</w:t>
            </w:r>
          </w:p>
        </w:tc>
        <w:tc>
          <w:tcPr>
            <w:cnfStyle w:evenVBand="true" w:oddVBand="false" w:firstColumn="false"/>
            <w:tcW w:w="33.333333%" w:type="pct"/>
          </w:tcPr>
          <w:p>
            <w:pPr>
              <w:ind w:leftChars="0" w:left="0" w:right="0"/>
            </w:pPr>
            <w:r>
              <w:t>Dividends received</w:t>
            </w:r>
          </w:p>
        </w:tc>
        <w:tc>
          <w:tcPr>
            <w:cnfStyle w:evenVBand="false" w:oddVBand="true" w:firstColumn="false"/>
            <w:tcW w:w="33.333333%" w:type="pct"/>
          </w:tcPr>
          <w:p>
            <w:pPr>
              <w:ind w:leftChars="0" w:left="0" w:right="0"/>
            </w:pPr>
            <w:r>
              <w:t>Dividends received</w:t>
            </w:r>
          </w:p>
        </w:tc>
      </w:tr>
      <w:tr>
        <w:trPr>
          <w:cnfStyle w:evenHBand="true" w:oddHBand="false" w:firstRow="false"/>
        </w:trPr>
        <w:tc>
          <w:tcPr>
            <w:cnfStyle w:evenVBand="false" w:oddVBand="true" w:firstColumn="false"/>
            <w:tcW w:w="33.333333%" w:type="pct"/>
          </w:tcPr>
          <w:p>
            <w:pPr>
              <w:ind w:leftChars="0" w:left="0" w:right="0"/>
            </w:pPr>
            <w:r>
              <w:t>R3</w:t>
            </w:r>
          </w:p>
        </w:tc>
        <w:tc>
          <w:tcPr>
            <w:cnfStyle w:evenVBand="true" w:oddVBand="false" w:firstColumn="false"/>
            <w:tcW w:w="33.333333%" w:type="pct"/>
          </w:tcPr>
          <w:p>
            <w:pPr>
              <w:ind w:leftChars="0" w:left="0" w:right="0"/>
            </w:pPr>
            <w:r>
              <w:t>Rents received</w:t>
            </w:r>
          </w:p>
        </w:tc>
        <w:tc>
          <w:tcPr>
            <w:cnfStyle w:evenVBand="false" w:oddVBand="true" w:firstColumn="false"/>
            <w:tcW w:w="33.333333%" w:type="pct"/>
          </w:tcPr>
          <w:p>
            <w:pPr>
              <w:ind w:leftChars="0" w:left="0" w:right="0"/>
            </w:pPr>
            <w:r>
              <w:t>Rents received</w:t>
            </w:r>
          </w:p>
        </w:tc>
      </w:tr>
      <w:tr>
        <w:trPr>
          <w:cnfStyle w:evenHBand="false" w:oddHBand="true" w:firstRow="false"/>
        </w:trPr>
        <w:tc>
          <w:tcPr>
            <w:cnfStyle w:evenVBand="false" w:oddVBand="true" w:firstColumn="false"/>
            <w:tcW w:w="33.333333%" w:type="pct"/>
          </w:tcPr>
          <w:p>
            <w:pPr>
              <w:ind w:leftChars="0" w:left="0" w:right="0"/>
            </w:pPr>
            <w:r>
              <w:t>R4</w:t>
            </w:r>
          </w:p>
        </w:tc>
        <w:tc>
          <w:tcPr>
            <w:cnfStyle w:evenVBand="true" w:oddVBand="false" w:firstColumn="false"/>
            <w:tcW w:w="33.333333%" w:type="pct"/>
          </w:tcPr>
          <w:p>
            <w:pPr>
              <w:ind w:leftChars="0" w:left="0" w:right="0"/>
            </w:pPr>
            <w:r>
              <w:t>Reinvested earnings on FDI</w:t>
            </w:r>
          </w:p>
        </w:tc>
        <w:tc>
          <w:tcPr>
            <w:cnfStyle w:evenVBand="false" w:oddVBand="true" w:firstColumn="false"/>
            <w:tcW w:w="33.333333%" w:type="pct"/>
          </w:tcPr>
          <w:p>
            <w:pPr>
              <w:ind w:leftChars="0" w:left="0" w:right="0"/>
            </w:pPr>
            <w:r>
              <w:t>Reinvested earnings on FDI</w:t>
            </w:r>
          </w:p>
        </w:tc>
      </w:tr>
      <w:tr>
        <w:trPr>
          <w:cnfStyle w:evenHBand="true" w:oddHBand="false" w:firstRow="false"/>
        </w:trPr>
        <w:tc>
          <w:tcPr>
            <w:cnfStyle w:evenVBand="false" w:oddVBand="true" w:firstColumn="false"/>
            <w:tcW w:w="33.333333%" w:type="pct"/>
          </w:tcPr>
          <w:p>
            <w:pPr>
              <w:ind w:leftChars="0" w:left="0" w:right="0"/>
            </w:pPr>
            <w:r>
              <w:t>R5</w:t>
            </w:r>
          </w:p>
        </w:tc>
        <w:tc>
          <w:tcPr>
            <w:cnfStyle w:evenVBand="true" w:oddVBand="false" w:firstColumn="false"/>
            <w:tcW w:w="33.333333%" w:type="pct"/>
          </w:tcPr>
          <w:p>
            <w:pPr>
              <w:ind w:leftChars="0" w:left="0" w:right="0"/>
            </w:pPr>
            <w:r>
              <w:t>Investment income attributable to policy holders in insurance, standardized guarantees and pension funds</w:t>
            </w:r>
          </w:p>
        </w:tc>
        <w:tc>
          <w:tcPr>
            <w:cnfStyle w:evenVBand="false" w:oddVBand="true" w:firstColumn="false"/>
            <w:tcW w:w="33.333333%" w:type="pct"/>
          </w:tcPr>
          <w:p>
            <w:pPr>
              <w:ind w:leftChars="0" w:left="0" w:right="0"/>
            </w:pPr>
            <w:r>
              <w:t>Investment income attributable to policy holders in insurance, standardized guarantees and pension funds</w:t>
            </w:r>
          </w:p>
        </w:tc>
      </w:tr>
    </w:tbl>
    <w:p>
      <w:pPr>
        <w:pStyle w:val="Table Bottom Margin"/>
      </w:pPr>
    </w:p>
    <w:bookmarkEnd w:id="317"/>
    <w:bookmarkEnd w:id="316"/>
    <w:bookmarkStart w:id="318" w:name="_84403f97d0fd046389a0f222521885c9"/>
    <w:bookmarkStart w:id="319" w:name="_a8207dffb45e3d7c72b993345ea585ca"/>
    <w:p>
      <w:pPr>
        <w:pStyle w:val="Heading5"/>
        <w:keepNext/>
      </w:pPr>
      <w:r>
        <w:t>LON_TYP_ENUM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CRD</w:t>
            </w:r>
          </w:p>
        </w:tc>
        <w:tc>
          <w:tcPr>
            <w:cnfStyle w:evenVBand="true" w:oddVBand="false" w:firstColumn="false"/>
            <w:tcW w:w="33.333333%" w:type="pct"/>
          </w:tcPr>
          <w:p>
            <w:pPr>
              <w:ind w:leftChars="0" w:left="0" w:right="0"/>
            </w:pPr>
            <w:r>
              <w:t>Credit-card loan</w:t>
            </w:r>
          </w:p>
        </w:tc>
        <w:tc>
          <w:tcPr>
            <w:cnfStyle w:evenVBand="false" w:oddVBand="true" w:firstColumn="false"/>
            <w:tcW w:w="33.333333%" w:type="pct"/>
          </w:tcPr>
          <w:p>
            <w:pPr>
              <w:ind w:leftChars="0" w:left="480" w:right="0"/>
            </w:pPr>
            <w:r>
              <w:t>Credit granted via delayed debit cards, i.e. cards providing convenience credit, or via credit cards, i.e. cards providing convenience credit and extended credit.  Convenience credit is the credit granted at an interest rate of 0% in the period between the payment transactions made with the card during one billing cycle and the date at which the debit balances from this specific billing cycle become due.  Extended credit it credit granted after the due dates of the previous billing cylces have passed, i.e. debit amounts on the card account that have not been settled when this was first possible, for which an interest rate or tiered interest rates usually greater than 0% are charged.</w:t>
            </w:r>
          </w:p>
        </w:tc>
      </w:tr>
      <w:tr>
        <w:trPr>
          <w:cnfStyle w:evenHBand="false" w:oddHBand="true" w:firstRow="false"/>
        </w:trPr>
        <w:tc>
          <w:tcPr>
            <w:cnfStyle w:evenVBand="false" w:oddVBand="true" w:firstColumn="false"/>
            <w:tcW w:w="33.333333%" w:type="pct"/>
          </w:tcPr>
          <w:p>
            <w:pPr>
              <w:ind w:leftChars="0" w:left="0" w:right="0"/>
            </w:pPr>
            <w:r>
              <w:t>OVR</w:t>
            </w:r>
          </w:p>
        </w:tc>
        <w:tc>
          <w:tcPr>
            <w:cnfStyle w:evenVBand="true" w:oddVBand="false" w:firstColumn="false"/>
            <w:tcW w:w="33.333333%" w:type="pct"/>
          </w:tcPr>
          <w:p>
            <w:pPr>
              <w:ind w:leftChars="0" w:left="0" w:right="0"/>
            </w:pPr>
            <w:r>
              <w:t>Overdraft</w:t>
            </w:r>
          </w:p>
        </w:tc>
        <w:tc>
          <w:tcPr>
            <w:cnfStyle w:evenVBand="false" w:oddVBand="true" w:firstColumn="false"/>
            <w:tcW w:w="33.333333%" w:type="pct"/>
          </w:tcPr>
          <w:p>
            <w:pPr>
              <w:ind w:leftChars="0" w:left="48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r>
      <w:tr>
        <w:trPr>
          <w:cnfStyle w:evenHBand="true" w:oddHBand="false" w:firstRow="false"/>
        </w:trPr>
        <w:tc>
          <w:tcPr>
            <w:cnfStyle w:evenVBand="false" w:oddVBand="true" w:firstColumn="false"/>
            <w:tcW w:w="33.333333%" w:type="pct"/>
          </w:tcPr>
          <w:p>
            <w:pPr>
              <w:ind w:leftChars="0" w:left="0" w:right="0"/>
            </w:pPr>
            <w:r>
              <w:t>REV</w:t>
            </w:r>
          </w:p>
        </w:tc>
        <w:tc>
          <w:tcPr>
            <w:cnfStyle w:evenVBand="true" w:oddVBand="false" w:firstColumn="false"/>
            <w:tcW w:w="33.333333%" w:type="pct"/>
          </w:tcPr>
          <w:p>
            <w:pPr>
              <w:ind w:leftChars="0" w:left="0" w:right="0"/>
            </w:pPr>
            <w:r>
              <w:t>Revolving loans</w:t>
            </w:r>
          </w:p>
        </w:tc>
        <w:tc>
          <w:tcPr>
            <w:cnfStyle w:evenVBand="false" w:oddVBand="true" w:firstColumn="false"/>
            <w:tcW w:w="33.333333%" w:type="pct"/>
          </w:tcPr>
          <w:p>
            <w:pPr>
              <w:ind w:leftChars="0" w:left="48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Number"/>
              <w:numPr>
                <w:ilvl w:val="0"/>
                <w:numId w:val="9"/>
              </w:numPr>
              <w:ind w:leftChars="0" w:left="1440" w:right="0"/>
            </w:pPr>
            <w:r>
              <w:t>the borrower may draw on the facility up to an agreed amount without notifying the lender</w:t>
            </w:r>
          </w:p>
          <w:p>
            <w:pPr>
              <w:pStyle w:val="ListNumber"/>
              <w:numPr>
                <w:ilvl w:val="0"/>
                <w:numId w:val="9"/>
              </w:numPr>
              <w:ind w:leftChars="0" w:left="1440" w:right="0"/>
            </w:pPr>
            <w:r>
              <w:t>the amount of available credit fluctuates as funds are borrowed and repaid</w:t>
            </w:r>
          </w:p>
          <w:p>
            <w:pPr>
              <w:pStyle w:val="ListNumber"/>
              <w:numPr>
                <w:ilvl w:val="0"/>
                <w:numId w:val="9"/>
              </w:numPr>
              <w:ind w:leftChars="0" w:left="1440" w:right="0"/>
            </w:pPr>
            <w:r>
              <w:t>the facility may be used repeatedly</w:t>
            </w:r>
          </w:p>
          <w:p>
            <w:pPr>
              <w:pStyle w:val="ListNumber"/>
              <w:numPr>
                <w:ilvl w:val="0"/>
                <w:numId w:val="9"/>
              </w:numPr>
              <w:ind w:leftChars="0" w:left="1440" w:right="0"/>
            </w:pPr>
            <w:r>
              <w:t>there is no obligation to repay regularly</w:t>
            </w:r>
          </w:p>
          <w:p>
            <w:pPr>
              <w:ind w:leftChars="0" w:left="480" w:right="0"/>
            </w:pPr>
            <w:r>
              <w:t>A margin account in which the broker-dealer lends the investor cash to purchase securities is a revolving loan.</w:t>
            </w:r>
          </w:p>
        </w:tc>
      </w:tr>
      <w:tr>
        <w:trPr>
          <w:cnfStyle w:evenHBand="false" w:oddHBand="true" w:firstRow="false"/>
        </w:trPr>
        <w:tc>
          <w:tcPr>
            <w:cnfStyle w:evenVBand="false" w:oddVBand="true" w:firstColumn="false"/>
            <w:tcW w:w="33.333333%" w:type="pct"/>
          </w:tcPr>
          <w:p>
            <w:pPr>
              <w:ind w:leftChars="0" w:left="0" w:right="0"/>
            </w:pPr>
            <w:r>
              <w:t>FLS</w:t>
            </w:r>
          </w:p>
        </w:tc>
        <w:tc>
          <w:tcPr>
            <w:cnfStyle w:evenVBand="true" w:oddVBand="false" w:firstColumn="false"/>
            <w:tcW w:w="33.333333%" w:type="pct"/>
          </w:tcPr>
          <w:p>
            <w:pPr>
              <w:ind w:leftChars="0" w:left="0" w:right="0"/>
            </w:pPr>
            <w:r>
              <w:t>Financial leases</w:t>
            </w:r>
          </w:p>
        </w:tc>
        <w:tc>
          <w:tcPr>
            <w:cnfStyle w:evenVBand="false" w:oddVBand="true" w:firstColumn="false"/>
            <w:tcW w:w="33.333333%" w:type="pct"/>
          </w:tcPr>
          <w:p>
            <w:pPr>
              <w:ind w:leftChars="0" w:left="48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r>
      <w:tr>
        <w:trPr>
          <w:cnfStyle w:evenHBand="true" w:oddHBand="false" w:firstRow="false"/>
        </w:trPr>
        <w:tc>
          <w:tcPr>
            <w:cnfStyle w:evenVBand="false" w:oddVBand="true" w:firstColumn="false"/>
            <w:tcW w:w="33.333333%" w:type="pct"/>
          </w:tcPr>
          <w:p>
            <w:pPr>
              <w:ind w:leftChars="0" w:left="0" w:right="0"/>
            </w:pPr>
            <w:r>
              <w:t>NOS</w:t>
            </w:r>
          </w:p>
        </w:tc>
        <w:tc>
          <w:tcPr>
            <w:cnfStyle w:evenVBand="true" w:oddVBand="false" w:firstColumn="false"/>
            <w:tcW w:w="33.333333%" w:type="pct"/>
          </w:tcPr>
          <w:p>
            <w:pPr>
              <w:ind w:leftChars="0" w:left="0" w:right="0"/>
            </w:pPr>
            <w:r>
              <w:t>Non-negotiable securities</w:t>
            </w:r>
          </w:p>
        </w:tc>
        <w:tc>
          <w:tcPr>
            <w:cnfStyle w:evenVBand="false" w:oddVBand="true" w:firstColumn="false"/>
            <w:tcW w:w="33.333333%" w:type="pct"/>
          </w:tcPr>
          <w:p>
            <w:pPr>
              <w:ind w:leftChars="0" w:left="48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r>
      <w:tr>
        <w:trPr>
          <w:cnfStyle w:evenHBand="false" w:oddHBand="true" w:firstRow="false"/>
        </w:trPr>
        <w:tc>
          <w:tcPr>
            <w:cnfStyle w:evenVBand="false" w:oddVBand="true" w:firstColumn="false"/>
            <w:tcW w:w="33.333333%" w:type="pct"/>
          </w:tcPr>
          <w:p>
            <w:pPr>
              <w:ind w:leftChars="0" w:left="0" w:right="0"/>
            </w:pPr>
            <w:r>
              <w:t>TRD</w:t>
            </w:r>
          </w:p>
        </w:tc>
        <w:tc>
          <w:tcPr>
            <w:cnfStyle w:evenVBand="true" w:oddVBand="false" w:firstColumn="false"/>
            <w:tcW w:w="33.333333%" w:type="pct"/>
          </w:tcPr>
          <w:p>
            <w:pPr>
              <w:ind w:leftChars="0" w:left="0" w:right="0"/>
            </w:pPr>
            <w:r>
              <w:t>Traded loans</w:t>
            </w:r>
          </w:p>
        </w:tc>
        <w:tc>
          <w:tcPr>
            <w:cnfStyle w:evenVBand="false" w:oddVBand="true" w:firstColumn="false"/>
            <w:tcW w:w="33.333333%" w:type="pct"/>
          </w:tcPr>
          <w:p>
            <w:pPr>
              <w:ind w:leftChars="0" w:left="480" w:right="0"/>
            </w:pPr>
            <w:r>
              <w:t>Loans that have de facto become negotiable are called traded loans. Where there is no evidence of secondary market trading in the traded loans, they are classified as loans. Otherwise, they are classified as debt securities.</w:t>
            </w:r>
          </w:p>
        </w:tc>
      </w:tr>
      <w:tr>
        <w:trPr>
          <w:cnfStyle w:evenHBand="true" w:oddHBand="false" w:firstRow="false"/>
        </w:trPr>
        <w:tc>
          <w:tcPr>
            <w:cnfStyle w:evenVBand="false" w:oddVBand="true" w:firstColumn="false"/>
            <w:tcW w:w="33.333333%" w:type="pct"/>
          </w:tcPr>
          <w:p>
            <w:pPr>
              <w:ind w:leftChars="0" w:left="0" w:right="0"/>
            </w:pPr>
            <w:r>
              <w:t>SUB</w:t>
            </w:r>
          </w:p>
        </w:tc>
        <w:tc>
          <w:tcPr>
            <w:cnfStyle w:evenVBand="true" w:oddVBand="false" w:firstColumn="false"/>
            <w:tcW w:w="33.333333%" w:type="pct"/>
          </w:tcPr>
          <w:p>
            <w:pPr>
              <w:ind w:leftChars="0" w:left="0" w:right="0"/>
            </w:pPr>
            <w:r>
              <w:t>Subordinated debt in the form of loans</w:t>
            </w:r>
          </w:p>
        </w:tc>
        <w:tc>
          <w:tcPr>
            <w:cnfStyle w:evenVBand="false" w:oddVBand="true" w:firstColumn="false"/>
            <w:tcW w:w="33.333333%" w:type="pct"/>
          </w:tcPr>
          <w:p>
            <w:pPr>
              <w:ind w:leftChars="0" w:left="480" w:right="0"/>
            </w:pPr>
            <w:r>
              <w:t>These are non-negotiable instruments constituting a subsidiary claim on the issuer that can be exercised only after all higher-status claims (i.e. deposits, loans) have been satisfied, giving them some of the characteristics of equity. Subordinated debt is classified as either “loans” or “debt securities” according to the nature and characteristics of the financial instrument.</w:t>
            </w:r>
          </w:p>
        </w:tc>
      </w:tr>
      <w:tr>
        <w:trPr>
          <w:cnfStyle w:evenHBand="false" w:oddHBand="true" w:firstRow="false"/>
        </w:trPr>
        <w:tc>
          <w:tcPr>
            <w:cnfStyle w:evenVBand="false" w:oddVBand="true" w:firstColumn="false"/>
            <w:tcW w:w="33.333333%" w:type="pct"/>
          </w:tcPr>
          <w:p>
            <w:pPr>
              <w:ind w:leftChars="0" w:left="0" w:right="0"/>
            </w:pPr>
            <w:r>
              <w:t>INT</w:t>
            </w:r>
          </w:p>
        </w:tc>
        <w:tc>
          <w:tcPr>
            <w:cnfStyle w:evenVBand="true" w:oddVBand="false" w:firstColumn="false"/>
            <w:tcW w:w="33.333333%" w:type="pct"/>
          </w:tcPr>
          <w:p>
            <w:pPr>
              <w:ind w:leftChars="0" w:left="0" w:right="0"/>
            </w:pPr>
            <w:r>
              <w:t>Intragroup loans</w:t>
            </w:r>
          </w:p>
        </w:tc>
        <w:tc>
          <w:tcPr>
            <w:cnfStyle w:evenVBand="false" w:oddVBand="true" w:firstColumn="false"/>
            <w:tcW w:w="33.333333%" w:type="pct"/>
          </w:tcPr>
          <w:p>
            <w:pPr>
              <w:ind w:leftChars="0" w:left="48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r>
      <w:tr>
        <w:trPr>
          <w:cnfStyle w:evenHBand="true" w:oddHBand="false" w:firstRow="false"/>
        </w:trPr>
        <w:tc>
          <w:tcPr>
            <w:cnfStyle w:evenVBand="false" w:oddVBand="true" w:firstColumn="false"/>
            <w:tcW w:w="33.333333%" w:type="pct"/>
          </w:tcPr>
          <w:p>
            <w:pPr>
              <w:ind w:leftChars="0" w:left="0" w:right="0"/>
            </w:pPr>
            <w:r>
              <w:t>RFC</w:t>
            </w:r>
          </w:p>
        </w:tc>
        <w:tc>
          <w:tcPr>
            <w:cnfStyle w:evenVBand="true" w:oddVBand="false" w:firstColumn="false"/>
            <w:tcW w:w="33.333333%" w:type="pct"/>
          </w:tcPr>
          <w:p>
            <w:pPr>
              <w:ind w:leftChars="0" w:left="0" w:right="0"/>
            </w:pPr>
            <w:r>
              <w:t>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recourse factoring the risk of default by the customer is retained by the factoring client in which case the factoring company is able to hold the factoring client liable if a debtor is unable to pay.  In particular, in recourse factoring the factoring company buys the receivables at a discount to the face value of the invoice.  This discount is retained as collateral to cover the risks associated with the operation. Upon payment of the invoices by the customers, the factoring company transmits the proceeds net of the advanced cash and the applicable fees and interest charges to the factoring client.  The counterparty of the loan by the factoring company is the factoring client.</w:t>
            </w:r>
          </w:p>
        </w:tc>
      </w:tr>
      <w:tr>
        <w:trPr>
          <w:cnfStyle w:evenHBand="false" w:oddHBand="true" w:firstRow="false"/>
        </w:trPr>
        <w:tc>
          <w:tcPr>
            <w:cnfStyle w:evenVBand="false" w:oddVBand="true" w:firstColumn="false"/>
            <w:tcW w:w="33.333333%" w:type="pct"/>
          </w:tcPr>
          <w:p>
            <w:pPr>
              <w:ind w:leftChars="0" w:left="0" w:right="0"/>
            </w:pPr>
            <w:r>
              <w:t>NFC</w:t>
            </w:r>
          </w:p>
        </w:tc>
        <w:tc>
          <w:tcPr>
            <w:cnfStyle w:evenVBand="true" w:oddVBand="false" w:firstColumn="false"/>
            <w:tcW w:w="33.333333%" w:type="pct"/>
          </w:tcPr>
          <w:p>
            <w:pPr>
              <w:ind w:leftChars="0" w:left="0" w:right="0"/>
            </w:pPr>
            <w:r>
              <w:t>Non-recource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non-recourse factoring the full risk of default by the customer is assumed by the factoring company and fees and interest are therefore charged immediately to the factoring client, who receives the full amount of the trade credit net of these charges. In this case the customers are the counterparty of the loan by the factoring company.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loan</w:t>
            </w:r>
          </w:p>
        </w:tc>
        <w:tc>
          <w:tcPr>
            <w:cnfStyle w:evenVBand="false" w:oddVBand="true" w:firstColumn="false"/>
            <w:tcW w:w="33.333333%" w:type="pct"/>
          </w:tcPr>
          <w:p>
            <w:pPr>
              <w:ind w:leftChars="0" w:left="480" w:right="0"/>
            </w:pPr>
            <w:r>
              <w:t>Loan other than CRD, OVR, REV, FLS, NOS, TRD, SUB, INT, RFC, NFC.</w:t>
            </w:r>
          </w:p>
        </w:tc>
      </w:tr>
    </w:tbl>
    <w:p>
      <w:pPr>
        <w:pStyle w:val="Table Bottom Margin"/>
      </w:pPr>
    </w:p>
    <w:bookmarkEnd w:id="319"/>
    <w:bookmarkEnd w:id="318"/>
    <w:bookmarkStart w:id="320" w:name="_85c0e59de3bd296a5181e3dedc44a80b"/>
    <w:bookmarkStart w:id="321" w:name="_b708f8f823050a31cdd87468e6bd9d63"/>
    <w:p>
      <w:pPr>
        <w:pStyle w:val="Heading5"/>
        <w:keepNext/>
      </w:pPr>
      <w:r>
        <w:t>ORG_INSTTTNL_SCTR_ENUM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S11</w:t>
            </w:r>
          </w:p>
        </w:tc>
        <w:tc>
          <w:tcPr>
            <w:cnfStyle w:evenVBand="true" w:oddVBand="false" w:firstColumn="false"/>
            <w:tcW w:w="33.333333%" w:type="pct"/>
          </w:tcPr>
          <w:p>
            <w:pPr>
              <w:ind w:leftChars="0" w:left="0" w:right="0"/>
            </w:pPr>
            <w:r>
              <w:t>Non financial corporations</w:t>
            </w:r>
          </w:p>
        </w:tc>
        <w:tc>
          <w:tcPr>
            <w:cnfStyle w:evenVBand="false" w:oddVBand="true" w:firstColumn="false"/>
            <w:tcW w:w="33.333333%" w:type="pct"/>
          </w:tcPr>
          <w:p>
            <w:pPr>
              <w:ind w:leftChars="0" w:left="0" w:right="0"/>
            </w:pPr>
            <w:r>
              <w:t>Non financial corporations</w:t>
            </w:r>
          </w:p>
        </w:tc>
      </w:tr>
      <w:tr>
        <w:trPr>
          <w:cnfStyle w:evenHBand="true" w:oddHBand="false" w:firstRow="false"/>
        </w:trPr>
        <w:tc>
          <w:tcPr>
            <w:cnfStyle w:evenVBand="false" w:oddVBand="true" w:firstColumn="false"/>
            <w:tcW w:w="33.333333%" w:type="pct"/>
          </w:tcPr>
          <w:p>
            <w:pPr>
              <w:ind w:leftChars="0" w:left="0" w:right="0"/>
            </w:pPr>
            <w:r>
              <w:t>S121</w:t>
            </w:r>
          </w:p>
        </w:tc>
        <w:tc>
          <w:tcPr>
            <w:cnfStyle w:evenVBand="true" w:oddVBand="false" w:firstColumn="false"/>
            <w:tcW w:w="33.333333%" w:type="pct"/>
          </w:tcPr>
          <w:p>
            <w:pPr>
              <w:ind w:leftChars="0" w:left="0" w:right="0"/>
            </w:pPr>
            <w:r>
              <w:t>Central bank</w:t>
            </w:r>
          </w:p>
        </w:tc>
        <w:tc>
          <w:tcPr>
            <w:cnfStyle w:evenVBand="false" w:oddVBand="true" w:firstColumn="false"/>
            <w:tcW w:w="33.333333%" w:type="pct"/>
          </w:tcPr>
          <w:p>
            <w:pPr>
              <w:ind w:leftChars="0" w:left="0" w:right="0"/>
            </w:pPr>
            <w:r>
              <w:t>Central bank</w:t>
            </w:r>
          </w:p>
        </w:tc>
      </w:tr>
      <w:tr>
        <w:trPr>
          <w:cnfStyle w:evenHBand="false" w:oddHBand="true" w:firstRow="false"/>
        </w:trPr>
        <w:tc>
          <w:tcPr>
            <w:cnfStyle w:evenVBand="false" w:oddVBand="true" w:firstColumn="false"/>
            <w:tcW w:w="33.333333%" w:type="pct"/>
          </w:tcPr>
          <w:p>
            <w:pPr>
              <w:ind w:leftChars="0" w:left="0" w:right="0"/>
            </w:pPr>
            <w:r>
              <w:t>S122</w:t>
            </w:r>
          </w:p>
        </w:tc>
        <w:tc>
          <w:tcPr>
            <w:cnfStyle w:evenVBand="true" w:oddVBand="false" w:firstColumn="false"/>
            <w:tcW w:w="33.333333%" w:type="pct"/>
          </w:tcPr>
          <w:p>
            <w:pPr>
              <w:ind w:leftChars="0" w:left="0" w:right="0"/>
            </w:pPr>
            <w:r>
              <w:t>Deposit taking corporations, except the Central Bank</w:t>
            </w:r>
          </w:p>
        </w:tc>
        <w:tc>
          <w:tcPr>
            <w:cnfStyle w:evenVBand="false" w:oddVBand="true" w:firstColumn="false"/>
            <w:tcW w:w="33.333333%" w:type="pct"/>
          </w:tcPr>
          <w:p>
            <w:pPr>
              <w:ind w:leftChars="0" w:left="0" w:right="0"/>
            </w:pPr>
            <w:r>
              <w:t>Deposit taking corporations, except the Central Bank</w:t>
            </w:r>
          </w:p>
        </w:tc>
      </w:tr>
      <w:tr>
        <w:trPr>
          <w:cnfStyle w:evenHBand="true" w:oddHBand="false" w:firstRow="false"/>
        </w:trPr>
        <w:tc>
          <w:tcPr>
            <w:cnfStyle w:evenVBand="false" w:oddVBand="true" w:firstColumn="false"/>
            <w:tcW w:w="33.333333%" w:type="pct"/>
          </w:tcPr>
          <w:p>
            <w:pPr>
              <w:ind w:leftChars="0" w:left="0" w:right="0"/>
            </w:pPr>
            <w:r>
              <w:t>S123</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0" w:right="0"/>
            </w:pPr>
            <w:r>
              <w:t>Money market funds</w:t>
            </w:r>
          </w:p>
        </w:tc>
      </w:tr>
      <w:tr>
        <w:trPr>
          <w:cnfStyle w:evenHBand="false" w:oddHBand="true" w:firstRow="false"/>
        </w:trPr>
        <w:tc>
          <w:tcPr>
            <w:cnfStyle w:evenVBand="false" w:oddVBand="true" w:firstColumn="false"/>
            <w:tcW w:w="33.333333%" w:type="pct"/>
          </w:tcPr>
          <w:p>
            <w:pPr>
              <w:ind w:leftChars="0" w:left="0" w:right="0"/>
            </w:pPr>
            <w:r>
              <w:t>S124</w:t>
            </w:r>
          </w:p>
        </w:tc>
        <w:tc>
          <w:tcPr>
            <w:cnfStyle w:evenVBand="true" w:oddVBand="false" w:firstColumn="false"/>
            <w:tcW w:w="33.333333%" w:type="pct"/>
          </w:tcPr>
          <w:p>
            <w:pPr>
              <w:ind w:leftChars="0" w:left="0" w:right="0"/>
            </w:pPr>
            <w:r>
              <w:t>Non MMF investment funds</w:t>
            </w:r>
          </w:p>
        </w:tc>
        <w:tc>
          <w:tcPr>
            <w:cnfStyle w:evenVBand="false" w:oddVBand="true" w:firstColumn="false"/>
            <w:tcW w:w="33.333333%" w:type="pct"/>
          </w:tcPr>
          <w:p>
            <w:pPr>
              <w:ind w:leftChars="0" w:left="0" w:right="0"/>
            </w:pPr>
            <w:r>
              <w:t>Non MMF investment funds</w:t>
            </w:r>
          </w:p>
        </w:tc>
      </w:tr>
      <w:tr>
        <w:trPr>
          <w:cnfStyle w:evenHBand="true" w:oddHBand="false" w:firstRow="false"/>
        </w:trPr>
        <w:tc>
          <w:tcPr>
            <w:cnfStyle w:evenVBand="false" w:oddVBand="true" w:firstColumn="false"/>
            <w:tcW w:w="33.333333%" w:type="pct"/>
          </w:tcPr>
          <w:p>
            <w:pPr>
              <w:ind w:leftChars="0" w:left="0" w:right="0"/>
            </w:pPr>
            <w:r>
              <w:t>S125</w:t>
            </w:r>
          </w:p>
        </w:tc>
        <w:tc>
          <w:tcPr>
            <w:cnfStyle w:evenVBand="true" w:oddVBand="false" w:firstColumn="false"/>
            <w:tcW w:w="33.333333%" w:type="pct"/>
          </w:tcPr>
          <w:p>
            <w:pPr>
              <w:ind w:leftChars="0" w:left="0" w:right="0"/>
            </w:pPr>
            <w:r>
              <w:t>Other financial intermediaries, except insurance corporations and pension funds</w:t>
            </w:r>
          </w:p>
        </w:tc>
        <w:tc>
          <w:tcPr>
            <w:cnfStyle w:evenVBand="false" w:oddVBand="true" w:firstColumn="false"/>
            <w:tcW w:w="33.333333%" w:type="pct"/>
          </w:tcPr>
          <w:p>
            <w:pPr>
              <w:ind w:leftChars="0" w:left="0" w:right="0"/>
            </w:pPr>
            <w:r>
              <w:t>Other financial intermediaries, except insurance corporations and pension funds</w:t>
            </w:r>
          </w:p>
        </w:tc>
      </w:tr>
      <w:tr>
        <w:trPr>
          <w:cnfStyle w:evenHBand="false" w:oddHBand="true" w:firstRow="false"/>
        </w:trPr>
        <w:tc>
          <w:tcPr>
            <w:cnfStyle w:evenVBand="false" w:oddVBand="true" w:firstColumn="false"/>
            <w:tcW w:w="33.333333%" w:type="pct"/>
          </w:tcPr>
          <w:p>
            <w:pPr>
              <w:ind w:leftChars="0" w:left="0" w:right="0"/>
            </w:pPr>
            <w:r>
              <w:t>S126</w:t>
            </w:r>
          </w:p>
        </w:tc>
        <w:tc>
          <w:tcPr>
            <w:cnfStyle w:evenVBand="true" w:oddVBand="false" w:firstColumn="false"/>
            <w:tcW w:w="33.333333%" w:type="pct"/>
          </w:tcPr>
          <w:p>
            <w:pPr>
              <w:ind w:leftChars="0" w:left="0" w:right="0"/>
            </w:pPr>
            <w:r>
              <w:t>Financial auxiliaries</w:t>
            </w:r>
          </w:p>
        </w:tc>
        <w:tc>
          <w:tcPr>
            <w:cnfStyle w:evenVBand="false" w:oddVBand="true" w:firstColumn="false"/>
            <w:tcW w:w="33.333333%" w:type="pct"/>
          </w:tcPr>
          <w:p>
            <w:pPr>
              <w:ind w:leftChars="0" w:left="0" w:right="0"/>
            </w:pPr>
            <w:r>
              <w:t>Financial auxiliaries</w:t>
            </w:r>
          </w:p>
        </w:tc>
      </w:tr>
      <w:tr>
        <w:trPr>
          <w:cnfStyle w:evenHBand="true" w:oddHBand="false" w:firstRow="false"/>
        </w:trPr>
        <w:tc>
          <w:tcPr>
            <w:cnfStyle w:evenVBand="false" w:oddVBand="true" w:firstColumn="false"/>
            <w:tcW w:w="33.333333%" w:type="pct"/>
          </w:tcPr>
          <w:p>
            <w:pPr>
              <w:ind w:leftChars="0" w:left="0" w:right="0"/>
            </w:pPr>
            <w:r>
              <w:t>S127</w:t>
            </w:r>
          </w:p>
        </w:tc>
        <w:tc>
          <w:tcPr>
            <w:cnfStyle w:evenVBand="true" w:oddVBand="false" w:firstColumn="false"/>
            <w:tcW w:w="33.333333%" w:type="pct"/>
          </w:tcPr>
          <w:p>
            <w:pPr>
              <w:ind w:leftChars="0" w:left="0" w:right="0"/>
            </w:pPr>
            <w:r>
              <w:t>Captive financial institutions and money lenders</w:t>
            </w:r>
          </w:p>
        </w:tc>
        <w:tc>
          <w:tcPr>
            <w:cnfStyle w:evenVBand="false" w:oddVBand="true" w:firstColumn="false"/>
            <w:tcW w:w="33.333333%" w:type="pct"/>
          </w:tcPr>
          <w:p>
            <w:pPr>
              <w:ind w:leftChars="0" w:left="0" w:right="0"/>
            </w:pPr>
            <w:r>
              <w:t>Captive financial institutions and money lenders</w:t>
            </w:r>
          </w:p>
        </w:tc>
      </w:tr>
      <w:tr>
        <w:trPr>
          <w:cnfStyle w:evenHBand="false" w:oddHBand="true" w:firstRow="false"/>
        </w:trPr>
        <w:tc>
          <w:tcPr>
            <w:cnfStyle w:evenVBand="false" w:oddVBand="true" w:firstColumn="false"/>
            <w:tcW w:w="33.333333%" w:type="pct"/>
          </w:tcPr>
          <w:p>
            <w:pPr>
              <w:ind w:leftChars="0" w:left="0" w:right="0"/>
            </w:pPr>
            <w:r>
              <w:t>S128</w:t>
            </w:r>
          </w:p>
        </w:tc>
        <w:tc>
          <w:tcPr>
            <w:cnfStyle w:evenVBand="true" w:oddVBand="false" w:firstColumn="false"/>
            <w:tcW w:w="33.333333%" w:type="pct"/>
          </w:tcPr>
          <w:p>
            <w:pPr>
              <w:ind w:leftChars="0" w:left="0" w:right="0"/>
            </w:pPr>
            <w:r>
              <w:t>Insurance corporations</w:t>
            </w:r>
          </w:p>
        </w:tc>
        <w:tc>
          <w:tcPr>
            <w:cnfStyle w:evenVBand="false" w:oddVBand="true" w:firstColumn="false"/>
            <w:tcW w:w="33.333333%" w:type="pct"/>
          </w:tcPr>
          <w:p>
            <w:pPr>
              <w:ind w:leftChars="0" w:left="0" w:right="0"/>
            </w:pPr>
            <w:r>
              <w:t>Insurance corporations</w:t>
            </w:r>
          </w:p>
        </w:tc>
      </w:tr>
      <w:tr>
        <w:trPr>
          <w:cnfStyle w:evenHBand="true" w:oddHBand="false" w:firstRow="false"/>
        </w:trPr>
        <w:tc>
          <w:tcPr>
            <w:cnfStyle w:evenVBand="false" w:oddVBand="true" w:firstColumn="false"/>
            <w:tcW w:w="33.333333%" w:type="pct"/>
          </w:tcPr>
          <w:p>
            <w:pPr>
              <w:ind w:leftChars="0" w:left="0" w:right="0"/>
            </w:pPr>
            <w:r>
              <w:t>S129</w:t>
            </w:r>
          </w:p>
        </w:tc>
        <w:tc>
          <w:tcPr>
            <w:cnfStyle w:evenVBand="true" w:oddVBand="false" w:firstColumn="false"/>
            <w:tcW w:w="33.333333%" w:type="pct"/>
          </w:tcPr>
          <w:p>
            <w:pPr>
              <w:ind w:leftChars="0" w:left="0" w:right="0"/>
            </w:pPr>
            <w:r>
              <w:t>Pension funds</w:t>
            </w:r>
          </w:p>
        </w:tc>
        <w:tc>
          <w:tcPr>
            <w:cnfStyle w:evenVBand="false" w:oddVBand="true" w:firstColumn="false"/>
            <w:tcW w:w="33.333333%" w:type="pct"/>
          </w:tcPr>
          <w:p>
            <w:pPr>
              <w:ind w:leftChars="0" w:left="0" w:right="0"/>
            </w:pPr>
            <w:r>
              <w:t>Pension funds</w:t>
            </w:r>
          </w:p>
        </w:tc>
      </w:tr>
      <w:tr>
        <w:trPr>
          <w:cnfStyle w:evenHBand="false" w:oddHBand="true" w:firstRow="false"/>
        </w:trPr>
        <w:tc>
          <w:tcPr>
            <w:cnfStyle w:evenVBand="false" w:oddVBand="true" w:firstColumn="false"/>
            <w:tcW w:w="33.333333%" w:type="pct"/>
          </w:tcPr>
          <w:p>
            <w:pPr>
              <w:ind w:leftChars="0" w:left="0" w:right="0"/>
            </w:pPr>
            <w:r>
              <w:t>S1311</w:t>
            </w:r>
          </w:p>
        </w:tc>
        <w:tc>
          <w:tcPr>
            <w:cnfStyle w:evenVBand="true" w:oddVBand="false" w:firstColumn="false"/>
            <w:tcW w:w="33.333333%" w:type="pct"/>
          </w:tcPr>
          <w:p>
            <w:pPr>
              <w:ind w:leftChars="0" w:left="0" w:right="0"/>
            </w:pPr>
            <w:r>
              <w:t>Central government excluding social security</w:t>
            </w:r>
          </w:p>
        </w:tc>
        <w:tc>
          <w:tcPr>
            <w:cnfStyle w:evenVBand="false" w:oddVBand="true" w:firstColumn="false"/>
            <w:tcW w:w="33.333333%" w:type="pct"/>
          </w:tcPr>
          <w:p>
            <w:pPr>
              <w:ind w:leftChars="0" w:left="0" w:right="0"/>
            </w:pPr>
            <w:r>
              <w:t>Central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S1312</w:t>
            </w:r>
          </w:p>
        </w:tc>
        <w:tc>
          <w:tcPr>
            <w:cnfStyle w:evenVBand="true" w:oddVBand="false" w:firstColumn="false"/>
            <w:tcW w:w="33.333333%" w:type="pct"/>
          </w:tcPr>
          <w:p>
            <w:pPr>
              <w:ind w:leftChars="0" w:left="0" w:right="0"/>
            </w:pPr>
            <w:r>
              <w:t>State government excluding social security</w:t>
            </w:r>
          </w:p>
        </w:tc>
        <w:tc>
          <w:tcPr>
            <w:cnfStyle w:evenVBand="false" w:oddVBand="true" w:firstColumn="false"/>
            <w:tcW w:w="33.333333%" w:type="pct"/>
          </w:tcPr>
          <w:p>
            <w:pPr>
              <w:ind w:leftChars="0" w:left="0" w:right="0"/>
            </w:pPr>
            <w:r>
              <w:t>State government excluding social security</w:t>
            </w:r>
          </w:p>
        </w:tc>
      </w:tr>
      <w:tr>
        <w:trPr>
          <w:cnfStyle w:evenHBand="false" w:oddHBand="true" w:firstRow="false"/>
        </w:trPr>
        <w:tc>
          <w:tcPr>
            <w:cnfStyle w:evenVBand="false" w:oddVBand="true" w:firstColumn="false"/>
            <w:tcW w:w="33.333333%" w:type="pct"/>
          </w:tcPr>
          <w:p>
            <w:pPr>
              <w:ind w:leftChars="0" w:left="0" w:right="0"/>
            </w:pPr>
            <w:r>
              <w:t>S1313</w:t>
            </w:r>
          </w:p>
        </w:tc>
        <w:tc>
          <w:tcPr>
            <w:cnfStyle w:evenVBand="true" w:oddVBand="false" w:firstColumn="false"/>
            <w:tcW w:w="33.333333%" w:type="pct"/>
          </w:tcPr>
          <w:p>
            <w:pPr>
              <w:ind w:leftChars="0" w:left="0" w:right="0"/>
            </w:pPr>
            <w:r>
              <w:t>Local government excluding social security</w:t>
            </w:r>
          </w:p>
        </w:tc>
        <w:tc>
          <w:tcPr>
            <w:cnfStyle w:evenVBand="false" w:oddVBand="true" w:firstColumn="false"/>
            <w:tcW w:w="33.333333%" w:type="pct"/>
          </w:tcPr>
          <w:p>
            <w:pPr>
              <w:ind w:leftChars="0" w:left="0" w:right="0"/>
            </w:pPr>
            <w:r>
              <w:t>Local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S1314</w:t>
            </w:r>
          </w:p>
        </w:tc>
        <w:tc>
          <w:tcPr>
            <w:cnfStyle w:evenVBand="true" w:oddVBand="false" w:firstColumn="false"/>
            <w:tcW w:w="33.333333%" w:type="pct"/>
          </w:tcPr>
          <w:p>
            <w:pPr>
              <w:ind w:leftChars="0" w:left="0" w:right="0"/>
            </w:pPr>
            <w:r>
              <w:t>Social security funds</w:t>
            </w:r>
          </w:p>
        </w:tc>
        <w:tc>
          <w:tcPr>
            <w:cnfStyle w:evenVBand="false" w:oddVBand="true" w:firstColumn="false"/>
            <w:tcW w:w="33.333333%" w:type="pct"/>
          </w:tcPr>
          <w:p>
            <w:pPr>
              <w:ind w:leftChars="0" w:left="0" w:right="0"/>
            </w:pPr>
            <w:r>
              <w:t>Social security funds</w:t>
            </w:r>
          </w:p>
        </w:tc>
      </w:tr>
      <w:tr>
        <w:trPr>
          <w:cnfStyle w:evenHBand="false" w:oddHBand="true" w:firstRow="false"/>
        </w:trPr>
        <w:tc>
          <w:tcPr>
            <w:cnfStyle w:evenVBand="false" w:oddVBand="true" w:firstColumn="false"/>
            <w:tcW w:w="33.333333%" w:type="pct"/>
          </w:tcPr>
          <w:p>
            <w:pPr>
              <w:ind w:leftChars="0" w:left="0" w:right="0"/>
            </w:pPr>
            <w:r>
              <w:t>S14</w:t>
            </w:r>
          </w:p>
        </w:tc>
        <w:tc>
          <w:tcPr>
            <w:cnfStyle w:evenVBand="true" w:oddVBand="false" w:firstColumn="false"/>
            <w:tcW w:w="33.333333%" w:type="pct"/>
          </w:tcPr>
          <w:p>
            <w:pPr>
              <w:ind w:leftChars="0" w:left="0" w:right="0"/>
            </w:pPr>
            <w:r>
              <w:t>Households</w:t>
            </w:r>
          </w:p>
        </w:tc>
        <w:tc>
          <w:tcPr>
            <w:cnfStyle w:evenVBand="false" w:oddVBand="true" w:firstColumn="false"/>
            <w:tcW w:w="33.333333%" w:type="pct"/>
          </w:tcPr>
          <w:p>
            <w:pPr>
              <w:ind w:leftChars="0" w:left="0" w:right="0"/>
            </w:pPr>
            <w:r>
              <w:t>Households</w:t>
            </w:r>
          </w:p>
        </w:tc>
      </w:tr>
      <w:tr>
        <w:trPr>
          <w:cnfStyle w:evenHBand="true" w:oddHBand="false" w:firstRow="false"/>
        </w:trPr>
        <w:tc>
          <w:tcPr>
            <w:cnfStyle w:evenVBand="false" w:oddVBand="true" w:firstColumn="false"/>
            <w:tcW w:w="33.333333%" w:type="pct"/>
          </w:tcPr>
          <w:p>
            <w:pPr>
              <w:ind w:leftChars="0" w:left="0" w:right="0"/>
            </w:pPr>
            <w:r>
              <w:t>S15</w:t>
            </w:r>
          </w:p>
        </w:tc>
        <w:tc>
          <w:tcPr>
            <w:cnfStyle w:evenVBand="true" w:oddVBand="false" w:firstColumn="false"/>
            <w:tcW w:w="33.333333%" w:type="pct"/>
          </w:tcPr>
          <w:p>
            <w:pPr>
              <w:ind w:leftChars="0" w:left="0" w:right="0"/>
            </w:pPr>
            <w:r>
              <w:t>Non profit institutions serving households</w:t>
            </w:r>
          </w:p>
        </w:tc>
        <w:tc>
          <w:tcPr>
            <w:cnfStyle w:evenVBand="false" w:oddVBand="true" w:firstColumn="false"/>
            <w:tcW w:w="33.333333%" w:type="pct"/>
          </w:tcPr>
          <w:p>
            <w:pPr>
              <w:ind w:leftChars="0" w:left="0" w:right="0"/>
            </w:pPr>
            <w:r>
              <w:t>Non profit institutions serving households</w:t>
            </w:r>
          </w:p>
        </w:tc>
      </w:tr>
    </w:tbl>
    <w:p>
      <w:pPr>
        <w:pStyle w:val="Table Bottom Margin"/>
      </w:pPr>
    </w:p>
    <w:bookmarkEnd w:id="321"/>
    <w:bookmarkEnd w:id="320"/>
    <w:bookmarkStart w:id="322" w:name="_9562ea3e71f4c35afbb4aa0a84b5b552"/>
    <w:bookmarkStart w:id="323" w:name="_49a88286238c11b1ecbdea230c6de80f"/>
    <w:p>
      <w:pPr>
        <w:pStyle w:val="Heading5"/>
        <w:keepNext/>
      </w:pPr>
      <w:r>
        <w:t>ORG_INSTTTNL_SCTR_CNTRL_ENUM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0</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r>
        <w:trPr>
          <w:cnfStyle w:evenHBand="false" w:oddHBand="tru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Public</w:t>
            </w:r>
          </w:p>
        </w:tc>
        <w:tc>
          <w:tcPr>
            <w:cnfStyle w:evenVBand="false" w:oddVBand="true" w:firstColumn="false"/>
            <w:tcW w:w="33.333333%" w:type="pct"/>
          </w:tcPr>
          <w:p>
            <w:pPr>
              <w:ind w:leftChars="0" w:left="0" w:right="0"/>
            </w:pPr>
            <w:r>
              <w:t>Public</w:t>
            </w:r>
          </w:p>
        </w:tc>
      </w:tr>
      <w:tr>
        <w:trPr>
          <w:cnfStyle w:evenHBand="true" w:oddHBand="fals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National private</w:t>
            </w:r>
          </w:p>
        </w:tc>
        <w:tc>
          <w:tcPr>
            <w:cnfStyle w:evenVBand="false" w:oddVBand="true" w:firstColumn="false"/>
            <w:tcW w:w="33.333333%" w:type="pct"/>
          </w:tcPr>
          <w:p>
            <w:pPr>
              <w:ind w:leftChars="0" w:left="0" w:right="0"/>
            </w:pPr>
            <w:r>
              <w:t>National private</w:t>
            </w:r>
          </w:p>
        </w:tc>
      </w:tr>
      <w:tr>
        <w:trPr>
          <w:cnfStyle w:evenHBand="false" w:oddHBand="tru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Foreign controlled</w:t>
            </w:r>
          </w:p>
        </w:tc>
        <w:tc>
          <w:tcPr>
            <w:cnfStyle w:evenVBand="false" w:oddVBand="true" w:firstColumn="false"/>
            <w:tcW w:w="33.333333%" w:type="pct"/>
          </w:tcPr>
          <w:p>
            <w:pPr>
              <w:ind w:leftChars="0" w:left="0" w:right="0"/>
            </w:pPr>
            <w:r>
              <w:t>Foreign controlled</w:t>
            </w:r>
          </w:p>
        </w:tc>
      </w:tr>
      <w:tr>
        <w:trPr>
          <w:cnfStyle w:evenHBand="true" w:oddHBand="fals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bl>
    <w:p>
      <w:pPr>
        <w:pStyle w:val="Table Bottom Margin"/>
      </w:pPr>
    </w:p>
    <w:bookmarkEnd w:id="323"/>
    <w:bookmarkEnd w:id="322"/>
    <w:bookmarkStart w:id="324" w:name="_2ab02e31c1110b606a3786b6ee14e2d1"/>
    <w:bookmarkStart w:id="325" w:name="_c7dec9b6be8024ec0441b9cb74a45fdf"/>
    <w:p>
      <w:pPr>
        <w:pStyle w:val="Heading5"/>
        <w:keepNext/>
      </w:pPr>
      <w:r>
        <w:t>REM_ASSET_ENUM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RA1</w:t>
            </w:r>
          </w:p>
        </w:tc>
        <w:tc>
          <w:tcPr>
            <w:cnfStyle w:evenVBand="true" w:oddVBand="false" w:firstColumn="false"/>
            <w:tcW w:w="33.333333%" w:type="pct"/>
          </w:tcPr>
          <w:p>
            <w:pPr>
              <w:ind w:leftChars="0" w:left="0" w:right="0"/>
            </w:pPr>
            <w:r>
              <w:t>Accrued interest receivable on deposits, loans, debt securities and accrued rent receivable</w:t>
            </w:r>
          </w:p>
        </w:tc>
        <w:tc>
          <w:tcPr>
            <w:cnfStyle w:evenVBand="false" w:oddVBand="true" w:firstColumn="false"/>
            <w:tcW w:w="33.333333%" w:type="pct"/>
          </w:tcPr>
          <w:p>
            <w:pPr>
              <w:ind w:leftChars="0" w:left="0" w:right="0"/>
            </w:pPr>
            <w:r>
              <w:t>Accrued interest receivable on deposits, loans, debt securities and accrued rent receivable</w:t>
            </w:r>
          </w:p>
        </w:tc>
      </w:tr>
      <w:tr>
        <w:trPr>
          <w:cnfStyle w:evenHBand="false" w:oddHBand="true" w:firstRow="false"/>
        </w:trPr>
        <w:tc>
          <w:tcPr>
            <w:cnfStyle w:evenVBand="false" w:oddVBand="true" w:firstColumn="false"/>
            <w:tcW w:w="33.333333%" w:type="pct"/>
          </w:tcPr>
          <w:p>
            <w:pPr>
              <w:ind w:leftChars="0" w:left="0" w:right="0"/>
            </w:pPr>
            <w:r>
              <w:t>RA2</w:t>
            </w:r>
          </w:p>
        </w:tc>
        <w:tc>
          <w:tcPr>
            <w:cnfStyle w:evenVBand="true" w:oddVBand="false" w:firstColumn="false"/>
            <w:tcW w:w="33.333333%" w:type="pct"/>
          </w:tcPr>
          <w:p>
            <w:pPr>
              <w:ind w:leftChars="0" w:left="0" w:right="0"/>
            </w:pPr>
            <w:r>
              <w:t>Other remaining assets not due to accrued interest or accured rent</w:t>
            </w:r>
          </w:p>
        </w:tc>
        <w:tc>
          <w:tcPr>
            <w:cnfStyle w:evenVBand="false" w:oddVBand="true" w:firstColumn="false"/>
            <w:tcW w:w="33.333333%" w:type="pct"/>
          </w:tcPr>
          <w:p>
            <w:pPr>
              <w:ind w:leftChars="0" w:left="0" w:right="0"/>
            </w:pPr>
            <w:r>
              <w:t>Other remaining assets not due to accrued interest or accured rent</w:t>
            </w:r>
          </w:p>
        </w:tc>
      </w:tr>
    </w:tbl>
    <w:p>
      <w:pPr>
        <w:pStyle w:val="Table Bottom Margin"/>
      </w:pPr>
    </w:p>
    <w:bookmarkEnd w:id="325"/>
    <w:bookmarkEnd w:id="324"/>
    <w:bookmarkStart w:id="326" w:name="_c2f9f7c8df59a49b999605620d9ef24a"/>
    <w:bookmarkStart w:id="327" w:name="_5f93bf1771acb9e95305b3e3b71e4d01"/>
    <w:p>
      <w:pPr>
        <w:pStyle w:val="Heading5"/>
        <w:keepNext/>
      </w:pPr>
      <w:r>
        <w:t>REM_LIAB_ENUM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RL1</w:t>
            </w:r>
          </w:p>
        </w:tc>
        <w:tc>
          <w:tcPr>
            <w:cnfStyle w:evenVBand="true" w:oddVBand="false" w:firstColumn="false"/>
            <w:tcW w:w="33.333333%" w:type="pct"/>
          </w:tcPr>
          <w:p>
            <w:pPr>
              <w:ind w:leftChars="0" w:left="0" w:right="0"/>
            </w:pPr>
            <w:r>
              <w:t>Accrued interest payable on loans</w:t>
            </w:r>
          </w:p>
        </w:tc>
        <w:tc>
          <w:tcPr>
            <w:cnfStyle w:evenVBand="false" w:oddVBand="true" w:firstColumn="false"/>
            <w:tcW w:w="33.333333%" w:type="pct"/>
          </w:tcPr>
          <w:p>
            <w:pPr>
              <w:ind w:leftChars="0" w:left="0" w:right="0"/>
            </w:pPr>
            <w:r>
              <w:t>Accrued interest payable on loans</w:t>
            </w:r>
          </w:p>
        </w:tc>
      </w:tr>
      <w:tr>
        <w:trPr>
          <w:cnfStyle w:evenHBand="false" w:oddHBand="true" w:firstRow="false"/>
        </w:trPr>
        <w:tc>
          <w:tcPr>
            <w:cnfStyle w:evenVBand="false" w:oddVBand="true" w:firstColumn="false"/>
            <w:tcW w:w="33.333333%" w:type="pct"/>
          </w:tcPr>
          <w:p>
            <w:pPr>
              <w:ind w:leftChars="0" w:left="0" w:right="0"/>
            </w:pPr>
            <w:r>
              <w:t>RL2</w:t>
            </w:r>
          </w:p>
        </w:tc>
        <w:tc>
          <w:tcPr>
            <w:cnfStyle w:evenVBand="true" w:oddVBand="false" w:firstColumn="false"/>
            <w:tcW w:w="33.333333%" w:type="pct"/>
          </w:tcPr>
          <w:p>
            <w:pPr>
              <w:ind w:leftChars="0" w:left="0" w:right="0"/>
            </w:pPr>
            <w:r>
              <w:t>Accrued interest payable on debt securities</w:t>
            </w:r>
          </w:p>
        </w:tc>
        <w:tc>
          <w:tcPr>
            <w:cnfStyle w:evenVBand="false" w:oddVBand="true" w:firstColumn="false"/>
            <w:tcW w:w="33.333333%" w:type="pct"/>
          </w:tcPr>
          <w:p>
            <w:pPr>
              <w:ind w:leftChars="0" w:left="0" w:right="0"/>
            </w:pPr>
            <w:r>
              <w:t>Accrued interest payable on debt securities</w:t>
            </w:r>
          </w:p>
        </w:tc>
      </w:tr>
      <w:tr>
        <w:trPr>
          <w:cnfStyle w:evenHBand="true" w:oddHBand="false" w:firstRow="false"/>
        </w:trPr>
        <w:tc>
          <w:tcPr>
            <w:cnfStyle w:evenVBand="false" w:oddVBand="true" w:firstColumn="false"/>
            <w:tcW w:w="33.333333%" w:type="pct"/>
          </w:tcPr>
          <w:p>
            <w:pPr>
              <w:ind w:leftChars="0" w:left="0" w:right="0"/>
            </w:pPr>
            <w:r>
              <w:t>RL3</w:t>
            </w:r>
          </w:p>
        </w:tc>
        <w:tc>
          <w:tcPr>
            <w:cnfStyle w:evenVBand="true" w:oddVBand="false" w:firstColumn="false"/>
            <w:tcW w:w="33.333333%" w:type="pct"/>
          </w:tcPr>
          <w:p>
            <w:pPr>
              <w:ind w:leftChars="0" w:left="0" w:right="0"/>
            </w:pPr>
            <w:r>
              <w:t>Direct management fees payable</w:t>
            </w:r>
          </w:p>
        </w:tc>
        <w:tc>
          <w:tcPr>
            <w:cnfStyle w:evenVBand="false" w:oddVBand="true" w:firstColumn="false"/>
            <w:tcW w:w="33.333333%" w:type="pct"/>
          </w:tcPr>
          <w:p>
            <w:pPr>
              <w:ind w:leftChars="0" w:left="0" w:right="0"/>
            </w:pPr>
            <w:r>
              <w:t>Direct management fees payable</w:t>
            </w:r>
          </w:p>
        </w:tc>
      </w:tr>
      <w:tr>
        <w:trPr>
          <w:cnfStyle w:evenHBand="false" w:oddHBand="true" w:firstRow="false"/>
        </w:trPr>
        <w:tc>
          <w:tcPr>
            <w:cnfStyle w:evenVBand="false" w:oddVBand="true" w:firstColumn="false"/>
            <w:tcW w:w="33.333333%" w:type="pct"/>
          </w:tcPr>
          <w:p>
            <w:pPr>
              <w:ind w:leftChars="0" w:left="0" w:right="0"/>
            </w:pPr>
            <w:r>
              <w:t>RL4</w:t>
            </w:r>
          </w:p>
        </w:tc>
        <w:tc>
          <w:tcPr>
            <w:cnfStyle w:evenVBand="true" w:oddVBand="false" w:firstColumn="false"/>
            <w:tcW w:w="33.333333%" w:type="pct"/>
          </w:tcPr>
          <w:p>
            <w:pPr>
              <w:ind w:leftChars="0" w:left="0" w:right="0"/>
            </w:pPr>
            <w:r>
              <w:t>Indirect management fees payable</w:t>
            </w:r>
          </w:p>
        </w:tc>
        <w:tc>
          <w:tcPr>
            <w:cnfStyle w:evenVBand="false" w:oddVBand="true" w:firstColumn="false"/>
            <w:tcW w:w="33.333333%" w:type="pct"/>
          </w:tcPr>
          <w:p>
            <w:pPr>
              <w:ind w:leftChars="0" w:left="0" w:right="0"/>
            </w:pPr>
            <w:r>
              <w:t>Indirect management fees payable</w:t>
            </w:r>
          </w:p>
        </w:tc>
      </w:tr>
      <w:tr>
        <w:trPr>
          <w:cnfStyle w:evenHBand="true" w:oddHBand="false" w:firstRow="false"/>
        </w:trPr>
        <w:tc>
          <w:tcPr>
            <w:cnfStyle w:evenVBand="false" w:oddVBand="true" w:firstColumn="false"/>
            <w:tcW w:w="33.333333%" w:type="pct"/>
          </w:tcPr>
          <w:p>
            <w:pPr>
              <w:ind w:leftChars="0" w:left="0" w:right="0"/>
            </w:pPr>
            <w:r>
              <w:t>RL5</w:t>
            </w:r>
          </w:p>
        </w:tc>
        <w:tc>
          <w:tcPr>
            <w:cnfStyle w:evenVBand="true" w:oddVBand="false" w:firstColumn="false"/>
            <w:tcW w:w="33.333333%" w:type="pct"/>
          </w:tcPr>
          <w:p>
            <w:pPr>
              <w:ind w:leftChars="0" w:left="0" w:right="0"/>
            </w:pPr>
            <w:r>
              <w:t>Indirect management fees payable</w:t>
            </w:r>
          </w:p>
        </w:tc>
        <w:tc>
          <w:tcPr>
            <w:cnfStyle w:evenVBand="false" w:oddVBand="true" w:firstColumn="false"/>
            <w:tcW w:w="33.333333%" w:type="pct"/>
          </w:tcPr>
          <w:p>
            <w:pPr>
              <w:ind w:leftChars="0" w:left="0" w:right="0"/>
            </w:pPr>
            <w:r>
              <w:t>Indirect management fees payable</w:t>
            </w:r>
          </w:p>
        </w:tc>
      </w:tr>
      <w:tr>
        <w:trPr>
          <w:cnfStyle w:evenHBand="false" w:oddHBand="true" w:firstRow="false"/>
        </w:trPr>
        <w:tc>
          <w:tcPr>
            <w:cnfStyle w:evenVBand="false" w:oddVBand="true" w:firstColumn="false"/>
            <w:tcW w:w="33.333333%" w:type="pct"/>
          </w:tcPr>
          <w:p>
            <w:pPr>
              <w:ind w:leftChars="0" w:left="0" w:right="0"/>
            </w:pPr>
            <w:r>
              <w:t>RL6</w:t>
            </w:r>
          </w:p>
        </w:tc>
        <w:tc>
          <w:tcPr>
            <w:cnfStyle w:evenVBand="true" w:oddVBand="false" w:firstColumn="false"/>
            <w:tcW w:w="33.333333%" w:type="pct"/>
          </w:tcPr>
          <w:p>
            <w:pPr>
              <w:ind w:leftChars="0" w:left="0" w:right="0"/>
            </w:pPr>
            <w:r>
              <w:t>Fees, commissions, or similar schemes payable for carrying out transactions on holdings</w:t>
            </w:r>
          </w:p>
        </w:tc>
        <w:tc>
          <w:tcPr>
            <w:cnfStyle w:evenVBand="false" w:oddVBand="true" w:firstColumn="false"/>
            <w:tcW w:w="33.333333%" w:type="pct"/>
          </w:tcPr>
          <w:p>
            <w:pPr>
              <w:ind w:leftChars="0" w:left="0" w:right="0"/>
            </w:pPr>
            <w:r>
              <w:t>Fees, commissions, or similar schemes payable for carrying out transactions on holdings</w:t>
            </w:r>
          </w:p>
        </w:tc>
      </w:tr>
      <w:tr>
        <w:trPr>
          <w:cnfStyle w:evenHBand="true" w:oddHBand="false" w:firstRow="false"/>
        </w:trPr>
        <w:tc>
          <w:tcPr>
            <w:cnfStyle w:evenVBand="false" w:oddVBand="true" w:firstColumn="false"/>
            <w:tcW w:w="33.333333%" w:type="pct"/>
          </w:tcPr>
          <w:p>
            <w:pPr>
              <w:ind w:leftChars="0" w:left="0" w:right="0"/>
            </w:pPr>
            <w:r>
              <w:t>RL7</w:t>
            </w:r>
          </w:p>
        </w:tc>
        <w:tc>
          <w:tcPr>
            <w:cnfStyle w:evenVBand="true" w:oddVBand="false" w:firstColumn="false"/>
            <w:tcW w:w="33.333333%" w:type="pct"/>
          </w:tcPr>
          <w:p>
            <w:pPr>
              <w:ind w:leftChars="0" w:left="0" w:right="0"/>
            </w:pPr>
            <w:r>
              <w:t>Taxes payable</w:t>
            </w:r>
          </w:p>
        </w:tc>
        <w:tc>
          <w:tcPr>
            <w:cnfStyle w:evenVBand="false" w:oddVBand="true" w:firstColumn="false"/>
            <w:tcW w:w="33.333333%" w:type="pct"/>
          </w:tcPr>
          <w:p>
            <w:pPr>
              <w:ind w:leftChars="0" w:left="0" w:right="0"/>
            </w:pPr>
            <w:r>
              <w:t>Taxes payable</w:t>
            </w:r>
          </w:p>
        </w:tc>
      </w:tr>
      <w:tr>
        <w:trPr>
          <w:cnfStyle w:evenHBand="false" w:oddHBand="true" w:firstRow="false"/>
        </w:trPr>
        <w:tc>
          <w:tcPr>
            <w:cnfStyle w:evenVBand="false" w:oddVBand="true" w:firstColumn="false"/>
            <w:tcW w:w="33.333333%" w:type="pct"/>
          </w:tcPr>
          <w:p>
            <w:pPr>
              <w:ind w:leftChars="0" w:left="0" w:right="0"/>
            </w:pPr>
            <w:r>
              <w:t>RL8</w:t>
            </w:r>
          </w:p>
        </w:tc>
        <w:tc>
          <w:tcPr>
            <w:cnfStyle w:evenVBand="true" w:oddVBand="false" w:firstColumn="false"/>
            <w:tcW w:w="33.333333%" w:type="pct"/>
          </w:tcPr>
          <w:p>
            <w:pPr>
              <w:ind w:leftChars="0" w:left="0" w:right="0"/>
            </w:pPr>
            <w:r>
              <w:t>Provisions representing liabilities against third parties, i.e. pensions, dividends, etc. other than RL4-RL8</w:t>
            </w:r>
          </w:p>
        </w:tc>
        <w:tc>
          <w:tcPr>
            <w:cnfStyle w:evenVBand="false" w:oddVBand="true" w:firstColumn="false"/>
            <w:tcW w:w="33.333333%" w:type="pct"/>
          </w:tcPr>
          <w:p>
            <w:pPr>
              <w:ind w:leftChars="0" w:left="0" w:right="0"/>
            </w:pPr>
            <w:r>
              <w:t>Provisions representing liabilities against third parties, i.e. pensions, dividends, etc. other than RL4-RL8</w:t>
            </w:r>
          </w:p>
        </w:tc>
      </w:tr>
      <w:tr>
        <w:trPr>
          <w:cnfStyle w:evenHBand="true" w:oddHBand="false" w:firstRow="false"/>
        </w:trPr>
        <w:tc>
          <w:tcPr>
            <w:cnfStyle w:evenVBand="false" w:oddVBand="true" w:firstColumn="false"/>
            <w:tcW w:w="33.333333%" w:type="pct"/>
          </w:tcPr>
          <w:p>
            <w:pPr>
              <w:ind w:leftChars="0" w:left="0" w:right="0"/>
            </w:pPr>
            <w:r>
              <w:t>RL9</w:t>
            </w:r>
          </w:p>
        </w:tc>
        <w:tc>
          <w:tcPr>
            <w:cnfStyle w:evenVBand="true" w:oddVBand="false" w:firstColumn="false"/>
            <w:tcW w:w="33.333333%" w:type="pct"/>
          </w:tcPr>
          <w:p>
            <w:pPr>
              <w:ind w:leftChars="0" w:left="0" w:right="0"/>
            </w:pPr>
            <w:r>
              <w:t>Net positions arising from securities lending without cash colateral</w:t>
            </w:r>
          </w:p>
        </w:tc>
        <w:tc>
          <w:tcPr>
            <w:cnfStyle w:evenVBand="false" w:oddVBand="true" w:firstColumn="false"/>
            <w:tcW w:w="33.333333%" w:type="pct"/>
          </w:tcPr>
          <w:p>
            <w:pPr>
              <w:ind w:leftChars="0" w:left="0" w:right="0"/>
            </w:pPr>
            <w:r>
              <w:t>Net positions arising from securities lending without cash colateral</w:t>
            </w:r>
          </w:p>
        </w:tc>
      </w:tr>
      <w:tr>
        <w:trPr>
          <w:cnfStyle w:evenHBand="false" w:oddHBand="true" w:firstRow="false"/>
        </w:trPr>
        <w:tc>
          <w:tcPr>
            <w:cnfStyle w:evenVBand="false" w:oddVBand="true" w:firstColumn="false"/>
            <w:tcW w:w="33.333333%" w:type="pct"/>
          </w:tcPr>
          <w:p>
            <w:pPr>
              <w:ind w:leftChars="0" w:left="0" w:right="0"/>
            </w:pPr>
            <w:r>
              <w:t>RL10</w:t>
            </w:r>
          </w:p>
        </w:tc>
        <w:tc>
          <w:tcPr>
            <w:cnfStyle w:evenVBand="true" w:oddVBand="false" w:firstColumn="false"/>
            <w:tcW w:w="33.333333%" w:type="pct"/>
          </w:tcPr>
          <w:p>
            <w:pPr>
              <w:ind w:leftChars="0" w:left="0" w:right="0"/>
            </w:pPr>
            <w:r>
              <w:t>Net amounts payable in respect of future settlements of transactions in securities</w:t>
            </w:r>
          </w:p>
        </w:tc>
        <w:tc>
          <w:tcPr>
            <w:cnfStyle w:evenVBand="false" w:oddVBand="true" w:firstColumn="false"/>
            <w:tcW w:w="33.333333%" w:type="pct"/>
          </w:tcPr>
          <w:p>
            <w:pPr>
              <w:ind w:leftChars="0" w:left="0" w:right="0"/>
            </w:pPr>
            <w:r>
              <w:t>Net amounts payable in respect of future settlements of transactions in securities</w:t>
            </w:r>
          </w:p>
        </w:tc>
      </w:tr>
      <w:tr>
        <w:trPr>
          <w:cnfStyle w:evenHBand="true" w:oddHBand="false" w:firstRow="false"/>
        </w:trPr>
        <w:tc>
          <w:tcPr>
            <w:cnfStyle w:evenVBand="false" w:oddVBand="true" w:firstColumn="false"/>
            <w:tcW w:w="33.333333%" w:type="pct"/>
          </w:tcPr>
          <w:p>
            <w:pPr>
              <w:ind w:leftChars="0" w:left="0" w:right="0"/>
            </w:pPr>
            <w:r>
              <w:t>RL11</w:t>
            </w:r>
          </w:p>
        </w:tc>
        <w:tc>
          <w:tcPr>
            <w:cnfStyle w:evenVBand="true" w:oddVBand="false" w:firstColumn="false"/>
            <w:tcW w:w="33.333333%" w:type="pct"/>
          </w:tcPr>
          <w:p>
            <w:pPr>
              <w:ind w:leftChars="0" w:left="0" w:right="0"/>
            </w:pPr>
            <w:r>
              <w:t>Remaining liabilities other than RL1-RL10</w:t>
            </w:r>
          </w:p>
        </w:tc>
        <w:tc>
          <w:tcPr>
            <w:cnfStyle w:evenVBand="false" w:oddVBand="true" w:firstColumn="false"/>
            <w:tcW w:w="33.333333%" w:type="pct"/>
          </w:tcPr>
          <w:p>
            <w:pPr>
              <w:ind w:leftChars="0" w:left="0" w:right="0"/>
            </w:pPr>
            <w:r>
              <w:t>Remaining liabilities other than RL1-RL10</w:t>
            </w:r>
          </w:p>
        </w:tc>
      </w:tr>
    </w:tbl>
    <w:p>
      <w:pPr>
        <w:pStyle w:val="Table Bottom Margin"/>
      </w:pPr>
    </w:p>
    <w:bookmarkEnd w:id="327"/>
    <w:bookmarkEnd w:id="326"/>
    <w:bookmarkStart w:id="328" w:name="_d10ece965cdeb848fb53e8d0e05c042f"/>
    <w:bookmarkStart w:id="329" w:name="_4c3b0f98e962dd9c1d8e41c34b5cf885"/>
    <w:p>
      <w:pPr>
        <w:pStyle w:val="Heading5"/>
        <w:keepNext/>
      </w:pPr>
      <w:r>
        <w:t>SFT_TYP_ENUM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REP</w:t>
            </w:r>
          </w:p>
        </w:tc>
        <w:tc>
          <w:tcPr>
            <w:cnfStyle w:evenVBand="true" w:oddVBand="false" w:firstColumn="false"/>
            <w:tcW w:w="33.333333%" w:type="pct"/>
          </w:tcPr>
          <w:p>
            <w:pPr>
              <w:ind w:leftChars="0" w:left="0" w:right="0"/>
            </w:pPr>
            <w:r>
              <w:t>Repurchase transaction</w:t>
            </w:r>
          </w:p>
        </w:tc>
        <w:tc>
          <w:tcPr>
            <w:cnfStyle w:evenVBand="false" w:oddVBand="true" w:firstColumn="false"/>
            <w:tcW w:w="33.333333%" w:type="pct"/>
          </w:tcPr>
          <w:p>
            <w:pPr>
              <w:ind w:leftChars="0" w:left="480" w:right="0"/>
            </w:pPr>
            <w:r>
              <w:t>Repurchase transaction means a transaction governed by an agreement by which a counterparty transfers securities, commodities, or guaranteed rights relating to title to securities or commodities where that guarantee is issued by a recognised exchange which holds the rights to the securities or commodities and the agreement does not allow a counterparty to transfer or pledge a particular security or commodity to more than one counterparty at a time, subject to a commitment to repurchase them, or substituted securities or commodities of the same description at a specified price on a future date specified, or to be specified, by the transferor, being a repurchase agreement for the counterparty selling the securities or commodities and a reverse repurchase agreement for the counterparty buying them.</w:t>
            </w:r>
          </w:p>
        </w:tc>
      </w:tr>
      <w:tr>
        <w:trPr>
          <w:cnfStyle w:evenHBand="false" w:oddHBand="true" w:firstRow="false"/>
        </w:trPr>
        <w:tc>
          <w:tcPr>
            <w:cnfStyle w:evenVBand="false" w:oddVBand="true" w:firstColumn="false"/>
            <w:tcW w:w="33.333333%" w:type="pct"/>
          </w:tcPr>
          <w:p>
            <w:pPr>
              <w:ind w:leftChars="0" w:left="0" w:right="0"/>
            </w:pPr>
            <w:r>
              <w:t>SBL</w:t>
            </w:r>
          </w:p>
        </w:tc>
        <w:tc>
          <w:tcPr>
            <w:cnfStyle w:evenVBand="true" w:oddVBand="false" w:firstColumn="false"/>
            <w:tcW w:w="33.333333%" w:type="pct"/>
          </w:tcPr>
          <w:p>
            <w:pPr>
              <w:ind w:leftChars="0" w:left="0" w:right="0"/>
            </w:pPr>
            <w:r>
              <w:t>Securities or commodities lending/borrowing</w:t>
            </w:r>
          </w:p>
        </w:tc>
        <w:tc>
          <w:tcPr>
            <w:cnfStyle w:evenVBand="false" w:oddVBand="true" w:firstColumn="false"/>
            <w:tcW w:w="33.333333%" w:type="pct"/>
          </w:tcPr>
          <w:p>
            <w:pPr>
              <w:ind w:leftChars="0" w:left="480" w:right="0"/>
            </w:pPr>
            <w:r>
              <w:t>Securities or commodities lending or securities or commodities borrowing means a transaction by which a counterparty transfers securities or commodities subject to a commitment that the borrower will return equivalent securities or commodities on a future date or when requested to do so by the transferor, that transaction being considered as securities or commodities lending for the counterparty transferring the securities or commodities and being considered as securities or commodities borrowing for the counterparty to which they are transferred.</w:t>
            </w:r>
          </w:p>
        </w:tc>
      </w:tr>
      <w:tr>
        <w:trPr>
          <w:cnfStyle w:evenHBand="true" w:oddHBand="false" w:firstRow="false"/>
        </w:trPr>
        <w:tc>
          <w:tcPr>
            <w:cnfStyle w:evenVBand="false" w:oddVBand="true" w:firstColumn="false"/>
            <w:tcW w:w="33.333333%" w:type="pct"/>
          </w:tcPr>
          <w:p>
            <w:pPr>
              <w:ind w:leftChars="0" w:left="0" w:right="0"/>
            </w:pPr>
            <w:r>
              <w:t>BSB</w:t>
            </w:r>
          </w:p>
        </w:tc>
        <w:tc>
          <w:tcPr>
            <w:cnfStyle w:evenVBand="true" w:oddVBand="false" w:firstColumn="false"/>
            <w:tcW w:w="33.333333%" w:type="pct"/>
          </w:tcPr>
          <w:p>
            <w:pPr>
              <w:ind w:leftChars="0" w:left="0" w:right="0"/>
            </w:pPr>
            <w:r>
              <w:t>Buy-sell or sell-buy back transaction</w:t>
            </w:r>
          </w:p>
        </w:tc>
        <w:tc>
          <w:tcPr>
            <w:cnfStyle w:evenVBand="false" w:oddVBand="true" w:firstColumn="false"/>
            <w:tcW w:w="33.333333%" w:type="pct"/>
          </w:tcPr>
          <w:p>
            <w:pPr>
              <w:ind w:leftChars="0" w:left="480" w:right="0"/>
            </w:pPr>
            <w:r>
              <w:t>Buy-sell back transaction or sell-buy back transaction means a transaction by which a counterparty buys or sells securities, commodities, or guaranteed rights relating to title to securities or commodities, agreeing, respectively, to sell or to buy back securities, commodities or such guaranteed rights of the same description at a specified price on a future date, that transaction being a buy-sell back transaction for the counterparty buying the securities, commodities or guaranteed rights, and a sell-buy back transaction for the counterparty selling them, such buy-sell back transaction or sell-buy back transaction not being governed by a repurchase agreement or by a reverse-repurchase agreement.</w:t>
            </w:r>
          </w:p>
        </w:tc>
      </w:tr>
      <w:tr>
        <w:trPr>
          <w:cnfStyle w:evenHBand="false" w:oddHBand="true" w:firstRow="false"/>
        </w:trPr>
        <w:tc>
          <w:tcPr>
            <w:cnfStyle w:evenVBand="false" w:oddVBand="true" w:firstColumn="false"/>
            <w:tcW w:w="33.333333%" w:type="pct"/>
          </w:tcPr>
          <w:p>
            <w:pPr>
              <w:ind w:leftChars="0" w:left="0" w:right="0"/>
            </w:pPr>
            <w:r>
              <w:t>MLT</w:t>
            </w:r>
          </w:p>
        </w:tc>
        <w:tc>
          <w:tcPr>
            <w:cnfStyle w:evenVBand="true" w:oddVBand="false" w:firstColumn="false"/>
            <w:tcW w:w="33.333333%" w:type="pct"/>
          </w:tcPr>
          <w:p>
            <w:pPr>
              <w:ind w:leftChars="0" w:left="0" w:right="0"/>
            </w:pPr>
            <w:r>
              <w:t>Margin lending transaction</w:t>
            </w:r>
          </w:p>
        </w:tc>
        <w:tc>
          <w:tcPr>
            <w:cnfStyle w:evenVBand="false" w:oddVBand="true" w:firstColumn="false"/>
            <w:tcW w:w="33.333333%" w:type="pct"/>
          </w:tcPr>
          <w:p>
            <w:pPr>
              <w:ind w:leftChars="0" w:left="480" w:right="0"/>
            </w:pPr>
            <w:r>
              <w:t>Margin lending transaction means a transaction in which a counterparty extends credit in connection with the purchase, sale, carrying or trading of securities, but not including other loans that are secured by collateral in the form of securities.</w:t>
            </w:r>
          </w:p>
        </w:tc>
      </w:tr>
    </w:tbl>
    <w:p>
      <w:pPr>
        <w:pStyle w:val="Table Bottom Margin"/>
      </w:pPr>
    </w:p>
    <w:bookmarkEnd w:id="329"/>
    <w:bookmarkEnd w:id="328"/>
    <w:bookmarkStart w:id="330" w:name="_ae6f94f750d094f77d3996e19e91af54"/>
    <w:bookmarkStart w:id="331" w:name="_4e6d35fef91e67a8af6c285f36841300"/>
    <w:p>
      <w:pPr>
        <w:pStyle w:val="Heading5"/>
        <w:keepNext/>
      </w:pPr>
      <w:r>
        <w:t>SHR_FND_RDMPTN_FRQNCY_ENUM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PP</w:t>
            </w:r>
          </w:p>
        </w:tc>
        <w:tc>
          <w:tcPr>
            <w:cnfStyle w:evenVBand="true" w:oddVBand="false" w:firstColumn="false"/>
            <w:tcW w:w="33.333333%" w:type="pct"/>
          </w:tcPr>
          <w:p>
            <w:pPr>
              <w:ind w:leftChars="0" w:left="0" w:right="0"/>
            </w:pPr>
            <w:r>
              <w:t>PP</w:t>
            </w:r>
          </w:p>
        </w:tc>
        <w:tc>
          <w:tcPr>
            <w:cnfStyle w:evenVBand="false" w:oddVBand="true" w:firstColumn="false"/>
            <w:tcW w:w="33.333333%" w:type="pct"/>
          </w:tcPr>
          <w:p>
            <w:pPr>
              <w:ind w:leftChars="0" w:left="0" w:right="0"/>
            </w:pPr>
            <w:r>
              <w:t>PERPETUAL</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BA</w:t>
            </w:r>
          </w:p>
        </w:tc>
        <w:tc>
          <w:tcPr>
            <w:cnfStyle w:evenVBand="true" w:oddVBand="false" w:firstColumn="false"/>
            <w:tcW w:w="33.333333%" w:type="pct"/>
          </w:tcPr>
          <w:p>
            <w:pPr>
              <w:ind w:leftChars="0" w:left="0" w:right="0"/>
            </w:pPr>
            <w:r>
              <w:t>BA</w:t>
            </w:r>
          </w:p>
        </w:tc>
        <w:tc>
          <w:tcPr>
            <w:cnfStyle w:evenVBand="false" w:oddVBand="true" w:firstColumn="false"/>
            <w:tcW w:w="33.333333%" w:type="pct"/>
          </w:tcPr>
          <w:p>
            <w:pPr>
              <w:ind w:leftChars="0" w:left="0" w:right="0"/>
            </w:pPr>
            <w:r>
              <w:t>BIANNUALLY</w:t>
            </w:r>
          </w:p>
        </w:tc>
      </w:tr>
      <w:tr>
        <w:trPr>
          <w:cnfStyle w:evenHBand="true" w:oddHBand="false" w:firstRow="false"/>
        </w:trPr>
        <w:tc>
          <w:tcPr>
            <w:cnfStyle w:evenVBand="false" w:oddVBand="true" w:firstColumn="false"/>
            <w:tcW w:w="33.333333%" w:type="pct"/>
          </w:tcPr>
          <w:p>
            <w:pPr>
              <w:ind w:leftChars="0" w:left="0" w:right="0"/>
            </w:pPr>
            <w:r>
              <w:t>OR</w:t>
            </w:r>
          </w:p>
        </w:tc>
        <w:tc>
          <w:tcPr>
            <w:cnfStyle w:evenVBand="true" w:oddVBand="false" w:firstColumn="false"/>
            <w:tcW w:w="33.333333%" w:type="pct"/>
          </w:tcPr>
          <w:p>
            <w:pPr>
              <w:ind w:leftChars="0" w:left="0" w:right="0"/>
            </w:pPr>
            <w:r>
              <w:t>OR</w:t>
            </w:r>
          </w:p>
        </w:tc>
        <w:tc>
          <w:tcPr>
            <w:cnfStyle w:evenVBand="false" w:oddVBand="true" w:firstColumn="false"/>
            <w:tcW w:w="33.333333%" w:type="pct"/>
          </w:tcPr>
          <w:p>
            <w:pPr>
              <w:ind w:leftChars="0" w:left="0" w:right="0"/>
            </w:pPr>
            <w:r>
              <w:t>OTHER REQULAR TIMING</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SS</w:t>
            </w:r>
          </w:p>
        </w:tc>
        <w:tc>
          <w:tcPr>
            <w:cnfStyle w:evenVBand="true" w:oddVBand="false" w:firstColumn="false"/>
            <w:tcW w:w="33.333333%" w:type="pct"/>
          </w:tcPr>
          <w:p>
            <w:pPr>
              <w:ind w:leftChars="0" w:left="0" w:right="0"/>
            </w:pPr>
            <w:r>
              <w:t>SS</w:t>
            </w:r>
          </w:p>
        </w:tc>
        <w:tc>
          <w:tcPr>
            <w:cnfStyle w:evenVBand="false" w:oddVBand="true" w:firstColumn="false"/>
            <w:tcW w:w="33.333333%" w:type="pct"/>
          </w:tcPr>
          <w:p>
            <w:pPr>
              <w:ind w:leftChars="0" w:left="0" w:right="0"/>
            </w:pPr>
            <w:r>
              <w:t>SPECIFIC SCHEDULE</w:t>
            </w:r>
          </w:p>
        </w:tc>
      </w:tr>
      <w:tr>
        <w:trPr>
          <w:cnfStyle w:evenHBand="false" w:oddHBand="true" w:firstRow="false"/>
        </w:trPr>
        <w:tc>
          <w:tcPr>
            <w:cnfStyle w:evenVBand="false" w:oddVBand="true" w:firstColumn="false"/>
            <w:tcW w:w="33.333333%" w:type="pct"/>
          </w:tcPr>
          <w:p>
            <w:pPr>
              <w:ind w:leftChars="0" w:left="0" w:right="0"/>
            </w:pPr>
            <w:r>
              <w:t>ON</w:t>
            </w:r>
          </w:p>
        </w:tc>
        <w:tc>
          <w:tcPr>
            <w:cnfStyle w:evenVBand="true" w:oddVBand="false" w:firstColumn="false"/>
            <w:tcW w:w="33.333333%" w:type="pct"/>
          </w:tcPr>
          <w:p>
            <w:pPr>
              <w:ind w:leftChars="0" w:left="0" w:right="0"/>
            </w:pPr>
            <w:r>
              <w:t>ON</w:t>
            </w:r>
          </w:p>
        </w:tc>
        <w:tc>
          <w:tcPr>
            <w:cnfStyle w:evenVBand="false" w:oddVBand="true" w:firstColumn="false"/>
            <w:tcW w:w="33.333333%" w:type="pct"/>
          </w:tcPr>
          <w:p>
            <w:pPr>
              <w:ind w:leftChars="0" w:left="0" w:right="0"/>
            </w:pPr>
            <w:r>
              <w:t>ONE TIME ONLY</w:t>
            </w:r>
          </w:p>
        </w:tc>
      </w:tr>
      <w:tr>
        <w:trPr>
          <w:cnfStyle w:evenHBand="true" w:oddHBand="false" w:firstRow="false"/>
        </w:trPr>
        <w:tc>
          <w:tcPr>
            <w:cnfStyle w:evenVBand="false" w:oddVBand="true" w:firstColumn="false"/>
            <w:tcW w:w="33.333333%" w:type="pct"/>
          </w:tcPr>
          <w:p>
            <w:pPr>
              <w:ind w:leftChars="0" w:left="0" w:right="0"/>
            </w:pPr>
            <w:r>
              <w:t>EL</w:t>
            </w:r>
          </w:p>
        </w:tc>
        <w:tc>
          <w:tcPr>
            <w:cnfStyle w:evenVBand="true" w:oddVBand="false" w:firstColumn="false"/>
            <w:tcW w:w="33.333333%" w:type="pct"/>
          </w:tcPr>
          <w:p>
            <w:pPr>
              <w:ind w:leftChars="0" w:left="0" w:right="0"/>
            </w:pPr>
            <w:r>
              <w:t>EL</w:t>
            </w:r>
          </w:p>
        </w:tc>
        <w:tc>
          <w:tcPr>
            <w:cnfStyle w:evenVBand="false" w:oddVBand="true" w:firstColumn="false"/>
            <w:tcW w:w="33.333333%" w:type="pct"/>
          </w:tcPr>
          <w:p>
            <w:pPr>
              <w:ind w:leftChars="0" w:left="0" w:right="0"/>
            </w:pPr>
            <w:r>
              <w:t>EVENT-LINKED</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331"/>
    <w:bookmarkEnd w:id="330"/>
    <w:bookmarkStart w:id="332" w:name="_0da51549fcb2927eb3f3bab401e71863"/>
    <w:bookmarkStart w:id="333" w:name="_4a1eae845c9bb9509401660b394b6f8d"/>
    <w:p>
      <w:pPr>
        <w:pStyle w:val="Heading5"/>
        <w:keepNext/>
      </w:pPr>
      <w:r>
        <w:t>SHR_PRMRY_CLSS_ENUM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Ordinary / Common share</w:t>
            </w:r>
          </w:p>
        </w:tc>
        <w:tc>
          <w:tcPr>
            <w:cnfStyle w:evenVBand="false" w:oddVBand="true" w:firstColumn="false"/>
            <w:tcW w:w="33.333333%" w:type="pct"/>
          </w:tcPr>
          <w:p>
            <w:pPr>
              <w:ind w:leftChars="0" w:left="0" w:right="0"/>
            </w:pPr>
            <w:r>
              <w:t>Ordinary / Common share</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Preference / Preferred share</w:t>
            </w:r>
          </w:p>
        </w:tc>
        <w:tc>
          <w:tcPr>
            <w:cnfStyle w:evenVBand="false" w:oddVBand="true" w:firstColumn="false"/>
            <w:tcW w:w="33.333333%" w:type="pct"/>
          </w:tcPr>
          <w:p>
            <w:pPr>
              <w:ind w:leftChars="0" w:left="0" w:right="0"/>
            </w:pPr>
            <w:r>
              <w:t>Preference / Preferred share</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Depository receipt</w:t>
            </w:r>
          </w:p>
        </w:tc>
        <w:tc>
          <w:tcPr>
            <w:cnfStyle w:evenVBand="false" w:oddVBand="true" w:firstColumn="false"/>
            <w:tcW w:w="33.333333%" w:type="pct"/>
          </w:tcPr>
          <w:p>
            <w:pPr>
              <w:ind w:leftChars="0" w:left="0" w:right="0"/>
            </w:pPr>
            <w:r>
              <w:t>Depository receipt</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Hybrid equity instrument</w:t>
            </w:r>
          </w:p>
        </w:tc>
        <w:tc>
          <w:tcPr>
            <w:cnfStyle w:evenVBand="false" w:oddVBand="true" w:firstColumn="false"/>
            <w:tcW w:w="33.333333%" w:type="pct"/>
          </w:tcPr>
          <w:p>
            <w:pPr>
              <w:ind w:leftChars="0" w:left="0" w:right="0"/>
            </w:pPr>
            <w:r>
              <w:t>Hybrid equity instrument</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false" w:oddHBand="true" w:firstRow="false"/>
        </w:trPr>
        <w:tc>
          <w:tcPr>
            <w:cnfStyle w:evenVBand="false" w:oddVBand="true" w:firstColumn="false"/>
            <w:tcW w:w="33.333333%" w:type="pct"/>
          </w:tcPr>
          <w:p>
            <w:pPr>
              <w:ind w:leftChars="0" w:left="0" w:right="0"/>
            </w:pPr>
            <w:r>
              <w:t>F.1</w:t>
            </w:r>
          </w:p>
        </w:tc>
        <w:tc>
          <w:tcPr>
            <w:cnfStyle w:evenVBand="true" w:oddVBand="false" w:firstColumn="false"/>
            <w:tcW w:w="33.333333%" w:type="pct"/>
          </w:tcPr>
          <w:p>
            <w:pPr>
              <w:ind w:leftChars="0" w:left="0" w:right="0"/>
            </w:pPr>
            <w:r>
              <w:t>Undertaking for collective investment in transferable securities (UCITS) Fund</w:t>
            </w:r>
          </w:p>
        </w:tc>
        <w:tc>
          <w:tcPr>
            <w:cnfStyle w:evenVBand="false" w:oddVBand="true" w:firstColumn="false"/>
            <w:tcW w:w="33.333333%" w:type="pct"/>
          </w:tcPr>
          <w:p>
            <w:pPr>
              <w:ind w:leftChars="0" w:left="0" w:right="0"/>
            </w:pPr>
            <w:r>
              <w:t>Undertaking for collective investment in transferable securities (UCITS) Fund</w:t>
            </w:r>
          </w:p>
        </w:tc>
      </w:tr>
      <w:tr>
        <w:trPr>
          <w:cnfStyle w:evenHBand="true" w:oddHBand="false" w:firstRow="false"/>
        </w:trPr>
        <w:tc>
          <w:tcPr>
            <w:cnfStyle w:evenVBand="false" w:oddVBand="true" w:firstColumn="false"/>
            <w:tcW w:w="33.333333%" w:type="pct"/>
          </w:tcPr>
          <w:p>
            <w:pPr>
              <w:ind w:leftChars="0" w:left="0" w:right="0"/>
            </w:pPr>
            <w:r>
              <w:t>F.2</w:t>
            </w:r>
          </w:p>
        </w:tc>
        <w:tc>
          <w:tcPr>
            <w:cnfStyle w:evenVBand="true" w:oddVBand="false" w:firstColumn="false"/>
            <w:tcW w:w="33.333333%" w:type="pct"/>
          </w:tcPr>
          <w:p>
            <w:pPr>
              <w:ind w:leftChars="0" w:left="0" w:right="0"/>
            </w:pPr>
            <w:r>
              <w:t>Alternative investment fund (AIF)</w:t>
            </w:r>
          </w:p>
        </w:tc>
        <w:tc>
          <w:tcPr>
            <w:cnfStyle w:evenVBand="false" w:oddVBand="true" w:firstColumn="false"/>
            <w:tcW w:w="33.333333%" w:type="pct"/>
          </w:tcPr>
          <w:p>
            <w:pPr>
              <w:ind w:leftChars="0" w:left="0" w:right="0"/>
            </w:pPr>
            <w:r>
              <w:t>Alternative investment fund (AIF)</w:t>
            </w:r>
          </w:p>
        </w:tc>
      </w:tr>
      <w:tr>
        <w:trPr>
          <w:cnfStyle w:evenHBand="false" w:oddHBand="true" w:firstRow="false"/>
        </w:trPr>
        <w:tc>
          <w:tcPr>
            <w:cnfStyle w:evenVBand="false" w:oddVBand="true" w:firstColumn="false"/>
            <w:tcW w:w="33.333333%" w:type="pct"/>
          </w:tcPr>
          <w:p>
            <w:pPr>
              <w:ind w:leftChars="0" w:left="0" w:right="0"/>
            </w:pPr>
            <w:r>
              <w:t>F.9</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0" w:right="0"/>
            </w:pPr>
            <w:r>
              <w:t>Other fund</w:t>
            </w:r>
          </w:p>
        </w:tc>
      </w:tr>
    </w:tbl>
    <w:p>
      <w:pPr>
        <w:pStyle w:val="Table Bottom Margin"/>
      </w:pPr>
    </w:p>
    <w:bookmarkEnd w:id="333"/>
    <w:bookmarkEnd w:id="332"/>
    <w:bookmarkStart w:id="334" w:name="_c38da8c814d270a51a92be278efc7d9e"/>
    <w:bookmarkStart w:id="335" w:name="_e1ccb89777ec807445137639b107aead"/>
    <w:p>
      <w:pPr>
        <w:pStyle w:val="Heading5"/>
        <w:keepNext/>
      </w:pPr>
      <w:r>
        <w:t>SHR_TYP_ENUM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F511</w:t>
            </w:r>
          </w:p>
        </w:tc>
        <w:tc>
          <w:tcPr>
            <w:cnfStyle w:evenVBand="true" w:oddVBand="false" w:firstColumn="false"/>
            <w:tcW w:w="33.333333%" w:type="pct"/>
          </w:tcPr>
          <w:p>
            <w:pPr>
              <w:ind w:leftChars="0" w:left="0" w:right="0"/>
            </w:pPr>
            <w:r>
              <w:t>Listed shares</w:t>
            </w:r>
          </w:p>
        </w:tc>
        <w:tc>
          <w:tcPr>
            <w:cnfStyle w:evenVBand="false" w:oddVBand="true" w:firstColumn="false"/>
            <w:tcW w:w="33.333333%" w:type="pct"/>
          </w:tcPr>
          <w:p>
            <w:pPr>
              <w:ind w:leftChars="0" w:left="0" w:right="0"/>
            </w:pPr>
            <w:r>
              <w:t>Listed shares</w:t>
            </w:r>
          </w:p>
        </w:tc>
      </w:tr>
      <w:tr>
        <w:trPr>
          <w:cnfStyle w:evenHBand="true" w:oddHBand="false" w:firstRow="false"/>
        </w:trPr>
        <w:tc>
          <w:tcPr>
            <w:cnfStyle w:evenVBand="false" w:oddVBand="true" w:firstColumn="false"/>
            <w:tcW w:w="33.333333%" w:type="pct"/>
          </w:tcPr>
          <w:p>
            <w:pPr>
              <w:ind w:leftChars="0" w:left="0" w:right="0"/>
            </w:pPr>
            <w:r>
              <w:t>F512</w:t>
            </w:r>
          </w:p>
        </w:tc>
        <w:tc>
          <w:tcPr>
            <w:cnfStyle w:evenVBand="true" w:oddVBand="false" w:firstColumn="false"/>
            <w:tcW w:w="33.333333%" w:type="pct"/>
          </w:tcPr>
          <w:p>
            <w:pPr>
              <w:ind w:leftChars="0" w:left="0" w:right="0"/>
            </w:pPr>
            <w:r>
              <w:t>Unlisted shares</w:t>
            </w:r>
          </w:p>
        </w:tc>
        <w:tc>
          <w:tcPr>
            <w:cnfStyle w:evenVBand="false" w:oddVBand="true" w:firstColumn="false"/>
            <w:tcW w:w="33.333333%" w:type="pct"/>
          </w:tcPr>
          <w:p>
            <w:pPr>
              <w:ind w:leftChars="0" w:left="0" w:right="0"/>
            </w:pPr>
            <w:r>
              <w:t>Unlisted shares</w:t>
            </w:r>
          </w:p>
        </w:tc>
      </w:tr>
      <w:tr>
        <w:trPr>
          <w:cnfStyle w:evenHBand="false" w:oddHBand="true" w:firstRow="false"/>
        </w:trPr>
        <w:tc>
          <w:tcPr>
            <w:cnfStyle w:evenVBand="false" w:oddVBand="true" w:firstColumn="false"/>
            <w:tcW w:w="33.333333%" w:type="pct"/>
          </w:tcPr>
          <w:p>
            <w:pPr>
              <w:ind w:leftChars="0" w:left="0" w:right="0"/>
            </w:pPr>
            <w:r>
              <w:t>F519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true" w:oddHBand="false" w:firstRow="false"/>
        </w:trPr>
        <w:tc>
          <w:tcPr>
            <w:cnfStyle w:evenVBand="false" w:oddVBand="true" w:firstColumn="false"/>
            <w:tcW w:w="33.333333%" w:type="pct"/>
          </w:tcPr>
          <w:p>
            <w:pPr>
              <w:ind w:leftChars="0" w:left="0" w:right="0"/>
            </w:pPr>
            <w:r>
              <w:t>F521</w:t>
            </w:r>
          </w:p>
        </w:tc>
        <w:tc>
          <w:tcPr>
            <w:cnfStyle w:evenVBand="true" w:oddVBand="false" w:firstColumn="false"/>
            <w:tcW w:w="33.333333%" w:type="pct"/>
          </w:tcPr>
          <w:p>
            <w:pPr>
              <w:ind w:leftChars="0" w:left="0" w:right="0"/>
            </w:pPr>
            <w:r>
              <w:t>Money market fund shares/units</w:t>
            </w:r>
          </w:p>
        </w:tc>
        <w:tc>
          <w:tcPr>
            <w:cnfStyle w:evenVBand="false" w:oddVBand="true" w:firstColumn="false"/>
            <w:tcW w:w="33.333333%" w:type="pct"/>
          </w:tcPr>
          <w:p>
            <w:pPr>
              <w:ind w:leftChars="0" w:left="0" w:right="0"/>
            </w:pPr>
            <w:r>
              <w:t>Money market fund shares/units</w:t>
            </w:r>
          </w:p>
        </w:tc>
      </w:tr>
      <w:tr>
        <w:trPr>
          <w:cnfStyle w:evenHBand="false" w:oddHBand="true" w:firstRow="false"/>
        </w:trPr>
        <w:tc>
          <w:tcPr>
            <w:cnfStyle w:evenVBand="false" w:oddVBand="true" w:firstColumn="false"/>
            <w:tcW w:w="33.333333%" w:type="pct"/>
          </w:tcPr>
          <w:p>
            <w:pPr>
              <w:ind w:leftChars="0" w:left="0" w:right="0"/>
            </w:pPr>
            <w:r>
              <w:t>F522</w:t>
            </w:r>
          </w:p>
        </w:tc>
        <w:tc>
          <w:tcPr>
            <w:cnfStyle w:evenVBand="true" w:oddVBand="false" w:firstColumn="false"/>
            <w:tcW w:w="33.333333%" w:type="pct"/>
          </w:tcPr>
          <w:p>
            <w:pPr>
              <w:ind w:leftChars="0" w:left="0" w:right="0"/>
            </w:pPr>
            <w:r>
              <w:t>Non-MMF investment fund shares/units</w:t>
            </w:r>
          </w:p>
        </w:tc>
        <w:tc>
          <w:tcPr>
            <w:cnfStyle w:evenVBand="false" w:oddVBand="true" w:firstColumn="false"/>
            <w:tcW w:w="33.333333%" w:type="pct"/>
          </w:tcPr>
          <w:p>
            <w:pPr>
              <w:ind w:leftChars="0" w:left="0" w:right="0"/>
            </w:pPr>
            <w:r>
              <w:t>Non-MMF investment fund shares/units</w:t>
            </w:r>
          </w:p>
        </w:tc>
      </w:tr>
    </w:tbl>
    <w:p>
      <w:pPr>
        <w:pStyle w:val="Table Bottom Margin"/>
      </w:pPr>
    </w:p>
    <w:bookmarkEnd w:id="335"/>
    <w:bookmarkEnd w:id="334"/>
    <w:bookmarkEnd w:id="251"/>
    <w:bookmarkEnd w:id="250"/>
    <w:bookmarkEnd w:id="249"/>
    <w:bookmarkStart w:id="336" w:name="_8b36c247389f79e47cc6ab02ce80e372"/>
    <w:bookmarkStart w:id="337"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"_bca89515ed2be3ab398d01c5fcd831b1" \h \z \u </w:instrText>
          </w:r>
          <w:r>
            <w:fldChar w:fldCharType="separate"/>
          </w: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338" w:name="_bca89515ed2be3ab398d01c5fcd831b1"/>
    <w:bookmarkStart w:id="339" w:name="_b26ae5e7334b4de03bf62d8dddde247a"/>
    <w:bookmarkStart w:id="340"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340"/>
    <w:bookmarkEnd w:id="339"/>
    <w:bookmarkStart w:id="341" w:name="_c6881b9cc566dc5064905c7e53ecaa08"/>
    <w:bookmarkStart w:id="342"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342"/>
    <w:bookmarkEnd w:id="341"/>
    <w:bookmarkStart w:id="343" w:name="_c38388d025e9ff05d2f3286d71311e44"/>
    <w:bookmarkStart w:id="344"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344"/>
    <w:bookmarkEnd w:id="343"/>
    <w:bookmarkStart w:id="345" w:name="_acf77be8a1d1f1b63ded6137bcad6fff"/>
    <w:bookmarkStart w:id="346"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346"/>
    <w:bookmarkEnd w:id="345"/>
    <w:bookmarkStart w:id="347" w:name="_9a7a477a88017a47518a3d4e7cf181df"/>
    <w:bookmarkStart w:id="348"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348"/>
    <w:bookmarkEnd w:id="347"/>
    <w:bookmarkStart w:id="349" w:name="_63f8d5f698ad126be429a7e0b483287a"/>
    <w:bookmarkStart w:id="350"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350"/>
    <w:bookmarkEnd w:id="349"/>
    <w:bookmarkStart w:id="351" w:name="_61475e06de6a7be1f8dfa817f566b5a6"/>
    <w:bookmarkStart w:id="352"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352"/>
    <w:bookmarkEnd w:id="351"/>
    <w:bookmarkStart w:id="353" w:name="_9e0667cffc9391a5367569285fe643d5"/>
    <w:bookmarkStart w:id="354" w:name="_54014978dc3c0beae89300345d3a0fec"/>
    <w:p>
      <w:pPr>
        <w:pStyle w:val="Heading5"/>
        <w:keepNext/>
      </w:pPr>
      <w:r>
        <w:t>DATE</w:t>
      </w:r>
    </w:p>
    <w:p>
      <w:pPr>
        <w:pStyle w:val="DefinitionTerm"/>
        <w:ind w:leftChars="0" w:left="0" w:right="0"/>
        <w:keepNext/>
      </w:pPr>
      <w:r>
        <w:t>type</w:t>
      </w:r>
    </w:p>
    <w:p>
      <w:pPr>
        <w:pStyle w:val="Definition"/>
        <w:ind w:leftChars="0" w:left="480" w:right="0"/>
      </w:pPr>
      <w:r>
        <w:t>date</w:t>
      </w:r>
    </w:p>
    <w:p>
      <w:pPr>
        <w:pStyle w:val="DefinitionTerm"/>
        <w:ind w:leftChars="0" w:left="0" w:right="0"/>
        <w:keepNext/>
      </w:pPr>
      <w:r>
        <w:t>pattern</w:t>
      </w:r>
    </w:p>
    <w:p>
      <w:pPr>
        <w:pStyle w:val="Definition"/>
        <w:ind w:leftChars="0" w:left="480" w:right="0"/>
      </w:pPr>
      <w:r>
        <w:t>«{YYYY}-{MM}-{DD}»</w:t>
      </w:r>
    </w:p>
    <w:bookmarkEnd w:id="354"/>
    <w:bookmarkEnd w:id="353"/>
    <w:bookmarkStart w:id="355" w:name="_6d8a743a67be27d15c94914c8c69bd8c"/>
    <w:bookmarkStart w:id="356"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356"/>
    <w:bookmarkEnd w:id="355"/>
    <w:bookmarkStart w:id="357" w:name="_5ae9f1dfd6721c7ba5903574639b19af"/>
    <w:bookmarkStart w:id="358"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358"/>
    <w:bookmarkEnd w:id="357"/>
    <w:bookmarkStart w:id="359" w:name="_1e303f6ea2ee1c5d5548f84158c699ac"/>
    <w:bookmarkStart w:id="360"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360"/>
    <w:bookmarkEnd w:id="359"/>
    <w:bookmarkStart w:id="361" w:name="_2fb1f200bc23c8b4b94bae91c78616c5"/>
    <w:bookmarkStart w:id="362"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362"/>
    <w:bookmarkEnd w:id="361"/>
    <w:bookmarkStart w:id="363" w:name="_faf8bcd4ad2b8ae668c3650a1780e619"/>
    <w:bookmarkStart w:id="364"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364"/>
    <w:bookmarkEnd w:id="363"/>
    <w:bookmarkStart w:id="365" w:name="_5110f880ae5518868ec771617dc71fef"/>
    <w:bookmarkStart w:id="366"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366"/>
    <w:bookmarkEnd w:id="365"/>
    <w:bookmarkStart w:id="367" w:name="_e5a72e4d8de4963d5b55ba220abc4eed"/>
    <w:bookmarkStart w:id="368"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368"/>
    <w:bookmarkEnd w:id="367"/>
    <w:bookmarkStart w:id="369" w:name="_54421c3d0e3699d78fa78e233cecbec2"/>
    <w:bookmarkStart w:id="370"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370"/>
    <w:bookmarkEnd w:id="369"/>
    <w:bookmarkEnd w:id="338"/>
    <w:bookmarkEnd w:id="337"/>
    <w:bookmarkEnd w:id="336"/>
    <w:bookmarkEnd w:id="248"/>
    <w:bookmarkEnd w:id="247"/>
    <w:bookmarkEnd w:id="246"/>
    <w:bookmarkStart w:id="371" w:name="_5f7b51b95acf1d521665910b610534f1"/>
    <w:bookmarkStart w:id="372" w:name="_1282eae40d6dccd77c299d09ce2bf9e5"/>
    <w:p>
      <w:pPr>
        <w:pStyle w:val="Heading3"/>
        <w:keepNext/>
      </w:pPr>
      <w:r>
        <w:t>Επικύρωση</w:t>
      </w:r>
    </w:p>
    <w:p>
      <w:pPr>
        <w:pStyle w:val="Body Text"/>
        <w:ind w:leftChars="0" w:left="0" w:right="0"/>
      </w:pPr>
      <w:r>
        <w:t xml:space="preserve">Τα περιεχόμενα των αρχείων που υποβλήθηκαν επιτυχώς με βάση τις οδηγίες στο </w:t>
      </w:r>
      <w:hyperlink w:anchor="_d071b0acb4e85cd66e9a7ae0a8aece91">
        <w:r>
          <w:rPr>
            <w:rStyle w:val="Hyperlink"/>
          </w:rPr>
          <w:t>file submission</w:t>
        </w:r>
      </w:hyperlink>
      <w:r>
        <w:t xml:space="preserve"> επικυρώνονται με συχνότητα 5 λεπτών και εάν δεν περιέχουν κρίσιμα λάθη φορτώνονται στην κεντρική βάση δεδομένων.  Κάθε χρήστης του IRIS που υπέβαλλε τουλάχιστον ένα αρχείο με στοιχεία IFDat σε ένα χρονικό διάστημα των 5 λεπτών θα λαμβάνει μία έκθεση επικύρωσης σε μορφή json που θα περιλαμβάνει τα ακόλουθα:</w:t>
      </w:r>
    </w:p>
    <w:p>
      <w:pPr>
        <w:pStyle w:val="DefinitionTerm"/>
        <w:ind w:leftChars="0" w:left="0" w:right="0"/>
        <w:keepNext/>
      </w:pPr>
      <w:r>
        <w:t>ID</w:t>
      </w:r>
    </w:p>
    <w:p>
      <w:pPr>
        <w:pStyle w:val="Definition"/>
        <w:ind w:leftChars="0" w:left="480" w:right="0"/>
      </w:pPr>
      <w:r>
        <w:t>Αναγνωριστικός κωδικός της έκθεσης επικύρωσης</w:t>
      </w:r>
    </w:p>
    <w:p>
      <w:pPr>
        <w:pStyle w:val="DefinitionTerm"/>
        <w:ind w:leftChars="0" w:left="0" w:right="0"/>
        <w:keepNext/>
      </w:pPr>
      <w:r>
        <w:t>RA</w:t>
      </w:r>
    </w:p>
    <w:p>
      <w:pPr>
        <w:pStyle w:val="Definition"/>
        <w:ind w:leftChars="0" w:left="480" w:right="0"/>
      </w:pPr>
      <w:r>
        <w:t>Κωδικός χρήστη στο IRIS</w:t>
      </w:r>
    </w:p>
    <w:p>
      <w:pPr>
        <w:pStyle w:val="DefinitionTerm"/>
        <w:ind w:leftChars="0" w:left="0" w:right="0"/>
        <w:keepNext/>
      </w:pPr>
      <w:r>
        <w:t>FILES</w:t>
      </w:r>
    </w:p>
    <w:p>
      <w:pPr>
        <w:pStyle w:val="Definition"/>
        <w:ind w:leftChars="0" w:left="480" w:right="0"/>
      </w:pPr>
      <w:r>
        <w:t>Για κάθε αρχείο που έχει υποβλήθει επιτυχώς σε ένα συγκεκριμένο χρονικό διάστημα 5 λεπτών θα γνωστοποιούνται τα ακόλουθα:</w:t>
      </w:r>
    </w:p>
    <w:p>
      <w:pPr>
        <w:pStyle w:val="DefinitionTerm"/>
        <w:ind w:leftChars="0" w:left="480" w:right="0"/>
        <w:keepNext/>
      </w:pPr>
      <w:r>
        <w:t>NAME</w:t>
      </w:r>
    </w:p>
    <w:p>
      <w:pPr>
        <w:pStyle w:val="Definition"/>
        <w:ind w:leftChars="0" w:left="960" w:right="0"/>
      </w:pPr>
      <w:r>
        <w:t>Το όνομα του αρχείου</w:t>
      </w:r>
    </w:p>
    <w:p>
      <w:pPr>
        <w:pStyle w:val="DefinitionTerm"/>
        <w:ind w:leftChars="0" w:left="480" w:right="0"/>
        <w:keepNext/>
      </w:pPr>
      <w:r>
        <w:t>PROCESSED</w:t>
      </w:r>
    </w:p>
    <w:p>
      <w:pPr>
        <w:pStyle w:val="Definition"/>
        <w:ind w:leftChars="0" w:left="960" w:right="0"/>
      </w:pPr>
      <w:r>
        <w:t>Ένδειξη ότι δεν υπάρχουν κρίσιμα λάθη και τα περιεχόμενα του αρχείου φορτώθηκαν στη κεντρική βάση δεδομένων</w:t>
      </w:r>
    </w:p>
    <w:p>
      <w:pPr>
        <w:pStyle w:val="DefinitionTerm"/>
        <w:ind w:leftChars="0" w:left="0" w:right="0"/>
        <w:keepNext/>
      </w:pPr>
      <w:r>
        <w:t>CRITICAL_ERRORS</w:t>
      </w:r>
    </w:p>
    <w:p>
      <w:pPr>
        <w:pStyle w:val="Definition"/>
        <w:ind w:leftChars="0" w:left="480" w:right="0"/>
      </w:pPr>
      <w:r>
        <w:t xml:space="preserve">Περιέχει τα </w:t>
      </w:r>
      <w:hyperlink w:anchor="_cab3d5b1bad75a7166e71b384b86e451">
        <w:r>
          <w:rPr>
            <w:rStyle w:val="Hyperlink"/>
          </w:rPr>
          <w:t>κρίσιμα λάθη</w:t>
        </w:r>
      </w:hyperlink>
      <w:r>
        <w:t xml:space="preserve"> των υποβαλλόμενων αρχείων.</w:t>
      </w:r>
    </w:p>
    <w:p>
      <w:pPr>
        <w:pStyle w:val="DefinitionTerm"/>
        <w:ind w:leftChars="0" w:left="0" w:right="0"/>
        <w:keepNext/>
      </w:pPr>
      <w:r>
        <w:t>ACCOUNTING_ERRORS</w:t>
      </w:r>
    </w:p>
    <w:p>
      <w:pPr>
        <w:pStyle w:val="Definition"/>
        <w:ind w:leftChars="0" w:left="480" w:right="0"/>
      </w:pPr>
      <w:r>
        <w:t xml:space="preserve">Περιέχει τα </w:t>
      </w:r>
      <w:hyperlink w:anchor="_d0e079a1961211bb1844e6a60f31e47e">
        <w:r>
          <w:rPr>
            <w:rStyle w:val="Hyperlink"/>
          </w:rPr>
          <w:t>λογιστικά λάθη</w:t>
        </w:r>
      </w:hyperlink>
      <w:r>
        <w:t xml:space="preserve"> που προκύπτουν από τα υποβαλλόμενα στοιχεία.</w:t>
      </w:r>
    </w:p>
    <w:p>
      <w:pPr>
        <w:pStyle w:val="DefinitionTerm"/>
        <w:ind w:leftChars="0" w:left="0" w:right="0"/>
        <w:keepNext/>
      </w:pPr>
      <w:r>
        <w:t>REFERENCE_ERRORS</w:t>
      </w:r>
    </w:p>
    <w:p>
      <w:pPr>
        <w:pStyle w:val="Definition"/>
        <w:ind w:leftChars="0" w:left="480" w:right="0"/>
      </w:pPr>
      <w:r>
        <w:t>Περιέχει λάθη στα στοχεία αναφοράς.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"_cd8f0f9d427ef036168f0a2e2d27de83" \h \z \u </w:instrText>
          </w:r>
          <w:r>
            <w:fldChar w:fldCharType="separate"/>
          </w:r>
          <w:hyperlink w:anchor="_cab3d5b1bad75a7166e71b384b86e451" w:history="1">
            <w:r>
              <w:t>Κρίσιμα Λάθη</w:t>
            </w:r>
            <w:r>
              <w:rPr>
                <w:webHidden/>
              </w:rPr>
              <w:tab/>
            </w:r>
            <w:r>
              <w:fldChar w:fldCharType="begin"/>
            </w:r>
            <w:r>
              <w:rPr>
                <w:webHidden/>
              </w:rPr>
              <w:instrText xml:space="preserve"> PAGEREF _cab3d5b1bad75a7166e71b384b86e451 \h </w:instrText>
            </w:r>
            <w:r>
              <w:fldChar w:fldCharType="separate"/>
            </w:r>
            <w:r>
              <w:rPr>
                <w:webHidden/>
              </w:rPr>
              <w:t>X</w:t>
            </w:r>
            <w:r>
              <w:fldChar w:fldCharType="end"/>
            </w:r>
          </w:hyperlink>
        </w:p>
        <w:p>
          <w:pPr>
            <w:pStyle w:val="toc 1"/>
            <w:tabs>
              <w:tab w:val="right" w:leader="dot" w:pos="8488"/>
            </w:tabs>
            <w:rPr>
              <w:b w:val="0"/>
              <w:noProof/>
            </w:rPr>
          </w:pPr>
          <w:hyperlink w:anchor="_d0e079a1961211bb1844e6a60f31e47e" w:history="1">
            <w:r>
              <w:t>Λογιστικοί έλεγχοι</w:t>
            </w:r>
            <w:r>
              <w:rPr>
                <w:webHidden/>
              </w:rPr>
              <w:tab/>
            </w:r>
            <w:r>
              <w:fldChar w:fldCharType="begin"/>
            </w:r>
            <w:r>
              <w:rPr>
                <w:webHidden/>
              </w:rPr>
              <w:instrText xml:space="preserve"> PAGEREF _d0e079a1961211bb1844e6a60f31e47e \h </w:instrText>
            </w:r>
            <w:r>
              <w:fldChar w:fldCharType="separate"/>
            </w:r>
            <w:r>
              <w:rPr>
                <w:webHidden/>
              </w:rPr>
              <w:t>X</w:t>
            </w:r>
            <w:r>
              <w:fldChar w:fldCharType="end"/>
            </w:r>
          </w:hyperlink>
        </w:p>
        <w:p>
          <w:r>
            <w:fldChar w:fldCharType="end"/>
          </w:r>
        </w:p>
      </w:sdtContent>
    </w:sdt>
    <w:bookmarkStart w:id="373" w:name="_cd8f0f9d427ef036168f0a2e2d27de83"/>
    <w:bookmarkStart w:id="374" w:name="_cab3d5b1bad75a7166e71b384b86e451"/>
    <w:bookmarkStart w:id="375" w:name="_56b9538bdc6ec3e0e4f5731fac36959a"/>
    <w:p>
      <w:pPr>
        <w:pStyle w:val="Heading4"/>
        <w:keepNext/>
      </w:pPr>
      <w:r>
        <w:t>Κρίσιμα Λάθη</w:t>
      </w:r>
    </w:p>
    <w:p>
      <w:pPr>
        <w:pStyle w:val="Body Text"/>
        <w:ind w:leftChars="0" w:left="0" w:right="0"/>
      </w:pPr>
      <w:r>
        <w:t>Περιγράφονται τα κρίσιμα λάθη των οποίων η ύπαρξη διακόπτει την αποθήκευση του συνόλου των στοιχείων του αρχείου στη βάση δεδομένων.</w:t>
      </w:r>
    </w:p>
    <w:p>
      <w:pPr>
        <w:pStyle w:val="DefinitionTerm"/>
        <w:ind w:leftChars="0" w:left="0" w:right="0"/>
        <w:keepNext/>
      </w:pPr>
      <w:r>
        <w:t>Μη αποδεκτά Excel αρχεία (CRRPT_EXCEL)</w:t>
      </w:r>
    </w:p>
    <w:p>
      <w:pPr>
        <w:pStyle w:val="Definition"/>
        <w:ind w:leftChars="0" w:left="480" w:right="0"/>
      </w:pPr>
      <w:r>
        <w:t xml:space="preserve">Αρχεία </w:t>
      </w:r>
      <w:r>
        <w:rPr>
          <w:b/>
          <w:bCs/>
        </w:rPr>
        <w:t>.xlsx</w:t>
      </w:r>
      <w:r>
        <w:t xml:space="preserve"> με μη αποδεκτή δομή.</w:t>
      </w:r>
    </w:p>
    <w:p>
      <w:pPr>
        <w:pStyle w:val="DefinitionTerm"/>
        <w:ind w:leftChars="0" w:left="0" w:right="0"/>
        <w:keepNext/>
      </w:pPr>
      <w:r>
        <w:t>Μη αποδεκτά json αρχεία (CRRPT_JSON)</w:t>
      </w:r>
    </w:p>
    <w:p>
      <w:pPr>
        <w:pStyle w:val="Definition"/>
        <w:ind w:leftChars="0" w:left="480" w:right="0"/>
      </w:pPr>
      <w:r>
        <w:t xml:space="preserve">Αρχεία </w:t>
      </w:r>
      <w:r>
        <w:rPr>
          <w:b/>
          <w:bCs/>
        </w:rPr>
        <w:t>.json</w:t>
      </w:r>
      <w:r>
        <w:t xml:space="preserve"> με μη αποδεκτή δομή.</w:t>
      </w:r>
    </w:p>
    <w:p>
      <w:pPr>
        <w:pStyle w:val="DefinitionTerm"/>
        <w:ind w:leftChars="0" w:left="0" w:right="0"/>
        <w:keepNext/>
      </w:pPr>
      <w:r>
        <w:t>Λάθος δέσμη (NT_IFDAT)</w:t>
      </w:r>
    </w:p>
    <w:p>
      <w:pPr>
        <w:pStyle w:val="Definition"/>
        <w:ind w:leftChars="0" w:left="480" w:right="0"/>
      </w:pPr>
      <w:r>
        <w:t>Αρχεία δέσμης δεδομένων άλλο από το IFDat.</w:t>
      </w:r>
    </w:p>
    <w:p>
      <w:pPr>
        <w:pStyle w:val="DefinitionTerm"/>
        <w:ind w:leftChars="0" w:left="0" w:right="0"/>
        <w:keepNext/>
      </w:pPr>
      <w:r>
        <w:t>Ασυνπεπεια στον αναγγέλοντα (RP_INCNSSTNCY)</w:t>
      </w:r>
    </w:p>
    <w:p>
      <w:pPr>
        <w:pStyle w:val="Definition"/>
        <w:ind w:leftChars="0" w:left="480" w:right="0"/>
      </w:pPr>
      <w:r>
        <w:t>Για τα αρχεία που προκύπτει ασυνέπεια στον αναγγέλοντα όπως προκύπτει από την ονομασία του αρχείου και από το HEADER του αρχείου δίδονται τα ακόλουθα: * Ονομασία αρχείου (FLNM) * Ονομασία αναγγέλοντα από το όνομα του αρχείου (RP_FRM_FLNM) * Ονομασία αναγγέλοντα από το header (RP_FRM_HDR)</w:t>
      </w:r>
    </w:p>
    <w:p>
      <w:pPr>
        <w:pStyle w:val="DefinitionTerm"/>
        <w:ind w:leftChars="0" w:left="0" w:right="0"/>
        <w:keepNext/>
      </w:pPr>
      <w:r>
        <w:t>Λάθη Σχήματος (SCHEMA_ERRRS)</w:t>
      </w:r>
    </w:p>
    <w:p>
      <w:pPr>
        <w:pStyle w:val="Definition"/>
        <w:ind w:leftChars="0" w:left="480" w:right="0"/>
      </w:pPr>
      <w:r>
        <w:t xml:space="preserve">Σε περίπτωση που τα εισερχόμενα αρχεία δεν ακολουθουν το json schema δίδονται τα λάθη.  Σε περίπτωση που το εισερχόμενο αρχείο είναι μορφής EXCEL πρώτα τα μετατρέπονται σε JSON και μετά ελέγχονται.  Στο </w:t>
      </w:r>
      <w:r>
        <w:t>criticalschema_error</w:t>
      </w:r>
      <w:r>
        <w:t xml:space="preserve"> περιγράφονται οι πληροφορίες που δίνονται για κάθε λάθος στο σχήμα.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"_033404a4a2585e779928a0243a3596b5" \h \z \u </w:instrText>
          </w:r>
          <w:r>
            <w:fldChar w:fldCharType="separate"/>
          </w:r>
          <w:hyperlink w:anchor="_a68ffe44f6a24494b1b8420b0ef07f35" w:history="1">
            <w:r>
              <w:t>SCHEMA ERRORS</w:t>
            </w:r>
            <w:r>
              <w:rPr>
                <w:webHidden/>
              </w:rPr>
              <w:tab/>
            </w:r>
            <w:r>
              <w:fldChar w:fldCharType="begin"/>
            </w:r>
            <w:r>
              <w:rPr>
                <w:webHidden/>
              </w:rPr>
              <w:instrText xml:space="preserve"> PAGEREF _a68ffe44f6a24494b1b8420b0ef07f35 \h </w:instrText>
            </w:r>
            <w:r>
              <w:fldChar w:fldCharType="separate"/>
            </w:r>
            <w:r>
              <w:rPr>
                <w:webHidden/>
              </w:rPr>
              <w:t>X</w:t>
            </w:r>
            <w:r>
              <w:fldChar w:fldCharType="end"/>
            </w:r>
          </w:hyperlink>
        </w:p>
        <w:p>
          <w:r>
            <w:fldChar w:fldCharType="end"/>
          </w:r>
        </w:p>
      </w:sdtContent>
    </w:sdt>
    <w:bookmarkStart w:id="376" w:name="_033404a4a2585e779928a0243a3596b5"/>
    <w:bookmarkStart w:id="377" w:name="_a68ffe44f6a24494b1b8420b0ef07f35"/>
    <w:bookmarkStart w:id="378" w:name="_922d84b86f1c674fe149dd9150cbd290"/>
    <w:p>
      <w:pPr>
        <w:pStyle w:val="Heading5"/>
        <w:keepNext/>
      </w:pPr>
      <w:r>
        <w:t>SCHEMA ERRORS</w:t>
      </w:r>
    </w:p>
    <w:p>
      <w:pPr>
        <w:pStyle w:val="Body Text"/>
        <w:ind w:leftChars="0" w:left="0" w:right="0"/>
      </w:pPr>
      <w:r>
        <w:t>Για κάθε λάθος δίδονται οι ακόλουθες πληροφορίες:</w:t>
      </w:r>
    </w:p>
    <w:p>
      <w:pPr>
        <w:pStyle w:val="DefinitionTerm"/>
        <w:ind w:leftChars="0" w:left="0" w:right="0"/>
        <w:keepNext/>
      </w:pPr>
      <w:r>
        <w:t>Ονομασία αρχείου (filename)</w:t>
      </w:r>
    </w:p>
    <w:p>
      <w:pPr>
        <w:pStyle w:val="Definition"/>
        <w:ind w:leftChars="0" w:left="480" w:right="0"/>
      </w:pPr>
      <w:r>
        <w:t>Η ονομασία του αρχείου από όπου προήλθε το λάθος.</w:t>
      </w:r>
    </w:p>
    <w:p>
      <w:pPr>
        <w:pStyle w:val="DefinitionTerm"/>
        <w:ind w:leftChars="0" w:left="0" w:right="0"/>
        <w:keepNext/>
      </w:pPr>
      <w:r>
        <w:t>Τοποθεσία (location)</w:t>
      </w:r>
    </w:p>
    <w:p>
      <w:pPr>
        <w:pStyle w:val="Definition"/>
        <w:ind w:leftChars="0" w:left="480" w:right="0"/>
      </w:pPr>
      <w:r>
        <w:t>Η τοποθεσία εντός του αρχείου που προήλθε το λάθος.</w:t>
      </w:r>
    </w:p>
    <w:p>
      <w:pPr>
        <w:pStyle w:val="DefinitionTerm"/>
        <w:ind w:leftChars="0" w:left="0" w:right="0"/>
        <w:keepNext/>
      </w:pPr>
      <w:r>
        <w:t>Περιγραφή (message)</w:t>
      </w:r>
    </w:p>
    <w:p>
      <w:pPr>
        <w:pStyle w:val="Definition"/>
        <w:ind w:leftChars="0" w:left="480" w:right="0"/>
      </w:pPr>
      <w:r>
        <w:t>Περιγραφή του λάθους.</w:t>
      </w:r>
    </w:p>
    <w:p>
      <w:pPr>
        <w:pStyle w:val="DefinitionTerm"/>
        <w:ind w:leftChars="0" w:left="0" w:right="0"/>
        <w:keepNext/>
      </w:pPr>
      <w:r>
        <w:t>domain</w:t>
      </w:r>
    </w:p>
    <w:p>
      <w:pPr>
        <w:pStyle w:val="Definition"/>
        <w:ind w:leftChars="0" w:left="480" w:right="0"/>
      </w:pPr>
      <w:r>
        <w:t>The error domain</w:t>
      </w:r>
    </w:p>
    <w:p>
      <w:pPr>
        <w:pStyle w:val="DefinitionTerm"/>
        <w:ind w:leftChars="0" w:left="0" w:right="0"/>
        <w:keepNext/>
      </w:pPr>
      <w:r>
        <w:t>type</w:t>
      </w:r>
    </w:p>
    <w:p>
      <w:pPr>
        <w:pStyle w:val="Definition"/>
        <w:ind w:leftChars="0" w:left="480" w:right="0"/>
      </w:pPr>
      <w:r>
        <w:t>The error type</w:t>
      </w:r>
    </w:p>
    <w:p>
      <w:pPr>
        <w:pStyle w:val="DefinitionTerm"/>
        <w:ind w:leftChars="0" w:left="0" w:right="0"/>
        <w:keepNext/>
      </w:pPr>
      <w:r>
        <w:t>level</w:t>
      </w:r>
    </w:p>
    <w:p>
      <w:pPr>
        <w:pStyle w:val="Definition"/>
        <w:ind w:leftChars="0" w:left="480" w:right="0"/>
      </w:pPr>
      <w:r>
        <w:t>The error level</w:t>
      </w:r>
    </w:p>
    <w:p>
      <w:pPr>
        <w:pStyle w:val="DefinitionTerm"/>
        <w:ind w:leftChars="0" w:left="0" w:right="0"/>
        <w:keepNext/>
      </w:pPr>
      <w:r>
        <w:t>line</w:t>
      </w:r>
    </w:p>
    <w:p>
      <w:pPr>
        <w:pStyle w:val="Definition"/>
        <w:ind w:leftChars="0" w:left="480" w:right="0"/>
      </w:pPr>
      <w:r>
        <w:t>The error line</w:t>
      </w:r>
    </w:p>
    <w:p>
      <w:pPr>
        <w:pStyle w:val="DefinitionTerm"/>
        <w:ind w:leftChars="0" w:left="0" w:right="0"/>
        <w:keepNext/>
      </w:pPr>
      <w:r>
        <w:t>column</w:t>
      </w:r>
    </w:p>
    <w:p>
      <w:pPr>
        <w:pStyle w:val="Definition"/>
        <w:ind w:leftChars="0" w:left="480" w:right="0"/>
      </w:pPr>
      <w:r>
        <w:t>The error column</w:t>
      </w:r>
    </w:p>
    <w:bookmarkEnd w:id="378"/>
    <w:bookmarkEnd w:id="377"/>
    <w:bookmarkEnd w:id="376"/>
    <w:bookmarkEnd w:id="375"/>
    <w:bookmarkEnd w:id="374"/>
    <w:bookmarkStart w:id="379" w:name="_d0e079a1961211bb1844e6a60f31e47e"/>
    <w:bookmarkStart w:id="380" w:name="_011396dcc8f131a13751d6276310f190"/>
    <w:p>
      <w:pPr>
        <w:pStyle w:val="Heading4"/>
        <w:keepNext/>
      </w:pPr>
      <w:r>
        <w:t>Λογιστικοί έλεγχοι</w:t>
      </w:r>
    </w:p>
    <w:bookmarkStart w:id="381" w:name="_56be00a01b9e9f9329d791495fa6c289"/>
    <w:p>
      <w:pPr>
        <w:pStyle w:val="Heading5"/>
        <w:keepNext/>
      </w:pPr>
      <w:r>
        <w:t>Έλεγχος καθαρής θέσης (NET_ASSET)</w:t>
      </w:r>
    </w:p>
    <w:p>
      <w:pPr>
        <w:pStyle w:val="Body Text"/>
        <w:ind w:leftChars="0" w:left="0" w:right="0"/>
      </w:pPr>
      <w:r>
        <w:t>Για κάθε ημερομηνία αναφοράς που αποστέλλονται στοιχεία AGG 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\sum_i\mathrm{CSH.STCK} + \sum_i\mathrm{DPST.STCK} + \sum_i\mathrm{ASST\_SFT.STCK} + \sum_iA\mathrm{SST\_DBT.STCK}  + \sum_i\mathrm{ASST\_LN.STCK} + \sum_i\mathrm{SHR.STCK} + \sum_i\mathrm{EXT.STCK} + \sum_i\mathrm{ODR.STCK} + \sum_i\mathrm{ASST\_NN\_FNNCL.STCK} + \sum_i\mathrm{ASST\_RMNNG.STCK}</m:t>
          </m:r>
          <m:r>
            <w:br/>
          </m:r>
        </m:oMath>
        <m:oMath>
          <m:r>
            <m:t>\mathrm{LIABILITIES} &amp;= \sum_i\mathrm{LBLTY\_SFT.STCK} +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81"/>
    <w:bookmarkStart w:id="382" w:name="_2305c1ae026970b05137cfb0c76de1d5"/>
    <w:p>
      <w:pPr>
        <w:pStyle w:val="Heading5"/>
        <w:keepNext/>
      </w:pPr>
      <w:r>
        <w:t>Έλεγχος εισοδήματος Α (INCOME)</w:t>
      </w:r>
    </w:p>
    <w:p>
      <w:pPr>
        <w:pStyle w:val="Body Text"/>
        <w:ind w:leftChars="0" w:left="0" w:right="0"/>
      </w:pPr>
      <w:r>
        <w:t>Για κάθε ημερομηνία αναφοράς που αποστέλλονται στοιχεία AGG ελέγχεται ότι για κάθε μερίδιο, κατηγορία μεριδίου, μετοχή τα συνολικά έσοδα μείον τα συνολικά έξοδα ισούται με το εισόδημα.</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\sum_r\mathrm{RVN.AMNT} - \sum_e\mathrm{EXPNS.AMNT}</m:t>
          </m:r>
          <m:r>
            <w:br/>
          </m:r>
        </m:oMath>
        <m:oMath>
          <m:r>
            <m:t>\mathrm{RHS} &amp;= \mathrm{AGG.INCM}</m:t>
          </m:r>
          <m:r>
            <w:br/>
          </m:r>
        </m:oMath>
        <m:oMath>
          <m:r>
            <m:t>r &amp;= \text{Άθροισμα ανά είδος εσόδων}</m:t>
          </m:r>
          <m:r>
            <w:br/>
          </m:r>
        </m:oMath>
        <m:oMath>
          <m:r>
            <m:t>e &amp;= \text{Άθροισμα ανά είδος εξόδων}</m:t>
          </m:r>
        </m:oMath>
      </m:oMathPara>
    </w:p>
    <w:p>
      <w:pPr>
        <w:pStyle w:val="DefinitionTerm"/>
        <w:ind w:leftChars="0" w:left="0" w:right="0"/>
        <w:keepNext/>
      </w:pPr>
      <w:r>
        <w:t>Σε περίπτωση που δεν ισχύει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μεταξύ του LHS - RHS</w:t>
      </w:r>
    </w:p>
    <w:bookmarkEnd w:id="382"/>
    <w:bookmarkStart w:id="383" w:name="_c7c90ea4ca9038b6818a88c5c3135a03"/>
    <w:p>
      <w:pPr>
        <w:pStyle w:val="Heading5"/>
        <w:keepNext/>
      </w:pPr>
      <w:r>
        <w:t>Έλεγχος μεταξύ εισοδήματος και ροών (INCOME_CROSSCHECK)</w:t>
      </w:r>
    </w:p>
    <w:p>
      <w:pPr>
        <w:pStyle w:val="Body Text"/>
        <w:ind w:leftChars="0" w:left="0" w:right="0"/>
      </w:pPr>
      <w:r>
        <w:t>Για κάθε περίοδο αναφοράς που αποστέλλονται στοιχεία AGG ελέγχεται 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\sum_i\mathrm{CSH.FLS} + \sum_i\mathrm{DPST.FLS} + \sum_i\mathrm{ASST\_SFT.FLS} + \sum_iA\mathrm{SST\_DBT.FLS}  + \sum_i\mathrm{ASST\_LN.FLS} + \sum_i\mathrm{SHR.FLS} + \sum_i\mathrm{EXT.FLS} + \sum_i\mathrm{ODR.FLS} + \sum_i\mathrm{ASST\_NN\_FNNCL.FLS} + \sum_i\mathrm{ASST\_RMNNG.FLS}</m:t>
          </m:r>
          <m:r>
            <w:br/>
          </m:r>
        </m:oMath>
        <m:oMath>
          <m:r>
            <m:t>\mathrm{LIABILITY\_FLOWS} &amp;= \sum_i\mathrm{LBLTY\_SFT.FLS} +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DefinitionTerm"/>
        <w:ind w:leftChars="0" w:left="0" w:right="0"/>
        <w:keepNext/>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83"/>
    <w:bookmarkStart w:id="384" w:name="_c86d05c1aa7aa8191e836c3d8d75cffa"/>
    <w:p>
      <w:pPr>
        <w:pStyle w:val="Heading5"/>
        <w:keepNext/>
      </w:pPr>
      <w:r>
        <w:t>Έλεγχος δεδουλευμένων τόκων και μισθωμάτων (NET_ASSET)</w:t>
      </w:r>
    </w:p>
    <w:p>
      <w:pPr>
        <w:pStyle w:val="Body Text"/>
        <w:ind w:leftChars="0" w:left="0" w:right="0"/>
      </w:pPr>
      <w:r>
        <w:t>Για κάθε ημερομηνία αναφοράς που αποστέλλονται στοιχεία AGG 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\mathrm{ASST\_RMNNG.RA1.STCK}</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84"/>
    <w:bookmarkEnd w:id="380"/>
    <w:bookmarkEnd w:id="379"/>
    <w:bookmarkEnd w:id="373"/>
    <w:bookmarkEnd w:id="372"/>
    <w:bookmarkEnd w:id="371"/>
    <w:bookmarkStart w:id="385" w:name="_d28a4824dc47e487b107a5db32ef43c4"/>
    <w:bookmarkStart w:id="386" w:name="_e58f79cfe3f08f95777a259d905c902f"/>
    <w:p>
      <w:pPr>
        <w:pStyle w:val="Heading3"/>
        <w:keepNext/>
      </w:pPr>
      <w:r>
        <w:t>Παραδείγματα</w:t>
      </w:r>
    </w:p>
    <w:p>
      <w:pPr>
        <w:pStyle w:val="Body Text"/>
        <w:ind w:leftChars="0" w:left="0" w:right="0"/>
      </w:pPr>
      <w:r>
        <w:t>Στο συγκεκριμένο κεφάλαιο δίνονται παραδείγματα συμπλήρωσης στοιχείων IFDat τόσο ολοκληρωμένα ανά είδος αναγγέλλοντος όσο και εστιασμένα ανά πίνακα.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"_f81c5deab3230e9cd35fae5ec48e3480" \h \z \u </w:instrText>
          </w:r>
          <w:r>
            <w:fldChar w:fldCharType="separate"/>
          </w:r>
          <w:hyperlink w:anchor="_84301956d15d1972deeff30df092c760" w:history="1">
            <w:r>
              <w:t>Με βάση το είδος του αναγγέλλοντος</w:t>
            </w:r>
            <w:r>
              <w:rPr>
                <w:webHidden/>
              </w:rPr>
              <w:tab/>
            </w:r>
            <w:r>
              <w:fldChar w:fldCharType="begin"/>
            </w:r>
            <w:r>
              <w:rPr>
                <w:webHidden/>
              </w:rPr>
              <w:instrText xml:space="preserve"> PAGEREF _84301956d15d1972deeff30df092c760 \h </w:instrText>
            </w:r>
            <w:r>
              <w:fldChar w:fldCharType="separate"/>
            </w:r>
            <w:r>
              <w:rPr>
                <w:webHidden/>
              </w:rPr>
              <w:t>X</w:t>
            </w:r>
            <w:r>
              <w:fldChar w:fldCharType="end"/>
            </w:r>
          </w:hyperlink>
        </w:p>
        <w:p>
          <w:pPr>
            <w:pStyle w:val="toc 2"/>
            <w:tabs>
              <w:tab w:val="right" w:leader="dot" w:pos="8488"/>
            </w:tabs>
            <w:rPr>
              <w:b w:val="0"/>
              <w:noProof/>
            </w:rPr>
          </w:pP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2"/>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pPr>
            <w:pStyle w:val="toc 1"/>
            <w:tabs>
              <w:tab w:val="right" w:leader="dot" w:pos="8488"/>
            </w:tabs>
            <w:rPr>
              <w:b w:val="0"/>
              <w:noProof/>
            </w:rPr>
          </w:pPr>
          <w:hyperlink w:anchor="_bd8b5afbb3638ccb74a445f1e0d889e3" w:history="1">
            <w:r>
              <w:t>Με βάση τον πίνακα</w:t>
            </w:r>
            <w:r>
              <w:rPr>
                <w:webHidden/>
              </w:rPr>
              <w:tab/>
            </w:r>
            <w:r>
              <w:fldChar w:fldCharType="begin"/>
            </w:r>
            <w:r>
              <w:rPr>
                <w:webHidden/>
              </w:rPr>
              <w:instrText xml:space="preserve"> PAGEREF _bd8b5afbb3638ccb74a445f1e0d889e3 \h </w:instrText>
            </w:r>
            <w:r>
              <w:fldChar w:fldCharType="separate"/>
            </w:r>
            <w:r>
              <w:rPr>
                <w:webHidden/>
              </w:rPr>
              <w:t>X</w:t>
            </w:r>
            <w:r>
              <w:fldChar w:fldCharType="end"/>
            </w:r>
          </w:hyperlink>
        </w:p>
        <w:p>
          <w:pPr>
            <w:pStyle w:val="toc 2"/>
            <w:tabs>
              <w:tab w:val="right" w:leader="dot" w:pos="8488"/>
            </w:tabs>
            <w:rPr>
              <w:b w:val="0"/>
              <w:noProof/>
            </w:rPr>
          </w:pPr>
          <w:hyperlink w:anchor="_a85f2bde43fcf6cfa264d207ed6dd2e5" w:history="1">
            <w:r>
              <w:t>ΠΕΡΙΠΤΩΣΗ 1</w:t>
            </w:r>
            <w:r>
              <w:rPr>
                <w:webHidden/>
              </w:rPr>
              <w:tab/>
            </w:r>
            <w:r>
              <w:fldChar w:fldCharType="begin"/>
            </w:r>
            <w:r>
              <w:rPr>
                <w:webHidden/>
              </w:rPr>
              <w:instrText xml:space="preserve"> PAGEREF _a85f2bde43fcf6cfa264d207ed6dd2e5 \h </w:instrText>
            </w:r>
            <w:r>
              <w:fldChar w:fldCharType="separate"/>
            </w:r>
            <w:r>
              <w:rPr>
                <w:webHidden/>
              </w:rPr>
              <w:t>X</w:t>
            </w:r>
            <w:r>
              <w:fldChar w:fldCharType="end"/>
            </w:r>
          </w:hyperlink>
        </w:p>
        <w:p>
          <w:pPr>
            <w:pStyle w:val="toc 2"/>
            <w:tabs>
              <w:tab w:val="right" w:leader="dot" w:pos="8488"/>
            </w:tabs>
            <w:rPr>
              <w:b w:val="0"/>
              <w:noProof/>
            </w:rPr>
          </w:pPr>
          <w:hyperlink w:anchor="_39659dc91c086c70df354242ce1d0109" w:history="1">
            <w:r>
              <w:t>ΠΕΡΙΠΤΩΣΗ 2</w:t>
            </w:r>
            <w:r>
              <w:rPr>
                <w:webHidden/>
              </w:rPr>
              <w:tab/>
            </w:r>
            <w:r>
              <w:fldChar w:fldCharType="begin"/>
            </w:r>
            <w:r>
              <w:rPr>
                <w:webHidden/>
              </w:rPr>
              <w:instrText xml:space="preserve"> PAGEREF _39659dc91c086c70df354242ce1d0109 \h </w:instrText>
            </w:r>
            <w:r>
              <w:fldChar w:fldCharType="separate"/>
            </w:r>
            <w:r>
              <w:rPr>
                <w:webHidden/>
              </w:rPr>
              <w:t>X</w:t>
            </w:r>
            <w:r>
              <w:fldChar w:fldCharType="end"/>
            </w:r>
          </w:hyperlink>
        </w:p>
        <w:p>
          <w:pPr>
            <w:pStyle w:val="toc 2"/>
            <w:tabs>
              <w:tab w:val="right" w:leader="dot" w:pos="8488"/>
            </w:tabs>
            <w:rPr>
              <w:b w:val="0"/>
              <w:noProof/>
            </w:rPr>
          </w:pPr>
          <w:hyperlink w:anchor="_e90fd904680021384743e3fd13c4c22e" w:history="1">
            <w:r>
              <w:t>ΠΕΡΙΠΤΩΣΗ 1</w:t>
            </w:r>
            <w:r>
              <w:rPr>
                <w:webHidden/>
              </w:rPr>
              <w:tab/>
            </w:r>
            <w:r>
              <w:fldChar w:fldCharType="begin"/>
            </w:r>
            <w:r>
              <w:rPr>
                <w:webHidden/>
              </w:rPr>
              <w:instrText xml:space="preserve"> PAGEREF _e90fd904680021384743e3fd13c4c22e \h </w:instrText>
            </w:r>
            <w:r>
              <w:fldChar w:fldCharType="separate"/>
            </w:r>
            <w:r>
              <w:rPr>
                <w:webHidden/>
              </w:rPr>
              <w:t>X</w:t>
            </w:r>
            <w:r>
              <w:fldChar w:fldCharType="end"/>
            </w:r>
          </w:hyperlink>
        </w:p>
        <w:p>
          <w:pPr>
            <w:pStyle w:val="toc 2"/>
            <w:tabs>
              <w:tab w:val="right" w:leader="dot" w:pos="8488"/>
            </w:tabs>
            <w:rPr>
              <w:b w:val="0"/>
              <w:noProof/>
            </w:rPr>
          </w:pPr>
          <w:hyperlink w:anchor="_777ffecdc6901d4e5261684fa580e505" w:history="1">
            <w:r>
              <w:t>ΠΕΡΙΠΤΩΣΗ 2</w:t>
            </w:r>
            <w:r>
              <w:rPr>
                <w:webHidden/>
              </w:rPr>
              <w:tab/>
            </w:r>
            <w:r>
              <w:fldChar w:fldCharType="begin"/>
            </w:r>
            <w:r>
              <w:rPr>
                <w:webHidden/>
              </w:rPr>
              <w:instrText xml:space="preserve"> PAGEREF _777ffecdc6901d4e5261684fa580e505 \h </w:instrText>
            </w:r>
            <w:r>
              <w:fldChar w:fldCharType="separate"/>
            </w:r>
            <w:r>
              <w:rPr>
                <w:webHidden/>
              </w:rPr>
              <w:t>X</w:t>
            </w:r>
            <w:r>
              <w:fldChar w:fldCharType="end"/>
            </w:r>
          </w:hyperlink>
        </w:p>
        <w:p>
          <w:pPr>
            <w:pStyle w:val="toc 2"/>
            <w:tabs>
              <w:tab w:val="right" w:leader="dot" w:pos="8488"/>
            </w:tabs>
            <w:rPr>
              <w:b w:val="0"/>
              <w:noProof/>
            </w:rPr>
          </w:pPr>
          <w:hyperlink w:anchor="_f5b137c10abd1d6d2bf92baac790230f" w:history="1">
            <w:r>
              <w:t>ΠΕΡΙΠΤΩΣΗ 1</w:t>
            </w:r>
            <w:r>
              <w:rPr>
                <w:webHidden/>
              </w:rPr>
              <w:tab/>
            </w:r>
            <w:r>
              <w:fldChar w:fldCharType="begin"/>
            </w:r>
            <w:r>
              <w:rPr>
                <w:webHidden/>
              </w:rPr>
              <w:instrText xml:space="preserve"> PAGEREF _f5b137c10abd1d6d2bf92baac790230f \h </w:instrText>
            </w:r>
            <w:r>
              <w:fldChar w:fldCharType="separate"/>
            </w:r>
            <w:r>
              <w:rPr>
                <w:webHidden/>
              </w:rPr>
              <w:t>X</w:t>
            </w:r>
            <w:r>
              <w:fldChar w:fldCharType="end"/>
            </w:r>
          </w:hyperlink>
        </w:p>
        <w:p>
          <w:pPr>
            <w:pStyle w:val="toc 2"/>
            <w:tabs>
              <w:tab w:val="right" w:leader="dot" w:pos="8488"/>
            </w:tabs>
            <w:rPr>
              <w:b w:val="0"/>
              <w:noProof/>
            </w:rPr>
          </w:pPr>
          <w:hyperlink w:anchor="_70610fc0515ba5138ddb8f18c71b170a" w:history="1">
            <w:r>
              <w:t>ΠΕΡΙΠΤΩΣΗ 2</w:t>
            </w:r>
            <w:r>
              <w:rPr>
                <w:webHidden/>
              </w:rPr>
              <w:tab/>
            </w:r>
            <w:r>
              <w:fldChar w:fldCharType="begin"/>
            </w:r>
            <w:r>
              <w:rPr>
                <w:webHidden/>
              </w:rPr>
              <w:instrText xml:space="preserve"> PAGEREF _70610fc0515ba5138ddb8f18c71b170a \h </w:instrText>
            </w:r>
            <w:r>
              <w:fldChar w:fldCharType="separate"/>
            </w:r>
            <w:r>
              <w:rPr>
                <w:webHidden/>
              </w:rPr>
              <w:t>X</w:t>
            </w:r>
            <w:r>
              <w:fldChar w:fldCharType="end"/>
            </w:r>
          </w:hyperlink>
        </w:p>
        <w:p>
          <w:r>
            <w:fldChar w:fldCharType="end"/>
          </w:r>
        </w:p>
      </w:sdtContent>
    </w:sdt>
    <w:bookmarkStart w:id="387" w:name="_f81c5deab3230e9cd35fae5ec48e3480"/>
    <w:bookmarkStart w:id="388" w:name="_84301956d15d1972deeff30df092c760"/>
    <w:bookmarkStart w:id="389" w:name="_b7648be495d8ca02273c0c0fb9a58650"/>
    <w:p>
      <w:pPr>
        <w:pStyle w:val="Heading4"/>
        <w:keepNext/>
      </w:pPr>
      <w:r>
        <w:t>Με βάση το είδος του αναγγέλλοντος</w:t>
      </w:r>
    </w:p>
    <w:p>
      <w:pPr>
        <w:pStyle w:val="Body Text"/>
        <w:ind w:leftChars="0" w:left="0" w:right="0"/>
      </w:pPr>
      <w:r>
        <w:t>Δίνονται ολοκληρωμένα παραδείγματα για τα ακόλουθα είδη αναγγελλόντων: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"_512287c9b44adf4bbc2de2d27a2e0582" \h \z \u </w:instrText>
          </w:r>
          <w:r>
            <w:fldChar w:fldCharType="separate"/>
          </w: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1"/>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390" w:name="_512287c9b44adf4bbc2de2d27a2e0582"/>
    <w:bookmarkStart w:id="391" w:name="_71c88812d0f48a513e65466b2097429c"/>
    <w:bookmarkStart w:id="392" w:name="_a8ad4a681c3b55d5c39c08b5b24e1cdb"/>
    <w:p>
      <w:pPr>
        <w:pStyle w:val="Heading5"/>
        <w:keepNext/>
      </w:pPr>
      <w:r>
        <w:t>Διαχειρίστρια εταιρεία ΟΣΕΚΑ</w:t>
      </w:r>
    </w:p>
    <w:p>
      <w:pPr>
        <w:pStyle w:val="Body Text"/>
        <w:ind w:leftChars="0" w:left="0" w:right="0"/>
      </w:pPr>
      <w:r>
        <w:t>Αφορά υποθετική διαχειρίστρια εταιρεία που συστάθηκε τον Ιανουάριο του 2022 με κωδικό EGRMFMC000 και υποβάλλει για πρώτη φορά στοιχεία IFDat εντός του Φεβρουαρίου του 2022.</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"1-6" \b "_d05a56dc290cea933f31439953d0eae1" \h \z \u </w:instrText>
          </w:r>
          <w:r>
            <w:fldChar w:fldCharType="separate"/>
          </w:r>
          <w:hyperlink w:anchor="_c416e572cc1500f11ceb9e385ae16987" w:history="1">
            <w:r>
              <w:t>Yποβολή Τ0 (περίοδος αναφοράς Ιανουάριος 2022)</w:t>
            </w:r>
            <w:r>
              <w:rPr>
                <w:webHidden/>
              </w:rPr>
              <w:tab/>
            </w:r>
            <w:r>
              <w:fldChar w:fldCharType="begin"/>
            </w:r>
            <w:r>
              <w:rPr>
                <w:webHidden/>
              </w:rPr>
              <w:instrText xml:space="preserve"> PAGEREF _c416e572cc1500f11ceb9e385ae16987 \h </w:instrText>
            </w:r>
            <w:r>
              <w:fldChar w:fldCharType="separate"/>
            </w:r>
            <w:r>
              <w:rPr>
                <w:webHidden/>
              </w:rPr>
              <w:t>X</w:t>
            </w:r>
            <w:r>
              <w:fldChar w:fldCharType="end"/>
            </w:r>
          </w:hyperlink>
        </w:p>
        <w:p>
          <w:pPr>
            <w:pStyle w:val="toc 1"/>
            <w:tabs>
              <w:tab w:val="right" w:leader="dot" w:pos="8488"/>
            </w:tabs>
            <w:rPr>
              <w:b w:val="0"/>
              <w:noProof/>
            </w:rPr>
          </w:pPr>
          <w:hyperlink w:anchor="_d2e80b17e46f1867eccd8ff36b40c3f7" w:history="1">
            <w:r>
              <w:t>Yποβολή Τ1 (περίοδος αναφοράς Φεβρουάριος 2022)</w:t>
            </w:r>
            <w:r>
              <w:rPr>
                <w:webHidden/>
              </w:rPr>
              <w:tab/>
            </w:r>
            <w:r>
              <w:fldChar w:fldCharType="begin"/>
            </w:r>
            <w:r>
              <w:rPr>
                <w:webHidden/>
              </w:rPr>
              <w:instrText xml:space="preserve"> PAGEREF _d2e80b17e46f1867eccd8ff36b40c3f7 \h </w:instrText>
            </w:r>
            <w:r>
              <w:fldChar w:fldCharType="separate"/>
            </w:r>
            <w:r>
              <w:rPr>
                <w:webHidden/>
              </w:rPr>
              <w:t>X</w:t>
            </w:r>
            <w:r>
              <w:fldChar w:fldCharType="end"/>
            </w:r>
          </w:hyperlink>
        </w:p>
        <w:p>
          <w:pPr>
            <w:pStyle w:val="toc 1"/>
            <w:tabs>
              <w:tab w:val="right" w:leader="dot" w:pos="8488"/>
            </w:tabs>
            <w:rPr>
              <w:b w:val="0"/>
              <w:noProof/>
            </w:rPr>
          </w:pPr>
          <w:hyperlink w:anchor="_585de59deeaa081399aefc2b0c88a961" w:history="1">
            <w:r>
              <w:t>Yποβολή Τ1 - ΔΙΟΡΘΩΣΗ</w:t>
            </w:r>
            <w:r>
              <w:rPr>
                <w:webHidden/>
              </w:rPr>
              <w:tab/>
            </w:r>
            <w:r>
              <w:fldChar w:fldCharType="begin"/>
            </w:r>
            <w:r>
              <w:rPr>
                <w:webHidden/>
              </w:rPr>
              <w:instrText xml:space="preserve"> PAGEREF _585de59deeaa081399aefc2b0c88a961 \h </w:instrText>
            </w:r>
            <w:r>
              <w:fldChar w:fldCharType="separate"/>
            </w:r>
            <w:r>
              <w:rPr>
                <w:webHidden/>
              </w:rPr>
              <w:t>X</w:t>
            </w:r>
            <w:r>
              <w:fldChar w:fldCharType="end"/>
            </w:r>
          </w:hyperlink>
        </w:p>
        <w:p>
          <w:r>
            <w:fldChar w:fldCharType="end"/>
          </w:r>
        </w:p>
      </w:sdtContent>
    </w:sdt>
    <w:bookmarkStart w:id="393" w:name="_d05a56dc290cea933f31439953d0eae1"/>
    <w:bookmarkStart w:id="394" w:name="_c416e572cc1500f11ceb9e385ae16987"/>
    <w:bookmarkStart w:id="395" w:name="_728512a89a767409e3ba62300bdf9265"/>
    <w:p>
      <w:pPr>
        <w:pStyle w:val="Heading 6"/>
        <w:keepNext/>
      </w:pPr>
      <w:r>
        <w:t>Yποβολή Τ0 (περίοδος αναφοράς Ιανουάριος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2022-02-14.</w:t>
      </w:r>
    </w:p>
    <w:bookmarkStart w:id="396" w:name="_609c295288bdf25b12e77061eb737810"/>
    <w:p>
      <w:pPr>
        <w:pStyle w:val="Heading 7"/>
        <w:keepNext/>
      </w:pPr>
      <w:r>
        <w:t>Εξελίξεις κατά τη διάρκεια του Ιανουαρίου του 2022</w:t>
      </w:r>
    </w:p>
    <w:bookmarkStart w:id="397" w:name="_100e3cab811cf0a4ce94c518f6501a46"/>
    <w:p>
      <w:pPr>
        <w:pStyle w:val="Heading 8"/>
        <w:keepNext/>
      </w:pPr>
      <w:r>
        <w:t>Στοιχεία αναφοράς (κατηγορία REF)</w:t>
      </w:r>
    </w:p>
    <w:bookmarkStart w:id="398" w:name="_4c2685504a6cbc7608f68e8438c6c163"/>
    <w:p>
      <w:pPr>
        <w:pStyle w:val="Heading 9"/>
        <w:keepNext/>
      </w:pPr>
      <w:r>
        <w:t>Σύσταση ΑΕΔΑΚ</w:t>
      </w:r>
    </w:p>
    <w:p>
      <w:pPr>
        <w:pStyle w:val="Body Text"/>
        <w:ind w:leftChars="0" w:left="0" w:right="0"/>
      </w:pPr>
      <w:r>
        <w:t>Ακολουθεί το απόσπαμα του json αρχείου με συμπληρωμένους τους πίνακες REF.MNGMNT και REF.MNGMNT_DYNMC:</w:t>
      </w:r>
    </w:p>
    <w:p>
      <w:pPr>
        <w:pStyle w:val="LiteralBlock"/>
        <w:ind w:leftChars="0" w:left="0" w:right="0"/>
        <w:shd w:val="clear" w:color="auto" w:fill="eeffcc"/>
      </w:pP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8"/>
    <w:bookmarkStart w:id="399" w:name="_264d26eb7a2f631c931e9a8ef05a9fdb"/>
    <w:p>
      <w:pPr>
        <w:pStyle w:val="Heading 9"/>
        <w:keepNext/>
      </w:pPr>
      <w:r>
        <w:t>Σύσταση τεσσάρων ΟΣΕΚΑ</w:t>
      </w:r>
    </w:p>
    <w:p>
      <w:pPr>
        <w:pStyle w:val="Body Text"/>
        <w:ind w:leftChars="0" w:left="0" w:right="0"/>
      </w:pPr>
      <w:r>
        <w:t>Ακολουθεί το απόσπαμα του json αρχείου με συμπληρωμένους τους πίνακες REF.FND και REF.FND_DYNMC:</w:t>
      </w:r>
    </w:p>
    <w:p>
      <w:pPr>
        <w:pStyle w:val="LiteralBlock"/>
        <w:ind w:leftChars="0" w:left="0" w:right="0"/>
        <w:shd w:val="clear" w:color="auto" w:fill="eeffcc"/>
      </w:pP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9"/>
    <w:bookmarkStart w:id="400" w:name="_926a34d6120b233d87542f376b5b2f4e"/>
    <w:p>
      <w:pPr>
        <w:pStyle w:val="Heading 9"/>
        <w:keepNext/>
      </w:pPr>
      <w:r>
        <w:t>Έκδοση κατηγοριών μεριδίων</w:t>
      </w:r>
    </w:p>
    <w:p>
      <w:pPr>
        <w:pStyle w:val="Body Text"/>
        <w:ind w:leftChars="0" w:left="0" w:right="0"/>
      </w:pPr>
      <w:r>
        <w:t>Ακολουθεί το απόσπαμα του json αρχείου με συμπληρωμένους τους πίνακες REF.SELF_SHR και REF.SELF_SHR_DYNMC:</w:t>
      </w:r>
    </w:p>
    <w:p>
      <w:pPr>
        <w:pStyle w:val="LiteralBlock"/>
        <w:ind w:leftChars="0" w:left="0" w:right="0"/>
        <w:shd w:val="clear" w:color="auto" w:fill="eeffcc"/>
      </w:pP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0"/>
    <w:bookmarkStart w:id="401" w:name="_5de529a7a7887a0678af3eba55912853"/>
    <w:p>
      <w:pPr>
        <w:pStyle w:val="Heading 9"/>
        <w:keepNext/>
      </w:pPr>
      <w:r>
        <w:t>Ορισμός προσώπου επικοινωνίας</w:t>
      </w:r>
    </w:p>
    <w:p>
      <w:pPr>
        <w:pStyle w:val="Body Text"/>
        <w:ind w:leftChars="0" w:left="0" w:right="0"/>
      </w:pPr>
      <w:r>
        <w:t>Ακολουθεί το απόσπαμα του json αρχείου με συμπληρωμένους τους πίνακες REF.CNTCT και REF.CNTCT_T_RA:</w:t>
      </w:r>
    </w:p>
    <w:p>
      <w:pPr>
        <w:pStyle w:val="LiteralBlock"/>
        <w:ind w:leftChars="0" w:left="0" w:right="0"/>
        <w:shd w:val="clear" w:color="auto" w:fill="eeffcc"/>
      </w:pP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1"/>
    <w:bookmarkStart w:id="402" w:name="_65f8fa877e77b40b66dc4f60540e8dc7"/>
    <w:p>
      <w:pPr>
        <w:pStyle w:val="Heading 9"/>
        <w:keepNext/>
      </w:pPr>
      <w:r>
        <w:t>Άνοιγμα καταθετικών λογαριασμών</w:t>
      </w:r>
    </w:p>
    <w:p>
      <w:pPr>
        <w:pStyle w:val="Body Text"/>
        <w:ind w:leftChars="0" w:left="0" w:right="0"/>
      </w:pPr>
      <w:r>
        <w:t>Ακολουθεί το απόσπαμα του json αρχείου με συμπληρωμένο τον πίνακα REF.DPST: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2"/>
    <w:bookmarkEnd w:id="397"/>
    <w:bookmarkStart w:id="403" w:name="_26f8a84d28d995d09c841277a7656644"/>
    <w:p>
      <w:pPr>
        <w:pStyle w:val="Heading 8"/>
        <w:keepNext/>
      </w:pPr>
      <w:r>
        <w:t>Λογιστικά στοιχεία (κατηγορία ACC)</w:t>
      </w:r>
    </w:p>
    <w:bookmarkStart w:id="404" w:name="_c217bcde4893f6349ba8d5d0ca479ff2"/>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4"/>
    <w:bookmarkStart w:id="405" w:name="_aecc71b40746f127e372a6464a5f95ab"/>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5"/>
    <w:bookmarkStart w:id="406" w:name="_ffc3b1856dde410e7b0de64a77da1063"/>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6"/>
    <w:bookmarkEnd w:id="403"/>
    <w:bookmarkEnd w:id="396"/>
    <w:bookmarkStart w:id="407" w:name="_ed904891a42522bd8fddb948297cb73d"/>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07"/>
    <w:bookmarkStart w:id="408" w:name="_f706096f1ba6e849da2fe83eaec3c20d"/>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08"/>
    <w:bookmarkEnd w:id="395"/>
    <w:bookmarkEnd w:id="394"/>
    <w:bookmarkStart w:id="409" w:name="_d2e80b17e46f1867eccd8ff36b40c3f7"/>
    <w:bookmarkStart w:id="410" w:name="_0d3b88954a16aeedec63686cb4d24af2"/>
    <w:p>
      <w:pPr>
        <w:pStyle w:val="Heading 6"/>
        <w:keepNext/>
      </w:pPr>
      <w:r>
        <w:t>Yποβολή Τ1 (περίοδος αναφοράς Φεβρουάριος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2022-03-14.</w:t>
      </w:r>
    </w:p>
    <w:bookmarkStart w:id="411" w:name="_681d2c711b56e6d11fbd04227bf9abc8"/>
    <w:p>
      <w:pPr>
        <w:pStyle w:val="Heading 7"/>
        <w:keepNext/>
      </w:pPr>
      <w:r>
        <w:t>Εξελίξεις κατά τη διάρκεια του Φεβρουαρίου του 2022</w:t>
      </w:r>
    </w:p>
    <w:bookmarkStart w:id="412" w:name="_a9c1987cd39465d67ff4e2cb72e41eec"/>
    <w:p>
      <w:pPr>
        <w:pStyle w:val="Heading 8"/>
        <w:keepNext/>
      </w:pPr>
      <w:r>
        <w:t>Στοιχεία αναφοράς (κατηγορία REF)</w:t>
      </w:r>
    </w:p>
    <w:bookmarkStart w:id="413" w:name="_f850c3436f4c398ddb1346b0496702e8"/>
    <w:p>
      <w:pPr>
        <w:pStyle w:val="Heading 9"/>
        <w:keepNext/>
      </w:pPr>
      <w:r>
        <w:t>Αλλαγή ονομασίας ΑΕΔΑΚ</w:t>
      </w:r>
    </w:p>
    <w:p>
      <w:pPr>
        <w:pStyle w:val="Body Text"/>
        <w:ind w:leftChars="0" w:left="0" w:right="0"/>
      </w:pPr>
      <w:r>
        <w:t>Ακολουθεί το απόσπαμα του json αρχείου με συμπληρωμένο τον πίνακα REF.MNGMNT_DYNMC:</w:t>
      </w:r>
    </w:p>
    <w:p>
      <w:pPr>
        <w:pStyle w:val="LiteralBlock"/>
        <w:ind w:leftChars="0" w:left="0" w:right="0"/>
        <w:keepLines/>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3"/>
    <w:bookmarkEnd w:id="412"/>
    <w:bookmarkStart w:id="414" w:name="_8f81106b22886782b9e2af3ea9b633db"/>
    <w:p>
      <w:pPr>
        <w:pStyle w:val="Heading 8"/>
        <w:keepNext/>
      </w:pPr>
      <w:r>
        <w:t>Λογιστικά στοιχεία (κατηγορία ACC)</w:t>
      </w:r>
    </w:p>
    <w:bookmarkEnd w:id="414"/>
    <w:bookmarkStart w:id="415" w:name="_f98628dbc92882a96292ff786aaa4316"/>
    <w:p>
      <w:pPr>
        <w:pStyle w:val="Heading 8"/>
        <w:keepNext/>
      </w:pPr>
      <w:r>
        <w:t>Λογιστικά στοιχεία (κατηγορία ACC)</w:t>
      </w:r>
    </w:p>
    <w:bookmarkStart w:id="416" w:name="_bc8e4017668e75031259937d6386caf7"/>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6"/>
    <w:bookmarkStart w:id="417" w:name="_c28243b621be8a67684a9f2350260c53"/>
    <w:p>
      <w:pPr>
        <w:pStyle w:val="Heading 9"/>
        <w:keepNext/>
      </w:pPr>
      <w:r>
        <w:t>Μετοχές</w:t>
      </w:r>
    </w:p>
    <w:p>
      <w:pPr>
        <w:pStyle w:val="Body Text"/>
        <w:ind w:leftChars="0" w:left="0" w:right="0"/>
      </w:pPr>
      <w:r>
        <w:t>Ακολουθεί το απόσπαμα του json αρχείου με συμπληρωμένο τον πίνακα ACC.SHR:</w:t>
      </w:r>
    </w:p>
    <w:p>
      <w:pPr>
        <w:pStyle w:val="LiteralBlock"/>
        <w:ind w:leftChars="0" w:left="0" w:right="0"/>
        <w:shd w:val="clear" w:color="auto" w:fill="eeffcc"/>
      </w:pP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7"/>
    <w:bookmarkStart w:id="418" w:name="_d8d79c4783d222aeac467b842bc954f0"/>
    <w:p>
      <w:pPr>
        <w:pStyle w:val="Heading 9"/>
        <w:keepNext/>
      </w:pPr>
      <w:r>
        <w:t>Λοιπά στοιχεία ενεργητικού</w:t>
      </w:r>
    </w:p>
    <w:p>
      <w:pPr>
        <w:pStyle w:val="Body Text"/>
        <w:ind w:leftChars="0" w:left="0" w:right="0"/>
      </w:pPr>
      <w:r>
        <w:t>Ακολουθεί το απόσπαμα του json αρχείου με συμπληρωμένο τον πίνακα ACC.ASST_RMNNG:</w:t>
      </w:r>
    </w:p>
    <w:p>
      <w:pPr>
        <w:pStyle w:val="LiteralBlock"/>
        <w:ind w:leftChars="0" w:left="0" w:right="0"/>
        <w:shd w:val="clear" w:color="auto" w:fill="eeffcc"/>
      </w:pP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8"/>
    <w:bookmarkStart w:id="419" w:name="_9ba179784204a693ba4c50b2091fdb11"/>
    <w:p>
      <w:pPr>
        <w:pStyle w:val="Heading 9"/>
        <w:keepNext/>
      </w:pPr>
      <w:r>
        <w:t>Λοιπά στοιχεία παθητικού</w:t>
      </w:r>
    </w:p>
    <w:p>
      <w:pPr>
        <w:pStyle w:val="Body Text"/>
        <w:ind w:leftChars="0" w:left="0" w:right="0"/>
      </w:pPr>
      <w:r>
        <w:t>Ακολουθεί το απόσπαμα του json αρχείου με συμπληρωμένο τον πίνακα ACC.LBLTY_RMNNG:</w:t>
      </w:r>
    </w:p>
    <w:p>
      <w:pPr>
        <w:pStyle w:val="LiteralBlock"/>
        <w:ind w:leftChars="0" w:left="0" w:right="0"/>
        <w:shd w:val="clear" w:color="auto" w:fill="eeffcc"/>
      </w:pP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9"/>
    <w:bookmarkStart w:id="420" w:name="_cd9b1980e0d2ab011dc13c9744093f8f"/>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0"/>
    <w:bookmarkStart w:id="421" w:name="_22b626d12fc8e344e819d7d082925827"/>
    <w:p>
      <w:pPr>
        <w:pStyle w:val="Heading 9"/>
        <w:keepNext/>
      </w:pPr>
      <w:r>
        <w:t>Έσοδα</w:t>
      </w:r>
    </w:p>
    <w:p>
      <w:pPr>
        <w:pStyle w:val="Body Text"/>
        <w:ind w:leftChars="0" w:left="0" w:right="0"/>
      </w:pPr>
      <w:r>
        <w:t>Ακολουθεί το απόσπαμα του json αρχείου με συμπληρωμένο τον πίνακα ACC.RVN:</w:t>
      </w:r>
    </w:p>
    <w:p>
      <w:pPr>
        <w:pStyle w:val="LiteralBlock"/>
        <w:ind w:leftChars="0" w:left="0" w:right="0"/>
        <w:shd w:val="clear" w:color="auto" w:fill="eeffcc"/>
      </w:pP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1"/>
    <w:bookmarkStart w:id="422" w:name="_80fc542509f14a859471384d84742180"/>
    <w:p>
      <w:pPr>
        <w:pStyle w:val="Heading 9"/>
        <w:keepNext/>
      </w:pPr>
      <w:r>
        <w:t>Έξοδα</w:t>
      </w:r>
    </w:p>
    <w:p>
      <w:pPr>
        <w:pStyle w:val="Body Text"/>
        <w:ind w:leftChars="0" w:left="0" w:right="0"/>
      </w:pPr>
      <w:r>
        <w:t>Ακολουθεί το απόσπαμα του json αρχείου με συμπληρωμένο τον πίνακα ACC.EXPNS:</w:t>
      </w:r>
    </w:p>
    <w:p>
      <w:pPr>
        <w:pStyle w:val="LiteralBlock"/>
        <w:ind w:leftChars="0" w:left="0" w:right="0"/>
        <w:shd w:val="clear" w:color="auto" w:fill="eeffcc"/>
      </w:pP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2"/>
    <w:bookmarkStart w:id="423" w:name="_7f554ad14ac8a0c836a5f144f39a79d6"/>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-0.005600961538461538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3"/>
    <w:bookmarkEnd w:id="415"/>
    <w:bookmarkEnd w:id="411"/>
    <w:bookmarkStart w:id="424" w:name="_f3c464b6ecb537645a68457e80baab1b"/>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MFMC_T1_JSON</w:t>
      </w:r>
    </w:p>
    <w:bookmarkEnd w:id="424"/>
    <w:bookmarkStart w:id="425" w:name="_a98a5f1f398581b611b66df05581fe51"/>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-0.005600961538461538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25"/>
    <w:bookmarkEnd w:id="410"/>
    <w:bookmarkEnd w:id="409"/>
    <w:bookmarkStart w:id="426" w:name="_585de59deeaa081399aefc2b0c88a961"/>
    <w:bookmarkStart w:id="427" w:name="_e0a0587a2690bb98a0a78f4231943b1b"/>
    <w:p>
      <w:pPr>
        <w:pStyle w:val="Heading 6"/>
        <w:keepNext/>
      </w:pPr>
      <w:r>
        <w:t>Yποβολή Τ1 - ΔΙΟΡΘΩΣΗ</w:t>
      </w:r>
    </w:p>
    <w:bookmarkStart w:id="428" w:name="_2b92d33a04f456e46d1f0554d11dfbf4"/>
    <w:p>
      <w:pPr>
        <w:pStyle w:val="Heading 7"/>
        <w:keepNext/>
      </w:pPr>
      <w:r>
        <w:t>Εξελίξεις κατά τη διάρκεια του Φεβρουαρίου του 2022</w:t>
      </w:r>
    </w:p>
    <w:bookmarkStart w:id="429" w:name="_aeedac15f0c3ae22b6c94260cd84e36a"/>
    <w:p>
      <w:pPr>
        <w:pStyle w:val="Heading 8"/>
        <w:keepNext/>
      </w:pPr>
      <w:r>
        <w:t>Στοιχεία αναφοράς (κατηγορία REF)</w:t>
      </w:r>
    </w:p>
    <w:bookmarkStart w:id="430" w:name="_f566ae4c1096885e141c0b61bb60360c"/>
    <w:p>
      <w:pPr>
        <w:pStyle w:val="Heading 9"/>
        <w:keepNext/>
      </w:pPr>
      <w:r>
        <w:t>Διόρθωση ονομασίας ΑΕΔΑΚ</w:t>
      </w:r>
    </w:p>
    <w:p>
      <w:pPr>
        <w:pStyle w:val="Body Text"/>
        <w:ind w:leftChars="0" w:left="0" w:right="0"/>
      </w:pPr>
      <w:r>
        <w:t>Η ονομασία της ΑΕΔΑΚ άλλαξε στις 21.2.2022 και όχι στις 11.2.2022.</w:t>
      </w:r>
    </w:p>
    <w:p>
      <w:pPr>
        <w:pStyle w:val="Body Text"/>
        <w:ind w:leftChars="0" w:left="0" w:right="0"/>
      </w:pPr>
      <w:r>
        <w:t>Ακολουθεί το απόσπαμα του json αρχείου με συμπληρωμένους τους πίνακες REF.MNGMNT_DYNMC:</w:t>
      </w:r>
    </w:p>
    <w:p>
      <w:pPr>
        <w:pStyle w:val="LiteralBlock"/>
        <w:ind w:leftChars="0" w:left="0" w:right="0"/>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30"/>
    <w:bookmarkEnd w:id="429"/>
    <w:bookmarkEnd w:id="428"/>
    <w:bookmarkStart w:id="431" w:name="_47f4d63c0d378f6a97d22786daaf893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31"/>
    <w:bookmarkStart w:id="432" w:name="_96e4316ca371384f98ae609aadc305a4"/>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t>}</w:t>
      </w:r>
      <w:r>
        <w:br/>
      </w:r>
      <w:r>
        <w:t>}</w:t>
      </w:r>
    </w:p>
    <w:bookmarkEnd w:id="432"/>
    <w:bookmarkEnd w:id="427"/>
    <w:bookmarkEnd w:id="426"/>
    <w:bookmarkEnd w:id="393"/>
    <w:bookmarkEnd w:id="392"/>
    <w:bookmarkEnd w:id="391"/>
    <w:bookmarkStart w:id="433" w:name="_e2fb8953bfaae722e2dc90d01de4446b"/>
    <w:bookmarkStart w:id="434" w:name="_2e85d1faab8bfe398b1626dbd3de55da"/>
    <w:p>
      <w:pPr>
        <w:pStyle w:val="Heading5"/>
        <w:keepNext/>
      </w:pPr>
      <w:r>
        <w:t>Εταιρεία επενδύσεων σε ακίνητη περιουσία</w:t>
      </w:r>
    </w:p>
    <w:bookmarkEnd w:id="434"/>
    <w:bookmarkEnd w:id="433"/>
    <w:bookmarkEnd w:id="390"/>
    <w:bookmarkEnd w:id="389"/>
    <w:bookmarkEnd w:id="388"/>
    <w:bookmarkStart w:id="435" w:name="_bd8b5afbb3638ccb74a445f1e0d889e3"/>
    <w:bookmarkStart w:id="436" w:name="_a5ab34b6d4049717ffae439815d54bbf"/>
    <w:p>
      <w:pPr>
        <w:pStyle w:val="Heading4"/>
        <w:keepNext/>
      </w:pPr>
      <w:r>
        <w:t>Με βάση τον πίνακα</w:t>
      </w:r>
    </w:p>
    <w:p>
      <w:pPr>
        <w:pStyle w:val="Body Text"/>
        <w:ind w:leftChars="0" w:left="0" w:right="0"/>
      </w:pPr>
      <w:r>
        <w:t>Δίνονται παραδείγματα για τους ακόλουθους πίνακες δεδομένων: ΠΑΡΑΔΕΙΓΜΑΤΑ ~~~~~~~~~~~~</w:t>
      </w:r>
    </w:p>
    <w:bookmarkStart w:id="437" w:name="_a85f2bde43fcf6cfa264d207ed6dd2e5"/>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0"/>
        </w:numPr>
        <w:ind w:leftChars="0" w:left="480" w:right="0"/>
      </w:pPr>
      <w:r>
        <w:t>Αρχική υποβολή στις 2/1/2023</w:t>
      </w:r>
    </w:p>
    <w:p>
      <w:pPr>
        <w:pStyle w:val="ListNumber"/>
        <w:numPr>
          <w:ilvl w:val="0"/>
          <w:numId w:val="10"/>
        </w:numPr>
        <w:ind w:leftChars="0" w:left="480" w:right="0"/>
      </w:pPr>
      <w:r>
        <w:t>Χειρισμός συγχώνευσης με υποβολή στις 2/4/2023</w:t>
      </w:r>
    </w:p>
    <w:p>
      <w:pPr>
        <w:pStyle w:val="ListNumber"/>
        <w:numPr>
          <w:ilvl w:val="0"/>
          <w:numId w:val="10"/>
        </w:numPr>
        <w:ind w:leftChars="0" w:left="480" w:right="0"/>
      </w:pPr>
      <w:r>
        <w:t>Χειρισμός διόρθωσης της ημερομηνίας σύστασης με υποβολή στις 2/5/2023</w:t>
      </w:r>
    </w:p>
    <w:p>
      <w:pPr>
        <w:pStyle w:val="ListNumber"/>
        <w:numPr>
          <w:ilvl w:val="0"/>
          <w:numId w:val="10"/>
        </w:numPr>
        <w:ind w:leftChars="0" w:left="480" w:right="0"/>
      </w:pPr>
      <w:r>
        <w:t>Χειρισμός προσθήκης ΠΜ με υποβολή στις 2/6/2023</w:t>
      </w:r>
    </w:p>
    <w:bookmarkEnd w:id="437"/>
    <w:bookmarkStart w:id="438" w:name="_39659dc91c086c70df354242ce1d0109"/>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1"/>
        </w:numPr>
        <w:ind w:leftChars="0" w:left="480" w:right="0"/>
      </w:pPr>
      <w:r>
        <w:t>Αρχική υποβολή στις 2/1/2023</w:t>
      </w:r>
    </w:p>
    <w:p>
      <w:pPr>
        <w:pStyle w:val="ListNumber"/>
        <w:numPr>
          <w:ilvl w:val="0"/>
          <w:numId w:val="11"/>
        </w:numPr>
        <w:ind w:leftChars="0" w:left="480" w:right="0"/>
      </w:pPr>
      <w:r>
        <w:t>Χειρισμός διόρθωσης της ημερομηνίας σύστασης με υποβολή στις 2/4/2023</w:t>
      </w:r>
    </w:p>
    <w:p>
      <w:pPr>
        <w:pStyle w:val="ListNumber"/>
        <w:numPr>
          <w:ilvl w:val="0"/>
          <w:numId w:val="11"/>
        </w:numPr>
        <w:ind w:leftChars="0" w:left="480" w:right="0"/>
      </w:pPr>
      <w:r>
        <w:t>Χειρισμός συγχώνευσης με υποβολή στις 2/5/2023</w:t>
      </w:r>
    </w:p>
    <w:bookmarkStart w:id="439" w:name="_15bd938acf67c6cf73c46e7a8ea76e8b"/>
    <w:p>
      <w:pPr>
        <w:pStyle w:val="Heading 6"/>
        <w:keepNext/>
      </w:pPr>
      <w:r>
        <w:t>ΠΑΡΑΔΕΙΓΜΑΤΑ</w:t>
      </w:r>
    </w:p>
    <w:bookmarkEnd w:id="439"/>
    <w:bookmarkEnd w:id="438"/>
    <w:bookmarkStart w:id="440" w:name="_e90fd904680021384743e3fd13c4c22e"/>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2"/>
        </w:numPr>
        <w:ind w:leftChars="0" w:left="480" w:right="0"/>
      </w:pPr>
      <w:r>
        <w:t>Αρχική υποβολή στις 2/1/2023</w:t>
      </w:r>
    </w:p>
    <w:p>
      <w:pPr>
        <w:pStyle w:val="ListNumber"/>
        <w:numPr>
          <w:ilvl w:val="0"/>
          <w:numId w:val="12"/>
        </w:numPr>
        <w:ind w:leftChars="0" w:left="480" w:right="0"/>
      </w:pPr>
      <w:r>
        <w:t>Χειρισμός αλλαγής ονομασίας και αλλαγής email με υποβολή στις 2/4/2023</w:t>
      </w:r>
    </w:p>
    <w:p>
      <w:pPr>
        <w:pStyle w:val="ListNumber"/>
        <w:numPr>
          <w:ilvl w:val="0"/>
          <w:numId w:val="12"/>
        </w:numPr>
        <w:ind w:leftChars="0" w:left="480" w:right="0"/>
      </w:pPr>
      <w:r>
        <w:t>Χειρισμός διόρθωσης της ονομασίας με υποβολή στις 2/5/2023</w:t>
      </w:r>
    </w:p>
    <w:p>
      <w:pPr>
        <w:pStyle w:val="ListNumber"/>
        <w:numPr>
          <w:ilvl w:val="0"/>
          <w:numId w:val="12"/>
        </w:numPr>
        <w:ind w:leftChars="0" w:left="480" w:right="0"/>
      </w:pPr>
      <w:r>
        <w:t>Χειρισμός προσθήκης ΠΜ με υποβολή στις 2/6/2023</w:t>
      </w:r>
    </w:p>
    <w:p>
      <w:pPr>
        <w:pStyle w:val="ListNumber"/>
        <w:numPr>
          <w:ilvl w:val="0"/>
          <w:numId w:val="12"/>
        </w:numPr>
        <w:ind w:leftChars="0" w:left="480" w:right="0"/>
      </w:pPr>
      <w:r>
        <w:t>Χειρισμός αλλαγής διαχειρίστριας εταιρείας με υποβολή στις 2/7/2023</w:t>
      </w:r>
    </w:p>
    <w:bookmarkEnd w:id="440"/>
    <w:bookmarkStart w:id="441" w:name="_777ffecdc6901d4e5261684fa580e505"/>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3"/>
        </w:numPr>
        <w:ind w:leftChars="0" w:left="480" w:right="0"/>
      </w:pPr>
      <w:r>
        <w:t>Αρχική υποβολή στις 2/1/2023</w:t>
      </w:r>
    </w:p>
    <w:p>
      <w:pPr>
        <w:pStyle w:val="ListNumber"/>
        <w:numPr>
          <w:ilvl w:val="0"/>
          <w:numId w:val="13"/>
        </w:numPr>
        <w:ind w:leftChars="0" w:left="480" w:right="0"/>
      </w:pPr>
      <w:r>
        <w:t>Χειρισμός αλλαγής ονομασίας και διεύθυνσης με υποβολή στις 2/4/2023</w:t>
      </w:r>
    </w:p>
    <w:p>
      <w:pPr>
        <w:pStyle w:val="ListNumber"/>
        <w:numPr>
          <w:ilvl w:val="0"/>
          <w:numId w:val="13"/>
        </w:numPr>
        <w:ind w:leftChars="0" w:left="480" w:right="0"/>
      </w:pPr>
      <w:r>
        <w:t>Χειρισμός διόρθωσης της ονομασίας με υποβολή στις 2/5/2023</w:t>
      </w:r>
    </w:p>
    <w:bookmarkStart w:id="442" w:name="_de050a8ce33d754d66b25aa13d84ac5d"/>
    <w:p>
      <w:pPr>
        <w:pStyle w:val="Heading 6"/>
        <w:keepNext/>
      </w:pPr>
      <w:r>
        <w:t>ΠΑΡΑΔΕΙΓΜΑΤΑ</w:t>
      </w:r>
    </w:p>
    <w:p>
      <w:pPr>
        <w:pStyle w:val="Body Text"/>
        <w:ind w:leftChars="0" w:left="0" w:right="0"/>
      </w:pPr>
      <w:r>
        <w:t>Στοιχεία από ΜΠΣ που αποτελεί ΠΜ.</w:t>
      </w:r>
    </w:p>
    <w:p>
      <w:pPr>
        <w:pStyle w:val="ListNumber"/>
        <w:numPr>
          <w:ilvl w:val="0"/>
          <w:numId w:val="14"/>
        </w:numPr>
        <w:ind w:leftChars="0" w:left="480" w:right="0"/>
      </w:pPr>
      <w:r>
        <w:t>Αρχική υποβολή στις 2/1/2023</w:t>
      </w:r>
    </w:p>
    <w:p>
      <w:pPr>
        <w:pStyle w:val="ListNumber"/>
        <w:numPr>
          <w:ilvl w:val="0"/>
          <w:numId w:val="14"/>
        </w:numPr>
        <w:ind w:leftChars="0" w:left="480" w:right="0"/>
      </w:pPr>
      <w:r>
        <w:t>Χειρισμός διόρθωσης με υποβολή στις 2/4/2023</w:t>
      </w:r>
    </w:p>
    <w:p>
      <w:pPr>
        <w:pStyle w:val="ListNumber"/>
        <w:numPr>
          <w:ilvl w:val="0"/>
          <w:numId w:val="14"/>
        </w:numPr>
        <w:ind w:leftChars="0" w:left="480" w:right="0"/>
      </w:pPr>
      <w:r>
        <w:t>Χειρισμός νέου τίτλου που δημιουργήθηκε από μετατροπή δανείου σε ομόλογο με υποβολή στις 2/4/2023</w:t>
      </w:r>
    </w:p>
    <w:bookmarkEnd w:id="442"/>
    <w:bookmarkStart w:id="443" w:name="_effcaecbc46005a79302d99de4be54f5"/>
    <w:p>
      <w:pPr>
        <w:pStyle w:val="Heading 6"/>
        <w:keepNext/>
      </w:pPr>
      <w:r>
        <w:t>ΠΑΡΑΔΕΙΓΜΑΤΑ</w:t>
      </w:r>
    </w:p>
    <w:p>
      <w:pPr>
        <w:pStyle w:val="Body Text"/>
        <w:ind w:leftChars="0" w:left="0" w:right="0"/>
      </w:pPr>
      <w:r>
        <w:t>Στοιχεία από ΜΠΣ που αποτελεί ΠΜ.</w:t>
      </w:r>
    </w:p>
    <w:p>
      <w:pPr>
        <w:pStyle w:val="ListNumber"/>
        <w:numPr>
          <w:ilvl w:val="0"/>
          <w:numId w:val="15"/>
        </w:numPr>
        <w:ind w:leftChars="0" w:left="480" w:right="0"/>
      </w:pPr>
      <w:r>
        <w:t>Αρχική υποβολή στις 2/1/2023</w:t>
      </w:r>
    </w:p>
    <w:p>
      <w:pPr>
        <w:pStyle w:val="ListNumber"/>
        <w:numPr>
          <w:ilvl w:val="0"/>
          <w:numId w:val="15"/>
        </w:numPr>
        <w:ind w:leftChars="0" w:left="480" w:right="0"/>
      </w:pPr>
      <w:r>
        <w:t>Χειρισμός διόρθωσης με υποβολή στις 2/4/2023</w:t>
      </w:r>
    </w:p>
    <w:p>
      <w:pPr>
        <w:pStyle w:val="ListNumber"/>
        <w:numPr>
          <w:ilvl w:val="0"/>
          <w:numId w:val="15"/>
        </w:numPr>
        <w:ind w:leftChars="0" w:left="480" w:right="0"/>
      </w:pPr>
      <w:r>
        <w:t>Χειρισμός νέου τίτλου με υποβολή στις 2/4/2023</w:t>
      </w:r>
    </w:p>
    <w:p>
      <w:pPr>
        <w:pStyle w:val="ListNumber"/>
        <w:numPr>
          <w:ilvl w:val="0"/>
          <w:numId w:val="15"/>
        </w:numPr>
        <w:ind w:leftChars="0" w:left="480" w:right="0"/>
      </w:pPr>
      <w:r>
        <w:t>Χειρισμός νέου τίτλου με υποβολή στις 2/6/2023</w:t>
      </w:r>
    </w:p>
    <w:p>
      <w:pPr>
        <w:pStyle w:val="ListNumber"/>
        <w:numPr>
          <w:ilvl w:val="0"/>
          <w:numId w:val="15"/>
        </w:numPr>
        <w:ind w:leftChars="0" w:left="480" w:right="0"/>
      </w:pPr>
      <w:r>
        <w:t>Χειρισμός μεταβολής με υποβολή στις 2/7/2023</w:t>
      </w:r>
    </w:p>
    <w:bookmarkEnd w:id="443"/>
    <w:bookmarkStart w:id="444" w:name="_207ccd0fdc297602bbf29fc844e405f2"/>
    <w:p>
      <w:pPr>
        <w:pStyle w:val="Heading 6"/>
        <w:keepNext/>
      </w:pPr>
      <w:r>
        <w:t>ΠΑΡΑΔΕΙΓΜΑΤΑ</w:t>
      </w:r>
    </w:p>
    <w:bookmarkEnd w:id="444"/>
    <w:bookmarkEnd w:id="441"/>
    <w:bookmarkStart w:id="445" w:name="_f5b137c10abd1d6d2bf92baac790230f"/>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6"/>
        </w:numPr>
        <w:ind w:leftChars="0" w:left="480" w:right="0"/>
      </w:pPr>
      <w:r>
        <w:t>Αρχική υποβολή στις 2/1/2023</w:t>
      </w:r>
    </w:p>
    <w:p>
      <w:pPr>
        <w:pStyle w:val="ListNumber"/>
        <w:numPr>
          <w:ilvl w:val="0"/>
          <w:numId w:val="16"/>
        </w:numPr>
        <w:ind w:leftChars="0" w:left="480" w:right="0"/>
      </w:pPr>
      <w:r>
        <w:t>Χειρισμός συγχώνευσης με υποβολή στις 2/4/2023</w:t>
      </w:r>
    </w:p>
    <w:p>
      <w:pPr>
        <w:pStyle w:val="ListNumber"/>
        <w:numPr>
          <w:ilvl w:val="0"/>
          <w:numId w:val="16"/>
        </w:numPr>
        <w:ind w:leftChars="0" w:left="480" w:right="0"/>
      </w:pPr>
      <w:r>
        <w:t>Χειρισμός διόρθωσης της ημερομηνίας σύστασης με υποβολή στις 2/5/2023</w:t>
      </w:r>
    </w:p>
    <w:p>
      <w:pPr>
        <w:pStyle w:val="ListNumber"/>
        <w:numPr>
          <w:ilvl w:val="0"/>
          <w:numId w:val="16"/>
        </w:numPr>
        <w:ind w:leftChars="0" w:left="480" w:right="0"/>
      </w:pPr>
      <w:r>
        <w:t>Χειρισμός προσθήκης ΠΜ με υποβολή στις 2/6/2023</w:t>
      </w:r>
    </w:p>
    <w:bookmarkEnd w:id="445"/>
    <w:bookmarkStart w:id="446" w:name="_70610fc0515ba5138ddb8f18c71b170a"/>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7"/>
        </w:numPr>
        <w:ind w:leftChars="0" w:left="480" w:right="0"/>
      </w:pPr>
      <w:r>
        <w:t>Αρχική υποβολή στις 2/1/2023</w:t>
      </w:r>
    </w:p>
    <w:p>
      <w:pPr>
        <w:pStyle w:val="ListNumber"/>
        <w:numPr>
          <w:ilvl w:val="0"/>
          <w:numId w:val="17"/>
        </w:numPr>
        <w:ind w:leftChars="0" w:left="480" w:right="0"/>
      </w:pPr>
      <w:r>
        <w:t>Χειρισμός διόρθωσης της ημερομηνίας σύστασης με υποβολή στις 2/4/2023</w:t>
      </w:r>
    </w:p>
    <w:p>
      <w:pPr>
        <w:pStyle w:val="ListNumber"/>
        <w:numPr>
          <w:ilvl w:val="0"/>
          <w:numId w:val="17"/>
        </w:numPr>
        <w:ind w:leftChars="0" w:left="480" w:right="0"/>
      </w:pPr>
      <w:r>
        <w:t>Χειρισμός συγχώνευσης με υποβολή στις 2/5/2023</w:t>
      </w:r>
    </w:p>
    <w:bookmarkEnd w:id="446"/>
    <w:bookmarkEnd w:id="436"/>
    <w:bookmarkEnd w:id="435"/>
    <w:bookmarkEnd w:id="387"/>
    <w:bookmarkEnd w:id="386"/>
    <w:bookmarkEnd w:id="385"/>
    <w:bookmarkStart w:id="447" w:name="_1286127b186296dde5352963dc0e24ae"/>
    <w:bookmarkStart w:id="448" w:name="_525fbb7c3a0a22da70010cfe9ba7c12d"/>
    <w:p>
      <w:pPr>
        <w:pStyle w:val="Heading3"/>
        <w:keepNext/>
      </w:pPr>
      <w:r>
        <w:t>Αναγνωριστικοί κωδικοί</w:t>
      </w:r>
    </w:p>
    <w:p>
      <w:pPr>
        <w:pStyle w:val="Body Text"/>
        <w:ind w:leftChars="0" w:left="0" w:right="0"/>
      </w:pPr>
      <w:r>
        <w:t>Στις παρακάτω ενότητες περιγράφεται η δομή των αναγνωριστικών κωδικών που χρησιμοποιούνται για την αναγνώριση οντοτήτων.</w:t>
      </w:r>
    </w:p>
    <w:p>
      <w:pPr>
        <w:pStyle w:val="Body Text"/>
        <w:ind w:leftChars="0" w:left="0" w:right="0"/>
      </w:pPr>
      <w:r>
        <w:t>Όταν στον μορφότυπο των παρακάτω κωδικών μια λέξη περικλείεται με άγκιστρα τότε αυτή η λέξη είναι η ονομασία της θέσης που αντικαθίσταται με το πραγματικό περιεχόμενο όταν διαμορφώνεται ο κωδικός (</w:t>
      </w:r>
      <w:hyperlink w:anchor="_d34956c2f00eba286d2ae7c19af8ee37">
        <w:r>
          <w:rPr>
            <w:rStyle w:val="Hyperlink"/>
          </w:rPr>
          <w:t>Αλφαριθμητικές τιμές</w:t>
        </w:r>
      </w:hyperlink>
      <w:r>
        <w:t xml:space="preserve">).  Η θέση </w:t>
      </w:r>
      <w:r>
        <w:rPr>
          <w:rFonts w:ascii="Consolas" w:eastAsia="ＭＳ ゴシック" w:hansitheme="majorhansi"/>
          <w:color w:val="E74C3C"/>
          <w:sz w:val="20"/>
          <w:szCs w:val="20"/>
          <w:noProof/>
        </w:rPr>
        <w:t>ESCB_ID</w:t>
      </w:r>
      <w:r>
        <w:t xml:space="preserve"> αναφέρεται στον αναγνωριστικό κωδικό </w:t>
      </w:r>
      <w:r>
        <w:rPr>
          <w:rFonts w:ascii="Consolas" w:eastAsia="ＭＳ ゴシック" w:hansitheme="majorhansi"/>
          <w:color w:val="E74C3C"/>
          <w:sz w:val="20"/>
          <w:szCs w:val="20"/>
          <w:noProof/>
        </w:rPr>
        <w:t>ESCB_ID</w:t>
      </w:r>
      <w:r>
        <w:t xml:space="preserve"> της </w:t>
      </w:r>
      <w:r>
        <w:rPr>
          <w:rFonts w:ascii="Consolas" w:eastAsia="ＭＳ ゴシック" w:hansitheme="majorhansi"/>
          <w:color w:val="E74C3C"/>
          <w:sz w:val="20"/>
          <w:szCs w:val="20"/>
          <w:noProof/>
        </w:rPr>
        <w:t>ΜΠΣ</w:t>
      </w:r>
      <w:r>
        <w:t xml:space="preserve"> και οι τιμές του για κάθε </w:t>
      </w:r>
      <w:r>
        <w:rPr>
          <w:rFonts w:ascii="Consolas" w:eastAsia="ＭＳ ゴシック" w:hansitheme="majorhansi"/>
          <w:color w:val="E74C3C"/>
          <w:sz w:val="20"/>
          <w:szCs w:val="20"/>
          <w:noProof/>
        </w:rPr>
        <w:t>ΜΠΣ</w:t>
      </w:r>
      <w:r>
        <w:t xml:space="preserve"> δίδονται στο </w:t>
      </w:r>
      <w:hyperlink w:anchor="_03cd726c601b96c034fcfe957a2734de">
        <w:r>
          <w:rPr>
            <w:rStyle w:val="Hyperlink"/>
          </w:rPr>
          <w:t>Μονάδες Παροχής Στοιχείων</w:t>
        </w:r>
      </w:hyperlink>
      <w:r>
        <w:t>.</w:t>
      </w:r>
    </w:p>
    <w:p>
      <w:pPr>
        <w:pStyle w:val="Body Text"/>
        <w:ind w:leftChars="0" w:left="0" w:right="0"/>
      </w:pPr>
      <w:r>
        <w:t xml:space="preserve">Σε περίπτωση αλλαγής της </w:t>
      </w:r>
      <w:r>
        <w:rPr>
          <w:rFonts w:ascii="Consolas" w:eastAsia="ＭＳ ゴシック" w:hansitheme="majorhansi"/>
          <w:color w:val="E74C3C"/>
          <w:sz w:val="20"/>
          <w:szCs w:val="20"/>
          <w:noProof/>
        </w:rPr>
        <w:t>ΜΠΣ</w:t>
      </w:r>
      <w:r>
        <w:t xml:space="preserve"> για μία </w:t>
      </w:r>
      <w:r>
        <w:rPr>
          <w:rFonts w:ascii="Consolas" w:eastAsia="ＭＳ ゴシック" w:hansitheme="majorhansi"/>
          <w:color w:val="E74C3C"/>
          <w:sz w:val="20"/>
          <w:szCs w:val="20"/>
          <w:noProof/>
        </w:rPr>
        <w:t>ΠΜ</w:t>
      </w:r>
      <w:r>
        <w:t xml:space="preserve"> τότε η νέα </w:t>
      </w:r>
      <w:r>
        <w:rPr>
          <w:rFonts w:ascii="Consolas" w:eastAsia="ＭＳ ゴシック" w:hansitheme="majorhansi"/>
          <w:color w:val="E74C3C"/>
          <w:sz w:val="20"/>
          <w:szCs w:val="20"/>
          <w:noProof/>
        </w:rPr>
        <w:t>ΜΠΣ</w:t>
      </w:r>
      <w:r>
        <w:t xml:space="preserve"> θα πρέπει να συσχετίσει τους εσωτερικούς κωδικούς της προηγουμένης </w:t>
      </w:r>
      <w:r>
        <w:rPr>
          <w:rFonts w:ascii="Consolas" w:eastAsia="ＭＳ ゴシック" w:hansitheme="majorhansi"/>
          <w:color w:val="E74C3C"/>
          <w:sz w:val="20"/>
          <w:szCs w:val="20"/>
          <w:noProof/>
        </w:rPr>
        <w:t>ΜΠΣ</w:t>
      </w:r>
      <w:r>
        <w:t xml:space="preserve"> με νέους κωδικούς που αποδίδει η νέα </w:t>
      </w:r>
      <w:r>
        <w:rPr>
          <w:rFonts w:ascii="Consolas" w:eastAsia="ＭＳ ゴシック" w:hansitheme="majorhansi"/>
          <w:color w:val="E74C3C"/>
          <w:sz w:val="20"/>
          <w:szCs w:val="20"/>
          <w:noProof/>
        </w:rPr>
        <w:t>ΜΠΣ</w:t>
      </w:r>
      <w:r>
        <w:t>.</w:t>
      </w:r>
    </w:p>
    <w:bookmarkStart w:id="449" w:name="_99f2ef9e87f68849087a15b72cb02467"/>
    <w:bookmarkStart w:id="450" w:name="_8580563e95f03f28f1cff274cce971e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w:t>
      </w:r>
      <w:r>
        <w:rPr>
          <w:b/>
          <w:bCs/>
        </w:rPr>
        <w:t>ORG</w:t>
      </w:r>
      <w:r>
        <w:t>.</w:t>
      </w:r>
    </w:p>
    <w:p>
      <w:pPr>
        <w:pStyle w:val="Body Text"/>
        <w:ind w:leftChars="0" w:left="0" w:right="0"/>
      </w:pPr>
      <w:r>
        <w:t xml:space="preserve">Η θεσμική μονάδα ορίζεται στο κεφάλαιο 2 του </w:t>
      </w:r>
      <w:r>
        <w:rPr>
          <w:b/>
          <w:bCs/>
        </w:rPr>
        <w:t>ESA2010</w:t>
      </w:r>
      <w:r>
        <w:t>.</w:t>
      </w:r>
    </w:p>
    <w:p>
      <w:pPr>
        <w:pStyle w:val="Body Text"/>
        <w:ind w:leftChars="0" w:left="0" w:right="0"/>
      </w:pPr>
      <w:r>
        <w:t xml:space="preserve">Για θεσμικές μονάδες που δεν είναι νοικοκυριά ο πρώτος από τους ακόλουθους αναγνωριστικούς κωδικούς που είναι διαθέσιμος θεωρείται ο κωδικός </w:t>
      </w:r>
      <w:r>
        <w:rPr>
          <w:b/>
          <w:bCs/>
        </w:rPr>
        <w:t>ORG</w:t>
      </w:r>
      <w:r>
        <w:t>:</w:t>
      </w:r>
    </w:p>
    <w:p>
      <w:pPr>
        <w:pStyle w:val="ListNumber"/>
        <w:numPr>
          <w:ilvl w:val="0"/>
          <w:numId w:val="18"/>
        </w:numPr>
        <w:ind w:leftChars="0" w:left="480" w:right="0"/>
      </w:pPr>
      <w:r>
        <w:t xml:space="preserve">Ο αναγνωριστικός κωδικός θεσμικής μονάδας του Ευρωπαϊκού Συστήματος Κεντρικών Τραπεζών με τη κωδική ονομασία </w:t>
      </w:r>
      <w:r>
        <w:rPr>
          <w:b/>
          <w:bCs/>
        </w:rPr>
        <w:t>ESCB_ID</w:t>
      </w:r>
      <w:r>
        <w:t xml:space="preserve">.  Επίσης έχει και την κωδική ονομασία </w:t>
      </w:r>
      <w:r>
        <w:rPr>
          <w:b/>
          <w:bCs/>
        </w:rPr>
        <w:t>RIAD_ID</w:t>
      </w:r>
      <w:r>
        <w:t xml:space="preserve">. Ο κωδικός έχει τη μορφή </w:t>
      </w:r>
      <w:r>
        <w:rPr>
          <w:rFonts w:ascii="Consolas" w:eastAsia="ＭＳ ゴシック" w:hansitheme="majorhansi"/>
          <w:color w:val="E74C3C"/>
          <w:sz w:val="20"/>
          <w:szCs w:val="20"/>
          <w:noProof/>
        </w:rPr>
        <w:t>E{ESCB_ID}</w:t>
      </w:r>
      <w:r>
        <w:t xml:space="preserve">.  Για παράδειγμα o κωδικός της </w:t>
      </w:r>
      <w:r>
        <w:rPr>
          <w:rFonts w:ascii="Consolas" w:eastAsia="ＭＳ ゴシック" w:hansitheme="majorhansi"/>
          <w:color w:val="E74C3C"/>
          <w:sz w:val="20"/>
          <w:szCs w:val="20"/>
          <w:noProof/>
        </w:rPr>
        <w:t>Eurobank ΑΕΔΑΚ</w:t>
      </w:r>
      <w:r>
        <w:t xml:space="preserve"> είναι ο </w:t>
      </w:r>
      <w:r>
        <w:rPr>
          <w:rFonts w:ascii="Consolas" w:eastAsia="ＭＳ ゴシック" w:hansitheme="majorhansi"/>
          <w:color w:val="E74C3C"/>
          <w:sz w:val="20"/>
          <w:szCs w:val="20"/>
          <w:noProof/>
        </w:rPr>
        <w:t>EGRMFMC010</w:t>
      </w:r>
      <w:r>
        <w:t xml:space="preserve"> και του </w:t>
      </w:r>
      <w:r>
        <w:rPr>
          <w:rFonts w:ascii="Consolas" w:eastAsia="ＭＳ ゴシック" w:hansitheme="majorhansi"/>
          <w:color w:val="E74C3C"/>
          <w:sz w:val="20"/>
          <w:szCs w:val="20"/>
          <w:noProof/>
        </w:rPr>
        <w:t>ΔΗΛΟΣ SYNTHESIS Best Red - Fund of Funds Μετοχικό</w:t>
      </w:r>
      <w:r>
        <w:t xml:space="preserve"> είναι ο </w:t>
      </w:r>
      <w:r>
        <w:rPr>
          <w:rFonts w:ascii="Consolas" w:eastAsia="ＭＳ ゴシック" w:hansitheme="majorhansi"/>
          <w:color w:val="E74C3C"/>
          <w:sz w:val="20"/>
          <w:szCs w:val="20"/>
          <w:noProof/>
        </w:rPr>
        <w:t>EGRAK00118</w:t>
      </w:r>
      <w:r>
        <w:t xml:space="preserve">.  Στον σύνδεσμο </w:t>
      </w:r>
      <w:hyperlink xmlns:r="http://schemas.openxmlformats.org/officeDocument/2006/relationships" r:id="rId21">
        <w:r>
          <w:rPr>
            <w:rStyle w:val="Hyperlink"/>
          </w:rPr>
          <w:t>Lists of financial institutions</w:t>
        </w:r>
      </w:hyperlink>
      <w:r>
        <w:t xml:space="preserve"> δίνονται κατάλογοι χρηματοπιστωτικών ιδρυμάτων όπου ως στήλη </w:t>
      </w:r>
      <w:r>
        <w:rPr>
          <w:b/>
          <w:bCs/>
        </w:rPr>
        <w:t>ID</w:t>
      </w:r>
      <w:r>
        <w:t xml:space="preserve"> δίνεται ο κωδικός </w:t>
      </w:r>
      <w:r>
        <w:rPr>
          <w:b/>
          <w:bCs/>
        </w:rPr>
        <w:t>ESCB_ID</w:t>
      </w:r>
      <w:r>
        <w:t>.</w:t>
      </w:r>
    </w:p>
    <w:p>
      <w:pPr>
        <w:pStyle w:val="ListNumber"/>
        <w:numPr>
          <w:ilvl w:val="0"/>
          <w:numId w:val="18"/>
        </w:numPr>
        <w:ind w:leftChars="0" w:left="480" w:right="0"/>
      </w:pPr>
      <w:r>
        <w:t>Ο αναγνωριστικός κωδικός νομικής οντότητας (</w:t>
      </w:r>
      <w:r>
        <w:rPr>
          <w:rFonts w:ascii="Consolas" w:eastAsia="ＭＳ ゴシック" w:hansitheme="majorhansi"/>
          <w:color w:val="E74C3C"/>
          <w:sz w:val="20"/>
          <w:szCs w:val="20"/>
          <w:noProof/>
        </w:rPr>
        <w:t>LEI_ID</w:t>
      </w:r>
      <w:r>
        <w:t xml:space="preserve">) της  μορφής </w:t>
      </w:r>
      <w:r>
        <w:rPr>
          <w:rFonts w:ascii="Consolas" w:eastAsia="ＭＳ ゴシック" w:hansitheme="majorhansi"/>
          <w:color w:val="E74C3C"/>
          <w:sz w:val="20"/>
          <w:szCs w:val="20"/>
          <w:noProof/>
        </w:rPr>
        <w:t>L{LEI}</w:t>
      </w:r>
      <w:r>
        <w:t xml:space="preserve"> όπου η θέση </w:t>
      </w:r>
      <w:r>
        <w:rPr>
          <w:rFonts w:ascii="Consolas" w:eastAsia="ＭＳ ゴシック" w:hansitheme="majorhansi"/>
          <w:color w:val="E74C3C"/>
          <w:sz w:val="20"/>
          <w:szCs w:val="20"/>
          <w:noProof/>
        </w:rPr>
        <w:t>LEI</w:t>
      </w:r>
      <w:r>
        <w:t xml:space="preserve"> αντικαθίσταται με τον κωδικό που έχει εκδοθεί σύμφωνα με το πρότυπο ISO-17442.  Για παράδειγμα ο κωδικός του </w:t>
      </w:r>
      <w:r>
        <w:rPr>
          <w:rFonts w:ascii="Consolas" w:eastAsia="ＭＳ ゴシック" w:hansitheme="majorhansi"/>
          <w:color w:val="E74C3C"/>
          <w:sz w:val="20"/>
          <w:szCs w:val="20"/>
          <w:noProof/>
        </w:rPr>
        <w:t>EUROBANK GF Global Equities Μετοχικό Εξωτερικού</w:t>
      </w:r>
      <w:r>
        <w:t xml:space="preserve"> είναι ο </w:t>
      </w:r>
      <w:r>
        <w:rPr>
          <w:rFonts w:ascii="Consolas" w:eastAsia="ＭＳ ゴシック" w:hansitheme="majorhansi"/>
          <w:color w:val="E74C3C"/>
          <w:sz w:val="20"/>
          <w:szCs w:val="20"/>
          <w:noProof/>
        </w:rPr>
        <w:t>L213800LKCZH28UVU8H60</w:t>
      </w:r>
      <w:r>
        <w:t>.</w:t>
      </w:r>
    </w:p>
    <w:p>
      <w:pPr>
        <w:pStyle w:val="ListNumber"/>
        <w:numPr>
          <w:ilvl w:val="0"/>
          <w:numId w:val="18"/>
        </w:numPr>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Προντέα ΑΕΕΑΠ</w:t>
      </w:r>
      <w:r>
        <w:t xml:space="preserve"> είναι ο </w:t>
      </w:r>
      <w:r>
        <w:rPr>
          <w:rFonts w:ascii="Consolas" w:eastAsia="ＭＳ ゴシック" w:hansitheme="majorhansi"/>
          <w:color w:val="E74C3C"/>
          <w:sz w:val="20"/>
          <w:szCs w:val="20"/>
          <w:noProof/>
        </w:rPr>
        <w:t>TGR099555020</w:t>
      </w:r>
      <w:r>
        <w:t>.</w:t>
      </w:r>
    </w:p>
    <w:p>
      <w:pPr>
        <w:pStyle w:val="ListNumber"/>
        <w:numPr>
          <w:ilvl w:val="0"/>
          <w:numId w:val="18"/>
        </w:numPr>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Β{CC}{CODE}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ΝΟΒΑΛ ΠΡΟΠΕΡΤΥ ΑΕΕΑΠ</w:t>
      </w:r>
      <w:r>
        <w:t xml:space="preserve"> είναι ο </w:t>
      </w:r>
      <w:r>
        <w:rPr>
          <w:rFonts w:ascii="Consolas" w:eastAsia="ＭＳ ゴシック" w:hansitheme="majorhansi"/>
          <w:color w:val="E74C3C"/>
          <w:sz w:val="20"/>
          <w:szCs w:val="20"/>
          <w:noProof/>
        </w:rPr>
        <w:t>BGR15232160000</w:t>
      </w:r>
      <w:r>
        <w:t>.</w:t>
      </w:r>
    </w:p>
    <w:p>
      <w:pPr>
        <w:pStyle w:val="ListNumber"/>
        <w:numPr>
          <w:ilvl w:val="0"/>
          <w:numId w:val="18"/>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p>
      <w:pPr>
        <w:pStyle w:val="Body Text"/>
        <w:ind w:leftChars="0" w:left="0" w:right="0"/>
      </w:pPr>
      <w:r>
        <w:t xml:space="preserve">Για θεσμικές μονάδες που είναι νοικοκυριά ο κωδικός </w:t>
      </w:r>
      <w:r>
        <w:rPr>
          <w:rFonts w:ascii="Consolas" w:eastAsia="ＭＳ ゴシック" w:hansitheme="majorhansi"/>
          <w:color w:val="E74C3C"/>
          <w:sz w:val="20"/>
          <w:szCs w:val="20"/>
          <w:noProof/>
        </w:rPr>
        <w:t>ORG</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από τον αναγνωριστικό κωδικό που έχει αποδώσει η </w:t>
      </w:r>
      <w:r>
        <w:rPr>
          <w:rFonts w:ascii="Consolas" w:eastAsia="ＭＳ ゴシック" w:hansitheme="majorhansi"/>
          <w:color w:val="E74C3C"/>
          <w:sz w:val="20"/>
          <w:szCs w:val="20"/>
          <w:noProof/>
        </w:rPr>
        <w:t>ΜΠΣ</w:t>
      </w:r>
      <w:r>
        <w:t xml:space="preserve"> στο νοικοκυριό χωρίς όμως να μπορεί να αναγνωρισθεί το συγκεκριμένο νοικοκυριό εκτός της </w:t>
      </w:r>
      <w:r>
        <w:rPr>
          <w:rFonts w:ascii="Consolas" w:eastAsia="ＭＳ ゴシック" w:hansitheme="majorhansi"/>
          <w:color w:val="E74C3C"/>
          <w:sz w:val="20"/>
          <w:szCs w:val="20"/>
          <w:noProof/>
        </w:rPr>
        <w:t>ΜΠΣ</w:t>
      </w:r>
      <w:r>
        <w:t xml:space="preserve">, π.χ. </w:t>
      </w:r>
      <w:r>
        <w:rPr>
          <w:rFonts w:ascii="Consolas" w:eastAsia="ＭＳ ゴシック" w:hansitheme="majorhansi"/>
          <w:color w:val="E74C3C"/>
          <w:sz w:val="20"/>
          <w:szCs w:val="20"/>
          <w:noProof/>
        </w:rPr>
        <w:t>PGRMFMC000_H1</w:t>
      </w:r>
      <w:r>
        <w:t>.</w:t>
      </w:r>
    </w:p>
    <w:bookmarkEnd w:id="449"/>
    <w:bookmarkEnd w:id="450"/>
    <w:bookmarkStart w:id="451" w:name="_96e26cd79def45e1a23806b51f1f9291"/>
    <w:bookmarkStart w:id="452" w:name="_e36674d501f2c08b03ff0219ceb9682b"/>
    <w:p>
      <w:pPr>
        <w:pStyle w:val="Heading4"/>
        <w:keepNext/>
      </w:pPr>
      <w:r>
        <w:t>PSN (φυσικό πρόσωπο)</w:t>
      </w:r>
    </w:p>
    <w:p>
      <w:pPr>
        <w:pStyle w:val="Body Text"/>
        <w:ind w:leftChars="0" w:left="0" w:right="0"/>
      </w:pPr>
      <w:r>
        <w:t xml:space="preserve">Ο αναγνωριστικός κωδικός ενός προσώπου που είτε αποστέλλει είτε λαμβάνει αρχεία είτε είναι μέλος ενός νοικοκυριού αναφέρεται ως ο κωδικός </w:t>
      </w:r>
      <w:r>
        <w:rPr>
          <w:b/>
          <w:bCs/>
        </w:rPr>
        <w:t>PSN</w:t>
      </w:r>
      <w:r>
        <w:t>.</w:t>
      </w:r>
    </w:p>
    <w:p>
      <w:pPr>
        <w:pStyle w:val="Body Text"/>
        <w:ind w:leftChars="0" w:left="0" w:right="0"/>
      </w:pPr>
      <w:r>
        <w:t xml:space="preserve">Ως αναγνωριστικός κωδικός </w:t>
      </w:r>
      <w:r>
        <w:rPr>
          <w:b/>
          <w:bCs/>
        </w:rPr>
        <w:t>PSN</w:t>
      </w:r>
      <w:r>
        <w:t xml:space="preserve"> ορίζεται ο αναγνωριστικός κωδικός που του έχει αποδωθεί από το πληροφοριακό σύστημα IRIS της ΤτΕ.</w:t>
      </w:r>
    </w:p>
    <w:bookmarkEnd w:id="451"/>
    <w:bookmarkEnd w:id="452"/>
    <w:bookmarkStart w:id="453" w:name="_f011dce9af42168b667edbf06a1ecd71"/>
    <w:bookmarkStart w:id="454" w:name="_eb28e4aa358e8139477f7ace67f7f026"/>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5.79 έως και 5.88 με την διευκρίνηση ότι οι συμφωνίες επαναγοράς (repos) περιλαμβάνονται στο </w:t>
      </w:r>
      <w:hyperlink w:anchor="_75073282425b3fd460b0b9977667b851">
        <w:r>
          <w:rPr>
            <w:rStyle w:val="Hyperlink"/>
          </w:rPr>
          <w:t>sft</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9"/>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rFonts w:ascii="Consolas" w:eastAsia="ＭＳ ゴシック" w:hansitheme="majorhansi"/>
          <w:color w:val="E74C3C"/>
          <w:sz w:val="20"/>
          <w:szCs w:val="20"/>
          <w:noProof/>
        </w:rPr>
        <w:t>CODE</w:t>
      </w:r>
      <w:r>
        <w:t xml:space="preserve"> αντικαθίσταται με το ΙΒΑΝ κωδικό</w:t>
      </w:r>
    </w:p>
    <w:p>
      <w:pPr>
        <w:pStyle w:val="ListNumber"/>
        <w:numPr>
          <w:ilvl w:val="0"/>
          <w:numId w:val="19"/>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στον καταθετικό λογαριασμό, π.χ. </w:t>
      </w:r>
      <w:r>
        <w:rPr>
          <w:rFonts w:ascii="Consolas" w:eastAsia="ＭＳ ゴシック" w:hansitheme="majorhansi"/>
          <w:color w:val="E74C3C"/>
          <w:sz w:val="20"/>
          <w:szCs w:val="20"/>
          <w:noProof/>
        </w:rPr>
        <w:t>PGRMFMC000_DEP1</w:t>
      </w:r>
      <w:r>
        <w:t>.</w:t>
      </w:r>
    </w:p>
    <w:bookmarkEnd w:id="453"/>
    <w:bookmarkEnd w:id="454"/>
    <w:bookmarkStart w:id="455" w:name="_75073282425b3fd460b0b9977667b851"/>
    <w:bookmarkStart w:id="456" w:name="_58f1b6bb62d466c0f8757a40fbabafeb"/>
    <w:p>
      <w:pPr>
        <w:pStyle w:val="Heading4"/>
        <w:keepNext/>
      </w:pPr>
      <w:r>
        <w:t>SFT (πράξη χρηματοδότησης χρεογράφων)</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w:t>
      </w:r>
    </w:p>
    <w:p>
      <w:pPr>
        <w:pStyle w:val="Body Text"/>
        <w:ind w:leftChars="0" w:left="0" w:right="0"/>
      </w:pPr>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rPr>
          <w:rFonts w:ascii="Consolas" w:eastAsia="ＭＳ ゴシック" w:hansitheme="majorhansi"/>
          <w:color w:val="E74C3C"/>
          <w:sz w:val="20"/>
          <w:szCs w:val="20"/>
          <w:noProof/>
        </w:rP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5.126 έως και 5.133 καθώς και στον κανονισμό (EE) 2015/2365.</w:t>
      </w:r>
    </w:p>
    <w:p>
      <w:pPr>
        <w:pStyle w:val="Body Text"/>
        <w:ind w:leftChars="0" w:left="0" w:right="0"/>
      </w:pPr>
      <w:r>
        <w:t xml:space="preserve">Ο αναγνωριστικός κωδικός </w:t>
      </w:r>
      <w:r>
        <w:rPr>
          <w:b/>
          <w:bCs/>
        </w:rPr>
        <w:t>SFT</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συμφωνία χρηματοδότησης χρεογράφων , π.χ. </w:t>
      </w:r>
      <w:r>
        <w:rPr>
          <w:rFonts w:ascii="Consolas" w:eastAsia="ＭＳ ゴシック" w:hansitheme="majorhansi"/>
          <w:color w:val="E74C3C"/>
          <w:sz w:val="20"/>
          <w:szCs w:val="20"/>
          <w:noProof/>
        </w:rPr>
        <w:t>PGRMFMC000_SFT1</w:t>
      </w:r>
      <w:r>
        <w:t>.</w:t>
      </w:r>
    </w:p>
    <w:bookmarkEnd w:id="455"/>
    <w:bookmarkEnd w:id="456"/>
    <w:bookmarkStart w:id="457" w:name="_bc42454f9e0a26f44eecad8a8c695cfa"/>
    <w:bookmarkStart w:id="458" w:name="_07f0d50146125d06d633f4fc08c3ba27"/>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20"/>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20"/>
        </w:numPr>
        <w:ind w:leftChars="0" w:left="480" w:right="0"/>
      </w:pPr>
      <w:r>
        <w:t>η πρωτοβουλία λήψης δανείου προέρχεται συνήθως από το δανειζόμενο</w:t>
      </w:r>
    </w:p>
    <w:p>
      <w:pPr>
        <w:pStyle w:val="ListNumber"/>
        <w:numPr>
          <w:ilvl w:val="0"/>
          <w:numId w:val="20"/>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5.112 έως και 5.138 με την διευκρίνηση ότι ο δανεισμός αξιογράφων και οι συμφωνίες επαναγοράς περιλαμβάνονται στο </w:t>
      </w:r>
      <w:hyperlink w:anchor="_75073282425b3fd460b0b9977667b851">
        <w:r>
          <w:rPr>
            <w:rStyle w:val="Hyperlink"/>
          </w:rPr>
          <w:t>sft</w:t>
        </w:r>
      </w:hyperlink>
      <w:r>
        <w:t>.</w:t>
      </w:r>
    </w:p>
    <w:p>
      <w:pPr>
        <w:pStyle w:val="Body Text"/>
        <w:ind w:leftChars="0" w:left="0" w:right="0"/>
      </w:pPr>
      <w:r>
        <w:t xml:space="preserve">Ο αναγνωριστικός κωδικός </w:t>
      </w:r>
      <w:r>
        <w:rPr>
          <w:b/>
          <w:bCs/>
        </w:rPr>
        <w:t>LON</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δάνειο, π.χ. </w:t>
      </w:r>
      <w:r>
        <w:rPr>
          <w:rFonts w:ascii="Consolas" w:eastAsia="ＭＳ ゴシック" w:hansitheme="majorhansi"/>
          <w:color w:val="E74C3C"/>
          <w:sz w:val="20"/>
          <w:szCs w:val="20"/>
          <w:noProof/>
        </w:rPr>
        <w:t>PGRMFMC000_LON1</w:t>
      </w:r>
      <w:r>
        <w:t>.</w:t>
      </w:r>
    </w:p>
    <w:bookmarkEnd w:id="457"/>
    <w:bookmarkEnd w:id="458"/>
    <w:bookmarkStart w:id="459" w:name="_3a74f84a5b8871c9761e529a9f2ecea1"/>
    <w:bookmarkStart w:id="460" w:name="_80a502b4983408598de362ae712cf272"/>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5.89 έως και 5.111.</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21"/>
        </w:numPr>
        <w:ind w:leftChars="0" w:left="480" w:right="0"/>
      </w:pPr>
      <w:r>
        <w:t xml:space="preserve">Ο αναγνωριστικός κωδικός ISIN του χρεογράφου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1"/>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χρεόγραφο, π.χ. </w:t>
      </w:r>
      <w:r>
        <w:rPr>
          <w:rFonts w:ascii="Consolas" w:eastAsia="ＭＳ ゴシック" w:hansitheme="majorhansi"/>
          <w:color w:val="E74C3C"/>
          <w:sz w:val="20"/>
          <w:szCs w:val="20"/>
          <w:noProof/>
        </w:rPr>
        <w:t>PGRMFMC000_DBT1</w:t>
      </w:r>
      <w:r>
        <w:t>.</w:t>
      </w:r>
    </w:p>
    <w:bookmarkEnd w:id="459"/>
    <w:bookmarkEnd w:id="460"/>
    <w:bookmarkStart w:id="461" w:name="_ea0d8623fb6a23229781ffb1843de537"/>
    <w:bookmarkStart w:id="462" w:name="_4f279871cb27dad5f4acb225e8501dac"/>
    <w:p>
      <w:pPr>
        <w:pStyle w:val="Heading4"/>
        <w:keepNext/>
      </w:pPr>
      <w:r>
        <w:t>SHR (συμμετοχικός τίτλος)</w:t>
      </w:r>
    </w:p>
    <w:p>
      <w:pPr>
        <w:pStyle w:val="Body Text"/>
        <w:ind w:leftChars="0" w:left="0" w:right="0"/>
      </w:pPr>
      <w:r>
        <w:t xml:space="preserve">Ο αναγνωριστικός ενός συμμετοχικού τίτλου ή μίας μετοχής/μεριδίου επενδυτικού οργανισμού αναφέρεται ως ο κωδικός </w:t>
      </w:r>
      <w:r>
        <w:rPr>
          <w:b/>
          <w:bCs/>
        </w:rPr>
        <w:t>SHR</w:t>
      </w:r>
      <w:r>
        <w:t>.</w:t>
      </w:r>
    </w:p>
    <w:p>
      <w:pPr>
        <w:pStyle w:val="Body Text"/>
        <w:ind w:leftChars="0" w:left="0" w:right="0"/>
      </w:pPr>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22"/>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2"/>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PGRMFMC000_SHR1</w:t>
      </w:r>
      <w:r>
        <w:t>.</w:t>
      </w:r>
    </w:p>
    <w:bookmarkEnd w:id="461"/>
    <w:bookmarkEnd w:id="462"/>
    <w:bookmarkStart w:id="463" w:name="_654f7d58e88dd0ca4342249b093e0cd8"/>
    <w:bookmarkStart w:id="464" w:name="_342a7f7eab38ef7eb95c9d14d2aed4a9"/>
    <w:p>
      <w:pPr>
        <w:pStyle w:val="Heading4"/>
        <w:keepNext/>
      </w:pPr>
      <w:r>
        <w:t>EDR (διαπραγματεύσιμο χρηματοοικονομικό παράγωγο)</w:t>
      </w:r>
    </w:p>
    <w:p>
      <w:pPr>
        <w:pStyle w:val="Body Text"/>
        <w:ind w:leftChars="0" w:left="0" w:right="0"/>
      </w:pPr>
      <w:r>
        <w:t xml:space="preserve">Ο αναγνωριστικός κωδικός ενός διαπραγματεύσιμου χρηματοοικονομικού παραγώγου αναφέρεται ως ο κωδικός </w:t>
      </w:r>
      <w:r>
        <w:rPr>
          <w:b/>
          <w:bCs/>
        </w:rPr>
        <w:t>EDR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EDR</w:t>
      </w:r>
      <w:r>
        <w:t>:</w:t>
      </w:r>
    </w:p>
    <w:p>
      <w:pPr>
        <w:pStyle w:val="ListNumber"/>
        <w:numPr>
          <w:ilvl w:val="0"/>
          <w:numId w:val="23"/>
        </w:numPr>
        <w:ind w:leftChars="0" w:left="480" w:right="0"/>
      </w:pPr>
      <w:r>
        <w:t xml:space="preserve">Ο αναγνωριστικός κωδικός ISIN του διαπραγματεύσιμου χρηματοοικονομικού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3"/>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διαπραγματεύσιμο χρηματοοικονομικό παράγωγο, π.χ. </w:t>
      </w:r>
      <w:r>
        <w:rPr>
          <w:rFonts w:ascii="Consolas" w:eastAsia="ＭＳ ゴシック" w:hansitheme="majorhansi"/>
          <w:color w:val="E74C3C"/>
          <w:sz w:val="20"/>
          <w:szCs w:val="20"/>
          <w:noProof/>
        </w:rPr>
        <w:t>PGRMFMC000_EDR1</w:t>
      </w:r>
      <w:r>
        <w:t>.</w:t>
      </w:r>
    </w:p>
    <w:bookmarkEnd w:id="463"/>
    <w:bookmarkEnd w:id="464"/>
    <w:bookmarkStart w:id="465" w:name="_e974c245f7976e7b433c66886a1df68c"/>
    <w:bookmarkStart w:id="466" w:name="_dd007249050cae7f70f8a5fcc64387d8"/>
    <w:p>
      <w:pPr>
        <w:pStyle w:val="Heading4"/>
        <w:keepNext/>
      </w:pPr>
      <w:r>
        <w:t>ODR (εξωχρηματιστηριακό χρηματοοικονομικό παράγωγο)</w:t>
      </w:r>
    </w:p>
    <w:p>
      <w:pPr>
        <w:pStyle w:val="Body Text"/>
        <w:ind w:leftChars="0" w:left="0" w:right="0"/>
      </w:pPr>
      <w:r>
        <w:t xml:space="preserve">Ο αναγνωριστικός κωδικός ενός εξωχρηματιστηριακού χρηματοοικονομικού παραγώγου αναφέρεται ως ο κωδικός </w:t>
      </w:r>
      <w:r>
        <w:rPr>
          <w:b/>
          <w:bCs/>
        </w:rPr>
        <w:t>ODR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ODR</w:t>
      </w:r>
      <w:r>
        <w:t>:</w:t>
      </w:r>
    </w:p>
    <w:p>
      <w:pPr>
        <w:pStyle w:val="ListNumber"/>
        <w:numPr>
          <w:ilvl w:val="0"/>
          <w:numId w:val="24"/>
        </w:numPr>
        <w:ind w:leftChars="0" w:left="480" w:right="0"/>
      </w:pPr>
      <w:r>
        <w:t xml:space="preserve">Ο αναγνωριστικός κωδικός ISIN του εξωχρηματιστηριακού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εξωχρηματιστηριακό χρηματοοικονομικό παράγωγο, π.χ. </w:t>
      </w:r>
      <w:r>
        <w:rPr>
          <w:rFonts w:ascii="Consolas" w:eastAsia="ＭＳ ゴシック" w:hansitheme="majorhansi"/>
          <w:color w:val="E74C3C"/>
          <w:sz w:val="20"/>
          <w:szCs w:val="20"/>
          <w:noProof/>
        </w:rPr>
        <w:t>PGRMFMC000_ODR1</w:t>
      </w:r>
      <w:r>
        <w:t>.</w:t>
      </w:r>
    </w:p>
    <w:bookmarkEnd w:id="465"/>
    <w:bookmarkEnd w:id="466"/>
    <w:bookmarkStart w:id="467" w:name="_748b7c47fe6280e7d33caf8f41ae226d"/>
    <w:bookmarkStart w:id="468" w:name="_f36e64f0b3f4fbed29b1831692da019b"/>
    <w:p>
      <w:pPr>
        <w:pStyle w:val="Heading4"/>
        <w:keepNext/>
      </w:pPr>
      <w:r>
        <w:t>RRE (οικιστικό ακίνητο)</w:t>
      </w:r>
    </w:p>
    <w:p>
      <w:pPr>
        <w:pStyle w:val="Body Text"/>
        <w:ind w:leftChars="0" w:left="0" w:right="0"/>
      </w:pPr>
      <w:r>
        <w:t xml:space="preserve">Ο αναγνωριστικός ενός οικιστικού ακινήτου αναφέρεται ως ο κωδικός </w:t>
      </w:r>
      <w:r>
        <w:rPr>
          <w:b/>
          <w:bCs/>
        </w:rPr>
        <w:t>RRE</w:t>
      </w:r>
      <w:r>
        <w:t>.</w:t>
      </w:r>
    </w:p>
    <w:p>
      <w:pPr>
        <w:pStyle w:val="Body Text"/>
        <w:ind w:leftChars="0" w:left="0" w:right="0"/>
      </w:pPr>
      <w:r>
        <w:t>Στα οικιστικά ακίνητα περιλαμβάνονται κάθε είδος ακίνητο που χρησιμοποιείται ως κατοικία (διαμέρισμα, μεζονέτα, κ.λπ.) ή δύναται να χρησιμοποιηθεί στο μέλλον ως κατοικία (ημιτελή κτίσματα κατοικιών κ.λπ.), καθώς και οι βοηθητικοί χώροι και τα παρακολουθήματα αυτών.  Περιλαμβάνονται επίσης τα άρτια και οικοδομήσιμα οικόπεδα που προορίζονται για οικιστική χρήση δηλαδή για ανέγερση κατοικιών στο μέλλον.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Διοικητή της ΤτΕ Αριθμ. 2610/31.10.2008</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RRE</w:t>
      </w:r>
      <w:r>
        <w:t>:</w:t>
      </w:r>
    </w:p>
    <w:p>
      <w:pPr>
        <w:pStyle w:val="ListNumber"/>
        <w:numPr>
          <w:ilvl w:val="0"/>
          <w:numId w:val="25"/>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25"/>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οικιστικό ακίνητο, π.χ. </w:t>
      </w:r>
      <w:r>
        <w:rPr>
          <w:rFonts w:ascii="Consolas" w:eastAsia="ＭＳ ゴシック" w:hansitheme="majorhansi"/>
          <w:color w:val="E74C3C"/>
          <w:sz w:val="20"/>
          <w:szCs w:val="20"/>
          <w:noProof/>
        </w:rPr>
        <w:t>PGRMFMC000_RRE1</w:t>
      </w:r>
      <w:r>
        <w:t>.</w:t>
      </w:r>
    </w:p>
    <w:bookmarkEnd w:id="467"/>
    <w:bookmarkEnd w:id="468"/>
    <w:bookmarkStart w:id="469" w:name="_692db70986d1ddd6e4cf7d17c0efa044"/>
    <w:bookmarkStart w:id="470" w:name="_d8799c3ec12dc64c8ced54b2b77a2a94"/>
    <w:p>
      <w:pPr>
        <w:pStyle w:val="Heading4"/>
        <w:keepNext/>
      </w:pPr>
      <w:r>
        <w:t>CRE (επαγγελματικό ακίνητο)</w:t>
      </w:r>
    </w:p>
    <w:p>
      <w:pPr>
        <w:pStyle w:val="Body Text"/>
        <w:ind w:leftChars="0" w:left="0" w:right="0"/>
      </w:pPr>
      <w:r>
        <w:t xml:space="preserve">Ο αναγνωριστικός ενός οικιστικού ακινήτου αναφέρεται ως ο κωδικός </w:t>
      </w:r>
      <w:r>
        <w:rPr>
          <w:b/>
          <w:bCs/>
        </w:rPr>
        <w:t>CRE</w:t>
      </w:r>
      <w:r>
        <w:t>.</w:t>
      </w:r>
    </w:p>
    <w:p>
      <w:pPr>
        <w:pStyle w:val="Body Text"/>
        <w:ind w:leftChars="0" w:left="0" w:right="0"/>
      </w:pPr>
      <w:r>
        <w:t>Στα επαγγελματικά ακίνητα περιλαμβάνονται κάθε είδος ακίνητο που χρησιμοποιείται ή δύναται να χρησιμοποιηθεί για επιχειρηματικούς σκοπούς και ανήκει σε μία από τις παρακάτω γενικές κατηγορίες με βάση τη χρήση του: γραφείο, κατάστημα, επαγγελματική αποθήκη, βιομηχανικό-βιοτεχνικό ακίνητο, ακίνητο με χρήσεις τουρισμού, εστίασης-αναψυχής (εστιατόριο, θέατρο, κ.ά.), ειδική επαγγελματική χρήση (χώρος στάθμευσης, πρατήριο καυσίμων κ.ά.), όπως και το σύνολο των υποκατηγοριών που αυτές περιλαμβάνουν.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Εκτελεστικής Επιτροπής της ΤτΕ Αριθμ. 23/26.07.2013</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CRE</w:t>
      </w:r>
      <w:r>
        <w:t>:</w:t>
      </w:r>
    </w:p>
    <w:p>
      <w:pPr>
        <w:pStyle w:val="ListNumber"/>
        <w:numPr>
          <w:ilvl w:val="0"/>
          <w:numId w:val="26"/>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26"/>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επαγγελματικό ακίνητο, π.χ. </w:t>
      </w:r>
      <w:r>
        <w:rPr>
          <w:rFonts w:ascii="Consolas" w:eastAsia="ＭＳ ゴシック" w:hansitheme="majorhansi"/>
          <w:color w:val="E74C3C"/>
          <w:sz w:val="20"/>
          <w:szCs w:val="20"/>
          <w:noProof/>
        </w:rPr>
        <w:t>PGRMFMC000_CRE1</w:t>
      </w:r>
      <w:r>
        <w:t>.</w:t>
      </w:r>
    </w:p>
    <w:bookmarkEnd w:id="469"/>
    <w:bookmarkEnd w:id="470"/>
    <w:bookmarkEnd w:id="448"/>
    <w:bookmarkEnd w:id="447"/>
    <w:bookmarkStart w:id="471" w:name="_03cd726c601b96c034fcfe957a2734de"/>
    <w:bookmarkStart w:id="472" w:name="_63af898f6f41b0db89ec3a4dbce5ac72"/>
    <w:p>
      <w:pPr>
        <w:pStyle w:val="Heading3"/>
        <w:keepNext/>
      </w:pPr>
      <w:r>
        <w:t>Μονάδες Παροχής Στοιχείων</w:t>
      </w:r>
    </w:p>
    <w:p>
      <w:pPr>
        <w:pStyle w:val="Body Text"/>
        <w:ind w:leftChars="0" w:left="0" w:right="0"/>
      </w:pPr>
      <w:r>
        <w:t xml:space="preserve">Για κάθε </w:t>
      </w:r>
      <w:r>
        <w:rPr>
          <w:rFonts w:ascii="Consolas" w:eastAsia="ＭＳ ゴシック" w:hansitheme="majorhansi"/>
          <w:color w:val="E74C3C"/>
          <w:sz w:val="20"/>
          <w:szCs w:val="20"/>
          <w:noProof/>
        </w:rPr>
        <w:t>ΜΠΣ</w:t>
      </w:r>
      <w:r>
        <w:t xml:space="preserve"> στο παρακάτω πίνακα δίνονται ο αναγνωριστικός κωδικός </w:t>
      </w:r>
      <w:r>
        <w:rPr>
          <w:b/>
          <w:bCs/>
        </w:rPr>
        <w:t>ORG</w:t>
      </w:r>
      <w:r>
        <w:t xml:space="preserve"> (</w:t>
      </w:r>
      <w:hyperlink w:anchor="_1286127b186296dde5352963dc0e24ae">
        <w:r>
          <w:rPr>
            <w:rStyle w:val="Hyperlink"/>
          </w:rPr>
          <w:t>Αναγνωριστικοί κωδικοί</w:t>
        </w:r>
      </w:hyperlink>
      <w:r>
        <w:t>), o αναγνωριστικός κωδικός που της έχει αποδοθεί από το ΕΣΚΤ (</w:t>
      </w:r>
      <w:r>
        <w:rPr>
          <w:b/>
          <w:bCs/>
        </w:rPr>
        <w:t>ESCB_ID</w:t>
      </w:r>
      <w:r>
        <w:t>), ο αριθμός φορολογικού μητρώου (</w:t>
      </w:r>
      <w:r>
        <w:rPr>
          <w:b/>
          <w:bCs/>
        </w:rPr>
        <w:t>TAX_ID</w:t>
      </w:r>
      <w:r>
        <w:t>) και η επωνυμία της (</w:t>
      </w:r>
      <w:r>
        <w:rPr>
          <w:b/>
          <w:bCs/>
        </w:rPr>
        <w:t>ΕΠΩΝΥΜΙΑ</w:t>
      </w:r>
      <w:r>
        <w:t>).</w:t>
      </w:r>
    </w:p>
    <w:tbl>
      <w:tblPr>
        <w:tblStyle w:val="Table"/>
        <w:tblW w:w="0" w:type="auto"/>
        <w:tblInd w:w="0" w:type="dxa"/>
        <w:tblLook w:noHBand="false" w:noVBand="false" w:lastRow="false" w:lastColumn="false" w:firstRow="true" w:firstColumn="false"/>
      </w:tblPr>
      <w:tblGrid>
        <w:gridCol w:w="1101"/>
        <w:gridCol w:w="1022"/>
        <w:gridCol w:w="1022"/>
        <w:gridCol w:w="5350"/>
      </w:tblGrid>
      <w:tr>
        <w:trPr>
          <w:cnfStyle w:evenHBand="false" w:oddHBand="true" w:firstRow="true"/>
        </w:trPr>
        <w:tc>
          <w:tcPr>
            <w:cnfStyle w:evenVBand="false" w:oddVBand="true" w:firstColumn="false"/>
            <w:tcW w:w="12.962963%" w:type="pct"/>
          </w:tcPr>
          <w:p>
            <w:pPr>
              <w:ind w:leftChars="0" w:left="0" w:right="0"/>
              <w:keepNext/>
            </w:pPr>
            <w:r>
              <w:t>ORG</w:t>
            </w:r>
          </w:p>
        </w:tc>
        <w:tc>
          <w:tcPr>
            <w:cnfStyle w:evenVBand="true" w:oddVBand="false" w:firstColumn="false"/>
            <w:tcW w:w="12.037037%" w:type="pct"/>
          </w:tcPr>
          <w:p>
            <w:pPr>
              <w:ind w:leftChars="0" w:left="0" w:right="0"/>
              <w:keepNext/>
            </w:pPr>
            <w:r>
              <w:t>ESCB_ID</w:t>
            </w:r>
          </w:p>
        </w:tc>
        <w:tc>
          <w:tcPr>
            <w:cnfStyle w:evenVBand="false" w:oddVBand="true" w:firstColumn="false"/>
            <w:tcW w:w="12.037037%" w:type="pct"/>
          </w:tcPr>
          <w:p>
            <w:pPr>
              <w:ind w:leftChars="0" w:left="0" w:right="0"/>
              <w:keepNext/>
            </w:pPr>
            <w:r>
              <w:t>TAX_ID</w:t>
            </w:r>
          </w:p>
        </w:tc>
        <w:tc>
          <w:tcPr>
            <w:cnfStyle w:evenVBand="true" w:oddVBand="false" w:firstColumn="false"/>
            <w:tcW w:w="62.962963%" w:type="pct"/>
          </w:tcPr>
          <w:p>
            <w:pPr>
              <w:ind w:leftChars="0" w:left="0" w:right="0"/>
              <w:keepNext/>
            </w:pPr>
            <w:r>
              <w:t>ΕΠΩΝΥΜΙΑ</w:t>
            </w:r>
          </w:p>
        </w:tc>
      </w:tr>
      <w:tr>
        <w:trPr>
          <w:cnfStyle w:evenHBand="false" w:oddHBand="true" w:firstRow="false"/>
        </w:trPr>
        <w:tc>
          <w:tcPr>
            <w:cnfStyle w:evenVBand="false" w:oddVBand="true" w:firstColumn="false"/>
            <w:tcW w:w="12.962963%" w:type="pct"/>
          </w:tcPr>
          <w:p>
            <w:pPr>
              <w:ind w:leftChars="0" w:left="0" w:right="0"/>
            </w:pPr>
            <w:r>
              <w:t>EGR094321237</w:t>
            </w:r>
          </w:p>
        </w:tc>
        <w:tc>
          <w:tcPr>
            <w:cnfStyle w:evenVBand="true" w:oddVBand="false" w:firstColumn="false"/>
            <w:tcW w:w="12.037037%" w:type="pct"/>
          </w:tcPr>
          <w:p>
            <w:pPr>
              <w:ind w:leftChars="0" w:left="0" w:right="0"/>
            </w:pPr>
            <w:r>
              <w:t>GR094321237</w:t>
            </w:r>
          </w:p>
        </w:tc>
        <w:tc>
          <w:tcPr>
            <w:cnfStyle w:evenVBand="false" w:oddVBand="true" w:firstColumn="false"/>
            <w:tcW w:w="12.037037%" w:type="pct"/>
          </w:tcPr>
          <w:p>
            <w:pPr>
              <w:ind w:leftChars="0" w:left="0" w:right="0"/>
            </w:pPr>
            <w:r>
              <w:t>GR094321237</w:t>
            </w:r>
          </w:p>
        </w:tc>
        <w:tc>
          <w:tcPr>
            <w:cnfStyle w:evenVBand="true" w:oddVBand="false" w:firstColumn="false"/>
            <w:tcW w:w="62.962963%" w:type="pct"/>
          </w:tcPr>
          <w:p>
            <w:pPr>
              <w:ind w:leftChars="0" w:left="0" w:right="0"/>
            </w:pPr>
            <w:r>
              <w:t>PREMIA PROPERTIES ΑΕΕΑΠ</w:t>
            </w:r>
          </w:p>
        </w:tc>
      </w:tr>
      <w:tr>
        <w:trPr>
          <w:cnfStyle w:evenHBand="true" w:oddHBand="false" w:firstRow="false"/>
        </w:trPr>
        <w:tc>
          <w:tcPr>
            <w:cnfStyle w:evenVBand="false" w:oddVBand="true" w:firstColumn="false"/>
            <w:tcW w:w="12.962963%" w:type="pct"/>
          </w:tcPr>
          <w:p>
            <w:pPr>
              <w:ind w:leftChars="0" w:left="0" w:right="0"/>
            </w:pPr>
            <w:r>
              <w:t>EGR099757323</w:t>
            </w:r>
          </w:p>
        </w:tc>
        <w:tc>
          <w:tcPr>
            <w:cnfStyle w:evenVBand="true" w:oddVBand="false" w:firstColumn="false"/>
            <w:tcW w:w="12.037037%" w:type="pct"/>
          </w:tcPr>
          <w:p>
            <w:pPr>
              <w:ind w:leftChars="0" w:left="0" w:right="0"/>
            </w:pPr>
            <w:r>
              <w:t>GR099757323</w:t>
            </w:r>
          </w:p>
        </w:tc>
        <w:tc>
          <w:tcPr>
            <w:cnfStyle w:evenVBand="false" w:oddVBand="true" w:firstColumn="false"/>
            <w:tcW w:w="12.037037%" w:type="pct"/>
          </w:tcPr>
          <w:p>
            <w:pPr>
              <w:ind w:leftChars="0" w:left="0" w:right="0"/>
            </w:pPr>
            <w:r>
              <w:t>GR099757323</w:t>
            </w:r>
          </w:p>
        </w:tc>
        <w:tc>
          <w:tcPr>
            <w:cnfStyle w:evenVBand="true" w:oddVBand="false" w:firstColumn="false"/>
            <w:tcW w:w="62.962963%" w:type="pct"/>
          </w:tcPr>
          <w:p>
            <w:pPr>
              <w:ind w:leftChars="0" w:left="0" w:right="0"/>
            </w:pPr>
            <w:r>
              <w:t>ELIKONOS CAPITAL ΑΕΔΟΕΕ</w:t>
            </w:r>
          </w:p>
        </w:tc>
      </w:tr>
      <w:tr>
        <w:trPr>
          <w:cnfStyle w:evenHBand="false" w:oddHBand="true" w:firstRow="false"/>
        </w:trPr>
        <w:tc>
          <w:tcPr>
            <w:cnfStyle w:evenVBand="false" w:oddVBand="true" w:firstColumn="false"/>
            <w:tcW w:w="12.962963%" w:type="pct"/>
          </w:tcPr>
          <w:p>
            <w:pPr>
              <w:ind w:leftChars="0" w:left="0" w:right="0"/>
            </w:pPr>
            <w:r>
              <w:t>EGR800398384</w:t>
            </w:r>
          </w:p>
        </w:tc>
        <w:tc>
          <w:tcPr>
            <w:cnfStyle w:evenVBand="true" w:oddVBand="false" w:firstColumn="false"/>
            <w:tcW w:w="12.037037%" w:type="pct"/>
          </w:tcPr>
          <w:p>
            <w:pPr>
              <w:ind w:leftChars="0" w:left="0" w:right="0"/>
            </w:pPr>
            <w:r>
              <w:t>GR800398384</w:t>
            </w:r>
          </w:p>
        </w:tc>
        <w:tc>
          <w:tcPr>
            <w:cnfStyle w:evenVBand="false" w:oddVBand="true" w:firstColumn="false"/>
            <w:tcW w:w="12.037037%" w:type="pct"/>
          </w:tcPr>
          <w:p>
            <w:pPr>
              <w:ind w:leftChars="0" w:left="0" w:right="0"/>
            </w:pPr>
            <w:r>
              <w:t>GR800398384</w:t>
            </w:r>
          </w:p>
        </w:tc>
        <w:tc>
          <w:tcPr>
            <w:cnfStyle w:evenVBand="true" w:oddVBand="false" w:firstColumn="false"/>
            <w:tcW w:w="62.962963%" w:type="pct"/>
          </w:tcPr>
          <w:p>
            <w:pPr>
              <w:ind w:leftChars="0" w:left="0" w:right="0"/>
            </w:pPr>
            <w:r>
              <w:t>PIRAEUS JEREMIE TECHNOLOGY CATALYST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EGR800433747</w:t>
            </w:r>
          </w:p>
        </w:tc>
        <w:tc>
          <w:tcPr>
            <w:cnfStyle w:evenVBand="true" w:oddVBand="false" w:firstColumn="false"/>
            <w:tcW w:w="12.037037%" w:type="pct"/>
          </w:tcPr>
          <w:p>
            <w:pPr>
              <w:ind w:leftChars="0" w:left="0" w:right="0"/>
            </w:pPr>
            <w:r>
              <w:t>GR800433747</w:t>
            </w:r>
          </w:p>
        </w:tc>
        <w:tc>
          <w:tcPr>
            <w:cnfStyle w:evenVBand="false" w:oddVBand="true" w:firstColumn="false"/>
            <w:tcW w:w="12.037037%" w:type="pct"/>
          </w:tcPr>
          <w:p>
            <w:pPr>
              <w:ind w:leftChars="0" w:left="0" w:right="0"/>
            </w:pPr>
            <w:r>
              <w:t>GR800433747</w:t>
            </w:r>
          </w:p>
        </w:tc>
        <w:tc>
          <w:tcPr>
            <w:cnfStyle w:evenVBand="true" w:oddVBand="false" w:firstColumn="false"/>
            <w:tcW w:w="62.962963%" w:type="pct"/>
          </w:tcPr>
          <w:p>
            <w:pPr>
              <w:ind w:leftChars="0" w:left="0" w:right="0"/>
            </w:pPr>
            <w:r>
              <w:t>Openfund ΑΕΔΑΚΕΣ</w:t>
            </w:r>
          </w:p>
        </w:tc>
      </w:tr>
      <w:tr>
        <w:trPr>
          <w:cnfStyle w:evenHBand="false" w:oddHBand="true" w:firstRow="false"/>
        </w:trPr>
        <w:tc>
          <w:tcPr>
            <w:cnfStyle w:evenVBand="false" w:oddVBand="true" w:firstColumn="false"/>
            <w:tcW w:w="12.962963%" w:type="pct"/>
          </w:tcPr>
          <w:p>
            <w:pPr>
              <w:ind w:leftChars="0" w:left="0" w:right="0"/>
            </w:pPr>
            <w:r>
              <w:t>EGR800597834</w:t>
            </w:r>
          </w:p>
        </w:tc>
        <w:tc>
          <w:tcPr>
            <w:cnfStyle w:evenVBand="true" w:oddVBand="false" w:firstColumn="false"/>
            <w:tcW w:w="12.037037%" w:type="pct"/>
          </w:tcPr>
          <w:p>
            <w:pPr>
              <w:ind w:leftChars="0" w:left="0" w:right="0"/>
            </w:pPr>
            <w:r>
              <w:t>GR800597834</w:t>
            </w:r>
          </w:p>
        </w:tc>
        <w:tc>
          <w:tcPr>
            <w:cnfStyle w:evenVBand="false" w:oddVBand="true" w:firstColumn="false"/>
            <w:tcW w:w="12.037037%" w:type="pct"/>
          </w:tcPr>
          <w:p>
            <w:pPr>
              <w:ind w:leftChars="0" w:left="0" w:right="0"/>
            </w:pPr>
            <w:r>
              <w:t>GR800597834</w:t>
            </w:r>
          </w:p>
        </w:tc>
        <w:tc>
          <w:tcPr>
            <w:cnfStyle w:evenVBand="true" w:oddVBand="false" w:firstColumn="false"/>
            <w:tcW w:w="62.962963%" w:type="pct"/>
          </w:tcPr>
          <w:p>
            <w:pPr>
              <w:ind w:leftChars="0" w:left="0" w:right="0"/>
            </w:pPr>
            <w:r>
              <w:t>DECA INVESTMENTS ΑΕΔΟΕΕ</w:t>
            </w:r>
          </w:p>
        </w:tc>
      </w:tr>
      <w:tr>
        <w:trPr>
          <w:cnfStyle w:evenHBand="true" w:oddHBand="false" w:firstRow="false"/>
        </w:trPr>
        <w:tc>
          <w:tcPr>
            <w:cnfStyle w:evenVBand="false" w:oddVBand="true" w:firstColumn="false"/>
            <w:tcW w:w="12.962963%" w:type="pct"/>
          </w:tcPr>
          <w:p>
            <w:pPr>
              <w:ind w:leftChars="0" w:left="0" w:right="0"/>
            </w:pPr>
            <w:r>
              <w:t>EGR800639356</w:t>
            </w:r>
          </w:p>
        </w:tc>
        <w:tc>
          <w:tcPr>
            <w:cnfStyle w:evenVBand="true" w:oddVBand="false" w:firstColumn="false"/>
            <w:tcW w:w="12.037037%" w:type="pct"/>
          </w:tcPr>
          <w:p>
            <w:pPr>
              <w:ind w:leftChars="0" w:left="0" w:right="0"/>
            </w:pPr>
            <w:r>
              <w:t>GR800639356</w:t>
            </w:r>
          </w:p>
        </w:tc>
        <w:tc>
          <w:tcPr>
            <w:cnfStyle w:evenVBand="false" w:oddVBand="true" w:firstColumn="false"/>
            <w:tcW w:w="12.037037%" w:type="pct"/>
          </w:tcPr>
          <w:p>
            <w:pPr>
              <w:ind w:leftChars="0" w:left="0" w:right="0"/>
            </w:pPr>
            <w:r>
              <w:t>GR800639356</w:t>
            </w:r>
          </w:p>
        </w:tc>
        <w:tc>
          <w:tcPr>
            <w:cnfStyle w:evenVBand="true" w:oddVBand="false" w:firstColumn="false"/>
            <w:tcW w:w="62.962963%" w:type="pct"/>
          </w:tcPr>
          <w:p>
            <w:pPr>
              <w:ind w:leftChars="0" w:left="0" w:right="0"/>
            </w:pPr>
            <w:r>
              <w:t>LEVANT PARTNETS ΑΕΔΟΕΕ</w:t>
            </w:r>
          </w:p>
        </w:tc>
      </w:tr>
      <w:tr>
        <w:trPr>
          <w:cnfStyle w:evenHBand="false" w:oddHBand="true" w:firstRow="false"/>
        </w:trPr>
        <w:tc>
          <w:tcPr>
            <w:cnfStyle w:evenVBand="false" w:oddVBand="true" w:firstColumn="false"/>
            <w:tcW w:w="12.962963%" w:type="pct"/>
          </w:tcPr>
          <w:p>
            <w:pPr>
              <w:ind w:leftChars="0" w:left="0" w:right="0"/>
            </w:pPr>
            <w:r>
              <w:t>EGR800792234</w:t>
            </w:r>
          </w:p>
        </w:tc>
        <w:tc>
          <w:tcPr>
            <w:cnfStyle w:evenVBand="true" w:oddVBand="false" w:firstColumn="false"/>
            <w:tcW w:w="12.037037%" w:type="pct"/>
          </w:tcPr>
          <w:p>
            <w:pPr>
              <w:ind w:leftChars="0" w:left="0" w:right="0"/>
            </w:pPr>
            <w:r>
              <w:t>GR800792234</w:t>
            </w:r>
          </w:p>
        </w:tc>
        <w:tc>
          <w:tcPr>
            <w:cnfStyle w:evenVBand="false" w:oddVBand="true" w:firstColumn="false"/>
            <w:tcW w:w="12.037037%" w:type="pct"/>
          </w:tcPr>
          <w:p>
            <w:pPr>
              <w:ind w:leftChars="0" w:left="0" w:right="0"/>
            </w:pPr>
            <w:r>
              <w:t>GR800792234</w:t>
            </w:r>
          </w:p>
        </w:tc>
        <w:tc>
          <w:tcPr>
            <w:cnfStyle w:evenVBand="true" w:oddVBand="false" w:firstColumn="false"/>
            <w:tcW w:w="62.962963%" w:type="pct"/>
          </w:tcPr>
          <w:p>
            <w:pPr>
              <w:ind w:leftChars="0" w:left="0" w:right="0"/>
            </w:pPr>
            <w:r>
              <w:t>Marathon ΑΕΔΑΚΕΣ</w:t>
            </w:r>
          </w:p>
        </w:tc>
      </w:tr>
      <w:tr>
        <w:trPr>
          <w:cnfStyle w:evenHBand="true" w:oddHBand="false" w:firstRow="false"/>
        </w:trPr>
        <w:tc>
          <w:tcPr>
            <w:cnfStyle w:evenVBand="false" w:oddVBand="true" w:firstColumn="false"/>
            <w:tcW w:w="12.962963%" w:type="pct"/>
          </w:tcPr>
          <w:p>
            <w:pPr>
              <w:ind w:leftChars="0" w:left="0" w:right="0"/>
            </w:pPr>
            <w:r>
              <w:t>EGR800901770</w:t>
            </w:r>
          </w:p>
        </w:tc>
        <w:tc>
          <w:tcPr>
            <w:cnfStyle w:evenVBand="true" w:oddVBand="false" w:firstColumn="false"/>
            <w:tcW w:w="12.037037%" w:type="pct"/>
          </w:tcPr>
          <w:p>
            <w:pPr>
              <w:ind w:leftChars="0" w:left="0" w:right="0"/>
            </w:pPr>
            <w:r>
              <w:t>GR800901770</w:t>
            </w:r>
          </w:p>
        </w:tc>
        <w:tc>
          <w:tcPr>
            <w:cnfStyle w:evenVBand="false" w:oddVBand="true" w:firstColumn="false"/>
            <w:tcW w:w="12.037037%" w:type="pct"/>
          </w:tcPr>
          <w:p>
            <w:pPr>
              <w:ind w:leftChars="0" w:left="0" w:right="0"/>
            </w:pPr>
            <w:r>
              <w:t>GR800901770</w:t>
            </w:r>
          </w:p>
        </w:tc>
        <w:tc>
          <w:tcPr>
            <w:cnfStyle w:evenVBand="true" w:oddVBand="false" w:firstColumn="false"/>
            <w:tcW w:w="62.962963%" w:type="pct"/>
          </w:tcPr>
          <w:p>
            <w:pPr>
              <w:ind w:leftChars="0" w:left="0" w:right="0"/>
            </w:pPr>
            <w:r>
              <w:t>EOS CAPITAL PARTNERS ΑΕΔΟΕΕ</w:t>
            </w:r>
          </w:p>
        </w:tc>
      </w:tr>
      <w:tr>
        <w:trPr>
          <w:cnfStyle w:evenHBand="false" w:oddHBand="true" w:firstRow="false"/>
        </w:trPr>
        <w:tc>
          <w:tcPr>
            <w:cnfStyle w:evenVBand="false" w:oddVBand="true" w:firstColumn="false"/>
            <w:tcW w:w="12.962963%" w:type="pct"/>
          </w:tcPr>
          <w:p>
            <w:pPr>
              <w:ind w:leftChars="0" w:left="0" w:right="0"/>
            </w:pPr>
            <w:r>
              <w:t>EGR800903737</w:t>
            </w:r>
          </w:p>
        </w:tc>
        <w:tc>
          <w:tcPr>
            <w:cnfStyle w:evenVBand="true" w:oddVBand="false" w:firstColumn="false"/>
            <w:tcW w:w="12.037037%" w:type="pct"/>
          </w:tcPr>
          <w:p>
            <w:pPr>
              <w:ind w:leftChars="0" w:left="0" w:right="0"/>
            </w:pPr>
            <w:r>
              <w:t>GR800903737</w:t>
            </w:r>
          </w:p>
        </w:tc>
        <w:tc>
          <w:tcPr>
            <w:cnfStyle w:evenVBand="false" w:oddVBand="true" w:firstColumn="false"/>
            <w:tcW w:w="12.037037%" w:type="pct"/>
          </w:tcPr>
          <w:p>
            <w:pPr>
              <w:ind w:leftChars="0" w:left="0" w:right="0"/>
            </w:pPr>
            <w:r>
              <w:t>GR800903737</w:t>
            </w:r>
          </w:p>
        </w:tc>
        <w:tc>
          <w:tcPr>
            <w:cnfStyle w:evenVBand="true" w:oddVBand="false" w:firstColumn="false"/>
            <w:tcW w:w="62.962963%" w:type="pct"/>
          </w:tcPr>
          <w:p>
            <w:pPr>
              <w:ind w:leftChars="0" w:left="0" w:right="0"/>
            </w:pPr>
            <w:r>
              <w:t>METAVALLON PARTNERS ΑΕΔΑΚΕΣ</w:t>
            </w:r>
          </w:p>
        </w:tc>
      </w:tr>
      <w:tr>
        <w:trPr>
          <w:cnfStyle w:evenHBand="true" w:oddHBand="false" w:firstRow="false"/>
        </w:trPr>
        <w:tc>
          <w:tcPr>
            <w:cnfStyle w:evenVBand="false" w:oddVBand="true" w:firstColumn="false"/>
            <w:tcW w:w="12.962963%" w:type="pct"/>
          </w:tcPr>
          <w:p>
            <w:pPr>
              <w:ind w:leftChars="0" w:left="0" w:right="0"/>
            </w:pPr>
            <w:r>
              <w:t>EGR800911079</w:t>
            </w:r>
          </w:p>
        </w:tc>
        <w:tc>
          <w:tcPr>
            <w:cnfStyle w:evenVBand="true" w:oddVBand="false" w:firstColumn="false"/>
            <w:tcW w:w="12.037037%" w:type="pct"/>
          </w:tcPr>
          <w:p>
            <w:pPr>
              <w:ind w:leftChars="0" w:left="0" w:right="0"/>
            </w:pPr>
            <w:r>
              <w:t>GR800911079</w:t>
            </w:r>
          </w:p>
        </w:tc>
        <w:tc>
          <w:tcPr>
            <w:cnfStyle w:evenVBand="false" w:oddVBand="true" w:firstColumn="false"/>
            <w:tcW w:w="12.037037%" w:type="pct"/>
          </w:tcPr>
          <w:p>
            <w:pPr>
              <w:ind w:leftChars="0" w:left="0" w:right="0"/>
            </w:pPr>
            <w:r>
              <w:t>GR800911079</w:t>
            </w:r>
          </w:p>
        </w:tc>
        <w:tc>
          <w:tcPr>
            <w:cnfStyle w:evenVBand="true" w:oddVBand="false" w:firstColumn="false"/>
            <w:tcW w:w="62.962963%" w:type="pct"/>
          </w:tcPr>
          <w:p>
            <w:pPr>
              <w:ind w:leftChars="0" w:left="0" w:right="0"/>
            </w:pPr>
            <w:r>
              <w:t>ΓΙΟΥΝΙΦΑΝΤ ΑΕΔΑΚΕΣ</w:t>
            </w:r>
          </w:p>
        </w:tc>
      </w:tr>
      <w:tr>
        <w:trPr>
          <w:cnfStyle w:evenHBand="false" w:oddHBand="true" w:firstRow="false"/>
        </w:trPr>
        <w:tc>
          <w:tcPr>
            <w:cnfStyle w:evenVBand="false" w:oddVBand="true" w:firstColumn="false"/>
            <w:tcW w:w="12.962963%" w:type="pct"/>
          </w:tcPr>
          <w:p>
            <w:pPr>
              <w:ind w:leftChars="0" w:left="0" w:right="0"/>
            </w:pPr>
            <w:r>
              <w:t>EGR801296864</w:t>
            </w:r>
          </w:p>
        </w:tc>
        <w:tc>
          <w:tcPr>
            <w:cnfStyle w:evenVBand="true" w:oddVBand="false" w:firstColumn="false"/>
            <w:tcW w:w="12.037037%" w:type="pct"/>
          </w:tcPr>
          <w:p>
            <w:pPr>
              <w:ind w:leftChars="0" w:left="0" w:right="0"/>
            </w:pPr>
            <w:r>
              <w:t>GR801296864</w:t>
            </w:r>
          </w:p>
        </w:tc>
        <w:tc>
          <w:tcPr>
            <w:cnfStyle w:evenVBand="false" w:oddVBand="true" w:firstColumn="false"/>
            <w:tcW w:w="12.037037%" w:type="pct"/>
          </w:tcPr>
          <w:p>
            <w:pPr>
              <w:ind w:leftChars="0" w:left="0" w:right="0"/>
            </w:pPr>
            <w:r>
              <w:t>GR801296864</w:t>
            </w:r>
          </w:p>
        </w:tc>
        <w:tc>
          <w:tcPr>
            <w:cnfStyle w:evenVBand="true" w:oddVBand="false" w:firstColumn="false"/>
            <w:tcW w:w="62.962963%" w:type="pct"/>
          </w:tcPr>
          <w:p>
            <w:pPr>
              <w:ind w:leftChars="0" w:left="0" w:right="0"/>
            </w:pPr>
            <w:r>
              <w:t>THERMI VENTURE CAPITAL MANAGEMENT ΑΕΔΑΚΕΣ</w:t>
            </w:r>
          </w:p>
        </w:tc>
      </w:tr>
      <w:tr>
        <w:trPr>
          <w:cnfStyle w:evenHBand="true" w:oddHBand="false" w:firstRow="false"/>
        </w:trPr>
        <w:tc>
          <w:tcPr>
            <w:cnfStyle w:evenVBand="false" w:oddVBand="true" w:firstColumn="false"/>
            <w:tcW w:w="12.962963%" w:type="pct"/>
          </w:tcPr>
          <w:p>
            <w:pPr>
              <w:ind w:leftChars="0" w:left="0" w:right="0"/>
            </w:pPr>
            <w:r>
              <w:t>EGR801322351</w:t>
            </w:r>
          </w:p>
        </w:tc>
        <w:tc>
          <w:tcPr>
            <w:cnfStyle w:evenVBand="true" w:oddVBand="false" w:firstColumn="false"/>
            <w:tcW w:w="12.037037%" w:type="pct"/>
          </w:tcPr>
          <w:p>
            <w:pPr>
              <w:ind w:leftChars="0" w:left="0" w:right="0"/>
            </w:pPr>
            <w:r>
              <w:t>GR801322351</w:t>
            </w:r>
          </w:p>
        </w:tc>
        <w:tc>
          <w:tcPr>
            <w:cnfStyle w:evenVBand="false" w:oddVBand="true" w:firstColumn="false"/>
            <w:tcW w:w="12.037037%" w:type="pct"/>
          </w:tcPr>
          <w:p>
            <w:pPr>
              <w:ind w:leftChars="0" w:left="0" w:right="0"/>
            </w:pPr>
            <w:r>
              <w:t>GR801322351</w:t>
            </w:r>
          </w:p>
        </w:tc>
        <w:tc>
          <w:tcPr>
            <w:cnfStyle w:evenVBand="true" w:oddVBand="false" w:firstColumn="false"/>
            <w:tcW w:w="62.962963%" w:type="pct"/>
          </w:tcPr>
          <w:p>
            <w:pPr>
              <w:ind w:leftChars="0" w:left="0" w:right="0"/>
            </w:pPr>
            <w:r>
              <w:t>VENTURE STORIES PARTNERS ΑΕΔΑΚΕΣ</w:t>
            </w:r>
          </w:p>
        </w:tc>
      </w:tr>
      <w:tr>
        <w:trPr>
          <w:cnfStyle w:evenHBand="false" w:oddHBand="true" w:firstRow="false"/>
        </w:trPr>
        <w:tc>
          <w:tcPr>
            <w:cnfStyle w:evenVBand="false" w:oddVBand="true" w:firstColumn="false"/>
            <w:tcW w:w="12.962963%" w:type="pct"/>
          </w:tcPr>
          <w:p>
            <w:pPr>
              <w:ind w:leftChars="0" w:left="0" w:right="0"/>
            </w:pPr>
            <w:r>
              <w:t>EGR801390415</w:t>
            </w:r>
          </w:p>
        </w:tc>
        <w:tc>
          <w:tcPr>
            <w:cnfStyle w:evenVBand="true" w:oddVBand="false" w:firstColumn="false"/>
            <w:tcW w:w="12.037037%" w:type="pct"/>
          </w:tcPr>
          <w:p>
            <w:pPr>
              <w:ind w:leftChars="0" w:left="0" w:right="0"/>
            </w:pPr>
            <w:r>
              <w:t>GR801390415</w:t>
            </w:r>
          </w:p>
        </w:tc>
        <w:tc>
          <w:tcPr>
            <w:cnfStyle w:evenVBand="false" w:oddVBand="true" w:firstColumn="false"/>
            <w:tcW w:w="12.037037%" w:type="pct"/>
          </w:tcPr>
          <w:p>
            <w:pPr>
              <w:ind w:leftChars="0" w:left="0" w:right="0"/>
            </w:pPr>
            <w:r>
              <w:t>GR801390415</w:t>
            </w:r>
          </w:p>
        </w:tc>
        <w:tc>
          <w:tcPr>
            <w:cnfStyle w:evenVBand="true" w:oddVBand="false" w:firstColumn="false"/>
            <w:tcW w:w="62.962963%" w:type="pct"/>
          </w:tcPr>
          <w:p>
            <w:pPr>
              <w:ind w:leftChars="0" w:left="0" w:right="0"/>
            </w:pPr>
            <w:r>
              <w:t>SOUTHBRIDGE ADVISORS ΑΕΔΟΕΕ</w:t>
            </w:r>
          </w:p>
        </w:tc>
      </w:tr>
      <w:tr>
        <w:trPr>
          <w:cnfStyle w:evenHBand="true" w:oddHBand="false" w:firstRow="false"/>
        </w:trPr>
        <w:tc>
          <w:tcPr>
            <w:cnfStyle w:evenVBand="false" w:oddVBand="true" w:firstColumn="false"/>
            <w:tcW w:w="12.962963%" w:type="pct"/>
          </w:tcPr>
          <w:p>
            <w:pPr>
              <w:ind w:leftChars="0" w:left="0" w:right="0"/>
            </w:pPr>
            <w:r>
              <w:t>EGR801446716</w:t>
            </w:r>
          </w:p>
        </w:tc>
        <w:tc>
          <w:tcPr>
            <w:cnfStyle w:evenVBand="true" w:oddVBand="false" w:firstColumn="false"/>
            <w:tcW w:w="12.037037%" w:type="pct"/>
          </w:tcPr>
          <w:p>
            <w:pPr>
              <w:ind w:leftChars="0" w:left="0" w:right="0"/>
            </w:pPr>
            <w:r>
              <w:t>GR801446716</w:t>
            </w:r>
          </w:p>
        </w:tc>
        <w:tc>
          <w:tcPr>
            <w:cnfStyle w:evenVBand="false" w:oddVBand="true" w:firstColumn="false"/>
            <w:tcW w:w="12.037037%" w:type="pct"/>
          </w:tcPr>
          <w:p>
            <w:pPr>
              <w:ind w:leftChars="0" w:left="0" w:right="0"/>
            </w:pPr>
            <w:r>
              <w:t>GR801446716</w:t>
            </w:r>
          </w:p>
        </w:tc>
        <w:tc>
          <w:tcPr>
            <w:cnfStyle w:evenVBand="true" w:oddVBand="false" w:firstColumn="false"/>
            <w:tcW w:w="62.962963%" w:type="pct"/>
          </w:tcPr>
          <w:p>
            <w:pPr>
              <w:ind w:leftChars="0" w:left="0" w:right="0"/>
            </w:pPr>
            <w:r>
              <w:t>BLUE GREEN WHITE CAPITAL ΑΕΔΑΚΕΣ</w:t>
            </w:r>
          </w:p>
        </w:tc>
      </w:tr>
      <w:tr>
        <w:trPr>
          <w:cnfStyle w:evenHBand="false" w:oddHBand="true" w:firstRow="false"/>
        </w:trPr>
        <w:tc>
          <w:tcPr>
            <w:cnfStyle w:evenVBand="false" w:oddVBand="true" w:firstColumn="false"/>
            <w:tcW w:w="12.962963%" w:type="pct"/>
          </w:tcPr>
          <w:p>
            <w:pPr>
              <w:ind w:leftChars="0" w:left="0" w:right="0"/>
            </w:pPr>
            <w:r>
              <w:t>EGR801446949</w:t>
            </w:r>
          </w:p>
        </w:tc>
        <w:tc>
          <w:tcPr>
            <w:cnfStyle w:evenVBand="true" w:oddVBand="false" w:firstColumn="false"/>
            <w:tcW w:w="12.037037%" w:type="pct"/>
          </w:tcPr>
          <w:p>
            <w:pPr>
              <w:ind w:leftChars="0" w:left="0" w:right="0"/>
            </w:pPr>
            <w:r>
              <w:t>GR801446949</w:t>
            </w:r>
          </w:p>
        </w:tc>
        <w:tc>
          <w:tcPr>
            <w:cnfStyle w:evenVBand="false" w:oddVBand="true" w:firstColumn="false"/>
            <w:tcW w:w="12.037037%" w:type="pct"/>
          </w:tcPr>
          <w:p>
            <w:pPr>
              <w:ind w:leftChars="0" w:left="0" w:right="0"/>
            </w:pPr>
            <w:r>
              <w:t>GR801446949</w:t>
            </w:r>
          </w:p>
        </w:tc>
        <w:tc>
          <w:tcPr>
            <w:cnfStyle w:evenVBand="true" w:oddVBand="false" w:firstColumn="false"/>
            <w:tcW w:w="62.962963%" w:type="pct"/>
          </w:tcPr>
          <w:p>
            <w:pPr>
              <w:ind w:leftChars="0" w:left="0" w:right="0"/>
            </w:pPr>
            <w:r>
              <w:t>GREEK BRANDS VENTURES ΑΕΔΑΚΕΣ</w:t>
            </w:r>
          </w:p>
        </w:tc>
      </w:tr>
      <w:tr>
        <w:trPr>
          <w:cnfStyle w:evenHBand="true" w:oddHBand="false" w:firstRow="false"/>
        </w:trPr>
        <w:tc>
          <w:tcPr>
            <w:cnfStyle w:evenVBand="false" w:oddVBand="true" w:firstColumn="false"/>
            <w:tcW w:w="12.962963%" w:type="pct"/>
          </w:tcPr>
          <w:p>
            <w:pPr>
              <w:ind w:leftChars="0" w:left="0" w:right="0"/>
            </w:pPr>
            <w:r>
              <w:t>EGR801470046</w:t>
            </w:r>
          </w:p>
        </w:tc>
        <w:tc>
          <w:tcPr>
            <w:cnfStyle w:evenVBand="true" w:oddVBand="false" w:firstColumn="false"/>
            <w:tcW w:w="12.037037%" w:type="pct"/>
          </w:tcPr>
          <w:p>
            <w:pPr>
              <w:ind w:leftChars="0" w:left="0" w:right="0"/>
            </w:pPr>
            <w:r>
              <w:t>GR801470046</w:t>
            </w:r>
          </w:p>
        </w:tc>
        <w:tc>
          <w:tcPr>
            <w:cnfStyle w:evenVBand="false" w:oddVBand="true" w:firstColumn="false"/>
            <w:tcW w:w="12.037037%" w:type="pct"/>
          </w:tcPr>
          <w:p>
            <w:pPr>
              <w:ind w:leftChars="0" w:left="0" w:right="0"/>
            </w:pPr>
            <w:r>
              <w:t>GR801470046</w:t>
            </w:r>
          </w:p>
        </w:tc>
        <w:tc>
          <w:tcPr>
            <w:cnfStyle w:evenVBand="true" w:oddVBand="false" w:firstColumn="false"/>
            <w:tcW w:w="62.962963%" w:type="pct"/>
          </w:tcPr>
          <w:p>
            <w:pPr>
              <w:ind w:leftChars="0" w:left="0" w:right="0"/>
            </w:pPr>
            <w:r>
              <w:t>NEW ENERGY PARTNERS ΑΕΔΑΚΕΣ</w:t>
            </w:r>
          </w:p>
        </w:tc>
      </w:tr>
      <w:tr>
        <w:trPr>
          <w:cnfStyle w:evenHBand="false" w:oddHBand="true" w:firstRow="false"/>
        </w:trPr>
        <w:tc>
          <w:tcPr>
            <w:cnfStyle w:evenVBand="false" w:oddVBand="true" w:firstColumn="false"/>
            <w:tcW w:w="12.962963%" w:type="pct"/>
          </w:tcPr>
          <w:p>
            <w:pPr>
              <w:ind w:leftChars="0" w:left="0" w:right="0"/>
            </w:pPr>
            <w:r>
              <w:t>EGR801554045</w:t>
            </w:r>
          </w:p>
        </w:tc>
        <w:tc>
          <w:tcPr>
            <w:cnfStyle w:evenVBand="true" w:oddVBand="false" w:firstColumn="false"/>
            <w:tcW w:w="12.037037%" w:type="pct"/>
          </w:tcPr>
          <w:p>
            <w:pPr>
              <w:ind w:leftChars="0" w:left="0" w:right="0"/>
            </w:pPr>
            <w:r>
              <w:t>GR801554045</w:t>
            </w:r>
          </w:p>
        </w:tc>
        <w:tc>
          <w:tcPr>
            <w:cnfStyle w:evenVBand="false" w:oddVBand="true" w:firstColumn="false"/>
            <w:tcW w:w="12.037037%" w:type="pct"/>
          </w:tcPr>
          <w:p>
            <w:pPr>
              <w:ind w:leftChars="0" w:left="0" w:right="0"/>
            </w:pPr>
            <w:r>
              <w:t>GR801554045</w:t>
            </w:r>
          </w:p>
        </w:tc>
        <w:tc>
          <w:tcPr>
            <w:cnfStyle w:evenVBand="true" w:oddVBand="false" w:firstColumn="false"/>
            <w:tcW w:w="62.962963%" w:type="pct"/>
          </w:tcPr>
          <w:p>
            <w:pPr>
              <w:ind w:leftChars="0" w:left="0" w:right="0"/>
            </w:pPr>
            <w:r>
              <w:t>SIREC ENERGY CAPITAL PARTNERS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EGR801698110</w:t>
            </w:r>
          </w:p>
        </w:tc>
        <w:tc>
          <w:tcPr>
            <w:cnfStyle w:evenVBand="true" w:oddVBand="false" w:firstColumn="false"/>
            <w:tcW w:w="12.037037%" w:type="pct"/>
          </w:tcPr>
          <w:p>
            <w:pPr>
              <w:ind w:leftChars="0" w:left="0" w:right="0"/>
            </w:pPr>
            <w:r>
              <w:t>GR801698110</w:t>
            </w:r>
          </w:p>
        </w:tc>
        <w:tc>
          <w:tcPr>
            <w:cnfStyle w:evenVBand="false" w:oddVBand="true" w:firstColumn="false"/>
            <w:tcW w:w="12.037037%" w:type="pct"/>
          </w:tcPr>
          <w:p>
            <w:pPr>
              <w:ind w:leftChars="0" w:left="0" w:right="0"/>
            </w:pPr>
            <w:r>
              <w:t>GR801698110</w:t>
            </w:r>
          </w:p>
        </w:tc>
        <w:tc>
          <w:tcPr>
            <w:cnfStyle w:evenVBand="true" w:oddVBand="false" w:firstColumn="false"/>
            <w:tcW w:w="62.962963%" w:type="pct"/>
          </w:tcPr>
          <w:p>
            <w:pPr>
              <w:ind w:leftChars="0" w:left="0" w:right="0"/>
            </w:pPr>
            <w:r>
              <w:t>ELBRIDGE CAPITAL MANAGEMENT ΑΕΔΑΚΕΣ</w:t>
            </w:r>
          </w:p>
        </w:tc>
      </w:tr>
      <w:tr>
        <w:trPr>
          <w:cnfStyle w:evenHBand="false" w:oddHBand="true" w:firstRow="false"/>
        </w:trPr>
        <w:tc>
          <w:tcPr>
            <w:cnfStyle w:evenVBand="false" w:oddVBand="true" w:firstColumn="false"/>
            <w:tcW w:w="12.962963%" w:type="pct"/>
          </w:tcPr>
          <w:p>
            <w:pPr>
              <w:ind w:leftChars="0" w:left="0" w:right="0"/>
            </w:pPr>
            <w:r>
              <w:t>EGR801812106</w:t>
            </w:r>
          </w:p>
        </w:tc>
        <w:tc>
          <w:tcPr>
            <w:cnfStyle w:evenVBand="true" w:oddVBand="false" w:firstColumn="false"/>
            <w:tcW w:w="12.037037%" w:type="pct"/>
          </w:tcPr>
          <w:p>
            <w:pPr>
              <w:ind w:leftChars="0" w:left="0" w:right="0"/>
            </w:pPr>
            <w:r>
              <w:t>GR801812106</w:t>
            </w:r>
          </w:p>
        </w:tc>
        <w:tc>
          <w:tcPr>
            <w:cnfStyle w:evenVBand="false" w:oddVBand="true" w:firstColumn="false"/>
            <w:tcW w:w="12.037037%" w:type="pct"/>
          </w:tcPr>
          <w:p>
            <w:pPr>
              <w:ind w:leftChars="0" w:left="0" w:right="0"/>
            </w:pPr>
            <w:r>
              <w:t>GR801812106</w:t>
            </w:r>
          </w:p>
        </w:tc>
        <w:tc>
          <w:tcPr>
            <w:cnfStyle w:evenVBand="true" w:oddVBand="false" w:firstColumn="false"/>
            <w:tcW w:w="62.962963%" w:type="pct"/>
          </w:tcPr>
          <w:p>
            <w:pPr>
              <w:ind w:leftChars="0" w:left="0" w:right="0"/>
            </w:pPr>
            <w:r>
              <w:t>LSTONE ΑΕΔΑΚΕΣ</w:t>
            </w:r>
          </w:p>
        </w:tc>
      </w:tr>
      <w:tr>
        <w:trPr>
          <w:cnfStyle w:evenHBand="true" w:oddHBand="false" w:firstRow="false"/>
        </w:trPr>
        <w:tc>
          <w:tcPr>
            <w:cnfStyle w:evenVBand="false" w:oddVBand="true" w:firstColumn="false"/>
            <w:tcW w:w="12.962963%" w:type="pct"/>
          </w:tcPr>
          <w:p>
            <w:pPr>
              <w:ind w:leftChars="0" w:left="0" w:right="0"/>
            </w:pPr>
            <w:r>
              <w:t>EGR801878297</w:t>
            </w:r>
          </w:p>
        </w:tc>
        <w:tc>
          <w:tcPr>
            <w:cnfStyle w:evenVBand="true" w:oddVBand="false" w:firstColumn="false"/>
            <w:tcW w:w="12.037037%" w:type="pct"/>
          </w:tcPr>
          <w:p>
            <w:pPr>
              <w:ind w:leftChars="0" w:left="0" w:right="0"/>
            </w:pPr>
            <w:r>
              <w:t>GR801878297</w:t>
            </w:r>
          </w:p>
        </w:tc>
        <w:tc>
          <w:tcPr>
            <w:cnfStyle w:evenVBand="false" w:oddVBand="true" w:firstColumn="false"/>
            <w:tcW w:w="12.037037%" w:type="pct"/>
          </w:tcPr>
          <w:p>
            <w:pPr>
              <w:ind w:leftChars="0" w:left="0" w:right="0"/>
            </w:pPr>
            <w:r>
              <w:t>GR801878297</w:t>
            </w:r>
          </w:p>
        </w:tc>
        <w:tc>
          <w:tcPr>
            <w:cnfStyle w:evenVBand="true" w:oddVBand="false" w:firstColumn="false"/>
            <w:tcW w:w="62.962963%" w:type="pct"/>
          </w:tcPr>
          <w:p>
            <w:pPr>
              <w:ind w:leftChars="0" w:left="0" w:right="0"/>
            </w:pPr>
            <w:r>
              <w:t>BIG PI ΑΕΔΑΚΕΣ</w:t>
            </w:r>
          </w:p>
        </w:tc>
      </w:tr>
      <w:tr>
        <w:trPr>
          <w:cnfStyle w:evenHBand="false" w:oddHBand="true" w:firstRow="false"/>
        </w:trPr>
        <w:tc>
          <w:tcPr>
            <w:cnfStyle w:evenVBand="false" w:oddVBand="true" w:firstColumn="false"/>
            <w:tcW w:w="12.962963%" w:type="pct"/>
          </w:tcPr>
          <w:p>
            <w:pPr>
              <w:ind w:leftChars="0" w:left="0" w:right="0"/>
            </w:pPr>
            <w:r>
              <w:t>EGR802025852</w:t>
            </w:r>
          </w:p>
        </w:tc>
        <w:tc>
          <w:tcPr>
            <w:cnfStyle w:evenVBand="true" w:oddVBand="false" w:firstColumn="false"/>
            <w:tcW w:w="12.037037%" w:type="pct"/>
          </w:tcPr>
          <w:p>
            <w:pPr>
              <w:ind w:leftChars="0" w:left="0" w:right="0"/>
            </w:pPr>
            <w:r>
              <w:t>GR802025852</w:t>
            </w:r>
          </w:p>
        </w:tc>
        <w:tc>
          <w:tcPr>
            <w:cnfStyle w:evenVBand="false" w:oddVBand="true" w:firstColumn="false"/>
            <w:tcW w:w="12.037037%" w:type="pct"/>
          </w:tcPr>
          <w:p>
            <w:pPr>
              <w:ind w:leftChars="0" w:left="0" w:right="0"/>
            </w:pPr>
            <w:r>
              <w:t>GR802025852</w:t>
            </w:r>
          </w:p>
        </w:tc>
        <w:tc>
          <w:tcPr>
            <w:cnfStyle w:evenVBand="true" w:oddVBand="false" w:firstColumn="false"/>
            <w:tcW w:w="62.962963%" w:type="pct"/>
          </w:tcPr>
          <w:p>
            <w:pPr>
              <w:ind w:leftChars="0" w:left="0" w:right="0"/>
            </w:pPr>
            <w:r>
              <w:t>IGROW VENTURE PARTNERS ΑΕΔΑΚΕΣ</w:t>
            </w:r>
          </w:p>
        </w:tc>
      </w:tr>
      <w:tr>
        <w:trPr>
          <w:cnfStyle w:evenHBand="true" w:oddHBand="false" w:firstRow="false"/>
        </w:trPr>
        <w:tc>
          <w:tcPr>
            <w:cnfStyle w:evenVBand="false" w:oddVBand="true" w:firstColumn="false"/>
            <w:tcW w:w="12.962963%" w:type="pct"/>
          </w:tcPr>
          <w:p>
            <w:pPr>
              <w:ind w:leftChars="0" w:left="0" w:right="0"/>
            </w:pPr>
            <w:r>
              <w:t>EGR996764210</w:t>
            </w:r>
          </w:p>
        </w:tc>
        <w:tc>
          <w:tcPr>
            <w:cnfStyle w:evenVBand="true" w:oddVBand="false" w:firstColumn="false"/>
            <w:tcW w:w="12.037037%" w:type="pct"/>
          </w:tcPr>
          <w:p>
            <w:pPr>
              <w:ind w:leftChars="0" w:left="0" w:right="0"/>
            </w:pPr>
            <w:r>
              <w:t>GR996764210</w:t>
            </w:r>
          </w:p>
        </w:tc>
        <w:tc>
          <w:tcPr>
            <w:cnfStyle w:evenVBand="false" w:oddVBand="true" w:firstColumn="false"/>
            <w:tcW w:w="12.037037%" w:type="pct"/>
          </w:tcPr>
          <w:p>
            <w:pPr>
              <w:ind w:leftChars="0" w:left="0" w:right="0"/>
            </w:pPr>
            <w:r>
              <w:t>GR996764210</w:t>
            </w:r>
          </w:p>
        </w:tc>
        <w:tc>
          <w:tcPr>
            <w:cnfStyle w:evenVBand="true" w:oddVBand="false" w:firstColumn="false"/>
            <w:tcW w:w="62.962963%" w:type="pct"/>
          </w:tcPr>
          <w:p>
            <w:pPr>
              <w:ind w:leftChars="0" w:left="0" w:right="0"/>
            </w:pPr>
            <w:r>
              <w:t>ΣΥΜΜΕΤΟΧΕΣ 5G ΑΕ</w:t>
            </w:r>
          </w:p>
        </w:tc>
      </w:tr>
      <w:tr>
        <w:trPr>
          <w:cnfStyle w:evenHBand="false" w:oddHBand="true" w:firstRow="false"/>
        </w:trPr>
        <w:tc>
          <w:tcPr>
            <w:cnfStyle w:evenVBand="false" w:oddVBand="true" w:firstColumn="false"/>
            <w:tcW w:w="12.962963%" w:type="pct"/>
          </w:tcPr>
          <w:p>
            <w:pPr>
              <w:ind w:leftChars="0" w:left="0" w:right="0"/>
            </w:pPr>
            <w:r>
              <w:t>EGR997148287</w:t>
            </w:r>
          </w:p>
        </w:tc>
        <w:tc>
          <w:tcPr>
            <w:cnfStyle w:evenVBand="true" w:oddVBand="false" w:firstColumn="false"/>
            <w:tcW w:w="12.037037%" w:type="pct"/>
          </w:tcPr>
          <w:p>
            <w:pPr>
              <w:ind w:leftChars="0" w:left="0" w:right="0"/>
            </w:pPr>
            <w:r>
              <w:t>GR997148287</w:t>
            </w:r>
          </w:p>
        </w:tc>
        <w:tc>
          <w:tcPr>
            <w:cnfStyle w:evenVBand="false" w:oddVBand="true" w:firstColumn="false"/>
            <w:tcW w:w="12.037037%" w:type="pct"/>
          </w:tcPr>
          <w:p>
            <w:pPr>
              <w:ind w:leftChars="0" w:left="0" w:right="0"/>
            </w:pPr>
            <w:r>
              <w:t>GR997148287</w:t>
            </w:r>
          </w:p>
        </w:tc>
        <w:tc>
          <w:tcPr>
            <w:cnfStyle w:evenVBand="true" w:oddVBand="false" w:firstColumn="false"/>
            <w:tcW w:w="62.962963%" w:type="pct"/>
          </w:tcPr>
          <w:p>
            <w:pPr>
              <w:ind w:leftChars="0" w:left="0" w:right="0"/>
            </w:pPr>
            <w:r>
              <w:t>ΕΛΛΗΝΙΚΗ ΑΕΔΟΕΕ</w:t>
            </w:r>
          </w:p>
        </w:tc>
      </w:tr>
      <w:tr>
        <w:trPr>
          <w:cnfStyle w:evenHBand="true" w:oddHBand="false" w:firstRow="false"/>
        </w:trPr>
        <w:tc>
          <w:tcPr>
            <w:cnfStyle w:evenVBand="false" w:oddVBand="true" w:firstColumn="false"/>
            <w:tcW w:w="12.962963%" w:type="pct"/>
          </w:tcPr>
          <w:p>
            <w:pPr>
              <w:ind w:leftChars="0" w:left="0" w:right="0"/>
            </w:pPr>
            <w:r>
              <w:t>EGR998159392</w:t>
            </w:r>
          </w:p>
        </w:tc>
        <w:tc>
          <w:tcPr>
            <w:cnfStyle w:evenVBand="true" w:oddVBand="false" w:firstColumn="false"/>
            <w:tcW w:w="12.037037%" w:type="pct"/>
          </w:tcPr>
          <w:p>
            <w:pPr>
              <w:ind w:leftChars="0" w:left="0" w:right="0"/>
            </w:pPr>
            <w:r>
              <w:t>GR998159392</w:t>
            </w:r>
          </w:p>
        </w:tc>
        <w:tc>
          <w:tcPr>
            <w:cnfStyle w:evenVBand="false" w:oddVBand="true" w:firstColumn="false"/>
            <w:tcW w:w="12.037037%" w:type="pct"/>
          </w:tcPr>
          <w:p>
            <w:pPr>
              <w:ind w:leftChars="0" w:left="0" w:right="0"/>
            </w:pPr>
            <w:r>
              <w:t>GR998159392</w:t>
            </w:r>
          </w:p>
        </w:tc>
        <w:tc>
          <w:tcPr>
            <w:cnfStyle w:evenVBand="true" w:oddVBand="false" w:firstColumn="false"/>
            <w:tcW w:w="62.962963%" w:type="pct"/>
          </w:tcPr>
          <w:p>
            <w:pPr>
              <w:ind w:leftChars="0" w:left="0" w:right="0"/>
            </w:pPr>
            <w:r>
              <w:t>ΑΛΦΑ ΑΕΔΑΚΕΣ</w:t>
            </w:r>
          </w:p>
        </w:tc>
      </w:tr>
      <w:tr>
        <w:trPr>
          <w:cnfStyle w:evenHBand="false" w:oddHBand="true" w:firstRow="false"/>
        </w:trPr>
        <w:tc>
          <w:tcPr>
            <w:cnfStyle w:evenVBand="false" w:oddVBand="true" w:firstColumn="false"/>
            <w:tcW w:w="12.962963%" w:type="pct"/>
          </w:tcPr>
          <w:p>
            <w:pPr>
              <w:ind w:leftChars="0" w:left="0" w:right="0"/>
            </w:pPr>
            <w:r>
              <w:t>EGR998279015</w:t>
            </w:r>
          </w:p>
        </w:tc>
        <w:tc>
          <w:tcPr>
            <w:cnfStyle w:evenVBand="true" w:oddVBand="false" w:firstColumn="false"/>
            <w:tcW w:w="12.037037%" w:type="pct"/>
          </w:tcPr>
          <w:p>
            <w:pPr>
              <w:ind w:leftChars="0" w:left="0" w:right="0"/>
            </w:pPr>
            <w:r>
              <w:t>GR998279015</w:t>
            </w:r>
          </w:p>
        </w:tc>
        <w:tc>
          <w:tcPr>
            <w:cnfStyle w:evenVBand="false" w:oddVBand="true" w:firstColumn="false"/>
            <w:tcW w:w="12.037037%" w:type="pct"/>
          </w:tcPr>
          <w:p>
            <w:pPr>
              <w:ind w:leftChars="0" w:left="0" w:right="0"/>
            </w:pPr>
            <w:r>
              <w:t>GR998279015</w:t>
            </w:r>
          </w:p>
        </w:tc>
        <w:tc>
          <w:tcPr>
            <w:cnfStyle w:evenVBand="true" w:oddVBand="false" w:firstColumn="false"/>
            <w:tcW w:w="62.962963%" w:type="pct"/>
          </w:tcPr>
          <w:p>
            <w:pPr>
              <w:ind w:leftChars="0" w:left="0" w:right="0"/>
            </w:pPr>
            <w:r>
              <w:t>PIRAEUS CAPITAL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EGR998642355</w:t>
            </w:r>
          </w:p>
        </w:tc>
        <w:tc>
          <w:tcPr>
            <w:cnfStyle w:evenVBand="true" w:oddVBand="false" w:firstColumn="false"/>
            <w:tcW w:w="12.037037%" w:type="pct"/>
          </w:tcPr>
          <w:p>
            <w:pPr>
              <w:ind w:leftChars="0" w:left="0" w:right="0"/>
            </w:pPr>
            <w:r>
              <w:t>GR998642355</w:t>
            </w:r>
          </w:p>
        </w:tc>
        <w:tc>
          <w:tcPr>
            <w:cnfStyle w:evenVBand="false" w:oddVBand="true" w:firstColumn="false"/>
            <w:tcW w:w="12.037037%" w:type="pct"/>
          </w:tcPr>
          <w:p>
            <w:pPr>
              <w:ind w:leftChars="0" w:left="0" w:right="0"/>
            </w:pPr>
            <w:r>
              <w:t>GR998642355</w:t>
            </w:r>
          </w:p>
        </w:tc>
        <w:tc>
          <w:tcPr>
            <w:cnfStyle w:evenVBand="true" w:oddVBand="false" w:firstColumn="false"/>
            <w:tcW w:w="62.962963%" w:type="pct"/>
          </w:tcPr>
          <w:p>
            <w:pPr>
              <w:ind w:leftChars="0" w:left="0" w:right="0"/>
            </w:pPr>
            <w:r>
              <w:t>CNL CAPITAL ΑΕΔΟΕΕ</w:t>
            </w:r>
          </w:p>
        </w:tc>
      </w:tr>
      <w:tr>
        <w:trPr>
          <w:cnfStyle w:evenHBand="false" w:oddHBand="true" w:firstRow="false"/>
        </w:trPr>
        <w:tc>
          <w:tcPr>
            <w:cnfStyle w:evenVBand="false" w:oddVBand="true" w:firstColumn="false"/>
            <w:tcW w:w="12.962963%" w:type="pct"/>
          </w:tcPr>
          <w:p>
            <w:pPr>
              <w:ind w:leftChars="0" w:left="0" w:right="0"/>
            </w:pPr>
            <w:r>
              <w:t>EGR999510866</w:t>
            </w:r>
          </w:p>
        </w:tc>
        <w:tc>
          <w:tcPr>
            <w:cnfStyle w:evenVBand="true" w:oddVBand="false" w:firstColumn="false"/>
            <w:tcW w:w="12.037037%" w:type="pct"/>
          </w:tcPr>
          <w:p>
            <w:pPr>
              <w:ind w:leftChars="0" w:left="0" w:right="0"/>
            </w:pPr>
            <w:r>
              <w:t>GR999510866</w:t>
            </w:r>
          </w:p>
        </w:tc>
        <w:tc>
          <w:tcPr>
            <w:cnfStyle w:evenVBand="false" w:oddVBand="true" w:firstColumn="false"/>
            <w:tcW w:w="12.037037%" w:type="pct"/>
          </w:tcPr>
          <w:p>
            <w:pPr>
              <w:ind w:leftChars="0" w:left="0" w:right="0"/>
            </w:pPr>
            <w:r>
              <w:t>GR999510866</w:t>
            </w:r>
          </w:p>
        </w:tc>
        <w:tc>
          <w:tcPr>
            <w:cnfStyle w:evenVBand="true" w:oddVBand="false" w:firstColumn="false"/>
            <w:tcW w:w="62.962963%" w:type="pct"/>
          </w:tcPr>
          <w:p>
            <w:pPr>
              <w:ind w:leftChars="0" w:left="0" w:right="0"/>
            </w:pPr>
            <w:r>
              <w:t>ΑΤΤΙΚΑ ΒΕΝΤΣΟΥΡΣ ΑΕΔΑΚΕΣ</w:t>
            </w:r>
          </w:p>
        </w:tc>
      </w:tr>
      <w:tr>
        <w:trPr>
          <w:cnfStyle w:evenHBand="true" w:oddHBand="false" w:firstRow="false"/>
        </w:trPr>
        <w:tc>
          <w:tcPr>
            <w:cnfStyle w:evenVBand="false" w:oddVBand="true" w:firstColumn="false"/>
            <w:tcW w:w="12.962963%" w:type="pct"/>
          </w:tcPr>
          <w:p>
            <w:pPr>
              <w:ind w:leftChars="0" w:left="0" w:right="0"/>
            </w:pPr>
            <w:r>
              <w:t>EGR999984680</w:t>
            </w:r>
          </w:p>
        </w:tc>
        <w:tc>
          <w:tcPr>
            <w:cnfStyle w:evenVBand="true" w:oddVBand="false" w:firstColumn="false"/>
            <w:tcW w:w="12.037037%" w:type="pct"/>
          </w:tcPr>
          <w:p>
            <w:pPr>
              <w:ind w:leftChars="0" w:left="0" w:right="0"/>
            </w:pPr>
            <w:r>
              <w:t>GR999984680</w:t>
            </w:r>
          </w:p>
        </w:tc>
        <w:tc>
          <w:tcPr>
            <w:cnfStyle w:evenVBand="false" w:oddVBand="true" w:firstColumn="false"/>
            <w:tcW w:w="12.037037%" w:type="pct"/>
          </w:tcPr>
          <w:p>
            <w:pPr>
              <w:ind w:leftChars="0" w:left="0" w:right="0"/>
            </w:pPr>
            <w:r>
              <w:t>GR999984680</w:t>
            </w:r>
          </w:p>
        </w:tc>
        <w:tc>
          <w:tcPr>
            <w:cnfStyle w:evenVBand="true" w:oddVBand="false" w:firstColumn="false"/>
            <w:tcW w:w="62.962963%" w:type="pct"/>
          </w:tcPr>
          <w:p>
            <w:pPr>
              <w:ind w:leftChars="0" w:left="0" w:right="0"/>
            </w:pPr>
            <w:r>
              <w:t>ΕΛΛΕΝΙΚ ΚΑΠΙΤΑΛ ΠΑΡΤΝΕΡΣ ΑΕΔΑΚΕΣ</w:t>
            </w:r>
          </w:p>
        </w:tc>
      </w:tr>
      <w:tr>
        <w:trPr>
          <w:cnfStyle w:evenHBand="false" w:oddHBand="true" w:firstRow="false"/>
        </w:trPr>
        <w:tc>
          <w:tcPr>
            <w:cnfStyle w:evenVBand="false" w:oddVBand="true" w:firstColumn="false"/>
            <w:tcW w:w="12.962963%" w:type="pct"/>
          </w:tcPr>
          <w:p>
            <w:pPr>
              <w:ind w:leftChars="0" w:left="0" w:right="0"/>
            </w:pPr>
            <w:r>
              <w:t>EGRAEEAP002</w:t>
            </w:r>
          </w:p>
        </w:tc>
        <w:tc>
          <w:tcPr>
            <w:cnfStyle w:evenVBand="true" w:oddVBand="false" w:firstColumn="false"/>
            <w:tcW w:w="12.037037%" w:type="pct"/>
          </w:tcPr>
          <w:p>
            <w:pPr>
              <w:ind w:leftChars="0" w:left="0" w:right="0"/>
            </w:pPr>
            <w:r>
              <w:t>GRAEEAP002</w:t>
            </w:r>
          </w:p>
        </w:tc>
        <w:tc>
          <w:tcPr>
            <w:cnfStyle w:evenVBand="false" w:oddVBand="true" w:firstColumn="false"/>
            <w:tcW w:w="12.037037%" w:type="pct"/>
          </w:tcPr>
          <w:p>
            <w:pPr>
              <w:ind w:leftChars="0" w:left="0" w:right="0"/>
            </w:pPr>
            <w:r>
              <w:t>GR099554901</w:t>
            </w:r>
          </w:p>
        </w:tc>
        <w:tc>
          <w:tcPr>
            <w:cnfStyle w:evenVBand="true" w:oddVBand="false" w:firstColumn="false"/>
            <w:tcW w:w="62.962963%" w:type="pct"/>
          </w:tcPr>
          <w:p>
            <w:pPr>
              <w:ind w:leftChars="0" w:left="0" w:right="0"/>
            </w:pPr>
            <w:r>
              <w:t>TRASTOR ΑΕΕΑΠ</w:t>
            </w:r>
          </w:p>
        </w:tc>
      </w:tr>
      <w:tr>
        <w:trPr>
          <w:cnfStyle w:evenHBand="true" w:oddHBand="false" w:firstRow="false"/>
        </w:trPr>
        <w:tc>
          <w:tcPr>
            <w:cnfStyle w:evenVBand="false" w:oddVBand="true" w:firstColumn="false"/>
            <w:tcW w:w="12.962963%" w:type="pct"/>
          </w:tcPr>
          <w:p>
            <w:pPr>
              <w:ind w:leftChars="0" w:left="0" w:right="0"/>
            </w:pPr>
            <w:r>
              <w:t>EGRAEEAP003</w:t>
            </w:r>
          </w:p>
        </w:tc>
        <w:tc>
          <w:tcPr>
            <w:cnfStyle w:evenVBand="true" w:oddVBand="false" w:firstColumn="false"/>
            <w:tcW w:w="12.037037%" w:type="pct"/>
          </w:tcPr>
          <w:p>
            <w:pPr>
              <w:ind w:leftChars="0" w:left="0" w:right="0"/>
            </w:pPr>
            <w:r>
              <w:t>GRAEEAP003</w:t>
            </w:r>
          </w:p>
        </w:tc>
        <w:tc>
          <w:tcPr>
            <w:cnfStyle w:evenVBand="false" w:oddVBand="true" w:firstColumn="false"/>
            <w:tcW w:w="12.037037%" w:type="pct"/>
          </w:tcPr>
          <w:p>
            <w:pPr>
              <w:ind w:leftChars="0" w:left="0" w:right="0"/>
            </w:pPr>
            <w:r>
              <w:t>GR099555020</w:t>
            </w:r>
          </w:p>
        </w:tc>
        <w:tc>
          <w:tcPr>
            <w:cnfStyle w:evenVBand="true" w:oddVBand="false" w:firstColumn="false"/>
            <w:tcW w:w="62.962963%" w:type="pct"/>
          </w:tcPr>
          <w:p>
            <w:pPr>
              <w:ind w:leftChars="0" w:left="0" w:right="0"/>
            </w:pPr>
            <w:r>
              <w:t>Προντέα ΑΕΕΑΠ</w:t>
            </w:r>
          </w:p>
        </w:tc>
      </w:tr>
      <w:tr>
        <w:trPr>
          <w:cnfStyle w:evenHBand="false" w:oddHBand="true" w:firstRow="false"/>
        </w:trPr>
        <w:tc>
          <w:tcPr>
            <w:cnfStyle w:evenVBand="false" w:oddVBand="true" w:firstColumn="false"/>
            <w:tcW w:w="12.962963%" w:type="pct"/>
          </w:tcPr>
          <w:p>
            <w:pPr>
              <w:ind w:leftChars="0" w:left="0" w:right="0"/>
            </w:pPr>
            <w:r>
              <w:t>EGRAEEAP005</w:t>
            </w:r>
          </w:p>
        </w:tc>
        <w:tc>
          <w:tcPr>
            <w:cnfStyle w:evenVBand="true" w:oddVBand="false" w:firstColumn="false"/>
            <w:tcW w:w="12.037037%" w:type="pct"/>
          </w:tcPr>
          <w:p>
            <w:pPr>
              <w:ind w:leftChars="0" w:left="0" w:right="0"/>
            </w:pPr>
            <w:r>
              <w:t>GRAEEAP005</w:t>
            </w:r>
          </w:p>
        </w:tc>
        <w:tc>
          <w:tcPr>
            <w:cnfStyle w:evenVBand="false" w:oddVBand="true" w:firstColumn="false"/>
            <w:tcW w:w="12.037037%" w:type="pct"/>
          </w:tcPr>
          <w:p>
            <w:pPr>
              <w:ind w:leftChars="0" w:left="0" w:right="0"/>
            </w:pPr>
            <w:r>
              <w:t>GR800397001</w:t>
            </w:r>
          </w:p>
        </w:tc>
        <w:tc>
          <w:tcPr>
            <w:cnfStyle w:evenVBand="true" w:oddVBand="false" w:firstColumn="false"/>
            <w:tcW w:w="62.962963%" w:type="pct"/>
          </w:tcPr>
          <w:p>
            <w:pPr>
              <w:ind w:leftChars="0" w:left="0" w:right="0"/>
            </w:pPr>
            <w:r>
              <w:t>INTERCONTINENTAL INTERNATIONAL ΑΕΕΑΠ</w:t>
            </w:r>
          </w:p>
        </w:tc>
      </w:tr>
      <w:tr>
        <w:trPr>
          <w:cnfStyle w:evenHBand="true" w:oddHBand="false" w:firstRow="false"/>
        </w:trPr>
        <w:tc>
          <w:tcPr>
            <w:cnfStyle w:evenVBand="false" w:oddVBand="true" w:firstColumn="false"/>
            <w:tcW w:w="12.962963%" w:type="pct"/>
          </w:tcPr>
          <w:p>
            <w:pPr>
              <w:ind w:leftChars="0" w:left="0" w:right="0"/>
            </w:pPr>
            <w:r>
              <w:t>EGRAEEAP006</w:t>
            </w:r>
          </w:p>
        </w:tc>
        <w:tc>
          <w:tcPr>
            <w:cnfStyle w:evenVBand="true" w:oddVBand="false" w:firstColumn="false"/>
            <w:tcW w:w="12.037037%" w:type="pct"/>
          </w:tcPr>
          <w:p>
            <w:pPr>
              <w:ind w:leftChars="0" w:left="0" w:right="0"/>
            </w:pPr>
            <w:r>
              <w:t>GRAEEAP006</w:t>
            </w:r>
          </w:p>
        </w:tc>
        <w:tc>
          <w:tcPr>
            <w:cnfStyle w:evenVBand="false" w:oddVBand="true" w:firstColumn="false"/>
            <w:tcW w:w="12.037037%" w:type="pct"/>
          </w:tcPr>
          <w:p>
            <w:pPr>
              <w:ind w:leftChars="0" w:left="0" w:right="0"/>
            </w:pPr>
            <w:r>
              <w:t>GR997521479</w:t>
            </w:r>
          </w:p>
        </w:tc>
        <w:tc>
          <w:tcPr>
            <w:cnfStyle w:evenVBand="true" w:oddVBand="false" w:firstColumn="false"/>
            <w:tcW w:w="62.962963%" w:type="pct"/>
          </w:tcPr>
          <w:p>
            <w:pPr>
              <w:ind w:leftChars="0" w:left="0" w:right="0"/>
            </w:pPr>
            <w:r>
              <w:t>BriQ Properties ΑΕΕΑΠ</w:t>
            </w:r>
          </w:p>
        </w:tc>
      </w:tr>
      <w:tr>
        <w:trPr>
          <w:cnfStyle w:evenHBand="false" w:oddHBand="true" w:firstRow="false"/>
        </w:trPr>
        <w:tc>
          <w:tcPr>
            <w:cnfStyle w:evenVBand="false" w:oddVBand="true" w:firstColumn="false"/>
            <w:tcW w:w="12.962963%" w:type="pct"/>
          </w:tcPr>
          <w:p>
            <w:pPr>
              <w:ind w:leftChars="0" w:left="0" w:right="0"/>
            </w:pPr>
            <w:r>
              <w:t>EGRAEEAP007</w:t>
            </w:r>
          </w:p>
        </w:tc>
        <w:tc>
          <w:tcPr>
            <w:cnfStyle w:evenVBand="true" w:oddVBand="false" w:firstColumn="false"/>
            <w:tcW w:w="12.037037%" w:type="pct"/>
          </w:tcPr>
          <w:p>
            <w:pPr>
              <w:ind w:leftChars="0" w:left="0" w:right="0"/>
            </w:pPr>
            <w:r>
              <w:t>GRAEEAP007</w:t>
            </w:r>
          </w:p>
        </w:tc>
        <w:tc>
          <w:tcPr>
            <w:cnfStyle w:evenVBand="false" w:oddVBand="true" w:firstColumn="false"/>
            <w:tcW w:w="12.037037%" w:type="pct"/>
          </w:tcPr>
          <w:p>
            <w:pPr>
              <w:ind w:leftChars="0" w:left="0" w:right="0"/>
            </w:pPr>
            <w:r>
              <w:t>GR997656128</w:t>
            </w:r>
          </w:p>
        </w:tc>
        <w:tc>
          <w:tcPr>
            <w:cnfStyle w:evenVBand="true" w:oddVBand="false" w:firstColumn="false"/>
            <w:tcW w:w="62.962963%" w:type="pct"/>
          </w:tcPr>
          <w:p>
            <w:pPr>
              <w:ind w:leftChars="0" w:left="0" w:right="0"/>
            </w:pPr>
            <w:r>
              <w:t>ΜΠΛΕ ΚΕΔΡΟΣ ΑΕΕΑΠ</w:t>
            </w:r>
          </w:p>
        </w:tc>
      </w:tr>
      <w:tr>
        <w:trPr>
          <w:cnfStyle w:evenHBand="true" w:oddHBand="false" w:firstRow="false"/>
        </w:trPr>
        <w:tc>
          <w:tcPr>
            <w:cnfStyle w:evenVBand="false" w:oddVBand="true" w:firstColumn="false"/>
            <w:tcW w:w="12.962963%" w:type="pct"/>
          </w:tcPr>
          <w:p>
            <w:pPr>
              <w:ind w:leftChars="0" w:left="0" w:right="0"/>
            </w:pPr>
            <w:r>
              <w:t>EGRAEEAP008</w:t>
            </w:r>
          </w:p>
        </w:tc>
        <w:tc>
          <w:tcPr>
            <w:cnfStyle w:evenVBand="true" w:oddVBand="false" w:firstColumn="false"/>
            <w:tcW w:w="12.037037%" w:type="pct"/>
          </w:tcPr>
          <w:p>
            <w:pPr>
              <w:ind w:leftChars="0" w:left="0" w:right="0"/>
            </w:pPr>
            <w:r>
              <w:t>GRAEEAP008</w:t>
            </w:r>
          </w:p>
        </w:tc>
        <w:tc>
          <w:tcPr>
            <w:cnfStyle w:evenVBand="false" w:oddVBand="true" w:firstColumn="false"/>
            <w:tcW w:w="12.037037%" w:type="pct"/>
          </w:tcPr>
          <w:p>
            <w:pPr>
              <w:ind w:leftChars="0" w:left="0" w:right="0"/>
            </w:pPr>
            <w:r>
              <w:t>GR801077433</w:t>
            </w:r>
          </w:p>
        </w:tc>
        <w:tc>
          <w:tcPr>
            <w:cnfStyle w:evenVBand="true" w:oddVBand="false" w:firstColumn="false"/>
            <w:tcW w:w="62.962963%" w:type="pct"/>
          </w:tcPr>
          <w:p>
            <w:pPr>
              <w:ind w:leftChars="0" w:left="0" w:right="0"/>
            </w:pPr>
            <w:r>
              <w:t>ORILINA PROPERTIES ΑΕΕΑΠ</w:t>
            </w:r>
          </w:p>
        </w:tc>
      </w:tr>
      <w:tr>
        <w:trPr>
          <w:cnfStyle w:evenHBand="false" w:oddHBand="true" w:firstRow="false"/>
        </w:trPr>
        <w:tc>
          <w:tcPr>
            <w:cnfStyle w:evenVBand="false" w:oddVBand="true" w:firstColumn="false"/>
            <w:tcW w:w="12.962963%" w:type="pct"/>
          </w:tcPr>
          <w:p>
            <w:pPr>
              <w:ind w:leftChars="0" w:left="0" w:right="0"/>
            </w:pPr>
            <w:r>
              <w:t>EGRAEEAP009</w:t>
            </w:r>
          </w:p>
        </w:tc>
        <w:tc>
          <w:tcPr>
            <w:cnfStyle w:evenVBand="true" w:oddVBand="false" w:firstColumn="false"/>
            <w:tcW w:w="12.037037%" w:type="pct"/>
          </w:tcPr>
          <w:p>
            <w:pPr>
              <w:ind w:leftChars="0" w:left="0" w:right="0"/>
            </w:pPr>
            <w:r>
              <w:t>GRAEEAP009</w:t>
            </w:r>
          </w:p>
        </w:tc>
        <w:tc>
          <w:tcPr>
            <w:cnfStyle w:evenVBand="false" w:oddVBand="true" w:firstColumn="false"/>
            <w:tcW w:w="12.037037%" w:type="pct"/>
          </w:tcPr>
          <w:p>
            <w:pPr>
              <w:ind w:leftChars="0" w:left="0" w:right="0"/>
            </w:pPr>
            <w:r>
              <w:t>GR996805731</w:t>
            </w:r>
          </w:p>
        </w:tc>
        <w:tc>
          <w:tcPr>
            <w:cnfStyle w:evenVBand="true" w:oddVBand="false" w:firstColumn="false"/>
            <w:tcW w:w="62.962963%" w:type="pct"/>
          </w:tcPr>
          <w:p>
            <w:pPr>
              <w:ind w:leftChars="0" w:left="0" w:right="0"/>
            </w:pPr>
            <w:r>
              <w:t>TRADE ESTATES ΑΕΕΑΠ</w:t>
            </w:r>
          </w:p>
        </w:tc>
      </w:tr>
      <w:tr>
        <w:trPr>
          <w:cnfStyle w:evenHBand="true" w:oddHBand="false" w:firstRow="false"/>
        </w:trPr>
        <w:tc>
          <w:tcPr>
            <w:cnfStyle w:evenVBand="false" w:oddVBand="true" w:firstColumn="false"/>
            <w:tcW w:w="12.962963%" w:type="pct"/>
          </w:tcPr>
          <w:p>
            <w:pPr>
              <w:ind w:leftChars="0" w:left="0" w:right="0"/>
            </w:pPr>
            <w:r>
              <w:t>EGRAEEAP010</w:t>
            </w:r>
          </w:p>
        </w:tc>
        <w:tc>
          <w:tcPr>
            <w:cnfStyle w:evenVBand="true" w:oddVBand="false" w:firstColumn="false"/>
            <w:tcW w:w="12.037037%" w:type="pct"/>
          </w:tcPr>
          <w:p>
            <w:pPr>
              <w:ind w:leftChars="0" w:left="0" w:right="0"/>
            </w:pPr>
            <w:r>
              <w:t>GRAEEAP010</w:t>
            </w:r>
          </w:p>
        </w:tc>
        <w:tc>
          <w:tcPr>
            <w:cnfStyle w:evenVBand="false" w:oddVBand="true" w:firstColumn="false"/>
            <w:tcW w:w="12.037037%" w:type="pct"/>
          </w:tcPr>
          <w:p>
            <w:pPr>
              <w:ind w:leftChars="0" w:left="0" w:right="0"/>
            </w:pPr>
            <w:r>
              <w:t>GR996899546</w:t>
            </w:r>
          </w:p>
        </w:tc>
        <w:tc>
          <w:tcPr>
            <w:cnfStyle w:evenVBand="true" w:oddVBand="false" w:firstColumn="false"/>
            <w:tcW w:w="62.962963%" w:type="pct"/>
          </w:tcPr>
          <w:p>
            <w:pPr>
              <w:ind w:leftChars="0" w:left="0" w:right="0"/>
            </w:pPr>
            <w:r>
              <w:t>NOVAL PROPERTY ΑΕΕΑΠ</w:t>
            </w:r>
          </w:p>
        </w:tc>
      </w:tr>
      <w:tr>
        <w:trPr>
          <w:cnfStyle w:evenHBand="false" w:oddHBand="true" w:firstRow="false"/>
        </w:trPr>
        <w:tc>
          <w:tcPr>
            <w:cnfStyle w:evenVBand="false" w:oddVBand="true" w:firstColumn="false"/>
            <w:tcW w:w="12.962963%" w:type="pct"/>
          </w:tcPr>
          <w:p>
            <w:pPr>
              <w:ind w:leftChars="0" w:left="0" w:right="0"/>
            </w:pPr>
            <w:r>
              <w:t>EGRAEEX002</w:t>
            </w:r>
          </w:p>
        </w:tc>
        <w:tc>
          <w:tcPr>
            <w:cnfStyle w:evenVBand="true" w:oddVBand="false" w:firstColumn="false"/>
            <w:tcW w:w="12.037037%" w:type="pct"/>
          </w:tcPr>
          <w:p>
            <w:pPr>
              <w:ind w:leftChars="0" w:left="0" w:right="0"/>
            </w:pPr>
            <w:r>
              <w:t>GRAEEX002</w:t>
            </w:r>
          </w:p>
        </w:tc>
        <w:tc>
          <w:tcPr>
            <w:cnfStyle w:evenVBand="false" w:oddVBand="true" w:firstColumn="false"/>
            <w:tcW w:w="12.037037%" w:type="pct"/>
          </w:tcPr>
          <w:p>
            <w:pPr>
              <w:ind w:leftChars="0" w:left="0" w:right="0"/>
            </w:pPr>
            <w:r>
              <w:t>GR099759863</w:t>
            </w:r>
          </w:p>
        </w:tc>
        <w:tc>
          <w:tcPr>
            <w:cnfStyle w:evenVBand="true" w:oddVBand="false" w:firstColumn="false"/>
            <w:tcW w:w="62.962963%" w:type="pct"/>
          </w:tcPr>
          <w:p>
            <w:pPr>
              <w:ind w:leftChars="0" w:left="0" w:right="0"/>
            </w:pPr>
            <w:r>
              <w:t>ALPHA TRUST ANDROMEDA ΑΕΕΧ</w:t>
            </w:r>
          </w:p>
        </w:tc>
      </w:tr>
      <w:tr>
        <w:trPr>
          <w:cnfStyle w:evenHBand="true" w:oddHBand="false" w:firstRow="false"/>
        </w:trPr>
        <w:tc>
          <w:tcPr>
            <w:cnfStyle w:evenVBand="false" w:oddVBand="true" w:firstColumn="false"/>
            <w:tcW w:w="12.962963%" w:type="pct"/>
          </w:tcPr>
          <w:p>
            <w:pPr>
              <w:ind w:leftChars="0" w:left="0" w:right="0"/>
            </w:pPr>
            <w:r>
              <w:t>EGRAEPEY059</w:t>
            </w:r>
          </w:p>
        </w:tc>
        <w:tc>
          <w:tcPr>
            <w:cnfStyle w:evenVBand="true" w:oddVBand="false" w:firstColumn="false"/>
            <w:tcW w:w="12.037037%" w:type="pct"/>
          </w:tcPr>
          <w:p>
            <w:pPr>
              <w:ind w:leftChars="0" w:left="0" w:right="0"/>
            </w:pPr>
            <w:r>
              <w:t>GRAEPEY059</w:t>
            </w:r>
          </w:p>
        </w:tc>
        <w:tc>
          <w:tcPr>
            <w:cnfStyle w:evenVBand="false" w:oddVBand="true" w:firstColumn="false"/>
            <w:tcW w:w="12.037037%" w:type="pct"/>
          </w:tcPr>
          <w:p>
            <w:pPr>
              <w:ind w:leftChars="0" w:left="0" w:right="0"/>
            </w:pPr>
            <w:r>
              <w:t>GR998940936</w:t>
            </w:r>
          </w:p>
        </w:tc>
        <w:tc>
          <w:tcPr>
            <w:cnfStyle w:evenVBand="true" w:oddVBand="false" w:firstColumn="false"/>
            <w:tcW w:w="62.962963%" w:type="pct"/>
          </w:tcPr>
          <w:p>
            <w:pPr>
              <w:ind w:leftChars="0" w:left="0" w:right="0"/>
            </w:pPr>
            <w:r>
              <w:t>THETIS CAPITAL ΑΕΠΕΥ</w:t>
            </w:r>
          </w:p>
        </w:tc>
      </w:tr>
      <w:tr>
        <w:trPr>
          <w:cnfStyle w:evenHBand="false" w:oddHBand="true" w:firstRow="false"/>
        </w:trPr>
        <w:tc>
          <w:tcPr>
            <w:cnfStyle w:evenVBand="false" w:oddVBand="true" w:firstColumn="false"/>
            <w:tcW w:w="12.962963%" w:type="pct"/>
          </w:tcPr>
          <w:p>
            <w:pPr>
              <w:ind w:leftChars="0" w:left="0" w:right="0"/>
            </w:pPr>
            <w:r>
              <w:t>EGRAEPEY065</w:t>
            </w:r>
          </w:p>
        </w:tc>
        <w:tc>
          <w:tcPr>
            <w:cnfStyle w:evenVBand="true" w:oddVBand="false" w:firstColumn="false"/>
            <w:tcW w:w="12.037037%" w:type="pct"/>
          </w:tcPr>
          <w:p>
            <w:pPr>
              <w:ind w:leftChars="0" w:left="0" w:right="0"/>
            </w:pPr>
            <w:r>
              <w:t>GRAEPEY065</w:t>
            </w:r>
          </w:p>
        </w:tc>
        <w:tc>
          <w:tcPr>
            <w:cnfStyle w:evenVBand="false" w:oddVBand="true" w:firstColumn="false"/>
            <w:tcW w:w="12.037037%" w:type="pct"/>
          </w:tcPr>
          <w:p>
            <w:pPr>
              <w:ind w:leftChars="0" w:left="0" w:right="0"/>
            </w:pPr>
            <w:r>
              <w:t>GR997472014</w:t>
            </w:r>
          </w:p>
        </w:tc>
        <w:tc>
          <w:tcPr>
            <w:cnfStyle w:evenVBand="true" w:oddVBand="false" w:firstColumn="false"/>
            <w:tcW w:w="62.962963%" w:type="pct"/>
          </w:tcPr>
          <w:p>
            <w:pPr>
              <w:ind w:leftChars="0" w:left="0" w:right="0"/>
            </w:pPr>
            <w:r>
              <w:t>IOLCUS INVESTMENTS ΑΕΔΟΕΕ</w:t>
            </w:r>
          </w:p>
        </w:tc>
      </w:tr>
      <w:tr>
        <w:trPr>
          <w:cnfStyle w:evenHBand="true" w:oddHBand="false" w:firstRow="false"/>
        </w:trPr>
        <w:tc>
          <w:tcPr>
            <w:cnfStyle w:evenVBand="false" w:oddVBand="true" w:firstColumn="false"/>
            <w:tcW w:w="12.962963%" w:type="pct"/>
          </w:tcPr>
          <w:p>
            <w:pPr>
              <w:ind w:leftChars="0" w:left="0" w:right="0"/>
            </w:pPr>
            <w:r>
              <w:t>EGREKES001</w:t>
            </w:r>
          </w:p>
        </w:tc>
        <w:tc>
          <w:tcPr>
            <w:cnfStyle w:evenVBand="true" w:oddVBand="false" w:firstColumn="false"/>
            <w:tcW w:w="12.037037%" w:type="pct"/>
          </w:tcPr>
          <w:p>
            <w:pPr>
              <w:ind w:leftChars="0" w:left="0" w:right="0"/>
            </w:pPr>
            <w:r>
              <w:t>GREKES001</w:t>
            </w:r>
          </w:p>
        </w:tc>
        <w:tc>
          <w:tcPr>
            <w:cnfStyle w:evenVBand="false" w:oddVBand="true" w:firstColumn="false"/>
            <w:tcW w:w="12.037037%" w:type="pct"/>
          </w:tcPr>
          <w:p>
            <w:pPr>
              <w:ind w:leftChars="0" w:left="0" w:right="0"/>
            </w:pPr>
            <w:r>
              <w:t>GR800596087</w:t>
            </w:r>
          </w:p>
        </w:tc>
        <w:tc>
          <w:tcPr>
            <w:cnfStyle w:evenVBand="true" w:oddVBand="false" w:firstColumn="false"/>
            <w:tcW w:w="62.962963%" w:type="pct"/>
          </w:tcPr>
          <w:p>
            <w:pPr>
              <w:ind w:leftChars="0" w:left="0" w:right="0"/>
            </w:pPr>
            <w:r>
              <w:t>CNL CAPITAL ΕΚΕΣ-ΔΟΕΕ</w:t>
            </w:r>
          </w:p>
        </w:tc>
      </w:tr>
      <w:tr>
        <w:trPr>
          <w:cnfStyle w:evenHBand="false" w:oddHBand="true" w:firstRow="false"/>
        </w:trPr>
        <w:tc>
          <w:tcPr>
            <w:cnfStyle w:evenVBand="false" w:oddVBand="true" w:firstColumn="false"/>
            <w:tcW w:w="12.962963%" w:type="pct"/>
          </w:tcPr>
          <w:p>
            <w:pPr>
              <w:ind w:leftChars="0" w:left="0" w:right="0"/>
            </w:pPr>
            <w:r>
              <w:t>EGRMFMC000</w:t>
            </w:r>
          </w:p>
        </w:tc>
        <w:tc>
          <w:tcPr>
            <w:cnfStyle w:evenVBand="true" w:oddVBand="false" w:firstColumn="false"/>
            <w:tcW w:w="12.037037%" w:type="pct"/>
          </w:tcPr>
          <w:p>
            <w:pPr>
              <w:ind w:leftChars="0" w:left="0" w:right="0"/>
            </w:pPr>
            <w:r>
              <w:t>GRMFMC000</w:t>
            </w:r>
          </w:p>
        </w:tc>
        <w:tc>
          <w:tcPr>
            <w:cnfStyle w:evenVBand="false" w:oddVBand="true" w:firstColumn="false"/>
            <w:tcW w:w="12.037037%" w:type="pct"/>
          </w:tcPr>
          <w:p>
            <w:pPr>
              <w:ind w:leftChars="0" w:left="0" w:right="0"/>
            </w:pPr>
            <w:r>
              <w:t>GR000000000</w:t>
            </w:r>
          </w:p>
        </w:tc>
        <w:tc>
          <w:tcPr>
            <w:cnfStyle w:evenVBand="true" w:oddVBand="false" w:firstColumn="false"/>
            <w:tcW w:w="62.962963%" w:type="pct"/>
          </w:tcPr>
          <w:p>
            <w:pPr>
              <w:ind w:leftChars="0" w:left="0" w:right="0"/>
            </w:pPr>
            <w:r>
              <w:t>FOO ΑΕΔΑΚ</w:t>
            </w:r>
          </w:p>
        </w:tc>
      </w:tr>
      <w:tr>
        <w:trPr>
          <w:cnfStyle w:evenHBand="true" w:oddHBand="false" w:firstRow="false"/>
        </w:trPr>
        <w:tc>
          <w:tcPr>
            <w:cnfStyle w:evenVBand="false" w:oddVBand="true" w:firstColumn="false"/>
            <w:tcW w:w="12.962963%" w:type="pct"/>
          </w:tcPr>
          <w:p>
            <w:pPr>
              <w:ind w:leftChars="0" w:left="0" w:right="0"/>
            </w:pPr>
            <w:r>
              <w:t>EGRMFMC001</w:t>
            </w:r>
          </w:p>
        </w:tc>
        <w:tc>
          <w:tcPr>
            <w:cnfStyle w:evenVBand="true" w:oddVBand="false" w:firstColumn="false"/>
            <w:tcW w:w="12.037037%" w:type="pct"/>
          </w:tcPr>
          <w:p>
            <w:pPr>
              <w:ind w:leftChars="0" w:left="0" w:right="0"/>
            </w:pPr>
            <w:r>
              <w:t>GRMFMC001</w:t>
            </w:r>
          </w:p>
        </w:tc>
        <w:tc>
          <w:tcPr>
            <w:cnfStyle w:evenVBand="false" w:oddVBand="true" w:firstColumn="false"/>
            <w:tcW w:w="12.037037%" w:type="pct"/>
          </w:tcPr>
          <w:p>
            <w:pPr>
              <w:ind w:leftChars="0" w:left="0" w:right="0"/>
            </w:pPr>
            <w:r>
              <w:t>GR094351475</w:t>
            </w:r>
          </w:p>
        </w:tc>
        <w:tc>
          <w:tcPr>
            <w:cnfStyle w:evenVBand="true" w:oddVBand="false" w:firstColumn="false"/>
            <w:tcW w:w="62.962963%" w:type="pct"/>
          </w:tcPr>
          <w:p>
            <w:pPr>
              <w:ind w:leftChars="0" w:left="0" w:right="0"/>
            </w:pPr>
            <w:r>
              <w:t>NN ΑΕΔΑΚ</w:t>
            </w:r>
          </w:p>
        </w:tc>
      </w:tr>
      <w:tr>
        <w:trPr>
          <w:cnfStyle w:evenHBand="false" w:oddHBand="true" w:firstRow="false"/>
        </w:trPr>
        <w:tc>
          <w:tcPr>
            <w:cnfStyle w:evenVBand="false" w:oddVBand="true" w:firstColumn="false"/>
            <w:tcW w:w="12.962963%" w:type="pct"/>
          </w:tcPr>
          <w:p>
            <w:pPr>
              <w:ind w:leftChars="0" w:left="0" w:right="0"/>
            </w:pPr>
            <w:r>
              <w:t>EGRMFMC002</w:t>
            </w:r>
          </w:p>
        </w:tc>
        <w:tc>
          <w:tcPr>
            <w:cnfStyle w:evenVBand="true" w:oddVBand="false" w:firstColumn="false"/>
            <w:tcW w:w="12.037037%" w:type="pct"/>
          </w:tcPr>
          <w:p>
            <w:pPr>
              <w:ind w:leftChars="0" w:left="0" w:right="0"/>
            </w:pPr>
            <w:r>
              <w:t>GRMFMC002</w:t>
            </w:r>
          </w:p>
        </w:tc>
        <w:tc>
          <w:tcPr>
            <w:cnfStyle w:evenVBand="false" w:oddVBand="true" w:firstColumn="false"/>
            <w:tcW w:w="12.037037%" w:type="pct"/>
          </w:tcPr>
          <w:p>
            <w:pPr>
              <w:ind w:leftChars="0" w:left="0" w:right="0"/>
            </w:pPr>
            <w:r>
              <w:t>GR094354938</w:t>
            </w:r>
          </w:p>
        </w:tc>
        <w:tc>
          <w:tcPr>
            <w:cnfStyle w:evenVBand="true" w:oddVBand="false" w:firstColumn="false"/>
            <w:tcW w:w="62.962963%" w:type="pct"/>
          </w:tcPr>
          <w:p>
            <w:pPr>
              <w:ind w:leftChars="0" w:left="0" w:right="0"/>
            </w:pPr>
            <w:r>
              <w:t>ALLIANZ ΜΟΝΟΠΡΟΣΩΠΗ ΑΕΔΑΚ</w:t>
            </w:r>
          </w:p>
        </w:tc>
      </w:tr>
      <w:tr>
        <w:trPr>
          <w:cnfStyle w:evenHBand="true" w:oddHBand="false" w:firstRow="false"/>
        </w:trPr>
        <w:tc>
          <w:tcPr>
            <w:cnfStyle w:evenVBand="false" w:oddVBand="true" w:firstColumn="false"/>
            <w:tcW w:w="12.962963%" w:type="pct"/>
          </w:tcPr>
          <w:p>
            <w:pPr>
              <w:ind w:leftChars="0" w:left="0" w:right="0"/>
            </w:pPr>
            <w:r>
              <w:t>EGRMFMC003</w:t>
            </w:r>
          </w:p>
        </w:tc>
        <w:tc>
          <w:tcPr>
            <w:cnfStyle w:evenVBand="true" w:oddVBand="false" w:firstColumn="false"/>
            <w:tcW w:w="12.037037%" w:type="pct"/>
          </w:tcPr>
          <w:p>
            <w:pPr>
              <w:ind w:leftChars="0" w:left="0" w:right="0"/>
            </w:pPr>
            <w:r>
              <w:t>GRMFMC003</w:t>
            </w:r>
          </w:p>
        </w:tc>
        <w:tc>
          <w:tcPr>
            <w:cnfStyle w:evenVBand="false" w:oddVBand="true" w:firstColumn="false"/>
            <w:tcW w:w="12.037037%" w:type="pct"/>
          </w:tcPr>
          <w:p>
            <w:pPr>
              <w:ind w:leftChars="0" w:left="0" w:right="0"/>
            </w:pPr>
            <w:r>
              <w:t>GR094282521</w:t>
            </w:r>
          </w:p>
        </w:tc>
        <w:tc>
          <w:tcPr>
            <w:cnfStyle w:evenVBand="true" w:oddVBand="false" w:firstColumn="false"/>
            <w:tcW w:w="62.962963%" w:type="pct"/>
          </w:tcPr>
          <w:p>
            <w:pPr>
              <w:ind w:leftChars="0" w:left="0" w:right="0"/>
            </w:pPr>
            <w:r>
              <w:t>ALPHA ASSET MANAGEMENT ΑΕΔΑΚ</w:t>
            </w:r>
          </w:p>
        </w:tc>
      </w:tr>
      <w:tr>
        <w:trPr>
          <w:cnfStyle w:evenHBand="false" w:oddHBand="true" w:firstRow="false"/>
        </w:trPr>
        <w:tc>
          <w:tcPr>
            <w:cnfStyle w:evenVBand="false" w:oddVBand="true" w:firstColumn="false"/>
            <w:tcW w:w="12.962963%" w:type="pct"/>
          </w:tcPr>
          <w:p>
            <w:pPr>
              <w:ind w:leftChars="0" w:left="0" w:right="0"/>
            </w:pPr>
            <w:r>
              <w:t>EGRMFMC004</w:t>
            </w:r>
          </w:p>
        </w:tc>
        <w:tc>
          <w:tcPr>
            <w:cnfStyle w:evenVBand="true" w:oddVBand="false" w:firstColumn="false"/>
            <w:tcW w:w="12.037037%" w:type="pct"/>
          </w:tcPr>
          <w:p>
            <w:pPr>
              <w:ind w:leftChars="0" w:left="0" w:right="0"/>
            </w:pPr>
            <w:r>
              <w:t>GRMFMC004</w:t>
            </w:r>
          </w:p>
        </w:tc>
        <w:tc>
          <w:tcPr>
            <w:cnfStyle w:evenVBand="false" w:oddVBand="true" w:firstColumn="false"/>
            <w:tcW w:w="12.037037%" w:type="pct"/>
          </w:tcPr>
          <w:p>
            <w:pPr>
              <w:ind w:leftChars="0" w:left="0" w:right="0"/>
            </w:pPr>
            <w:r>
              <w:t>GR094317734</w:t>
            </w:r>
          </w:p>
        </w:tc>
        <w:tc>
          <w:tcPr>
            <w:cnfStyle w:evenVBand="true" w:oddVBand="false" w:firstColumn="false"/>
            <w:tcW w:w="62.962963%" w:type="pct"/>
          </w:tcPr>
          <w:p>
            <w:pPr>
              <w:ind w:leftChars="0" w:left="0" w:right="0"/>
            </w:pPr>
            <w:r>
              <w:t>ALPHA TRUST ΑΕΔΑΚOEE</w:t>
            </w:r>
          </w:p>
        </w:tc>
      </w:tr>
      <w:tr>
        <w:trPr>
          <w:cnfStyle w:evenHBand="true" w:oddHBand="false" w:firstRow="false"/>
        </w:trPr>
        <w:tc>
          <w:tcPr>
            <w:cnfStyle w:evenVBand="false" w:oddVBand="true" w:firstColumn="false"/>
            <w:tcW w:w="12.962963%" w:type="pct"/>
          </w:tcPr>
          <w:p>
            <w:pPr>
              <w:ind w:leftChars="0" w:left="0" w:right="0"/>
            </w:pPr>
            <w:r>
              <w:t>EGRMFMC005</w:t>
            </w:r>
          </w:p>
        </w:tc>
        <w:tc>
          <w:tcPr>
            <w:cnfStyle w:evenVBand="true" w:oddVBand="false" w:firstColumn="false"/>
            <w:tcW w:w="12.037037%" w:type="pct"/>
          </w:tcPr>
          <w:p>
            <w:pPr>
              <w:ind w:leftChars="0" w:left="0" w:right="0"/>
            </w:pPr>
            <w:r>
              <w:t>GRMFMC005</w:t>
            </w:r>
          </w:p>
        </w:tc>
        <w:tc>
          <w:tcPr>
            <w:cnfStyle w:evenVBand="false" w:oddVBand="true" w:firstColumn="false"/>
            <w:tcW w:w="12.037037%" w:type="pct"/>
          </w:tcPr>
          <w:p>
            <w:pPr>
              <w:ind w:leftChars="0" w:left="0" w:right="0"/>
            </w:pPr>
            <w:r>
              <w:t>GR099760120</w:t>
            </w:r>
          </w:p>
        </w:tc>
        <w:tc>
          <w:tcPr>
            <w:cnfStyle w:evenVBand="true" w:oddVBand="false" w:firstColumn="false"/>
            <w:tcW w:w="62.962963%" w:type="pct"/>
          </w:tcPr>
          <w:p>
            <w:pPr>
              <w:ind w:leftChars="0" w:left="0" w:right="0"/>
            </w:pPr>
            <w:r>
              <w:t>ΑΕΔΑΚ ΑΣΦΑΛΙΣΤΙΚΩΝ ΟΡΓΑΝΙΣΜΩΝ</w:t>
            </w:r>
          </w:p>
        </w:tc>
      </w:tr>
      <w:tr>
        <w:trPr>
          <w:cnfStyle w:evenHBand="false" w:oddHBand="true" w:firstRow="false"/>
        </w:trPr>
        <w:tc>
          <w:tcPr>
            <w:cnfStyle w:evenVBand="false" w:oddVBand="true" w:firstColumn="false"/>
            <w:tcW w:w="12.962963%" w:type="pct"/>
          </w:tcPr>
          <w:p>
            <w:pPr>
              <w:ind w:leftChars="0" w:left="0" w:right="0"/>
            </w:pPr>
            <w:r>
              <w:t>EGRMFMC008</w:t>
            </w:r>
          </w:p>
        </w:tc>
        <w:tc>
          <w:tcPr>
            <w:cnfStyle w:evenVBand="true" w:oddVBand="false" w:firstColumn="false"/>
            <w:tcW w:w="12.037037%" w:type="pct"/>
          </w:tcPr>
          <w:p>
            <w:pPr>
              <w:ind w:leftChars="0" w:left="0" w:right="0"/>
            </w:pPr>
            <w:r>
              <w:t>GRMFMC008</w:t>
            </w:r>
          </w:p>
        </w:tc>
        <w:tc>
          <w:tcPr>
            <w:cnfStyle w:evenVBand="false" w:oddVBand="true" w:firstColumn="false"/>
            <w:tcW w:w="12.037037%" w:type="pct"/>
          </w:tcPr>
          <w:p>
            <w:pPr>
              <w:ind w:leftChars="0" w:left="0" w:right="0"/>
            </w:pPr>
            <w:r>
              <w:t>GR099936130</w:t>
            </w:r>
          </w:p>
        </w:tc>
        <w:tc>
          <w:tcPr>
            <w:cnfStyle w:evenVBand="true" w:oddVBand="false" w:firstColumn="false"/>
            <w:tcW w:w="62.962963%" w:type="pct"/>
          </w:tcPr>
          <w:p>
            <w:pPr>
              <w:ind w:leftChars="0" w:left="0" w:right="0"/>
            </w:pPr>
            <w:r>
              <w:t>ATTICA WEALTH MANAGEMENT ΑΕΔΑΚ</w:t>
            </w:r>
          </w:p>
        </w:tc>
      </w:tr>
      <w:tr>
        <w:trPr>
          <w:cnfStyle w:evenHBand="true" w:oddHBand="false" w:firstRow="false"/>
        </w:trPr>
        <w:tc>
          <w:tcPr>
            <w:cnfStyle w:evenVBand="false" w:oddVBand="true" w:firstColumn="false"/>
            <w:tcW w:w="12.962963%" w:type="pct"/>
          </w:tcPr>
          <w:p>
            <w:pPr>
              <w:ind w:leftChars="0" w:left="0" w:right="0"/>
            </w:pPr>
            <w:r>
              <w:t>EGRMFMC009</w:t>
            </w:r>
          </w:p>
        </w:tc>
        <w:tc>
          <w:tcPr>
            <w:cnfStyle w:evenVBand="true" w:oddVBand="false" w:firstColumn="false"/>
            <w:tcW w:w="12.037037%" w:type="pct"/>
          </w:tcPr>
          <w:p>
            <w:pPr>
              <w:ind w:leftChars="0" w:left="0" w:right="0"/>
            </w:pPr>
            <w:r>
              <w:t>GRMFMC009</w:t>
            </w:r>
          </w:p>
        </w:tc>
        <w:tc>
          <w:tcPr>
            <w:cnfStyle w:evenVBand="false" w:oddVBand="true" w:firstColumn="false"/>
            <w:tcW w:w="12.037037%" w:type="pct"/>
          </w:tcPr>
          <w:p>
            <w:pPr>
              <w:ind w:leftChars="0" w:left="0" w:right="0"/>
            </w:pPr>
            <w:r>
              <w:t>GR094036844</w:t>
            </w:r>
          </w:p>
        </w:tc>
        <w:tc>
          <w:tcPr>
            <w:cnfStyle w:evenVBand="true" w:oddVBand="false" w:firstColumn="false"/>
            <w:tcW w:w="62.962963%" w:type="pct"/>
          </w:tcPr>
          <w:p>
            <w:pPr>
              <w:ind w:leftChars="0" w:left="0" w:right="0"/>
            </w:pPr>
            <w:r>
              <w:t>ΕΘΝΙΚΗ ASSET MANAGEMENT ΜΟΝΟΠΡΟΣΩΠΗ ΑΕΔΑΚ</w:t>
            </w:r>
          </w:p>
        </w:tc>
      </w:tr>
      <w:tr>
        <w:trPr>
          <w:cnfStyle w:evenHBand="false" w:oddHBand="true" w:firstRow="false"/>
        </w:trPr>
        <w:tc>
          <w:tcPr>
            <w:cnfStyle w:evenVBand="false" w:oddVBand="true" w:firstColumn="false"/>
            <w:tcW w:w="12.962963%" w:type="pct"/>
          </w:tcPr>
          <w:p>
            <w:pPr>
              <w:ind w:leftChars="0" w:left="0" w:right="0"/>
            </w:pPr>
            <w:r>
              <w:t>EGRMFMC010</w:t>
            </w:r>
          </w:p>
        </w:tc>
        <w:tc>
          <w:tcPr>
            <w:cnfStyle w:evenVBand="true" w:oddVBand="false" w:firstColumn="false"/>
            <w:tcW w:w="12.037037%" w:type="pct"/>
          </w:tcPr>
          <w:p>
            <w:pPr>
              <w:ind w:leftChars="0" w:left="0" w:right="0"/>
            </w:pPr>
            <w:r>
              <w:t>GRMFMC010</w:t>
            </w:r>
          </w:p>
        </w:tc>
        <w:tc>
          <w:tcPr>
            <w:cnfStyle w:evenVBand="false" w:oddVBand="true" w:firstColumn="false"/>
            <w:tcW w:w="12.037037%" w:type="pct"/>
          </w:tcPr>
          <w:p>
            <w:pPr>
              <w:ind w:leftChars="0" w:left="0" w:right="0"/>
            </w:pPr>
            <w:r>
              <w:t>GR094493219</w:t>
            </w:r>
          </w:p>
        </w:tc>
        <w:tc>
          <w:tcPr>
            <w:cnfStyle w:evenVBand="true" w:oddVBand="false" w:firstColumn="false"/>
            <w:tcW w:w="62.962963%" w:type="pct"/>
          </w:tcPr>
          <w:p>
            <w:pPr>
              <w:ind w:leftChars="0" w:left="0" w:right="0"/>
            </w:pPr>
            <w:r>
              <w:t>Eurobank Asset Management ΑΕΔΑΚ</w:t>
            </w:r>
          </w:p>
        </w:tc>
      </w:tr>
      <w:tr>
        <w:trPr>
          <w:cnfStyle w:evenHBand="true" w:oddHBand="false" w:firstRow="false"/>
        </w:trPr>
        <w:tc>
          <w:tcPr>
            <w:cnfStyle w:evenVBand="false" w:oddVBand="true" w:firstColumn="false"/>
            <w:tcW w:w="12.962963%" w:type="pct"/>
          </w:tcPr>
          <w:p>
            <w:pPr>
              <w:ind w:leftChars="0" w:left="0" w:right="0"/>
            </w:pPr>
            <w:r>
              <w:t>EGRMFMC012</w:t>
            </w:r>
          </w:p>
        </w:tc>
        <w:tc>
          <w:tcPr>
            <w:cnfStyle w:evenVBand="true" w:oddVBand="false" w:firstColumn="false"/>
            <w:tcW w:w="12.037037%" w:type="pct"/>
          </w:tcPr>
          <w:p>
            <w:pPr>
              <w:ind w:leftChars="0" w:left="0" w:right="0"/>
            </w:pPr>
            <w:r>
              <w:t>GRMFMC012</w:t>
            </w:r>
          </w:p>
        </w:tc>
        <w:tc>
          <w:tcPr>
            <w:cnfStyle w:evenVBand="false" w:oddVBand="true" w:firstColumn="false"/>
            <w:tcW w:w="12.037037%" w:type="pct"/>
          </w:tcPr>
          <w:p>
            <w:pPr>
              <w:ind w:leftChars="0" w:left="0" w:right="0"/>
            </w:pPr>
            <w:r>
              <w:t>GR094285719</w:t>
            </w:r>
          </w:p>
        </w:tc>
        <w:tc>
          <w:tcPr>
            <w:cnfStyle w:evenVBand="true" w:oddVBand="false" w:firstColumn="false"/>
            <w:tcW w:w="62.962963%" w:type="pct"/>
          </w:tcPr>
          <w:p>
            <w:pPr>
              <w:ind w:leftChars="0" w:left="0" w:right="0"/>
            </w:pPr>
            <w:r>
              <w:t>ΕΥΡΩΠΑΙΚΗ ΠΙΣΤΗ ASSET MANAGEMENT ΑΕΔΑΚ</w:t>
            </w:r>
          </w:p>
        </w:tc>
      </w:tr>
      <w:tr>
        <w:trPr>
          <w:cnfStyle w:evenHBand="false" w:oddHBand="true" w:firstRow="false"/>
        </w:trPr>
        <w:tc>
          <w:tcPr>
            <w:cnfStyle w:evenVBand="false" w:oddVBand="true" w:firstColumn="false"/>
            <w:tcW w:w="12.962963%" w:type="pct"/>
          </w:tcPr>
          <w:p>
            <w:pPr>
              <w:ind w:leftChars="0" w:left="0" w:right="0"/>
            </w:pPr>
            <w:r>
              <w:t>EGRMFMC013</w:t>
            </w:r>
          </w:p>
        </w:tc>
        <w:tc>
          <w:tcPr>
            <w:cnfStyle w:evenVBand="true" w:oddVBand="false" w:firstColumn="false"/>
            <w:tcW w:w="12.037037%" w:type="pct"/>
          </w:tcPr>
          <w:p>
            <w:pPr>
              <w:ind w:leftChars="0" w:left="0" w:right="0"/>
            </w:pPr>
            <w:r>
              <w:t>GRMFMC013</w:t>
            </w:r>
          </w:p>
        </w:tc>
        <w:tc>
          <w:tcPr>
            <w:cnfStyle w:evenVBand="false" w:oddVBand="true" w:firstColumn="false"/>
            <w:tcW w:w="12.037037%" w:type="pct"/>
          </w:tcPr>
          <w:p>
            <w:pPr>
              <w:ind w:leftChars="0" w:left="0" w:right="0"/>
            </w:pPr>
            <w:r>
              <w:t>GR094325107</w:t>
            </w:r>
          </w:p>
        </w:tc>
        <w:tc>
          <w:tcPr>
            <w:cnfStyle w:evenVBand="true" w:oddVBand="false" w:firstColumn="false"/>
            <w:tcW w:w="62.962963%" w:type="pct"/>
          </w:tcPr>
          <w:p>
            <w:pPr>
              <w:ind w:leftChars="0" w:left="0" w:right="0"/>
            </w:pPr>
            <w:r>
              <w:t>ΤΡΙΤΩΝ ASSET MANAGEMENT ΑΕΔΑΚ</w:t>
            </w:r>
          </w:p>
        </w:tc>
      </w:tr>
      <w:tr>
        <w:trPr>
          <w:cnfStyle w:evenHBand="true" w:oddHBand="false" w:firstRow="false"/>
        </w:trPr>
        <w:tc>
          <w:tcPr>
            <w:cnfStyle w:evenVBand="false" w:oddVBand="true" w:firstColumn="false"/>
            <w:tcW w:w="12.962963%" w:type="pct"/>
          </w:tcPr>
          <w:p>
            <w:pPr>
              <w:ind w:leftChars="0" w:left="0" w:right="0"/>
            </w:pPr>
            <w:r>
              <w:t>EGRMFMC014</w:t>
            </w:r>
          </w:p>
        </w:tc>
        <w:tc>
          <w:tcPr>
            <w:cnfStyle w:evenVBand="true" w:oddVBand="false" w:firstColumn="false"/>
            <w:tcW w:w="12.037037%" w:type="pct"/>
          </w:tcPr>
          <w:p>
            <w:pPr>
              <w:ind w:leftChars="0" w:left="0" w:right="0"/>
            </w:pPr>
            <w:r>
              <w:t>GRMFMC014</w:t>
            </w:r>
          </w:p>
        </w:tc>
        <w:tc>
          <w:tcPr>
            <w:cnfStyle w:evenVBand="false" w:oddVBand="true" w:firstColumn="false"/>
            <w:tcW w:w="12.037037%" w:type="pct"/>
          </w:tcPr>
          <w:p>
            <w:pPr>
              <w:ind w:leftChars="0" w:left="0" w:right="0"/>
            </w:pPr>
            <w:r>
              <w:t>GR094304867</w:t>
            </w:r>
          </w:p>
        </w:tc>
        <w:tc>
          <w:tcPr>
            <w:cnfStyle w:evenVBand="true" w:oddVBand="false" w:firstColumn="false"/>
            <w:tcW w:w="62.962963%" w:type="pct"/>
          </w:tcPr>
          <w:p>
            <w:pPr>
              <w:ind w:leftChars="0" w:left="0" w:right="0"/>
            </w:pPr>
            <w:r>
              <w:t>3Κ INVESTMENT PARTNERS ΑΕΔΑΚ</w:t>
            </w:r>
          </w:p>
        </w:tc>
      </w:tr>
      <w:tr>
        <w:trPr>
          <w:cnfStyle w:evenHBand="false" w:oddHBand="true" w:firstRow="false"/>
        </w:trPr>
        <w:tc>
          <w:tcPr>
            <w:cnfStyle w:evenVBand="false" w:oddVBand="true" w:firstColumn="false"/>
            <w:tcW w:w="12.962963%" w:type="pct"/>
          </w:tcPr>
          <w:p>
            <w:pPr>
              <w:ind w:leftChars="0" w:left="0" w:right="0"/>
            </w:pPr>
            <w:r>
              <w:t>EGRMFMC015</w:t>
            </w:r>
          </w:p>
        </w:tc>
        <w:tc>
          <w:tcPr>
            <w:cnfStyle w:evenVBand="true" w:oddVBand="false" w:firstColumn="false"/>
            <w:tcW w:w="12.037037%" w:type="pct"/>
          </w:tcPr>
          <w:p>
            <w:pPr>
              <w:ind w:leftChars="0" w:left="0" w:right="0"/>
            </w:pPr>
            <w:r>
              <w:t>GRMFMC015</w:t>
            </w:r>
          </w:p>
        </w:tc>
        <w:tc>
          <w:tcPr>
            <w:cnfStyle w:evenVBand="false" w:oddVBand="true" w:firstColumn="false"/>
            <w:tcW w:w="12.037037%" w:type="pct"/>
          </w:tcPr>
          <w:p>
            <w:pPr>
              <w:ind w:leftChars="0" w:left="0" w:right="0"/>
            </w:pPr>
            <w:r>
              <w:t>GR999081601</w:t>
            </w:r>
          </w:p>
        </w:tc>
        <w:tc>
          <w:tcPr>
            <w:cnfStyle w:evenVBand="true" w:oddVBand="false" w:firstColumn="false"/>
            <w:tcW w:w="62.962963%" w:type="pct"/>
          </w:tcPr>
          <w:p>
            <w:pPr>
              <w:ind w:leftChars="0" w:left="0" w:right="0"/>
            </w:pPr>
            <w:r>
              <w:t>ΠΕΙΡΑΙΩΣ ASSET MANAGEMENT ΜΟΝΟΠΡΟΣΩΠΗ ΑΕΔΑΚ</w:t>
            </w:r>
          </w:p>
        </w:tc>
      </w:tr>
      <w:tr>
        <w:trPr>
          <w:cnfStyle w:evenHBand="true" w:oddHBand="false" w:firstRow="false"/>
        </w:trPr>
        <w:tc>
          <w:tcPr>
            <w:cnfStyle w:evenVBand="false" w:oddVBand="true" w:firstColumn="false"/>
            <w:tcW w:w="12.962963%" w:type="pct"/>
          </w:tcPr>
          <w:p>
            <w:pPr>
              <w:ind w:leftChars="0" w:left="0" w:right="0"/>
            </w:pPr>
            <w:r>
              <w:t>EGRMFMC016</w:t>
            </w:r>
          </w:p>
        </w:tc>
        <w:tc>
          <w:tcPr>
            <w:cnfStyle w:evenVBand="true" w:oddVBand="false" w:firstColumn="false"/>
            <w:tcW w:w="12.037037%" w:type="pct"/>
          </w:tcPr>
          <w:p>
            <w:pPr>
              <w:ind w:leftChars="0" w:left="0" w:right="0"/>
            </w:pPr>
            <w:r>
              <w:t>GRMFMC016</w:t>
            </w:r>
          </w:p>
        </w:tc>
        <w:tc>
          <w:tcPr>
            <w:cnfStyle w:evenVBand="false" w:oddVBand="true" w:firstColumn="false"/>
            <w:tcW w:w="12.037037%" w:type="pct"/>
          </w:tcPr>
          <w:p>
            <w:pPr>
              <w:ind w:leftChars="0" w:left="0" w:right="0"/>
            </w:pPr>
            <w:r>
              <w:t>GR094351137</w:t>
            </w:r>
          </w:p>
        </w:tc>
        <w:tc>
          <w:tcPr>
            <w:cnfStyle w:evenVBand="true" w:oddVBand="false" w:firstColumn="false"/>
            <w:tcW w:w="62.962963%" w:type="pct"/>
          </w:tcPr>
          <w:p>
            <w:pPr>
              <w:ind w:leftChars="0" w:left="0" w:right="0"/>
            </w:pPr>
            <w:r>
              <w:t>THETIS ΑΕΔΑΚ</w:t>
            </w:r>
          </w:p>
        </w:tc>
      </w:tr>
      <w:tr>
        <w:trPr>
          <w:cnfStyle w:evenHBand="false" w:oddHBand="true" w:firstRow="false"/>
        </w:trPr>
        <w:tc>
          <w:tcPr>
            <w:cnfStyle w:evenVBand="false" w:oddVBand="true" w:firstColumn="false"/>
            <w:tcW w:w="12.962963%" w:type="pct"/>
          </w:tcPr>
          <w:p>
            <w:pPr>
              <w:ind w:leftChars="0" w:left="0" w:right="0"/>
            </w:pPr>
            <w:r>
              <w:t>EGRMFMC018</w:t>
            </w:r>
          </w:p>
        </w:tc>
        <w:tc>
          <w:tcPr>
            <w:cnfStyle w:evenVBand="true" w:oddVBand="false" w:firstColumn="false"/>
            <w:tcW w:w="12.037037%" w:type="pct"/>
          </w:tcPr>
          <w:p>
            <w:pPr>
              <w:ind w:leftChars="0" w:left="0" w:right="0"/>
            </w:pPr>
            <w:r>
              <w:t>GRMFMC018</w:t>
            </w:r>
          </w:p>
        </w:tc>
        <w:tc>
          <w:tcPr>
            <w:cnfStyle w:evenVBand="false" w:oddVBand="true" w:firstColumn="false"/>
            <w:tcW w:w="12.037037%" w:type="pct"/>
          </w:tcPr>
          <w:p>
            <w:pPr>
              <w:ind w:leftChars="0" w:left="0" w:right="0"/>
            </w:pPr>
            <w:r>
              <w:t>GR099553209</w:t>
            </w:r>
          </w:p>
        </w:tc>
        <w:tc>
          <w:tcPr>
            <w:cnfStyle w:evenVBand="true" w:oddVBand="false" w:firstColumn="false"/>
            <w:tcW w:w="62.962963%" w:type="pct"/>
          </w:tcPr>
          <w:p>
            <w:pPr>
              <w:ind w:leftChars="0" w:left="0" w:right="0"/>
            </w:pPr>
            <w:r>
              <w:t>Optima Asset Management ΑΕΔΑΚ</w:t>
            </w:r>
          </w:p>
        </w:tc>
      </w:tr>
      <w:tr>
        <w:trPr>
          <w:cnfStyle w:evenHBand="true" w:oddHBand="false" w:firstRow="false"/>
        </w:trPr>
        <w:tc>
          <w:tcPr>
            <w:cnfStyle w:evenVBand="false" w:oddVBand="true" w:firstColumn="false"/>
            <w:tcW w:w="12.962963%" w:type="pct"/>
          </w:tcPr>
          <w:p>
            <w:pPr>
              <w:ind w:leftChars="0" w:left="0" w:right="0"/>
            </w:pPr>
            <w:r>
              <w:t>EGRMFMC030</w:t>
            </w:r>
          </w:p>
        </w:tc>
        <w:tc>
          <w:tcPr>
            <w:cnfStyle w:evenVBand="true" w:oddVBand="false" w:firstColumn="false"/>
            <w:tcW w:w="12.037037%" w:type="pct"/>
          </w:tcPr>
          <w:p>
            <w:pPr>
              <w:ind w:leftChars="0" w:left="0" w:right="0"/>
            </w:pPr>
            <w:r>
              <w:t>GRMFMC030</w:t>
            </w:r>
          </w:p>
        </w:tc>
        <w:tc>
          <w:tcPr>
            <w:cnfStyle w:evenVBand="false" w:oddVBand="true" w:firstColumn="false"/>
            <w:tcW w:w="12.037037%" w:type="pct"/>
          </w:tcPr>
          <w:p>
            <w:pPr>
              <w:ind w:leftChars="0" w:left="0" w:right="0"/>
            </w:pPr>
            <w:r>
              <w:t>GR997010182</w:t>
            </w:r>
          </w:p>
        </w:tc>
        <w:tc>
          <w:tcPr>
            <w:cnfStyle w:evenVBand="true" w:oddVBand="false" w:firstColumn="false"/>
            <w:tcW w:w="62.962963%" w:type="pct"/>
          </w:tcPr>
          <w:p>
            <w:pPr>
              <w:ind w:leftChars="0" w:left="0" w:right="0"/>
            </w:pPr>
            <w:r>
              <w:t>ATHOS ASSET MANAGEMENT ΑΕΔΑΚ</w:t>
            </w:r>
          </w:p>
        </w:tc>
      </w:tr>
    </w:tbl>
    <w:p>
      <w:pPr>
        <w:pStyle w:val="Table Bottom Margin"/>
      </w:pPr>
    </w:p>
    <w:p>
      <w:pPr>
        <w:pStyle w:val="Body Text"/>
        <w:ind w:leftChars="0" w:left="0" w:right="0"/>
      </w:pPr>
      <w:r>
        <w:t xml:space="preserve">Οι </w:t>
      </w:r>
      <w:r>
        <w:rPr>
          <w:rFonts w:ascii="Consolas" w:eastAsia="ＭＳ ゴシック" w:hansitheme="majorhansi"/>
          <w:color w:val="E74C3C"/>
          <w:sz w:val="20"/>
          <w:szCs w:val="20"/>
          <w:noProof/>
        </w:rPr>
        <w:t>ΜΠΣ</w:t>
      </w:r>
      <w:r>
        <w:t xml:space="preserve"> που οι επωνυμίες τους περιέχουν τη λέξη </w:t>
      </w:r>
      <w:r>
        <w:rPr>
          <w:rFonts w:ascii="Consolas" w:eastAsia="ＭＳ ゴシック" w:hansitheme="majorhansi"/>
          <w:color w:val="E74C3C"/>
          <w:sz w:val="20"/>
          <w:szCs w:val="20"/>
          <w:noProof/>
        </w:rPr>
        <w:t>FOO</w:t>
      </w:r>
      <w:r>
        <w:t xml:space="preserve"> δεν είναι αληθινές και χρησιμοποιούνται μόνο στα παραδείγματα υποβολών.</w:t>
      </w:r>
    </w:p>
    <w:bookmarkEnd w:id="472"/>
    <w:bookmarkEnd w:id="471"/>
    <w:bookmarkStart w:id="473" w:name="_b23c978d82e74094d5a88bfa48a952e0"/>
    <w:bookmarkStart w:id="474" w:name="_d34caeca324157e8aae35fc6e3813bf0"/>
    <w:p>
      <w:pPr>
        <w:pStyle w:val="Heading3"/>
        <w:keepNext/>
      </w:pPr>
      <w:r>
        <w:t>What’s new?</w:t>
      </w:r>
    </w:p>
    <w:bookmarkStart w:id="475"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76" w:name="_b55d63d352d4b227865d886f499f58ce"/>
                  <w:hyperlink w:anchor="_e7c24fd616c0bc7cf883a48cb1184512">
                    <w:r>
                      <w:rPr>
                        <w:rStyle w:val="Hyperlink"/>
                      </w:rPr>
                      <w:t>v0.6.0 (2023-06-11)</w:t>
                    </w:r>
                  </w:hyperlink>
                  <w:bookmarkEnd w:id="476"/>
                </w:p>
                <w:p>
                  <w:pPr>
                    <w:pStyle w:val="ListBullet"/>
                    <w:numPr>
                      <w:ilvl w:val="0"/>
                      <w:numId w:val="2"/>
                    </w:numPr>
                    <w:ind w:leftChars="0" w:left="480" w:right="0"/>
                  </w:pPr>
                  <w:bookmarkStart w:id="477" w:name="_887fc94374c622aaa881926e0c1a6a07"/>
                  <w:hyperlink w:anchor="_53a5ad83bd5f0ab62c50a88d5047716f">
                    <w:r>
                      <w:rPr>
                        <w:rStyle w:val="Hyperlink"/>
                      </w:rPr>
                      <w:t>v0.5.4 (2023-05-30)</w:t>
                    </w:r>
                  </w:hyperlink>
                  <w:bookmarkEnd w:id="477"/>
                </w:p>
                <w:p>
                  <w:pPr>
                    <w:pStyle w:val="ListBullet"/>
                    <w:numPr>
                      <w:ilvl w:val="0"/>
                      <w:numId w:val="2"/>
                    </w:numPr>
                    <w:ind w:leftChars="0" w:left="480" w:right="0"/>
                  </w:pPr>
                  <w:bookmarkStart w:id="478" w:name="_97ec985377c299f97cf6f85b6c7fc464"/>
                  <w:hyperlink w:anchor="_fdec0919064dea5b57296a496cce2d2c">
                    <w:r>
                      <w:rPr>
                        <w:rStyle w:val="Hyperlink"/>
                      </w:rPr>
                      <w:t>v0.5.3 (2023-05-28)</w:t>
                    </w:r>
                  </w:hyperlink>
                  <w:bookmarkEnd w:id="478"/>
                </w:p>
                <w:p>
                  <w:pPr>
                    <w:pStyle w:val="ListBullet"/>
                    <w:numPr>
                      <w:ilvl w:val="0"/>
                      <w:numId w:val="2"/>
                    </w:numPr>
                    <w:ind w:leftChars="0" w:left="480" w:right="0"/>
                  </w:pPr>
                  <w:bookmarkStart w:id="479" w:name="_f5b9f2176b4c4fe1a810546a9f2f5acb"/>
                  <w:hyperlink w:anchor="_4d39ab2c89d200e12a3515e44784f006">
                    <w:r>
                      <w:rPr>
                        <w:rStyle w:val="Hyperlink"/>
                      </w:rPr>
                      <w:t>v0.5.2 (2023-05-26)</w:t>
                    </w:r>
                  </w:hyperlink>
                  <w:bookmarkEnd w:id="479"/>
                </w:p>
                <w:p>
                  <w:pPr>
                    <w:pStyle w:val="ListBullet"/>
                    <w:numPr>
                      <w:ilvl w:val="0"/>
                      <w:numId w:val="2"/>
                    </w:numPr>
                    <w:ind w:leftChars="0" w:left="480" w:right="0"/>
                  </w:pPr>
                  <w:bookmarkStart w:id="480" w:name="_29c31a05903def4cf5913fa8b5a9916e"/>
                  <w:hyperlink w:anchor="_c982d84501ef96d2407dfcf628300e7e">
                    <w:r>
                      <w:rPr>
                        <w:rStyle w:val="Hyperlink"/>
                      </w:rPr>
                      <w:t>v0.5.1 (2023-05-24)</w:t>
                    </w:r>
                  </w:hyperlink>
                  <w:bookmarkEnd w:id="480"/>
                </w:p>
                <w:p>
                  <w:pPr>
                    <w:pStyle w:val="ListBullet"/>
                    <w:numPr>
                      <w:ilvl w:val="0"/>
                      <w:numId w:val="2"/>
                    </w:numPr>
                    <w:ind w:leftChars="0" w:left="480" w:right="0"/>
                  </w:pPr>
                  <w:bookmarkStart w:id="481" w:name="_16820a05115c5f23113759c7d14d6e91"/>
                  <w:hyperlink w:anchor="_f87bcfe4c7d7d509277998cc1a2232c5">
                    <w:r>
                      <w:rPr>
                        <w:rStyle w:val="Hyperlink"/>
                      </w:rPr>
                      <w:t>v0.5.0 (2023-05-16)</w:t>
                    </w:r>
                  </w:hyperlink>
                  <w:bookmarkEnd w:id="481"/>
                </w:p>
                <w:p>
                  <w:pPr>
                    <w:pStyle w:val="ListBullet"/>
                    <w:numPr>
                      <w:ilvl w:val="0"/>
                      <w:numId w:val="2"/>
                    </w:numPr>
                    <w:ind w:leftChars="0" w:left="480" w:right="0"/>
                  </w:pPr>
                  <w:bookmarkStart w:id="482" w:name="_e7e76e80d806ec4b97a9ae656abc5e54"/>
                  <w:hyperlink w:anchor="_eac790e6c7cfad10e5df6d1e4c3e4b11">
                    <w:r>
                      <w:rPr>
                        <w:rStyle w:val="Hyperlink"/>
                      </w:rPr>
                      <w:t>v0.4.3 (2023-05-11)</w:t>
                    </w:r>
                  </w:hyperlink>
                  <w:bookmarkEnd w:id="482"/>
                </w:p>
                <w:p>
                  <w:pPr>
                    <w:pStyle w:val="ListBullet"/>
                    <w:numPr>
                      <w:ilvl w:val="0"/>
                      <w:numId w:val="2"/>
                    </w:numPr>
                    <w:ind w:leftChars="0" w:left="480" w:right="0"/>
                  </w:pPr>
                  <w:bookmarkStart w:id="483" w:name="_8446a263f6085e4934f161ee98e3f1d0"/>
                  <w:hyperlink w:anchor="_4833fb4d07f0f75bd781ef95190b4d04">
                    <w:r>
                      <w:rPr>
                        <w:rStyle w:val="Hyperlink"/>
                      </w:rPr>
                      <w:t>v0.4.2 (2023-04-18)</w:t>
                    </w:r>
                  </w:hyperlink>
                  <w:bookmarkEnd w:id="483"/>
                </w:p>
                <w:p>
                  <w:pPr>
                    <w:pStyle w:val="ListBullet"/>
                    <w:numPr>
                      <w:ilvl w:val="0"/>
                      <w:numId w:val="2"/>
                    </w:numPr>
                    <w:ind w:leftChars="0" w:left="480" w:right="0"/>
                  </w:pPr>
                  <w:bookmarkStart w:id="484" w:name="_dd83f9bd783bf9cbeac32d88d0e28459"/>
                  <w:hyperlink w:anchor="_66ccc53f6fb12b3dd2b5d658e3810772">
                    <w:r>
                      <w:rPr>
                        <w:rStyle w:val="Hyperlink"/>
                      </w:rPr>
                      <w:t>v0.4.1 (2023-04-18)</w:t>
                    </w:r>
                  </w:hyperlink>
                  <w:bookmarkEnd w:id="484"/>
                </w:p>
                <w:p>
                  <w:pPr>
                    <w:pStyle w:val="ListBullet"/>
                    <w:numPr>
                      <w:ilvl w:val="0"/>
                      <w:numId w:val="2"/>
                    </w:numPr>
                    <w:ind w:leftChars="0" w:left="480" w:right="0"/>
                  </w:pPr>
                  <w:bookmarkStart w:id="485" w:name="_f8774cca75472430dae7c515d0aa498c"/>
                  <w:hyperlink w:anchor="_5e10f4551379ad44f9b589e94cd7b026">
                    <w:r>
                      <w:rPr>
                        <w:rStyle w:val="Hyperlink"/>
                      </w:rPr>
                      <w:t>v0.4.0 (2023-04-18)</w:t>
                    </w:r>
                  </w:hyperlink>
                  <w:bookmarkEnd w:id="485"/>
                </w:p>
                <w:p>
                  <w:pPr>
                    <w:pStyle w:val="ListBullet"/>
                    <w:numPr>
                      <w:ilvl w:val="0"/>
                      <w:numId w:val="2"/>
                    </w:numPr>
                    <w:ind w:leftChars="0" w:left="480" w:right="0"/>
                  </w:pPr>
                  <w:bookmarkStart w:id="486" w:name="_b13ad25d5961062b1bc1575273ad3fc9"/>
                  <w:hyperlink w:anchor="_870552f9661a46056ff3428197a312e6">
                    <w:r>
                      <w:rPr>
                        <w:rStyle w:val="Hyperlink"/>
                      </w:rPr>
                      <w:t>v0.3.1 (2023-04-13)</w:t>
                    </w:r>
                  </w:hyperlink>
                  <w:bookmarkEnd w:id="486"/>
                </w:p>
                <w:p>
                  <w:pPr>
                    <w:pStyle w:val="ListBullet"/>
                    <w:numPr>
                      <w:ilvl w:val="0"/>
                      <w:numId w:val="2"/>
                    </w:numPr>
                    <w:ind w:leftChars="0" w:left="480" w:right="0"/>
                  </w:pPr>
                  <w:bookmarkStart w:id="487" w:name="_dca88b992afff9da46b4d02dd3c5c25a"/>
                  <w:hyperlink w:anchor="_bbf19731a3770ce0d91f3583412c941e">
                    <w:r>
                      <w:rPr>
                        <w:rStyle w:val="Hyperlink"/>
                      </w:rPr>
                      <w:t>v0.3.0 (2023-04-11)</w:t>
                    </w:r>
                  </w:hyperlink>
                  <w:bookmarkEnd w:id="487"/>
                </w:p>
                <w:p>
                  <w:pPr>
                    <w:pStyle w:val="ListBullet"/>
                    <w:numPr>
                      <w:ilvl w:val="0"/>
                      <w:numId w:val="2"/>
                    </w:numPr>
                    <w:ind w:leftChars="0" w:left="480" w:right="0"/>
                  </w:pPr>
                  <w:bookmarkStart w:id="488" w:name="_43fc1ac074028cf5bd6775637680c733"/>
                  <w:hyperlink w:anchor="_70a1272fc8ac04ddfb0fded7ecdecbf0">
                    <w:r>
                      <w:rPr>
                        <w:rStyle w:val="Hyperlink"/>
                      </w:rPr>
                      <w:t>v0.2.3 (2023-04-03)</w:t>
                    </w:r>
                  </w:hyperlink>
                  <w:bookmarkEnd w:id="488"/>
                </w:p>
                <w:p>
                  <w:pPr>
                    <w:pStyle w:val="ListBullet"/>
                    <w:numPr>
                      <w:ilvl w:val="0"/>
                      <w:numId w:val="2"/>
                    </w:numPr>
                    <w:ind w:leftChars="0" w:left="480" w:right="0"/>
                  </w:pPr>
                  <w:bookmarkStart w:id="489" w:name="_d573087286237b6b1f637960c7ec9142"/>
                  <w:hyperlink w:anchor="_c8c19e08dfe961c067df8e899e74105e">
                    <w:r>
                      <w:rPr>
                        <w:rStyle w:val="Hyperlink"/>
                      </w:rPr>
                      <w:t>v0.2.2 (2023-03-31)</w:t>
                    </w:r>
                  </w:hyperlink>
                  <w:bookmarkEnd w:id="489"/>
                </w:p>
                <w:p>
                  <w:pPr>
                    <w:pStyle w:val="ListBullet"/>
                    <w:numPr>
                      <w:ilvl w:val="0"/>
                      <w:numId w:val="2"/>
                    </w:numPr>
                    <w:ind w:leftChars="0" w:left="480" w:right="0"/>
                  </w:pPr>
                  <w:bookmarkStart w:id="490" w:name="_a613536e153846f5685b2b7ffbcbb560"/>
                  <w:hyperlink w:anchor="_88cb5932faa909a62642f1f10be760d9">
                    <w:r>
                      <w:rPr>
                        <w:rStyle w:val="Hyperlink"/>
                      </w:rPr>
                      <w:t>v0.2.1 (2023-03-29)</w:t>
                    </w:r>
                  </w:hyperlink>
                  <w:bookmarkEnd w:id="490"/>
                </w:p>
                <w:p>
                  <w:pPr>
                    <w:pStyle w:val="ListBullet"/>
                    <w:numPr>
                      <w:ilvl w:val="0"/>
                      <w:numId w:val="2"/>
                    </w:numPr>
                    <w:ind w:leftChars="0" w:left="480" w:right="0"/>
                  </w:pPr>
                  <w:bookmarkStart w:id="491" w:name="_91f67a903b8c37c59a3f1025d0952618"/>
                  <w:hyperlink w:anchor="_b236e4bea2004416912a10ac722acbaf">
                    <w:r>
                      <w:rPr>
                        <w:rStyle w:val="Hyperlink"/>
                      </w:rPr>
                      <w:t>v0.2.0 (2023-01-16)</w:t>
                    </w:r>
                  </w:hyperlink>
                  <w:bookmarkEnd w:id="491"/>
                </w:p>
                <w:p>
                  <w:pPr>
                    <w:pStyle w:val="ListBullet"/>
                    <w:numPr>
                      <w:ilvl w:val="0"/>
                      <w:numId w:val="2"/>
                    </w:numPr>
                    <w:ind w:leftChars="0" w:left="480" w:right="0"/>
                  </w:pPr>
                  <w:bookmarkStart w:id="492" w:name="_17abe7b007a2c0f167f6fccdbf52fdb1"/>
                  <w:hyperlink w:anchor="_3fb132d8413250b990570a79fe8db5d4">
                    <w:r>
                      <w:rPr>
                        <w:rStyle w:val="Hyperlink"/>
                      </w:rPr>
                      <w:t>v0.1.1 (2023-01-04)</w:t>
                    </w:r>
                  </w:hyperlink>
                  <w:bookmarkEnd w:id="492"/>
                </w:p>
                <w:p>
                  <w:pPr>
                    <w:pStyle w:val="ListBullet"/>
                    <w:numPr>
                      <w:ilvl w:val="0"/>
                      <w:numId w:val="2"/>
                    </w:numPr>
                    <w:ind w:leftChars="0" w:left="480" w:right="0"/>
                  </w:pPr>
                  <w:bookmarkStart w:id="493" w:name="_c4a33031728ac83e263d853859e54a49"/>
                  <w:hyperlink w:anchor="_a1e5c180142a89201f900f20c00ca8ed">
                    <w:r>
                      <w:rPr>
                        <w:rStyle w:val="Hyperlink"/>
                      </w:rPr>
                      <w:t>v0.1.0 (2023-01-04)</w:t>
                    </w:r>
                  </w:hyperlink>
                  <w:bookmarkEnd w:id="493"/>
                </w:p>
              </w:txbxContent>
            </v:textbox>
          </v:rect>
        </w:pict>
      </w:r>
    </w:p>
    <w:bookmarkEnd w:id="475"/>
    <w:bookmarkStart w:id="494"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494"/>
    <w:bookmarkStart w:id="495"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495"/>
    <w:bookmarkStart w:id="496"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496"/>
    <w:bookmarkStart w:id="497"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497"/>
    <w:bookmarkStart w:id="498"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498"/>
    <w:bookmarkStart w:id="499"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499"/>
    <w:bookmarkStart w:id="500"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00"/>
    <w:bookmarkStart w:id="501" w:name="_4833fb4d07f0f75bd781ef95190b4d04"/>
    <w:p>
      <w:pPr>
        <w:pStyle w:val="Heading4"/>
        <w:keepNext/>
      </w:pPr>
      <w:r>
        <w:t>v0.4.2 (2023-04-18)</w:t>
      </w:r>
    </w:p>
    <w:p>
      <w:pPr>
        <w:pStyle w:val="ListBullet"/>
        <w:numPr>
          <w:ilvl w:val="0"/>
          <w:numId w:val="2"/>
        </w:numPr>
        <w:ind w:leftChars="0" w:left="480" w:right="0"/>
      </w:pPr>
      <w:r>
        <w:t>Add Reporting Agents</w:t>
      </w:r>
    </w:p>
    <w:bookmarkEnd w:id="501"/>
    <w:bookmarkStart w:id="502" w:name="_66ccc53f6fb12b3dd2b5d658e3810772"/>
    <w:p>
      <w:pPr>
        <w:pStyle w:val="Heading4"/>
        <w:keepNext/>
      </w:pPr>
      <w:r>
        <w:t>v0.4.1 (2023-04-18)</w:t>
      </w:r>
    </w:p>
    <w:p>
      <w:pPr>
        <w:pStyle w:val="ListBullet"/>
        <w:numPr>
          <w:ilvl w:val="0"/>
          <w:numId w:val="2"/>
        </w:numPr>
        <w:ind w:leftChars="0" w:left="480" w:right="0"/>
      </w:pPr>
      <w:r>
        <w:t>Introduce docx documentation</w:t>
      </w:r>
    </w:p>
    <w:bookmarkEnd w:id="502"/>
    <w:bookmarkStart w:id="503"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03"/>
    <w:bookmarkStart w:id="504"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04"/>
    <w:bookmarkStart w:id="505" w:name="_bbf19731a3770ce0d91f3583412c941e"/>
    <w:p>
      <w:pPr>
        <w:pStyle w:val="Heading4"/>
        <w:keepNext/>
      </w:pPr>
      <w:r>
        <w:t>v0.3.0 (2023-04-11)</w:t>
      </w:r>
    </w:p>
    <w:p>
      <w:pPr>
        <w:pStyle w:val="ListBullet"/>
        <w:numPr>
          <w:ilvl w:val="0"/>
          <w:numId w:val="2"/>
        </w:numPr>
        <w:ind w:leftChars="0" w:left="480" w:right="0"/>
      </w:pPr>
      <w:r>
        <w:t>Refactor to IFDat-Docs</w:t>
      </w:r>
    </w:p>
    <w:bookmarkEnd w:id="505"/>
    <w:bookmarkStart w:id="506"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06"/>
    <w:bookmarkStart w:id="507"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07"/>
    <w:bookmarkStart w:id="508"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08"/>
    <w:bookmarkStart w:id="509"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09"/>
    <w:bookmarkStart w:id="510"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10"/>
    <w:bookmarkStart w:id="511" w:name="_a1e5c180142a89201f900f20c00ca8ed"/>
    <w:p>
      <w:pPr>
        <w:pStyle w:val="Heading4"/>
        <w:keepNext/>
      </w:pPr>
      <w:r>
        <w:t>v0.1.0 (2023-01-04)</w:t>
      </w:r>
    </w:p>
    <w:p>
      <w:pPr>
        <w:pStyle w:val="ListBullet"/>
        <w:numPr>
          <w:ilvl w:val="0"/>
          <w:numId w:val="2"/>
        </w:numPr>
        <w:ind w:leftChars="0" w:left="480" w:right="0"/>
      </w:pPr>
      <w:r>
        <w:t>Pre-release of documentation</w:t>
      </w:r>
    </w:p>
    <w:bookmarkEnd w:id="511"/>
    <w:bookmarkEnd w:id="474"/>
    <w:bookmarkEnd w:id="473"/>
    <w:bookmarkStart w:id="512" w:name="_5fc0168d11760b9445bd29fa15d9290f"/>
    <w:bookmarkStart w:id="513"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14"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15" w:name="_551ac696a365e742d039d40e2e9e7c63"/>
                  <w:hyperlink w:anchor="_0d38545c1171efb444d432769333eaba">
                    <w:r>
                      <w:rPr>
                        <w:rStyle w:val="Hyperlink"/>
                      </w:rPr>
                      <w:t>Issues</w:t>
                    </w:r>
                  </w:hyperlink>
                  <w:bookmarkEnd w:id="515"/>
                </w:p>
                <w:p>
                  <w:pPr>
                    <w:pStyle w:val="ListBullet"/>
                    <w:numPr>
                      <w:ilvl w:val="0"/>
                      <w:numId w:val="2"/>
                    </w:numPr>
                    <w:ind w:leftChars="0" w:left="480" w:right="0"/>
                  </w:pPr>
                  <w:bookmarkStart w:id="516" w:name="_41f4245e50f8276fe3be27aecd42a56a"/>
                  <w:hyperlink w:anchor="_5d1c07ba6ee49886781b69dee467b9da">
                    <w:r>
                      <w:rPr>
                        <w:rStyle w:val="Hyperlink"/>
                      </w:rPr>
                      <w:t>Pull Requests</w:t>
                    </w:r>
                  </w:hyperlink>
                  <w:bookmarkEnd w:id="516"/>
                </w:p>
              </w:txbxContent>
            </v:textbox>
          </v:rect>
        </w:pict>
      </w:r>
    </w:p>
    <w:bookmarkEnd w:id="514"/>
    <w:bookmarkStart w:id="517"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2">
        <w:r>
          <w:rPr>
            <w:rStyle w:val="Hyperlink"/>
          </w:rPr>
          <w:t>https://github.com/lerooze/ifdat-docs/issues/new/choose</w:t>
        </w:r>
      </w:hyperlink>
      <w:r>
        <w:t>).</w:t>
      </w:r>
    </w:p>
    <w:bookmarkEnd w:id="517"/>
    <w:bookmarkStart w:id="518" w:name="_5d1c07ba6ee49886781b69dee467b9da"/>
    <w:p>
      <w:pPr>
        <w:pStyle w:val="Heading4"/>
        <w:keepNext/>
      </w:pPr>
      <w:r>
        <w:t>Pull Requests</w:t>
      </w:r>
    </w:p>
    <w:p>
      <w:pPr>
        <w:pStyle w:val="Body Text"/>
        <w:ind w:leftChars="0" w:left="0" w:right="0"/>
      </w:pPr>
      <w:r>
        <w:t>It should be extremely simple to get started and create a Pull Request.</w:t>
      </w:r>
    </w:p>
    <w:p>
      <w:pPr>
        <w:pStyle w:val="Body Text"/>
        <w:ind w:leftChars="0" w:left="0" w:right="0"/>
      </w:pPr>
      <w:r>
        <w:t xml:space="preserve">You’ll need to have a version between </w:t>
      </w:r>
      <w:r>
        <w:rPr>
          <w:b/>
          <w:bCs/>
        </w:rPr>
        <w:t>python 3.8 and 3.11</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make your changes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408090"/>
          <w:i/>
        </w:rPr>
        <w:t xml:space="preserve"># make your changes...</w:t>
      </w:r>
      <w:r>
        <w:br/>
      </w:r>
      <w:r>
        <w:br/>
      </w:r>
      <w:r>
        <w:rPr>
          <w:color w:val="408090"/>
          <w:i/>
        </w:rPr>
        <w:t xml:space="preserve"># 6. Build documentation</w:t>
      </w:r>
      <w:r>
        <w:br/>
      </w:r>
      <w:r>
        <w:t>sphinx-build</w:t>
      </w:r>
      <w:r>
        <w:rPr>
          <w:color w:val="bbbbbb"/>
        </w:rPr>
        <w:t xml:space="preserve"> </w:t>
      </w:r>
      <w:r>
        <w:t>-b</w:t>
      </w:r>
      <w:r>
        <w:rPr>
          <w:color w:val="bbbbbb"/>
        </w:rPr>
        <w:t xml:space="preserve"> </w:t>
      </w:r>
      <w:r>
        <w:t>html</w:t>
      </w:r>
      <w:r>
        <w:rPr>
          <w:color w:val="bbbbbb"/>
        </w:rPr>
        <w:t xml:space="preserve"> </w:t>
      </w:r>
      <w:r>
        <w:t>docs/source</w:t>
      </w:r>
      <w:r>
        <w:rPr>
          <w:color w:val="bbbbbb"/>
        </w:rPr>
        <w:t xml:space="preserve"> </w:t>
      </w:r>
      <w:r>
        <w:t>docs/_build/html</w:t>
      </w:r>
      <w:r>
        <w:rPr>
          <w:color w:val="bbbbbb"/>
        </w:rPr>
        <w:t/>
      </w:r>
      <w:r>
        <w:br/>
      </w:r>
      <w:r>
        <w:rPr>
          <w:color w:val="bbbbbb"/>
        </w:rPr>
        <w:t/>
      </w:r>
      <w:r>
        <w:br/>
      </w:r>
      <w:r>
        <w:rPr>
          <w:color w:val="408090"/>
          <w:i/>
        </w:rPr>
        <w:t xml:space="preserve"># ... commit, push, and create your pull request</w:t>
      </w:r>
    </w:p>
    <w:bookmarkEnd w:id="518"/>
    <w:bookmarkEnd w:id="513"/>
    <w:bookmarkEnd w:id="512"/>
    <w:bookmarkEnd w:id="4"/>
    <w:bookmarkStart w:id="519" w:name="_61706e73deaded66301499686cf6c0ba"/>
    <w:bookmarkStart w:id="520" w:name="_e1279f030b3978e9e8d171045a60e2b1"/>
    <w:bookmarkStart w:id="521"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3">
        <w:r>
          <w:rPr>
            <w:rStyle w:val="Hyperlink"/>
          </w:rPr>
          <w:t>journey developers</w:t>
        </w:r>
      </w:hyperlink>
      <w:bookmarkStart w:id="522" w:name="_fb0daa3223715d98d73f8a20bc1b8917"/>
      <w:bookmarkEnd w:id="522"/>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4">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21"/>
    <w:bookmarkEnd w:id="520"/>
    <w:bookmarkEnd w:id="519"/>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lowerLetter"/>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abstractNum w:abstractNumId="12">
    <w:multiLevelType w:val="singleLevel"/>
    <w:lvl w:ilvl="0">
      <w:start w:val="1"/>
      <w:lvlText w:val="%1."/>
      <w:lvlJc w:val="left"/>
      <w:numFmt w:val="decimal"/>
      <w:pPr>
        <w:ind w:left="480" w:hanging="360"/>
      </w:pPr>
    </w:lvl>
  </w:abstractNum>
  <w:abstractNum w:abstractNumId="13">
    <w:multiLevelType w:val="singleLevel"/>
    <w:lvl w:ilvl="0">
      <w:start w:val="1"/>
      <w:lvlText w:val="%1."/>
      <w:lvlJc w:val="left"/>
      <w:numFmt w:val="decimal"/>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decimal"/>
      <w:pPr>
        <w:ind w:left="480" w:hanging="360"/>
      </w:pPr>
    </w:lvl>
  </w:abstractNum>
  <w:abstractNum w:abstractNumId="16">
    <w:multiLevelType w:val="singleLevel"/>
    <w:lvl w:ilvl="0">
      <w:start w:val="1"/>
      <w:lvlText w:val="%1."/>
      <w:lvlJc w:val="left"/>
      <w:numFmt w:val="decimal"/>
      <w:pPr>
        <w:ind w:left="480" w:hanging="360"/>
      </w:pPr>
    </w:lvl>
  </w:abstractNum>
  <w:abstractNum w:abstractNumId="17">
    <w:multiLevelType w:val="singleLevel"/>
    <w:lvl w:ilvl="0">
      <w:start w:val="1"/>
      <w:lvlText w:val="%1."/>
      <w:lvlJc w:val="left"/>
      <w:numFmt w:val="lowerRoman"/>
      <w:pPr>
        <w:ind w:left="480" w:hanging="360"/>
      </w:pPr>
    </w:lvl>
  </w:abstractNum>
  <w:abstractNum w:abstractNumId="18">
    <w:multiLevelType w:val="singleLevel"/>
    <w:lvl w:ilvl="0">
      <w:start w:val="1"/>
      <w:lvlText w:val="%1."/>
      <w:lvlJc w:val="left"/>
      <w:numFmt w:val="lowerRoman"/>
      <w:pPr>
        <w:ind w:left="480" w:hanging="360"/>
      </w:pPr>
    </w:lvl>
  </w:abstractNum>
  <w:abstractNum w:abstractNumId="19">
    <w:multiLevelType w:val="singleLevel"/>
    <w:lvl w:ilvl="0">
      <w:start w:val="1"/>
      <w:lvlText w:val="%1)"/>
      <w:lvlJc w:val="left"/>
      <w:numFmt w:val="lowerRoman"/>
      <w:pPr>
        <w:ind w:left="480" w:hanging="360"/>
      </w:pPr>
    </w:lvl>
  </w:abstractNum>
  <w:abstractNum w:abstractNumId="20">
    <w:multiLevelType w:val="singleLevel"/>
    <w:lvl w:ilvl="0">
      <w:start w:val="1"/>
      <w:lvlText w:val="%1."/>
      <w:lvlJc w:val="left"/>
      <w:numFmt w:val="lowerRoman"/>
      <w:pPr>
        <w:ind w:left="480" w:hanging="360"/>
      </w:pPr>
    </w:lvl>
  </w:abstractNum>
  <w:abstractNum w:abstractNumId="21">
    <w:multiLevelType w:val="singleLevel"/>
    <w:lvl w:ilvl="0">
      <w:start w:val="1"/>
      <w:lvlText w:val="%1."/>
      <w:lvlJc w:val="left"/>
      <w:numFmt w:val="lowerRoman"/>
      <w:pPr>
        <w:ind w:left="480" w:hanging="360"/>
      </w:pPr>
    </w:lvl>
  </w:abstractNum>
  <w:abstractNum w:abstractNumId="22">
    <w:multiLevelType w:val="singleLevel"/>
    <w:lvl w:ilvl="0">
      <w:start w:val="1"/>
      <w:lvlText w:val="%1."/>
      <w:lvlJc w:val="left"/>
      <w:numFmt w:val="lowerRoman"/>
      <w:pPr>
        <w:ind w:left="480" w:hanging="360"/>
      </w:pPr>
    </w:lvl>
  </w:abstractNum>
  <w:abstractNum w:abstractNumId="23">
    <w:multiLevelType w:val="singleLevel"/>
    <w:lvl w:ilvl="0">
      <w:start w:val="1"/>
      <w:lvlText w:val="%1."/>
      <w:lvlJc w:val="left"/>
      <w:numFmt w:val="lowerRoman"/>
      <w:pPr>
        <w:ind w:left="480" w:hanging="360"/>
      </w:pPr>
    </w:lvl>
  </w:abstractNum>
  <w:abstractNum w:abstractNumId="24">
    <w:multiLevelType w:val="singleLevel"/>
    <w:lvl w:ilvl="0">
      <w:start w:val="1"/>
      <w:lvlText w:val="%1."/>
      <w:lvlJc w:val="left"/>
      <w:numFmt w:val="lowerRoman"/>
      <w:pPr>
        <w:ind w:left="480" w:hanging="360"/>
      </w:pPr>
    </w:lvl>
  </w:abstractNum>
  <w:abstractNum w:abstractNumId="25">
    <w:multiLevelType w:val="singleLevel"/>
    <w:lvl w:ilvl="0">
      <w:start w:val="1"/>
      <w:lvlText w:val="%1."/>
      <w:lvlJc w:val="left"/>
      <w:numFmt w:val="lowerRoman"/>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 w:type="paragraph" w:customStye="0" w:styleId="Heading 8">
    <w:name w:val="Heading 8"/>
    <w:qFormat/>
    <w:unhideWhenUsed/>
    <w:basedOn w:val="Heading"/>
  </w:style>
  <w:style w:type="paragraph" w:customStye="0" w:styleId="Heading 9">
    <w:name w:val="Heading 9"/>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mailto:NORDIC@MID" TargetMode="External"/><Relationship Id="rId21" Type="http://schemas.openxmlformats.org/officeDocument/2006/relationships/hyperlink" Target="https://www.ecb.europa.eu/stats/financial_corporations/list_of_financial_institutions/html/index.el.html" TargetMode="External"/><Relationship Id="rId22" Type="http://schemas.openxmlformats.org/officeDocument/2006/relationships/hyperlink" Target="https://github.com/lerooze/ifdat-docs/issues/new/choose" TargetMode="External"/><Relationship Id="rId23" Type="http://schemas.openxmlformats.org/officeDocument/2006/relationships/hyperlink" Target="https://github.com/lerooze/journey-docs/graphs/contributors" TargetMode="External"/><Relationship Id="rId24"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