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IFDAT-DOCS</w:t>
      </w:r>
    </w:p>
    <w:p>
      <w:r>
        <w:t>Εδώ</w:t>
      </w:r>
      <w:r>
        <w:t xml:space="preserve"> θα βρείτε τις οδηγίες σε μορφή pdf.</w:t>
      </w:r>
    </w:p>
    <w:p>
      <w:r>
        <w:t>Εδώ</w:t>
      </w:r>
      <w:r>
        <w:t xml:space="preserve"> θα βρείτε τις οδηγίες σε μορφή docx.</w:t>
      </w:r>
    </w:p>
    <w:p>
      <w:r>
        <w:t>Εδώ</w:t>
      </w:r>
      <w:r>
        <w:t xml:space="preserve"> θα βρείτε τo DATA MODEL (</w:t>
      </w:r>
      <w:r>
        <w:t>Δομή Δεδομένων</w:t>
      </w:r>
      <w:r>
        <w:t>).</w:t>
      </w:r>
    </w:p>
    <w:p>
      <w:r>
        <w:t>Εδώ</w:t>
      </w:r>
      <w:r>
        <w:t xml:space="preserve"> θα βρείτε τo υπόδειγμα EXCEL για εισαγωγή στοιχείων (</w:t>
      </w:r>
      <w:r>
        <w:t>Υποβολή αρχείων</w:t>
      </w:r>
      <w:r>
        <w:t>).</w:t>
      </w:r>
    </w:p>
    <w:p>
      <w:r>
        <w:t>Εδώ</w:t>
      </w:r>
      <w:r>
        <w:t xml:space="preserve"> θα βρείτε τo JSON schema για εισαγωγή στοιχείων σε μορφή json (</w:t>
      </w:r>
      <w:r>
        <w:t>Υποβολή αρχείων</w:t>
      </w:r>
      <w:r>
        <w:t>).</w:t>
      </w:r>
    </w:p>
    <w:p>
      <w:r>
        <w:t xml:space="preserve">Το </w:t>
      </w:r>
      <w:r>
        <w:rPr>
          <w:b/>
        </w:rPr>
        <w:t>IFDAT-DOCS</w:t>
      </w:r>
      <w:r>
        <w:t xml:space="preserve"> παρουσιάζει τις οδηγίες σε σχέση σε σχέση με το σχέδιο συλλογής αναλυτικών στοιχείων από επενδυτικούς οργανισμούς από την Τράπεζα της Ελλάδος.</w:t>
      </w:r>
    </w:p>
    <w:p>
      <w:r>
        <w:t xml:space="preserve">Στο κεφάλαιο </w:t>
      </w:r>
      <w:r>
        <w:t>Κανονισμός</w:t>
      </w:r>
      <w:r>
        <w:t xml:space="preserve"> υπάρχει ένα σχέδιο της Πράξης Διοικητή σχετικά με το σχέδιο αναγγελίας IFDat.</w:t>
      </w:r>
    </w:p>
    <w:p>
      <w:r>
        <w:t xml:space="preserve">Στο κεφάλαιο </w:t>
      </w:r>
      <w:r>
        <w:t>Υποβολή αρχείων</w:t>
      </w:r>
      <w:r>
        <w:t xml:space="preserve"> περιγράφεται ο τρόπος υποβολής στοιχείων από τις Μονάδες Παροχής Στοιχείων.</w:t>
      </w:r>
    </w:p>
    <w:p>
      <w:r>
        <w:t xml:space="preserve">Στο κεφάλαιο </w:t>
      </w:r>
      <w:r>
        <w:t>Δομή Δεδομένων</w:t>
      </w:r>
      <w:r>
        <w:t xml:space="preserve"> περιγράφεται το μοντέλο πληροφοριών στο οποίο βασίζεται το IFDat.»</w:t>
      </w:r>
    </w:p>
    <w:p>
      <w:r>
        <w:t xml:space="preserve">Στο κεφάλαιο </w:t>
      </w:r>
      <w:r>
        <w:t>Γενικές Οδηγίες</w:t>
      </w:r>
      <w:r>
        <w:t xml:space="preserve"> περιγράφονται γενικές οδηγίες σε σχέση με το IFDat.»</w:t>
      </w:r>
    </w:p>
    <w:p>
      <w:r>
        <w:t xml:space="preserve">Στο κεφάλαιο </w:t>
      </w:r>
      <w:r>
        <w:t>Κατηγορίες Δεδομένων</w:t>
      </w:r>
      <w:r>
        <w:t xml:space="preserve"> περιγράφονται αναλυτικά οι έξι κατηγορίες δεδομένων που περιέχει το </w:t>
      </w:r>
      <w:r>
        <w:rPr>
          <w:b/>
        </w:rPr>
        <w:t>IFDat</w:t>
      </w:r>
      <w:r>
        <w:t>.</w:t>
      </w:r>
    </w:p>
    <w:p>
      <w:r>
        <w:t xml:space="preserve">Στο κεφάλαιο </w:t>
      </w:r>
      <w:r>
        <w:t>Παραδείγματα Υποβολών</w:t>
      </w:r>
      <w:r>
        <w:t xml:space="preserve"> δίνονται συγκεκριμένα παραδείγματα υποβολών δεδομένων.</w:t>
      </w:r>
    </w:p>
    <w:p>
      <w:r>
        <w:t xml:space="preserve">Στο κεφάλαιο </w:t>
      </w:r>
      <w:r>
        <w:t>data validation</w:t>
      </w:r>
      <w:r>
        <w:t xml:space="preserve"> περιγράφεται ο τρόπος επικύρωσης των εισερχόμενων αρχείων.</w:t>
      </w:r>
    </w:p>
    <w:p>
      <w:r>
        <w:t xml:space="preserve">Στο κεφάλαιο </w:t>
      </w:r>
      <w:r>
        <w:t>identifiers</w:t>
      </w:r>
      <w:r>
        <w:t xml:space="preserve"> η δομή των αναγνωριστικών κωδικών που χρησιμοποιούνται για την μοναδική ταυτοποίηση των οντοτήτων σε σχέση με τις οποίες αναγγέλλονται στοιχεία.</w:t>
      </w:r>
    </w:p>
    <w:p>
      <w:r>
        <w:t xml:space="preserve">Στο κεφάλαιο </w:t>
      </w:r>
      <w:r>
        <w:t>Μονάδες Παροχής Στοιχείων</w:t>
      </w:r>
      <w:r>
        <w:t xml:space="preserve"> παρέχονται οι ονομασίες και οι αναγνωριστικοί κωδικοί των Μονάδων Παροχής Στοιχείων.</w:t>
      </w:r>
    </w:p>
    <w:p>
      <w:r>
        <w:t xml:space="preserve">Στο κεφάλαιο </w:t>
      </w:r>
      <w:r>
        <w:t>What’s new?</w:t>
      </w:r>
      <w:r>
        <w:t xml:space="preserve"> παρουσιάζονται λεπτομέρειες σχετικά με το τι αλλάζει σε κάθε νέα έκδοση του </w:t>
      </w:r>
      <w:r>
        <w:rPr>
          <w:b/>
        </w:rPr>
        <w:t>IFDAT-DOCS</w:t>
      </w:r>
      <w:r>
        <w:t>.</w:t>
      </w:r>
    </w:p>
    <w:p>
      <w:r>
        <w:t xml:space="preserve">Στο κεφάλαιο </w:t>
      </w:r>
      <w:r>
        <w:t>Development</w:t>
      </w:r>
      <w:r>
        <w:t xml:space="preserve"> περιγράφεται πως μπορεί κάποιος να συνεισφέρει στην ανάπτυξη των οδηγιών </w:t>
      </w:r>
      <w:r>
        <w:rPr>
          <w:b/>
        </w:rPr>
        <w:t>IFDAT-DOCS</w:t>
      </w:r>
      <w:r>
        <w:t>.</w:t>
      </w:r>
    </w:p>
    <w:p>
      <w:pPr>
        <w:pStyle w:val="Heading1"/>
      </w:pPr>
      <w:r>
        <w:t>Κανονισμός</w:t>
      </w:r>
    </w:p>
    <w:p>
      <w:pPr>
        <w:pStyle w:val="Heading2"/>
      </w:pPr>
      <w:r>
        <w:t>Άρθρο 1: Πεδίο εφαρμογής - πληθυσμός παροχής στοιχείων</w:t>
      </w:r>
    </w:p>
    <w:p>
      <w:r>
        <w:t>Στην έννοια του Επενδυτικού Οργανισμού εμπίπτουν:</w:t>
      </w:r>
    </w:p>
    <w:p>
      <w:pPr>
        <w:pStyle w:val="ListBullet"/>
      </w:pPr>
      <w:r>
        <w:t>Οι οργανισμοί συλλογικών επενδύσεων σε κινητές αξίες (ΟΣΕΚΑ) με κράτος - μέλος καταγωγής την Ελλάδα (ν. 4099/2012).</w:t>
      </w:r>
    </w:p>
    <w:p>
      <w:pPr>
        <w:pStyle w:val="ListBullet"/>
      </w:pPr>
      <w:r>
        <w:t>Οι οργανισμοί εναλλακτικών επενδύσεων (ΟΕΕ) με κράτος - μέλος καταγωγής την Ελλάδα (ν. 4209/2013).</w:t>
      </w:r>
    </w:p>
    <w:p>
      <w:pPr>
        <w:pStyle w:val="ListBullet"/>
      </w:pPr>
      <w:r>
        <w:t>«Οι Ανώνυμες Εταιρείες Επενδύσεων σε Ακίνητη Περιουσία του ν. 2778/1999 καθώς και οι Ανώνυμες Εταιρείες Επενδύσεων Χαρτοφυλακίου του ν. 3371/2005.»</w:t>
      </w:r>
    </w:p>
    <w:p>
      <w:pPr>
        <w:pStyle w:val="ListBullet"/>
      </w:pPr>
      <w:r>
        <w:t>Κάθε άλλη θεσμική μονάδα, πέρα από τις παραπάνω κατηγορίες, με κατοικία την Ελλάδα (ΕΚ 2533/98) που αποτελεί Επενδυτικό Οργανισμό με βάση το άρθρο 1 του κανονισμού ΕΚΤ/2013/38.»</w:t>
      </w:r>
    </w:p>
    <w:p>
      <w:r>
        <w:t>Ως Παρατηρούμενη Μονάδα (ΠΜ) νοείται ένας Επενδυτικός Οργανισμός ο οποίος λόγω της δραστηριότητας του παράγει στοιχεία προς αναγγελία που περιγράφονται στο Άρθρο 3.  Ως Μονάδα Παροχής Στοιχείων (ΜΠΣ) νοείται η μονάδα που παρέχει στοιχεία για έναν ή περισσότερους επενδυτικούς οργανισμούς ή/και πληροφοριακά στοιχεία για την ίδια που επίσης περιγράφονται στο Άρθρο 3. Η ΜΠΣ της κάθε ΠΜ είναι είτε η ΠΜ, είτε η διαχειρίστρια εταιρεία της.</w:t>
      </w:r>
    </w:p>
    <w:p>
      <w:pPr>
        <w:pStyle w:val="Heading2"/>
      </w:pPr>
      <w:r>
        <w:t>Άρθρο 2: Παροχή στοιχείων ανά επενδυτικό οργανισμό</w:t>
      </w:r>
    </w:p>
    <w:p>
      <w:r>
        <w:t>Στην περίπτωση που ένας ορισμένος επενδυτικός οργανισμός διαχωρίζει τα στοιχεία του ενεργητικού του σε διαφορετικούς επιμέρους οργανισμούς που τον συναποτελούν (</w:t>
      </w:r>
      <w:r>
        <w:t>sub-funds</w:t>
      </w:r>
      <w:r>
        <w:t>), κατά τρόπο ώστε οι μετοχές/μερίδια που αντιστοιχούν σε κάθε επιμέρους οργανισμό να καλύπτονται ανεξάρτητα από διαφορετικά στοιχεία του ενεργητικού, κάθε επιμέρους οργανισμός θεωρείται ως μεμονωμένος επενδυτικός οργανισμός και άρα ως μεμονωμένη ΠΜ.</w:t>
      </w:r>
    </w:p>
    <w:p>
      <w:pPr>
        <w:pStyle w:val="Heading2"/>
      </w:pPr>
      <w:r>
        <w:t>Άρθρο 3: Παρεχόμενα στοιχεία και προθεσμίες υποβολής τους</w:t>
      </w:r>
    </w:p>
    <w:p>
      <w:r>
        <w:t>Τα στοιχεία επενδυτικών οργανισμών διαχωρίζονται σε κατηγορίες, η κάθε κατηγορία περιέχει πίνακες στοιχείων και ο κάθε πίνακας στοιχείων περιέχει μεταβλητές προς αναγγελία.  Οι κατηγορίες των στοιχείων επενδυτικών οργανισμών είναι έξι:</w:t>
      </w:r>
    </w:p>
    <w:p>
      <w:pPr>
        <w:pStyle w:val="Heading3"/>
      </w:pPr>
      <w:r>
        <w:t>Πληροφοριακά στοιχεία ιδίου λογαριασμού (SELF_INFO - SI)</w:t>
      </w:r>
    </w:p>
    <w:p>
      <w:r>
        <w:t>Παρέχονται πληροφοριακά στοιχεία για την ΠΜ, τα χρηματοοικονομικά μέσα που έχει εκδώσει η ΠΜ, την ΜΠΣ σε περίπτωση που η ΠΜ διαφέρει από την ΜΠΣ ή στην περίπτωση που η ΜΠΣ δεν διαχειρίζεται καμία ΠΜ, και τα πρόσωπα επικοινωνίας που είναι υπεύθυνα για την παροχή των στοιχείων εκ μέρους της ΜΠΣ.  Διευκρινίζεται ότι τα χρηματοοικονομικά μέσα που μπορεί να εκδώσει μία ΠΜ εξαρτάται από το είδος της και δύναται να περιλαμβάνουν μετοχές, μερίδια, κατηγορίες μεριδίων, ομόλογα.</w:t>
      </w:r>
    </w:p>
    <w:p>
      <w:r>
        <w:t>Τα στοιχεία αποστέλλονται έως και τη δεύτερη εργάσιμη μέρα κάθε μήνα και αφορούν, πέρα από την αρχική αποστολή, προσθήκες και μεταβολές κατά τη διάρκεια του προηγούμενου μήνα καθώς και διορθώσεις στοιχείων προηγούμενων αποστολών. Στην αρχική αποστολή αποστέλλεται όσο πιο πλήρες ιστορικό στοιχείων είναι εφικτό και σε κάθε αποστολή είναι δυνατό να προστεθούν ιστορικά στοιχεία που δεν έχουν υποβληθεί στο παρελθόν.  Εφόσον για κάποιο μήνα δεν υπάρχουν προσθήκες, μεταβολές, διορθώσεις δεν υποβάλλεται αρχείο.</w:t>
      </w:r>
    </w:p>
    <w:p>
      <w:pPr>
        <w:pStyle w:val="Heading3"/>
      </w:pPr>
      <w:r>
        <w:t>Βασικά στοιχεία χρηματοοικονομικών μέσων ιδίου λογαριασμού (SELF_KEY - SK)</w:t>
      </w:r>
    </w:p>
    <w:p>
      <w:r>
        <w:t>Παρέχονται βασικά χρηματοοικονομικά στοιχεία των χρηματοοικονομικών μέσων που έχει εκδώσει η ΠΜ όπως τιμές, συμμετοχές, εξαγορές, δεδουλευμένα επιτόκια, μερίσματα πληρωτέα, λόγους διάσπασης ή σύμπτυξης μετοχών.</w:t>
      </w:r>
    </w:p>
    <w:p>
      <w:r>
        <w:t>Τα στοιχεία αποστέλλονται έως και τη δεύτερη εργάσιμη μέρα κάθε μήνα και αναγγέλλονται στοιχεία για κάθε εργάσιμη μέρα του προηγούμενου μήνα που υπάρχουν διαθέσιμα στοιχεία ή/και προσθήκες στοιχείων από προηγούμενες περιόδους αναφοράς σε περίπτωση που δεν έχουν αναγγελθεί αυτά τα στοιχεία αλλά και διορθώσεις στοιχείων από προηγούμενες αναγγελίες. Σε περίπτωση συγχώνευσης μίας ΠΜ με μία άλλη μονάδα κατά την διάρκεια του προηγούμενου της αναγγελίας μήνα αναγγέλλονται στοιχεία έως και την ημερομηνία συγχώνευσης.</w:t>
      </w:r>
    </w:p>
    <w:p>
      <w:pPr>
        <w:pStyle w:val="Heading3"/>
      </w:pPr>
      <w:r>
        <w:t>Λοιπά πληροφοριακά στοιχεία (OTHER_INFO - OI)</w:t>
      </w:r>
    </w:p>
    <w:p>
      <w:r>
        <w:t>Για την ΠΜ παρέχονται πληροφοριακά στοιχεία για (α) τα χρηματοοικονομικά μέσα που υπάρχουν στον ισολογισμό της τα οποία όμως δεν έχει εκδώσει η ίδια , (β) των εκδοτών των μέσων της περίπτωσης (α), (γ) τα ακίνητα που κατέχει και (δ) τους κατόχους των χρηματοοικονομικών μέσων που έχει εκδώσει η ίδια.</w:t>
      </w:r>
    </w:p>
    <w:p>
      <w:r>
        <w:t>Τα στοιχεία αποστέλλονται έως και την δέκατη εργάσιμη μέρα κάθε μήνα και αφορούν, πέρα από την αρχική αποστολή, προσθήκες και αλλαγές που έγιναν τον προηγούμενο μήνα καθώς και διορθώσεις στοιχείων προηγούμενων αποστολών.  Στην αρχική αποστολή αποστέλλεται όσο πιο πλήρες ιστορικό είναι εφικτό και σε κάθε αποστολή δύναται να αποστέλλονται νέα στοιχεία που συμπληρώνουν το ιστορικό. Εφόσον για κάποιο μήνα δεν υπάρχουν προσθήκες, μεταβολές, διορθώσεις δεν υποβάλλεται αρχείο.</w:t>
      </w:r>
    </w:p>
    <w:p>
      <w:pPr>
        <w:pStyle w:val="Heading3"/>
      </w:pPr>
      <w:r>
        <w:t>Βασικά στοιχεία χαρτοφυλακίου (OTHER_KEY - OK)</w:t>
      </w:r>
    </w:p>
    <w:p>
      <w:r>
        <w:t>Για τα χρηματοοικονομικά μέσα που η ΠΜ διατηρεί στο χαρτοφυλάκιο της τα οποία δεν έχει εκδώσει η ίδια παρέχονται βασικά χρηματοοικονομικά στοιχεία όπως τιμές, δεδουλευμένα επιτόκια, μερίσματα πληρωτέα, λόγους διάσπασης ή σύμπτυξης μετοχών.</w:t>
      </w:r>
    </w:p>
    <w:p>
      <w:r>
        <w:t>Τα στοιχεία αποστέλλονται έως και τη δέκατη εργάσιμη μέρα κάθε μήνα και όσον αφορά τις τιμές και τα δεδουλευμένα επιτόκια παρέχονται τελικά στοιχεία με ημερομηνία αναφοράς την τελευταία ημερολογιακή ή εργάσιμη μέρα του προηγούμενου μήνα.  Όσον αφορά τα στοιχεία για μερίσματα πληρωτέα και λόγους διάσπασης ή σύμπτυξης μετοχών παρέχονται στοιχεία μόνο αν υπάρχουν σχετικά στοιχεία τον προηγούμενο μήνα.  Σε περίπτωση συγχώνευσης μίας ΠΜ με μία άλλη οντότητα τον προηγούμενο της αναγγελίας μήνα η ημερομηνία αναφοράς είναι η ημερομηνία συγχώνευσης και όχι η τελευταία μέρα του μήνα.  Σε περίπτωση αναταξινόμησης του θεσμικού τομέα της ΠΜ από ή προς επενδυτικό οργανισμό ή σε περίπτωση αλλαγής του είδους του επενδυτικού οργανισμού παρέχονται τα παραπάνω στοιχεία και για την ημερομηνία της αναταναταξινόμησης ή την ημερομηνία αλλαγής του είδους. Σε κάθε αποστολή δύναται η διόρθωση ή η συμπλήρωση προηγούμενων περιόδων αναφοράς.</w:t>
      </w:r>
    </w:p>
    <w:p>
      <w:pPr>
        <w:pStyle w:val="Heading3"/>
      </w:pPr>
      <w:r>
        <w:t>Στοιχεία λογαριασμών λογιστικής κατάστασης (BSI)</w:t>
      </w:r>
    </w:p>
    <w:p>
      <w:r>
        <w:t>Για την ΠΜ παρέχονται αναλυτικά στοιχεία για πιστωτικούς και χρεωστικούς λογαριασμούς της λογιστικής κατάστασης.</w:t>
      </w:r>
    </w:p>
    <w:p>
      <w:r>
        <w:t>Τα στοιχεία αποστέλλονται έως και τη δέκατη-πέμπτη (15) εργάσιμη μέρα του κάθε μήνα με εξαίρεση εάν η ΠΜ αποτελεί ΟΣΕΚΑ και τότε αποστέλλονται έως και τη δέκατη (10) εργάσιμη ημέρα και αφορούν στοιχεία του προηγούμενου μήνα. Σε περίπτωση συγχώνευσης μίας ΠΜ με μια άλλη οντότητα κατά τη διάρκεια του προηγούμενου της αποστολής μήνα τα στοιχεία που αποστέλλονται για τον προηγούμενο μήνα αφορούν μέχρι και την ημερομηνία συγχώνευσης.  Σε περίπτωση αναταξινόμησης του θεσμικού τομέα της ΠΜ από ή προς επενδυτικό οργανισμό ή σε περίπτωση αλλαγής του είδους του επενδυτικού οργανισμού παρέχονται τα παραπάνω στοιχεία και με ημερομηνία αναφοράς την ημερομηνία αναταξινόμησης ή την ημερομηνία αλλαγής είδους. Σε κάθε αποστολή δύναται η διόρθωση ή η συμπλήρωση προηγούμενων περιόδων αναφοράς.</w:t>
      </w:r>
    </w:p>
    <w:p>
      <w:pPr>
        <w:pStyle w:val="Heading3"/>
      </w:pPr>
      <w:r>
        <w:t>Κατηγορία 6: Στοιχεία εισοδήματος (INCOME - INC)</w:t>
      </w:r>
    </w:p>
    <w:p>
      <w:r>
        <w:t>Για την ΠΜ παρέχονται στοιχεία εισοδήματος σε δεδουλευμένη βάση.</w:t>
      </w:r>
    </w:p>
    <w:p>
      <w:r>
        <w:t>Τα στοιχεία αποστέλλονται έως και τη δέκατη-πέμπτη (15) εργάσιμη μέρα του κάθε μήνα με εξαίρεση εάν η ΠΜ αποτελεί ΟΣΕΚΑ και τότε αποστέλλονται έως και τη δέκατη (10) εργάσιμη ημέρα και αφορούν στοιχεία του προηγούμενου μήνα. Σε περίπτωση συγχώνευσης μίας ΠΜ με μια άλλη μονάδα κατά τη διάρκεια του προηγούμενου της αποστολής μήνα τα στοιχεία που αποστέλλονται για τον προηγούμενο μήνα αφορούν μέχρι και την ημερομηνία συγχώνευσης.  Σε κάθε αποστολή δύναται η διόρθωση ή η συμπλήρωση ιστορικών στοιχείων.</w:t>
      </w:r>
    </w:p>
    <w:p>
      <w:pPr>
        <w:pStyle w:val="Heading2"/>
      </w:pPr>
      <w:r>
        <w:t>Άρθρο 4: Σχήμα αναγγελίας και αναλυτικές οδηγίες</w:t>
      </w:r>
    </w:p>
    <w:p>
      <w:r>
        <w:t xml:space="preserve">Το σχήμα αναγγελίας και οι οδηγίες του βρίσκονται στον σύνδεσμο </w:t>
      </w:r>
      <w:r>
        <w:t>αυτό</w:t>
      </w:r>
      <w:r>
        <w:t xml:space="preserve">.  Το ιστορικό του σχήματος αναγγελίας και των οδηγιών περιγράφεται </w:t>
      </w:r>
      <w:r>
        <w:t>εδώ</w:t>
      </w:r>
      <w:r>
        <w:t>.</w:t>
      </w:r>
    </w:p>
    <w:p>
      <w:pPr>
        <w:pStyle w:val="Heading2"/>
      </w:pPr>
      <w:r>
        <w:t>Άρθρο 5: Ημερομηνία εφαρμογής</w:t>
      </w:r>
    </w:p>
    <w:p>
      <w:r>
        <w:t xml:space="preserve">Η πρώτη υποβολή στοιχείων θα ξεκινήσει τον ΧΧΧ. Παρέχεται όμως η δυνατότητα σε οποιαδήποτε </w:t>
      </w:r>
      <w:r>
        <w:t>ΜΠΣ</w:t>
      </w:r>
      <w:r>
        <w:t xml:space="preserve"> το επιθυμεί να υποβάλλει στοιχεία από τον ΧΧΧ.  Από την ημερομηνία εφαρμογής του παρόντος καταργούνται οι ΧΧΧ. Αλλαγές στο σχήμα αναγγελίας από τις οποίες θα προκύπτει νέες ανάγκες για στοιχεία είναι δυνατό να γίνονται μία φορά το χϱονο.  Οι αλλαγές θα δημοσιεύονται έως τις 30/6 κάθε έτους </w:t>
      </w:r>
      <w:r>
        <w:t>εδώ</w:t>
      </w:r>
      <w:r>
        <w:t xml:space="preserve"> με εφαρμογή για την περίοδο αναφοράς του ερχόμενου Δεκεμβρίου και πρώτη αναγγελία εντός τον Ιανουάριο του επόμενου έτους.</w:t>
      </w:r>
    </w:p>
    <w:p>
      <w:pPr>
        <w:pStyle w:val="Heading2"/>
      </w:pPr>
      <w:r>
        <w:t>Άρθρο 6: Κυρώσεις</w:t>
      </w:r>
    </w:p>
    <w:p>
      <w:r>
        <w:t>Σε περίπτωση ελλιπούς, εσφαλμένης ή εκπρόθεσμης υποβολής των ως άνω στοιχείων εφαρμόζονται οι περί κυρώσεων σχετικές διατάξεις ΧΧΧ.</w:t>
      </w:r>
    </w:p>
    <w:p>
      <w:pPr>
        <w:pStyle w:val="Heading1"/>
      </w:pPr>
      <w:r>
        <w:t>Υποβολή αρχείων</w:t>
      </w:r>
    </w:p>
    <w:p>
      <w:r>
        <w:t xml:space="preserve">Τα αρχεία υποβάλλονται μέσω του πληροφοριακού συστήματος </w:t>
      </w:r>
      <w:r>
        <w:rPr>
          <w:b/>
        </w:rPr>
        <w:t>IRIS</w:t>
      </w:r>
      <w:r>
        <w:t xml:space="preserve">.  Για κάθε αρχείο που υποβάλλει ένας χρήστης θα λαμβάνει ένα απαντητικό σχετικά με το αν το αρχείο παρελήφθη καθώς επίσης και την ονομασία του αρχείου με την οποία το αποθήκευσε η Τράπεζα της Ελλάδος. Η ονομασία του αρχείου ακολουθεί τον ακόλουθο μορφότυπο </w:t>
      </w:r>
      <w:r>
        <w:t>F{ID}_{USER}_{NAME}</w:t>
      </w:r>
      <w:r>
        <w:t xml:space="preserve"> όπου το ID είναι ένας μοναδικός ακέραιος αριθμός μάκρους δέκα χαρακτήρων με πρόθεμα το 0, NAME είναι η ονομασία του υποδεχόμενου αρχείου και USER είναι ο κωδικός χρήστη.  Για παράδειγμα ένα υποδεχόμενο αρχείο με ονομασία </w:t>
      </w:r>
      <w:r>
        <w:rPr>
          <w:b/>
        </w:rPr>
        <w:t>data_submission.xlsx</w:t>
      </w:r>
      <w:r>
        <w:t xml:space="preserve"> από τον χρήστη </w:t>
      </w:r>
      <w:r>
        <w:rPr>
          <w:b/>
        </w:rPr>
        <w:t>aloumiotis</w:t>
      </w:r>
      <w:r>
        <w:t xml:space="preserve"> με ID 5 μετονομάζεται σε </w:t>
      </w:r>
      <w:r>
        <w:t>F0000000005_aloumiotis_data_submission.xlsx</w:t>
      </w:r>
      <w:r>
        <w:t>.</w:t>
      </w:r>
    </w:p>
    <w:p>
      <w:r>
        <w:t>Τα αρχεία πρέπει να έχουν μία από τις παρακάτω μορφές ειδάλλως δεν θα συνεχίζεται η επεξεργασία τους:</w:t>
      </w:r>
    </w:p>
    <w:p>
      <w:pPr>
        <w:pStyle w:val="ListBullet"/>
      </w:pPr>
      <w:r>
        <w:t xml:space="preserve">Αρχεία τύπου </w:t>
      </w:r>
      <w:r>
        <w:t>.json</w:t>
      </w:r>
      <w:r>
        <w:t xml:space="preserve">.  Το αρχείο θα πρέπει να δομείται σύμφωνα με το αντίστοιχο </w:t>
      </w:r>
      <w:r>
        <w:rPr>
          <w:b/>
        </w:rPr>
        <w:t>json schema</w:t>
      </w:r>
      <w:r>
        <w:t>.</w:t>
      </w:r>
    </w:p>
    <w:p>
      <w:pPr>
        <w:pStyle w:val="ListBullet"/>
      </w:pPr>
      <w:r>
        <w:t xml:space="preserve">Αρχεία τύπου </w:t>
      </w:r>
      <w:r>
        <w:t>.xlsx</w:t>
      </w:r>
      <w:r>
        <w:t>.  Συμπληρώνετε χρησιμοποιώντας τα παρεχόμενα υποδείγματα για κάθε κατηγορία στοιχείων.</w:t>
      </w:r>
    </w:p>
    <w:p>
      <w:pPr>
        <w:pStyle w:val="ListBullet"/>
      </w:pPr>
      <w:r>
        <w:t xml:space="preserve">Αρχεία τύπου </w:t>
      </w:r>
      <w:r>
        <w:t>.zip</w:t>
      </w:r>
      <w:r>
        <w:t>.  Συμπιεσμένο τύπου αρχείο που θα πρέπει να περιλαμβάνει στο αρχικό του φάκελο αρχεία των δύο προηγούμενων κατηγοριών.  Οποιοδήποτε άλλο αρχείο δεν θα επεξεργάζεται.</w:t>
      </w:r>
    </w:p>
    <w:p>
      <w:pPr>
        <w:pStyle w:val="Heading1"/>
      </w:pPr>
      <w:r>
        <w:t>Δομή Δεδομένων</w:t>
      </w:r>
    </w:p>
    <w:p>
      <w:r>
        <w:t xml:space="preserve">Κάθε κατηγορία δεδομένων του </w:t>
      </w:r>
      <w:r>
        <w:rPr>
          <w:b/>
        </w:rPr>
        <w:t>IFDat</w:t>
      </w:r>
      <w:r>
        <w:t xml:space="preserve">  αποτελείται από </w:t>
      </w:r>
      <w:r>
        <w:rPr>
          <w:b/>
        </w:rPr>
        <w:t>πίνακες δεδομένων</w:t>
      </w:r>
      <w:r>
        <w:t xml:space="preserve"> και η δομή του κάθε πίνακα δεδομένων περιγράφεται από τον </w:t>
      </w:r>
      <w:r>
        <w:rPr>
          <w:b/>
        </w:rPr>
        <w:t>Ορισμό Δομής Δεδομένων</w:t>
      </w:r>
      <w:r>
        <w:t xml:space="preserve"> (</w:t>
      </w:r>
      <w:r>
        <w:rPr>
          <w:b/>
        </w:rPr>
        <w:t>Data Structure Definition</w:t>
      </w:r>
      <w:r>
        <w:t xml:space="preserve">) που ακολουθεί τις βασικές αρχές του πρότυπο πληροφοριών </w:t>
      </w:r>
      <w:r>
        <w:t>SDMX</w:t>
      </w:r>
      <w:r>
        <w:t>.</w:t>
      </w:r>
    </w:p>
    <w:p>
      <w:r>
        <w:t xml:space="preserve">Συνοπτικά κάθε πίνακας αποτελείται από </w:t>
      </w:r>
      <w:r>
        <w:t>παρατηρήσεις</w:t>
      </w:r>
      <w:r>
        <w:t xml:space="preserve"> και κάθε παρατήρηση αποτελείται από </w:t>
      </w:r>
      <w:r>
        <w:t>τιμές</w:t>
      </w:r>
      <w:r>
        <w:t xml:space="preserve"> για μερικές ή όλες τις </w:t>
      </w:r>
      <w:r>
        <w:t>διαστάσεις</w:t>
      </w:r>
      <w:r>
        <w:t xml:space="preserve">, τις </w:t>
      </w:r>
      <w:r>
        <w:t>μεταβλητές</w:t>
      </w:r>
      <w:r>
        <w:t xml:space="preserve">,  και τα </w:t>
      </w:r>
      <w:r>
        <w:t>χαρακτηριστικά</w:t>
      </w:r>
      <w:r>
        <w:t xml:space="preserve"> των μεταβλητών ανάλογα με την υποχρεωτικότητά τους και ανάλογα με το αν λαμβάνουν μια προεπιλεγμένη τιμή στην περίπτωση που δεν συμπληρωθούν.</w:t>
      </w:r>
    </w:p>
    <w:p>
      <w:r>
        <w:t xml:space="preserve">Οι τιμές των διαστάσεων ορίζουν το </w:t>
      </w:r>
      <w:r>
        <w:t>κλειδί</w:t>
      </w:r>
      <w:r>
        <w:t xml:space="preserve"> της παρατήρησης και οι τιμές των μεταβλητών περιγράφουν το </w:t>
      </w:r>
      <w:r>
        <w:t>κλειδί</w:t>
      </w:r>
      <w:r>
        <w:t>.  Οι τιμές των χαρακτηριστικών περιγράφουν τις τιμές των μεταβλητών με τις οποίες είναι συνδεδεμένες.</w:t>
      </w:r>
    </w:p>
    <w:p>
      <w:r>
        <w:t xml:space="preserve">Η δομή του IFDat περιγράφεται συνολικά από ένα αρχείο </w:t>
      </w:r>
      <w:r>
        <w:rPr>
          <w:b/>
        </w:rPr>
        <w:t>Excel</w:t>
      </w:r>
      <w:r>
        <w:t xml:space="preserve"> με ονομασία </w:t>
      </w:r>
      <w:r>
        <w:rPr>
          <w:b/>
        </w:rPr>
        <w:t>IFDAT_DATAMODEL.xlsx</w:t>
      </w:r>
      <w:r>
        <w:t xml:space="preserve"> και θα αποκαλείται ως το </w:t>
      </w:r>
      <w:r>
        <w:rPr>
          <w:b/>
        </w:rPr>
        <w:t>DATA MODEL</w:t>
      </w:r>
      <w:r>
        <w:t>.</w:t>
      </w:r>
    </w:p>
    <w:p>
      <w:r>
        <w:t xml:space="preserve">Παρακάτω δίνεται σύνδεσμος για την περιγραφή των φύλλων που περιέχονται στο </w:t>
      </w:r>
      <w:r>
        <w:rPr>
          <w:b/>
        </w:rPr>
        <w:t>DATA MODEL</w:t>
      </w:r>
      <w:r>
        <w:t>:</w:t>
      </w:r>
    </w:p>
    <w:p>
      <w:r>
        <w:t xml:space="preserve">Στο σύνδεσμο </w:t>
      </w:r>
      <w:r>
        <w:t>DSDS</w:t>
      </w:r>
      <w:r>
        <w:t xml:space="preserve"> περιγράφεται το φύλλο </w:t>
      </w:r>
      <w:r>
        <w:rPr>
          <w:b/>
        </w:rPr>
        <w:t>DSDS</w:t>
      </w:r>
    </w:p>
    <w:p>
      <w:r>
        <w:t xml:space="preserve">Στο σύνδεσμο </w:t>
      </w:r>
      <w:r>
        <w:t>DIMS</w:t>
      </w:r>
      <w:r>
        <w:t xml:space="preserve"> περιγράφεται το φύλλο </w:t>
      </w:r>
      <w:r>
        <w:rPr>
          <w:b/>
        </w:rPr>
        <w:t>DIMS</w:t>
      </w:r>
    </w:p>
    <w:p>
      <w:r>
        <w:t xml:space="preserve">Στο σύνδεσμο </w:t>
      </w:r>
      <w:r>
        <w:t>MEASURES</w:t>
      </w:r>
      <w:r>
        <w:t xml:space="preserve"> περιγράφεται το φύλλο </w:t>
      </w:r>
      <w:r>
        <w:rPr>
          <w:b/>
        </w:rPr>
        <w:t>MEASURES</w:t>
      </w:r>
    </w:p>
    <w:p>
      <w:r>
        <w:t xml:space="preserve">Στο σύνδεσμο </w:t>
      </w:r>
      <w:r>
        <w:t>ATTRS</w:t>
      </w:r>
      <w:r>
        <w:t xml:space="preserve"> περιγράφεται το φύλλο </w:t>
      </w:r>
      <w:r>
        <w:rPr>
          <w:b/>
        </w:rPr>
        <w:t>ATTRS</w:t>
      </w:r>
    </w:p>
    <w:p>
      <w:r>
        <w:t xml:space="preserve">Στο σύνδεσμο </w:t>
      </w:r>
      <w:r>
        <w:t>TYPES</w:t>
      </w:r>
      <w:r>
        <w:t xml:space="preserve"> περιγράφονται οι μορφότυποι των δεδομένων</w:t>
      </w:r>
    </w:p>
    <w:p>
      <w:pPr>
        <w:pStyle w:val="Heading1"/>
      </w:pPr>
      <w:r>
        <w:t>DSDS</w:t>
      </w:r>
    </w:p>
    <w:p>
      <w:r>
        <w:t xml:space="preserve">Το φύλλο </w:t>
      </w:r>
      <w: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Heading1"/>
      </w:pPr>
      <w:r>
        <w:t>DIMS</w:t>
      </w:r>
    </w:p>
    <w:p>
      <w:r>
        <w:t xml:space="preserve">Το φύλλο </w:t>
      </w:r>
      <w:r>
        <w:t>DIMS</w:t>
      </w:r>
      <w:r>
        <w:t xml:space="preserve"> περιγράφει τις διαστάσεις του κάθε πίνακα.  Για κάθε διάσταση δίνονται:</w:t>
      </w:r>
    </w:p>
    <w:p>
      <w:pPr>
        <w:pStyle w:val="Heading1"/>
      </w:pPr>
      <w:r>
        <w:t>MEASURES</w:t>
      </w:r>
    </w:p>
    <w:p>
      <w:r>
        <w:t xml:space="preserve">Το φύλλο </w:t>
      </w:r>
      <w:r>
        <w:t>MEASURES</w:t>
      </w:r>
      <w:r>
        <w:t xml:space="preserve"> περιγράφει τις μεταβλητές του κάθε πίνακα.  Για κάθε μεταβλητή δίνονται:</w:t>
      </w:r>
    </w:p>
    <w:p>
      <w:pPr>
        <w:pStyle w:val="Heading1"/>
      </w:pPr>
      <w:r>
        <w:t>ATTRS</w:t>
      </w:r>
    </w:p>
    <w:p>
      <w:r>
        <w:t xml:space="preserve">Το φύλλο </w:t>
      </w:r>
      <w:r>
        <w:t>ATTRS</w:t>
      </w:r>
      <w:r>
        <w:t xml:space="preserve"> περιγράφει τις ιδιότητες που περιγράφουν τις τιμές των μεταβλητών του κάθε πίνακα.  Για κάθε ιδιότητα δίνονται:</w:t>
      </w:r>
    </w:p>
    <w:p>
      <w:pPr>
        <w:pStyle w:val="Heading1"/>
      </w:pPr>
      <w:r>
        <w:t>TYPES</w:t>
      </w:r>
    </w:p>
    <w:p>
      <w:r>
        <w:t xml:space="preserve">Ο μορφότυπος μίας </w:t>
      </w:r>
      <w:r>
        <w:rPr>
          <w:b/>
        </w:rPr>
        <w:t>Διάστασης</w:t>
      </w:r>
      <w:r>
        <w:t xml:space="preserve">, μίας </w:t>
      </w:r>
      <w:r>
        <w:rPr>
          <w:b/>
        </w:rPr>
        <w:t>Μεταβλητής</w:t>
      </w:r>
      <w:r>
        <w:t xml:space="preserve"> ή ενός </w:t>
      </w:r>
      <w:r>
        <w:rPr>
          <w:b/>
        </w:rPr>
        <w:t>Χαρακτηριστικού</w:t>
      </w:r>
      <w:r>
        <w:t xml:space="preserve"> περιγράφεται στην στήλη </w:t>
      </w:r>
      <w:r>
        <w:rPr>
          <w:b/>
        </w:rPr>
        <w:t>TYPE</w:t>
      </w:r>
      <w:r>
        <w:t xml:space="preserve"> στα φύλλα </w:t>
      </w:r>
      <w:r>
        <w:rPr>
          <w:b/>
        </w:rPr>
        <w:t>DIMS</w:t>
      </w:r>
      <w:r>
        <w:t xml:space="preserve">, </w:t>
      </w:r>
      <w:r>
        <w:rPr>
          <w:b/>
        </w:rPr>
        <w:t>MEASURES</w:t>
      </w:r>
      <w:r>
        <w:t xml:space="preserve"> και </w:t>
      </w:r>
      <w:r>
        <w:rPr>
          <w:b/>
        </w:rPr>
        <w:t>ATTRS</w:t>
      </w:r>
      <w:r>
        <w:t xml:space="preserve"> αντίστοιχα όπου δίδεται σύνδεσμος στο αντίστοιχο φύλλο που περιγράφει του μορφότυπου.</w:t>
      </w:r>
    </w:p>
    <w:p>
      <w:r>
        <w:t xml:space="preserve">Περαιτέρω περιγραφή των μορφότυπων ORG, DEP, SFT, LON, DBT, SHR, EDR, ODR, RRE, CRE θα βρείτε στο κεφάλαιο </w:t>
      </w:r>
      <w:r>
        <w:t>Αναγνωριστικοί κωδικοί</w:t>
      </w:r>
      <w:r>
        <w:t>.</w:t>
      </w:r>
    </w:p>
    <w:p>
      <w:pPr>
        <w:pStyle w:val="Heading1"/>
      </w:pPr>
      <w:r>
        <w:t>Γενικές Οδηγίες</w:t>
      </w:r>
    </w:p>
    <w:p>
      <w:pPr>
        <w:pStyle w:val="Heading2"/>
      </w:pPr>
      <w:r>
        <w:t>Αλφαριθμητικές τιμές</w:t>
      </w:r>
    </w:p>
    <w:p>
      <w:r>
        <w:t xml:space="preserve">Για την μορφοποίηση μίας αλφαριθμητικής τιμής χρησιμοποιείται το </w:t>
      </w:r>
      <w:r>
        <w:t>{x}</w:t>
      </w:r>
      <w:r>
        <w:t xml:space="preserve">, όπου </w:t>
      </w:r>
      <w:r>
        <w:t>x</w:t>
      </w:r>
      <w:r>
        <w:t xml:space="preserve"> είναι η ονομασία μιας θέσης που αντικαθίσταται μαζί με τις αγκύλες όταν διαμορφώνεται η τελική τιμή.</w:t>
      </w:r>
    </w:p>
    <w:p>
      <w:r>
        <w:t xml:space="preserve">Για παράδειγμα το αλφαριθμητικό </w:t>
      </w:r>
      <w:r>
        <w:t>{YYYY}-{MM}-{DD}</w:t>
      </w:r>
      <w:r>
        <w:t xml:space="preserve"> έχει τρεις θέσεις: </w:t>
      </w:r>
      <w:r>
        <w:t>ΥΥΥΥ</w:t>
      </w:r>
      <w:r>
        <w:t xml:space="preserve"> για το έτος, </w:t>
      </w:r>
      <w:r>
        <w:t>MM</w:t>
      </w:r>
      <w:r>
        <w:t xml:space="preserve"> για τον μήνα και </w:t>
      </w:r>
      <w:r>
        <w:t>DD</w:t>
      </w:r>
      <w:r>
        <w:t xml:space="preserve"> για την ημέρα.  Αν </w:t>
      </w:r>
      <w:r>
        <w:t>YYYY=2022</w:t>
      </w:r>
      <w:r>
        <w:t xml:space="preserve">, </w:t>
      </w:r>
      <w:r>
        <w:t>MM=03</w:t>
      </w:r>
      <w:r>
        <w:t xml:space="preserve"> και </w:t>
      </w:r>
      <w:r>
        <w:t>DD=25</w:t>
      </w:r>
      <w:r>
        <w:t xml:space="preserve"> τότε το αλφαριθμητικό είναι ίσο με </w:t>
      </w:r>
      <w:r>
        <w:t>2022-03-25</w:t>
      </w:r>
      <w:r>
        <w:t>.</w:t>
      </w:r>
    </w:p>
    <w:p>
      <w:r>
        <w:t xml:space="preserve">Για παράδειγμα το αλφαριθμητικό </w:t>
      </w:r>
      <w:r>
        <w:t>Γεια σου {name}</w:t>
      </w:r>
      <w:r>
        <w:t xml:space="preserve"> έχει μια θέση: </w:t>
      </w:r>
      <w:r>
        <w:t>name</w:t>
      </w:r>
      <w:r>
        <w:t xml:space="preserve"> για το όνομα.  Αν το </w:t>
      </w:r>
      <w:r>
        <w:t>name=Άννα</w:t>
      </w:r>
      <w:r>
        <w:t xml:space="preserve"> τότε το αλφαριθμητικό είναι ίσο με </w:t>
      </w:r>
      <w:r>
        <w:t>Γεια σου Άννα</w:t>
      </w:r>
      <w:r>
        <w:t>.</w:t>
      </w:r>
    </w:p>
    <w:p>
      <w:pPr>
        <w:pStyle w:val="Heading2"/>
      </w:pPr>
      <w:r>
        <w:t>Ποσά σε ξένο νόμισμα</w:t>
      </w:r>
    </w:p>
    <w:p>
      <w:r>
        <w:t xml:space="preserve">Τα ποσά σε ξένο νόμισμα μετατρέπονται σε Ευρώ με βάση τις συναλλαγματικές ισοτιμίες της </w:t>
      </w:r>
      <w:r>
        <w:t>ΕΚΤ</w:t>
      </w:r>
    </w:p>
    <w:p>
      <w:pPr>
        <w:pStyle w:val="Heading2"/>
      </w:pPr>
      <w:r>
        <w:t>Διάσταση DATE</w:t>
      </w:r>
    </w:p>
    <w:p>
      <w:r>
        <w:t xml:space="preserve">Σε περίπτωση που στις διαστάσεις ενός πίνακα περιλαμβάνεται η διάσταση </w:t>
      </w:r>
      <w:r>
        <w:t>DATE</w:t>
      </w:r>
      <w:r>
        <w:t xml:space="preserve"> τότε για κάθε υποβαλλόμενη παρατήρηση θα πρέπει να συμπληρώνονται υποχρεωτικά όλες οι μεταβλητές του πίνακα.</w:t>
      </w:r>
    </w:p>
    <w:p>
      <w:r>
        <w:t xml:space="preserve">Σε περίπτωση που στις διαστάσεις ενός πίνακα δεν περιλαμβάνεται η διάσταση </w:t>
      </w:r>
      <w: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p>
      <w:pPr>
        <w:pStyle w:val="Heading2"/>
      </w:pPr>
      <w:r>
        <w:t>Συνδυασμός διαστάσεων DATE και FREQUENCY</w:t>
      </w:r>
    </w:p>
    <w:p>
      <w:r>
        <w:t xml:space="preserve">Κάποιοι πίνακες περιέχουν τόσο </w:t>
      </w:r>
      <w:r>
        <w:t>μεταβλητές υπολοίπων</w:t>
      </w:r>
      <w:r>
        <w:t xml:space="preserve"> όσο και </w:t>
      </w:r>
      <w:r>
        <w:t>μεταβλητές ροών</w:t>
      </w:r>
      <w:r>
        <w:t xml:space="preserve">.  Σε αυτή την περίπτωση στις διαστάσεις του πίνακα περιλαμβάνονται τόσο η διάσταση </w:t>
      </w:r>
      <w:r>
        <w:t>DATE</w:t>
      </w:r>
      <w:r>
        <w:t xml:space="preserve"> όσο και η διάσταση </w:t>
      </w:r>
      <w:r>
        <w:t>FREQUENCY</w:t>
      </w:r>
      <w:r>
        <w:t xml:space="preserve">.  Για τις </w:t>
      </w:r>
      <w:r>
        <w:t>μεταβλητές υπολοίπων</w:t>
      </w:r>
      <w:r>
        <w:t xml:space="preserve"> μόνο η διάσταση </w:t>
      </w:r>
      <w: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t>DATE</w:t>
      </w:r>
      <w:r>
        <w:t xml:space="preserve"> όσο και η διάσταση </w:t>
      </w:r>
      <w:r>
        <w:t>FREQUENCY</w:t>
      </w:r>
      <w:r>
        <w:t xml:space="preserve"> και οι τιμές τους καθορίζουν την περίοδο αναφοράς που ισχύουν οι τιμές των μεταβλητών ροής.</w:t>
      </w:r>
    </w:p>
    <w:p>
      <w:pPr>
        <w:pStyle w:val="Heading3"/>
      </w:pPr>
      <w:r>
        <w:t>Παραδοχές</w:t>
      </w:r>
    </w:p>
    <w:p>
      <w:pPr>
        <w:pStyle w:val="ListBullet"/>
      </w:pPr>
      <w:r>
        <w:t xml:space="preserve">Για τις μεταβλητές υπολοίπων η τιμή </w:t>
      </w:r>
      <w:r>
        <w:t>{YYYΥ}-{MM}-{DD}</w:t>
      </w:r>
      <w:r>
        <w:t xml:space="preserve"> της </w:t>
      </w:r>
      <w:r>
        <w:t>DATE</w:t>
      </w:r>
      <w:r>
        <w:t xml:space="preserve"> είναι ίση με </w:t>
      </w:r>
      <w:r>
        <w:t>{YYYΥ}-{MM}-{DD} 23:59:59</w:t>
      </w:r>
      <w:r>
        <w:t xml:space="preserve">.  Σε περίπτωση που οι μεταβλητές αφορούν στοιχεία που καθορίζονται σε χρηματιστηριακές αγορές η τιμή </w:t>
      </w:r>
      <w: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pPr>
      <w:r>
        <w:t xml:space="preserve">Ο συνδυασμός </w:t>
      </w:r>
      <w:r>
        <w:t>DATE</w:t>
      </w:r>
      <w:r>
        <w:t xml:space="preserve"> και </w:t>
      </w:r>
      <w:r>
        <w:t>FREQUENCY</w:t>
      </w:r>
      <w:r>
        <w:t xml:space="preserve"> ορίζει πάντα ένα </w:t>
      </w:r>
      <w:r>
        <w:rPr>
          <w:b/>
        </w:rPr>
        <w:t>κλειστό</w:t>
      </w:r>
      <w:r>
        <w:t xml:space="preserve"> διάστημα που ισχύουν οι τιμές μεταβλητών ροής.  Η αρχική ημερομηνία του διαστήματος ορίζεται από την τιμή της </w:t>
      </w:r>
      <w:r>
        <w:t>FREQ</w:t>
      </w:r>
      <w:r>
        <w:t xml:space="preserve">.  Όταν </w:t>
      </w:r>
      <w:r>
        <w:t>FREQUNCY=M</w:t>
      </w:r>
      <w:r>
        <w:t xml:space="preserve"> η αρχική ημερομηνία είναι η πρώτη μέρα του μήνα.  Όταν </w:t>
      </w:r>
      <w:r>
        <w:t>FREQUENCY=Q</w:t>
      </w:r>
      <w:r>
        <w:t xml:space="preserve"> η αρχική ημερομηνία είναι η πρώτη μέρα ενός από τα τέσσερα τρίμηνα του έτους.  Όταν </w:t>
      </w:r>
      <w:r>
        <w:t>FREQUENCY=S</w:t>
      </w:r>
      <w:r>
        <w:t xml:space="preserve"> η αρχική ημερομηνία είναι η πρώτη μέρα ενός από τα δύο εξάμηνα του έτους.  Όταν </w:t>
      </w:r>
      <w:r>
        <w:t>FREQUENCY=A</w:t>
      </w:r>
      <w:r>
        <w:t xml:space="preserve"> η αρχική ημερομηνία είναι η πρώτη μέρα του έτους. Η τελική τιμή του διαστήματος ορίζεται από την τιμή της </w:t>
      </w:r>
      <w:r>
        <w:t>DATE</w:t>
      </w:r>
      <w:r>
        <w:t xml:space="preserve"> και αφορά πάντα το τέλος της ημέρας, δηλαδή η τιμή </w:t>
      </w:r>
      <w:r>
        <w:t>{YYYΥ}-{MM}-{DD}</w:t>
      </w:r>
      <w:r>
        <w:t xml:space="preserve"> είναι ίση με </w:t>
      </w:r>
      <w:r>
        <w:t>{YYYΥ}-{MM}-{DD} 23:59:59</w:t>
      </w:r>
    </w:p>
    <w:p>
      <w:pPr>
        <w:pStyle w:val="Heading3"/>
      </w:pPr>
      <w:r>
        <w:t>Παραδείγματα μεταβλητών υπολοίπων</w:t>
      </w:r>
    </w:p>
    <w:p>
      <w:pPr>
        <w:pStyle w:val="ListBullet"/>
      </w:pPr>
      <w:r>
        <w:t xml:space="preserve">Οι τιμές των μεταβλητών υπολοίπων για </w:t>
      </w:r>
      <w:r>
        <w:t>DATE=2022-01-31</w:t>
      </w:r>
      <w:r>
        <w:t xml:space="preserve"> αφορούν τις τιμές των μεταβλητών υπολοίπων που ισχύουν την </w:t>
      </w:r>
      <w:r>
        <w:t>2022-01-31 23:59:59.999</w:t>
      </w:r>
      <w:r>
        <w:t xml:space="preserve"> ανεξάρτητα από την τιμή της </w:t>
      </w:r>
      <w:r>
        <w:t>FREQUENCY</w:t>
      </w:r>
      <w:r>
        <w:t>.</w:t>
      </w:r>
    </w:p>
    <w:p>
      <w:pPr>
        <w:pStyle w:val="ListBullet"/>
      </w:pPr>
      <w:r>
        <w:t xml:space="preserve">Οι τιμές των μεταβλητών υπολοίπων για </w:t>
      </w:r>
      <w:r>
        <w:t>DATE=2022-01-15</w:t>
      </w:r>
      <w:r>
        <w:t xml:space="preserve"> αφορούν τις τιμές των μεταβλητών υπολοίπων που ισχύουν την </w:t>
      </w:r>
      <w:r>
        <w:t>2022-01-15 23:59:59.999</w:t>
      </w:r>
      <w:r>
        <w:t xml:space="preserve"> ανεξάρτητα από την τιμή της </w:t>
      </w:r>
      <w:r>
        <w:t>FREQUENCY</w:t>
      </w:r>
      <w:r>
        <w:t>.</w:t>
      </w:r>
    </w:p>
    <w:p>
      <w:pPr>
        <w:pStyle w:val="Heading3"/>
      </w:pPr>
      <w:r>
        <w:t>Παραδείγματα μεταβλητών ροών</w:t>
      </w:r>
    </w:p>
    <w:p>
      <w:pPr>
        <w:pStyle w:val="ListBullet"/>
      </w:pPr>
      <w:r>
        <w:t>DATE=2022-01-31</w:t>
      </w:r>
      <w:r>
        <w:t xml:space="preserve"> και </w:t>
      </w:r>
      <w:r>
        <w:t>FREQUENCY=M</w:t>
      </w:r>
      <w:r>
        <w:t xml:space="preserve"> ορίζουν ως κλειστή περίοδο αναφοράς που ισχύουν οι τιμές των μεταβλητών ροών την [2022-01-01 00:00:00.000, 2022-01-31 23:59:59.999]</w:t>
      </w:r>
    </w:p>
    <w:p>
      <w:pPr>
        <w:pStyle w:val="ListBullet"/>
      </w:pPr>
      <w:r>
        <w:t>DATE=2022-02-17</w:t>
      </w:r>
      <w:r>
        <w:t xml:space="preserve"> και </w:t>
      </w:r>
      <w:r>
        <w:t>FREQUENCY=M</w:t>
      </w:r>
      <w:r>
        <w:t xml:space="preserve"> ορίζουν ως κλειστή περίοδο αναφοράς που ισχύουν οι τιμές των μεταβλητών ροών την [2022-01-01 00:00:00.000, 2022-02-17 23:59:59.999]</w:t>
      </w:r>
    </w:p>
    <w:p>
      <w:pPr>
        <w:pStyle w:val="ListBullet"/>
      </w:pPr>
      <w:r>
        <w:t>DATE=2022-03-31</w:t>
      </w:r>
      <w:r>
        <w:t xml:space="preserve"> και </w:t>
      </w:r>
      <w:r>
        <w:t>FREQUENCY=Q</w:t>
      </w:r>
      <w:r>
        <w:t xml:space="preserve"> ορίζουν ως κλειστή περίοδο αναφοράς που ισχύουν οι τιμές των μεταβλητών ροών την [2022-01-01 00:00:00.000, 2022-03-31 23:59:59.999]</w:t>
      </w:r>
    </w:p>
    <w:p>
      <w:pPr>
        <w:pStyle w:val="ListBullet"/>
      </w:pPr>
      <w:r>
        <w:t>DATE=2022-02-17</w:t>
      </w:r>
      <w:r>
        <w:t xml:space="preserve"> και </w:t>
      </w:r>
      <w:r>
        <w:t>FREQUENCY=Q</w:t>
      </w:r>
      <w:r>
        <w:t xml:space="preserve"> ορίζουν ως κλειστή περίοδο αναφοράς που ισχύουν οι τιμές των μεταβλητών ροών την [2022-01-01 00:00:00.000, 2022-02-17 23:59:59.999]</w:t>
      </w:r>
    </w:p>
    <w:p>
      <w:pPr>
        <w:pStyle w:val="ListBullet"/>
      </w:pPr>
      <w:r>
        <w:t>DATE=2022-06-30</w:t>
      </w:r>
      <w:r>
        <w:t xml:space="preserve"> και </w:t>
      </w:r>
      <w:r>
        <w:t>FREQUENCY=S</w:t>
      </w:r>
      <w:r>
        <w:t xml:space="preserve"> ορίζουν ως κλειστή περίοδο αναφοράς που ισχύουν οι τιμές των μεταβλητών ροών την [2022-01-01 00:00:00.000, 2022-06-30 23:59:59.999]</w:t>
      </w:r>
    </w:p>
    <w:p>
      <w:pPr>
        <w:pStyle w:val="ListBullet"/>
      </w:pPr>
      <w:r>
        <w:t>DATE=2022-04-17</w:t>
      </w:r>
      <w:r>
        <w:t xml:space="preserve"> και </w:t>
      </w:r>
      <w:r>
        <w:t>FREQUENCY=S</w:t>
      </w:r>
      <w:r>
        <w:t xml:space="preserve"> ορίζουν ως κλειστή περίοδο αναφοράς που ισχύουν οι τιμές των μεταβλητών ροών την [2022-01-01 00:00:00.000, 2022-04-17 23:59:59.999]</w:t>
      </w:r>
    </w:p>
    <w:p>
      <w:pPr>
        <w:pStyle w:val="ListBullet"/>
      </w:pPr>
      <w:r>
        <w:t>DATE=2022-12-31</w:t>
      </w:r>
      <w:r>
        <w:t xml:space="preserve"> και </w:t>
      </w:r>
      <w:r>
        <w:t>FREQUENCY=A</w:t>
      </w:r>
      <w:r>
        <w:t xml:space="preserve"> ορίζουν ως κλειστή περίοδο αναφοράς που ισχύουν οι τιμές των μεταβλητών ροών την [2022-01-01 00:00:00.000, 2022-12-31 23:59:59.999]</w:t>
      </w:r>
    </w:p>
    <w:p>
      <w:pPr>
        <w:pStyle w:val="ListBullet"/>
      </w:pPr>
      <w:r>
        <w:t>DATE=2022-09-17</w:t>
      </w:r>
      <w:r>
        <w:t xml:space="preserve"> και </w:t>
      </w:r>
      <w:r>
        <w:t>FREQUENCY=A</w:t>
      </w:r>
      <w:r>
        <w:t xml:space="preserve"> ορίζουν ως κλειστή περίοδο αναφοράς που ισχύουν οι τιμές των μεταβλητών ροών την [2022-01-01 00:00:00.000, 2022-09-17 23:59:59.999]</w:t>
      </w:r>
    </w:p>
    <w:p>
      <w:pPr>
        <w:pStyle w:val="Heading2"/>
      </w:pPr>
      <w:r>
        <w:t>Συνδυασμός διαστάσεων VALID FROM και VALID TO</w:t>
      </w:r>
    </w:p>
    <w:p>
      <w:r>
        <w:t xml:space="preserve">Οι διαστάσεις </w:t>
      </w:r>
      <w:r>
        <w:t>VALID FROM</w:t>
      </w:r>
      <w:r>
        <w:t xml:space="preserve"> και </w:t>
      </w:r>
      <w: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t>VALID FROM=2022-01-10</w:t>
      </w:r>
      <w:r>
        <w:t xml:space="preserve"> και </w:t>
      </w:r>
      <w:r>
        <w:t>VALID TO=2022-02-17</w:t>
      </w:r>
      <w:r>
        <w:t xml:space="preserve"> τότε το διάστημα είναι το </w:t>
      </w:r>
      <w:r>
        <w:t>[2022-01-10 00:00:000, 2022-02-17 00:00:000)</w:t>
      </w:r>
      <w:r>
        <w:t>.</w:t>
      </w:r>
    </w:p>
    <w:p>
      <w:r>
        <w:t xml:space="preserve">Σε περίπτωση που η τιμή της διάστασης </w:t>
      </w:r>
      <w: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r>
        <w:t xml:space="preserve">Σε περίπτωση που η τιμή της διάστασης </w:t>
      </w:r>
      <w: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p>
      <w:pPr>
        <w:pStyle w:val="Heading2"/>
      </w:pPr>
      <w:r>
        <w:t>Αλληλοεπικαλυπτόμενες Παρατηρήσεις</w:t>
      </w:r>
    </w:p>
    <w:p>
      <w:pPr>
        <w:pStyle w:val="Heading3"/>
      </w:pPr>
      <w:r>
        <w:t>Περίπτωση Α</w:t>
      </w:r>
    </w:p>
    <w:p>
      <w:r>
        <w:t xml:space="preserve">Οι παρατηρήσεις ενός πίνακα που περιέχει τις διαστάσεις </w:t>
      </w:r>
      <w:r>
        <w:t>VALID FROM</w:t>
      </w:r>
      <w:r>
        <w:t xml:space="preserve"> και </w:t>
      </w:r>
      <w:r>
        <w:t>VALID TO</w:t>
      </w:r>
      <w:r>
        <w:t xml:space="preserve"> θεωρούνται αλληλοεπικαλυπτόμενες αν όλες οι τιμές των διαστάσεων εκτός των </w:t>
      </w:r>
      <w:r>
        <w:t>VALID FROM</w:t>
      </w:r>
      <w:r>
        <w:t xml:space="preserve"> και </w:t>
      </w:r>
      <w:r>
        <w:t>VALID TO</w:t>
      </w:r>
      <w:r>
        <w:t xml:space="preserve"> είναι οι ίδιες και τα χρονικά διαστήματα που ορίζονται από τις διαστάσεις </w:t>
      </w:r>
      <w:r>
        <w:t>VALID FROM</w:t>
      </w:r>
      <w:r>
        <w:t xml:space="preserve"> και </w:t>
      </w:r>
      <w: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p>
      <w:pPr>
        <w:pStyle w:val="Heading4"/>
      </w:pPr>
      <w:r>
        <w:t>Υποθετικό παράδειγμα</w:t>
      </w:r>
    </w:p>
    <w:p>
      <w:r>
        <w:t xml:space="preserve">Στο παρόν παράδειγμα οι διαστάσεις είναι οι: </w:t>
      </w:r>
      <w:r>
        <w:t>ID</w:t>
      </w:r>
      <w:r>
        <w:t xml:space="preserve">, </w:t>
      </w:r>
      <w:r>
        <w:t>VALID FROM</w:t>
      </w:r>
      <w:r>
        <w:t xml:space="preserve">, </w:t>
      </w:r>
      <w:r>
        <w:t>VALID TO</w:t>
      </w:r>
      <w:r>
        <w:t xml:space="preserve"> και οι μεταβλητές οι: </w:t>
      </w:r>
      <w:r>
        <w:t>NAME</w:t>
      </w:r>
      <w:r>
        <w:t xml:space="preserve">, </w:t>
      </w:r>
      <w:r>
        <w:t>SECTOR</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tc>
        <w:tc>
          <w:tcPr>
            <w:tcW w:type="dxa" w:w="1728"/>
          </w:tcPr>
          <w:p>
            <w:pPr>
              <w:ind w:left="0"/>
              <w:jc w:val="left"/>
            </w:pPr>
            <w:r>
              <w:t>FOO</w:t>
            </w:r>
          </w:p>
        </w:tc>
        <w:tc>
          <w:tcPr>
            <w:tcW w:type="dxa" w:w="1728"/>
          </w:tcPr>
          <w:p>
            <w:pPr>
              <w:ind w:left="0"/>
              <w:jc w:val="left"/>
            </w:pPr>
            <w:r>
              <w:t>S11</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tc>
        <w:tc>
          <w:tcPr>
            <w:tcW w:type="dxa" w:w="1728"/>
          </w:tcPr>
          <w:p>
            <w:pPr>
              <w:ind w:left="0"/>
              <w:jc w:val="left"/>
            </w:pPr>
            <w:r>
              <w:t>FOO PLC</w:t>
            </w:r>
          </w:p>
        </w:tc>
        <w:tc>
          <w:tcPr>
            <w:tcW w:type="dxa" w:w="1728"/>
          </w:tcPr>
          <w:p/>
        </w:tc>
      </w:tr>
      <w:tr>
        <w:tc>
          <w:tcPr>
            <w:tcW w:type="dxa" w:w="1728"/>
          </w:tcPr>
          <w:p>
            <w:pPr>
              <w:ind w:left="0"/>
              <w:jc w:val="left"/>
            </w:pPr>
            <w:r>
              <w:t>EGRFOO</w:t>
            </w:r>
          </w:p>
        </w:tc>
        <w:tc>
          <w:tcPr>
            <w:tcW w:type="dxa" w:w="1728"/>
          </w:tcPr>
          <w:p>
            <w:pPr>
              <w:ind w:left="0"/>
              <w:jc w:val="left"/>
            </w:pPr>
            <w:r>
              <w:t>2000-01-01</w:t>
            </w:r>
          </w:p>
        </w:tc>
        <w:tc>
          <w:tcPr>
            <w:tcW w:type="dxa" w:w="1728"/>
          </w:tcPr>
          <w:p>
            <w:pPr>
              <w:ind w:left="0"/>
              <w:jc w:val="left"/>
            </w:pPr>
            <w:r>
              <w:t>2010-11-24</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EGRFOO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Μεταμόρφωση υποβολής σε μη αλληλοεπικαλυπτόμενες παρατηρήσεις:</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tc>
      </w:tr>
      <w:tr>
        <w:tc>
          <w:tcPr>
            <w:tcW w:type="dxa" w:w="1728"/>
          </w:tcPr>
          <w:p>
            <w:pPr>
              <w:ind w:left="0"/>
              <w:jc w:val="left"/>
            </w:pPr>
            <w:r>
              <w:t>EGRFOO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EGRFOO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VALID FROM</w:t>
            </w:r>
          </w:p>
        </w:tc>
        <w:tc>
          <w:tcPr>
            <w:tcW w:type="dxa" w:w="1728"/>
          </w:tcPr>
          <w:p>
            <w:pPr>
              <w:ind w:left="0"/>
              <w:jc w:val="left"/>
            </w:pPr>
            <w:r>
              <w:t>VALID TO</w:t>
            </w:r>
          </w:p>
        </w:tc>
        <w:tc>
          <w:tcPr>
            <w:tcW w:type="dxa" w:w="1728"/>
          </w:tcPr>
          <w:p>
            <w:pPr>
              <w:ind w:left="0"/>
              <w:jc w:val="left"/>
            </w:pPr>
            <w:r>
              <w:t>NAME</w:t>
            </w:r>
          </w:p>
        </w:tc>
        <w:tc>
          <w:tcPr>
            <w:tcW w:type="dxa" w:w="1728"/>
          </w:tcPr>
          <w:p>
            <w:pPr>
              <w:ind w:left="0"/>
              <w:jc w:val="left"/>
            </w:pPr>
            <w:r>
              <w:t>SECTOR</w:t>
            </w:r>
          </w:p>
        </w:tc>
      </w:tr>
      <w:tr>
        <w:tc>
          <w:tcPr>
            <w:tcW w:type="dxa" w:w="1728"/>
          </w:tcPr>
          <w:p>
            <w:pPr>
              <w:ind w:left="0"/>
              <w:jc w:val="left"/>
            </w:pPr>
            <w:r>
              <w:t>EGRFOO</w:t>
            </w:r>
          </w:p>
        </w:tc>
        <w:tc>
          <w:tcPr>
            <w:tcW w:type="dxa" w:w="1728"/>
          </w:tcPr>
          <w:p/>
        </w:tc>
        <w:tc>
          <w:tcPr>
            <w:tcW w:type="dxa" w:w="1728"/>
          </w:tcPr>
          <w:p>
            <w:pPr>
              <w:ind w:left="0"/>
              <w:jc w:val="left"/>
            </w:pPr>
            <w:r>
              <w:t>2000-01-01</w:t>
            </w:r>
          </w:p>
        </w:tc>
        <w:tc>
          <w:tcPr>
            <w:tcW w:type="dxa" w:w="1728"/>
          </w:tcPr>
          <w:p>
            <w:pPr>
              <w:ind w:left="0"/>
              <w:jc w:val="left"/>
            </w:pPr>
            <w:r>
              <w:t>FOO PLC</w:t>
            </w:r>
          </w:p>
        </w:tc>
        <w:tc>
          <w:tcPr>
            <w:tcW w:type="dxa" w:w="1728"/>
          </w:tcPr>
          <w:p>
            <w:pPr>
              <w:ind w:left="0"/>
              <w:jc w:val="left"/>
            </w:pPr>
            <w:r>
              <w:t>S11</w:t>
            </w:r>
          </w:p>
        </w:tc>
      </w:tr>
      <w:tr>
        <w:tc>
          <w:tcPr>
            <w:tcW w:type="dxa" w:w="1728"/>
          </w:tcPr>
          <w:p>
            <w:pPr>
              <w:ind w:left="0"/>
              <w:jc w:val="left"/>
            </w:pPr>
            <w:r>
              <w:t>EGRFOO</w:t>
            </w:r>
          </w:p>
        </w:tc>
        <w:tc>
          <w:tcPr>
            <w:tcW w:type="dxa" w:w="1728"/>
          </w:tcPr>
          <w:p>
            <w:pPr>
              <w:ind w:left="0"/>
              <w:jc w:val="left"/>
            </w:pPr>
            <w:r>
              <w:t>2000-01-01</w:t>
            </w:r>
          </w:p>
        </w:tc>
        <w:tc>
          <w:tcPr>
            <w:tcW w:type="dxa" w:w="1728"/>
          </w:tcPr>
          <w:p>
            <w:pPr>
              <w:ind w:left="0"/>
              <w:jc w:val="left"/>
            </w:pPr>
            <w:r>
              <w:t>2009-01-25</w:t>
            </w:r>
          </w:p>
        </w:tc>
        <w:tc>
          <w:tcPr>
            <w:tcW w:type="dxa" w:w="1728"/>
          </w:tcPr>
          <w:p>
            <w:pPr>
              <w:ind w:left="0"/>
              <w:jc w:val="left"/>
            </w:pPr>
            <w:r>
              <w:t>FOO IC</w:t>
            </w:r>
          </w:p>
        </w:tc>
        <w:tc>
          <w:tcPr>
            <w:tcW w:type="dxa" w:w="1728"/>
          </w:tcPr>
          <w:p>
            <w:pPr>
              <w:ind w:left="0"/>
              <w:jc w:val="left"/>
            </w:pPr>
            <w:r>
              <w:t>S128</w:t>
            </w:r>
          </w:p>
        </w:tc>
      </w:tr>
      <w:tr>
        <w:tc>
          <w:tcPr>
            <w:tcW w:type="dxa" w:w="1728"/>
          </w:tcPr>
          <w:p>
            <w:pPr>
              <w:ind w:left="0"/>
              <w:jc w:val="left"/>
            </w:pPr>
            <w:r>
              <w:t>EGRFOO</w:t>
            </w:r>
          </w:p>
        </w:tc>
        <w:tc>
          <w:tcPr>
            <w:tcW w:type="dxa" w:w="1728"/>
          </w:tcPr>
          <w:p>
            <w:pPr>
              <w:ind w:left="0"/>
              <w:jc w:val="left"/>
            </w:pPr>
            <w:r>
              <w:t>2009-01-25</w:t>
            </w:r>
          </w:p>
        </w:tc>
        <w:tc>
          <w:tcPr>
            <w:tcW w:type="dxa" w:w="1728"/>
          </w:tcPr>
          <w:p/>
        </w:tc>
        <w:tc>
          <w:tcPr>
            <w:tcW w:type="dxa" w:w="1728"/>
          </w:tcPr>
          <w:p>
            <w:pPr>
              <w:ind w:left="0"/>
              <w:jc w:val="left"/>
            </w:pPr>
            <w:r>
              <w:t>FOO MFMC</w:t>
            </w:r>
          </w:p>
        </w:tc>
        <w:tc>
          <w:tcPr>
            <w:tcW w:type="dxa" w:w="1728"/>
          </w:tcPr>
          <w:p>
            <w:pPr>
              <w:ind w:left="0"/>
              <w:jc w:val="left"/>
            </w:pPr>
            <w:r>
              <w:t>S126</w:t>
            </w:r>
          </w:p>
        </w:tc>
      </w:tr>
    </w:tbl>
    <w:p/>
    <w:p>
      <w:pPr>
        <w:pStyle w:val="Heading3"/>
      </w:pPr>
      <w:r>
        <w:t>Περίπτωση Β</w:t>
      </w:r>
    </w:p>
    <w:p>
      <w:r>
        <w:t xml:space="preserve">Οι παρατηρήσεις ενός πίνακα που περιέχει τις διαστάσεις </w:t>
      </w:r>
      <w:r>
        <w:t>DATE</w:t>
      </w:r>
      <w:r>
        <w:t xml:space="preserve"> και </w:t>
      </w:r>
      <w:r>
        <w:t>FREQUENCY</w:t>
      </w:r>
      <w:r>
        <w:t xml:space="preserve"> θεωρούνται αλληλοεπικαλυπτόμενες αν όλες οι τιμές των διαστάσεων εκτός των </w:t>
      </w:r>
      <w:r>
        <w:t>DATE</w:t>
      </w:r>
      <w:r>
        <w:t xml:space="preserve"> και </w:t>
      </w:r>
      <w:r>
        <w:t>FREQUENCY</w:t>
      </w:r>
      <w:r>
        <w:t xml:space="preserve"> είναι οι ίδιες και τα χρονικά διαστήματα που ορίζονται από τις διαστάσεις </w:t>
      </w:r>
      <w:r>
        <w:t>DATE</w:t>
      </w:r>
      <w:r>
        <w:t xml:space="preserve"> και </w:t>
      </w:r>
      <w: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p>
      <w:pPr>
        <w:pStyle w:val="Heading4"/>
      </w:pPr>
      <w:r>
        <w:t>Υποθετικό παράδειγμα</w:t>
      </w:r>
    </w:p>
    <w:p>
      <w:r>
        <w:t xml:space="preserve">Στο παρόν παράδειγμα οι διαστάσεις είναι οι: </w:t>
      </w:r>
      <w:r>
        <w:t>ID</w:t>
      </w:r>
      <w:r>
        <w:t xml:space="preserve">, </w:t>
      </w:r>
      <w:r>
        <w:t>DATE</w:t>
      </w:r>
      <w:r>
        <w:t xml:space="preserve">, </w:t>
      </w:r>
      <w:r>
        <w:t>FREQUENCY</w:t>
      </w:r>
      <w:r>
        <w:t xml:space="preserve"> και οι μεταβλητές οι: </w:t>
      </w:r>
      <w:r>
        <w:t>PRICE</w:t>
      </w:r>
      <w:r>
        <w:t xml:space="preserve">, </w:t>
      </w:r>
      <w:r>
        <w:t>SUBSCRIPTIONS</w:t>
      </w:r>
      <w:r>
        <w:t>.</w:t>
      </w:r>
    </w:p>
    <w:p>
      <w:r>
        <w:t>Αρχική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500,000</w:t>
            </w:r>
          </w:p>
        </w:tc>
      </w:tr>
    </w:tbl>
    <w:p/>
    <w:p>
      <w:r>
        <w:t>Υποβολή αλληλοεπικαλυπτόμενων παρατηρήσεων:</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M</w:t>
            </w:r>
          </w:p>
        </w:tc>
        <w:tc>
          <w:tcPr>
            <w:tcW w:type="dxa" w:w="1728"/>
          </w:tcPr>
          <w:p>
            <w:pPr>
              <w:ind w:left="0"/>
              <w:jc w:val="left"/>
            </w:pPr>
            <w:r>
              <w:t>10.24</w:t>
            </w:r>
          </w:p>
        </w:tc>
        <w:tc>
          <w:tcPr>
            <w:tcW w:type="dxa" w:w="1728"/>
          </w:tcPr>
          <w:p>
            <w:pPr>
              <w:ind w:left="0"/>
              <w:jc w:val="left"/>
            </w:pPr>
            <w:r>
              <w:t>400,000</w:t>
            </w:r>
          </w:p>
        </w:tc>
      </w:tr>
    </w:tbl>
    <w:p/>
    <w:p>
      <w:r>
        <w:t>Μεταμόρφωση υποβολής σε μη αλληλοεπικαλυπτόμενη παρατηρήση: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r>
        <w:t>Τελική κατάσταση:</w:t>
      </w:r>
    </w:p>
    <w:tbl>
      <w:tblPr>
        <w:tblW w:type="auto" w:w="0"/>
        <w:tblLook w:firstColumn="1" w:firstRow="1" w:lastColumn="0" w:lastRow="0" w:noHBand="0" w:noVBand="1" w:val="04A0"/>
      </w:tblPr>
      <w:tblGrid>
        <w:gridCol w:w="1728"/>
        <w:gridCol w:w="1728"/>
        <w:gridCol w:w="1728"/>
        <w:gridCol w:w="1728"/>
        <w:gridCol w:w="1728"/>
      </w:tblGrid>
      <w:tr>
        <w:tc>
          <w:tcPr>
            <w:tcW w:type="dxa" w:w="1728"/>
          </w:tcPr>
          <w:p>
            <w:pPr>
              <w:ind w:left="0"/>
              <w:jc w:val="left"/>
            </w:pPr>
            <w:r>
              <w:t>ID</w:t>
            </w:r>
          </w:p>
        </w:tc>
        <w:tc>
          <w:tcPr>
            <w:tcW w:type="dxa" w:w="1728"/>
          </w:tcPr>
          <w:p>
            <w:pPr>
              <w:ind w:left="0"/>
              <w:jc w:val="left"/>
            </w:pPr>
            <w:r>
              <w:t>DATE</w:t>
            </w:r>
          </w:p>
        </w:tc>
        <w:tc>
          <w:tcPr>
            <w:tcW w:type="dxa" w:w="1728"/>
          </w:tcPr>
          <w:p>
            <w:pPr>
              <w:ind w:left="0"/>
              <w:jc w:val="left"/>
            </w:pPr>
            <w:r>
              <w:t>FREQUENCY</w:t>
            </w:r>
          </w:p>
        </w:tc>
        <w:tc>
          <w:tcPr>
            <w:tcW w:type="dxa" w:w="1728"/>
          </w:tcPr>
          <w:p>
            <w:pPr>
              <w:ind w:left="0"/>
              <w:jc w:val="left"/>
            </w:pPr>
            <w:r>
              <w:t>PRICE</w:t>
            </w:r>
          </w:p>
        </w:tc>
        <w:tc>
          <w:tcPr>
            <w:tcW w:type="dxa" w:w="1728"/>
          </w:tcPr>
          <w:p>
            <w:pPr>
              <w:ind w:left="0"/>
              <w:jc w:val="left"/>
            </w:pPr>
            <w:r>
              <w:t>SUBSCRIPTIONS</w:t>
            </w:r>
          </w:p>
        </w:tc>
      </w:tr>
      <w:tr>
        <w:tc>
          <w:tcPr>
            <w:tcW w:type="dxa" w:w="1728"/>
          </w:tcPr>
          <w:p>
            <w:pPr>
              <w:ind w:left="0"/>
              <w:jc w:val="left"/>
            </w:pPr>
            <w:r>
              <w:t>IGRF000000000</w:t>
            </w:r>
          </w:p>
        </w:tc>
        <w:tc>
          <w:tcPr>
            <w:tcW w:type="dxa" w:w="1728"/>
          </w:tcPr>
          <w:p>
            <w:pPr>
              <w:ind w:left="0"/>
              <w:jc w:val="left"/>
            </w:pPr>
            <w:r>
              <w:t>2022-03-31</w:t>
            </w:r>
          </w:p>
        </w:tc>
        <w:tc>
          <w:tcPr>
            <w:tcW w:type="dxa" w:w="1728"/>
          </w:tcPr>
          <w:p>
            <w:pPr>
              <w:ind w:left="0"/>
              <w:jc w:val="left"/>
            </w:pPr>
            <w:r>
              <w:t>Q</w:t>
            </w:r>
          </w:p>
        </w:tc>
        <w:tc>
          <w:tcPr>
            <w:tcW w:type="dxa" w:w="1728"/>
          </w:tcPr>
          <w:p>
            <w:pPr>
              <w:ind w:left="0"/>
              <w:jc w:val="left"/>
            </w:pPr>
            <w:r>
              <w:t>10.11</w:t>
            </w:r>
          </w:p>
        </w:tc>
        <w:tc>
          <w:tcPr>
            <w:tcW w:type="dxa" w:w="1728"/>
          </w:tcPr>
          <w:p>
            <w:pPr>
              <w:ind w:left="0"/>
              <w:jc w:val="left"/>
            </w:pPr>
            <w:r>
              <w:t>700,000</w:t>
            </w:r>
          </w:p>
        </w:tc>
      </w:tr>
    </w:tbl>
    <w:p/>
    <w:p>
      <w:pPr>
        <w:pStyle w:val="Heading2"/>
      </w:pPr>
      <w:r>
        <w:t>Παρόμοιες Παρατηρήσεις</w:t>
      </w:r>
    </w:p>
    <w:p>
      <w:r>
        <w:t xml:space="preserve">Οι παρατηρήσεις ενός πίνακα που δεν περιέχει τις διαστάσεις </w:t>
      </w:r>
      <w:r>
        <w:t>VALID FROM</w:t>
      </w:r>
      <w:r>
        <w:t xml:space="preserve"> και </w:t>
      </w:r>
      <w:r>
        <w:t>VALID TO</w:t>
      </w:r>
      <w:r>
        <w:t xml:space="preserve"> ή τις διαστάσεις </w:t>
      </w:r>
      <w:r>
        <w:t>DATE</w:t>
      </w:r>
      <w:r>
        <w:t xml:space="preserve"> και </w:t>
      </w:r>
      <w: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p>
      <w:pPr>
        <w:pStyle w:val="Heading3"/>
      </w:pPr>
      <w:r>
        <w:t>Υποθετικό παράδειγμα</w:t>
      </w:r>
    </w:p>
    <w:p>
      <w:r>
        <w:t xml:space="preserve">Στο παρόν παράδειγμα </w:t>
      </w:r>
      <w:r>
        <w:t>ID</w:t>
      </w:r>
      <w:r>
        <w:t xml:space="preserve"> είναι η διάσταση, και οι μεταβλητές είναι οι: </w:t>
      </w:r>
      <w:r>
        <w:t>BIRTH</w:t>
      </w:r>
      <w:r>
        <w:t xml:space="preserve">, </w:t>
      </w:r>
      <w:r>
        <w:t>CLOSE</w:t>
      </w:r>
      <w:r>
        <w:t xml:space="preserve">, </w:t>
      </w:r>
      <w:r>
        <w:t>COUNTRY OF BIRTH</w:t>
      </w:r>
      <w:r>
        <w:t>.</w:t>
      </w:r>
    </w:p>
    <w:p>
      <w:r>
        <w:t>Αρχική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1985-01-17</w:t>
            </w:r>
          </w:p>
        </w:tc>
        <w:tc>
          <w:tcPr>
            <w:tcW w:type="dxa" w:w="2160"/>
          </w:tcPr>
          <w:p/>
        </w:tc>
        <w:tc>
          <w:tcPr>
            <w:tcW w:type="dxa" w:w="2160"/>
          </w:tcPr>
          <w:p/>
        </w:tc>
      </w:tr>
    </w:tbl>
    <w:p/>
    <w:p>
      <w:r>
        <w:t>Υποβολή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1985-01-01</w:t>
            </w:r>
          </w:p>
        </w:tc>
        <w:tc>
          <w:tcPr>
            <w:tcW w:type="dxa" w:w="2160"/>
          </w:tcPr>
          <w:p>
            <w:pPr>
              <w:ind w:left="0"/>
              <w:jc w:val="left"/>
            </w:pPr>
            <w:r>
              <w:t>2022-09-21</w:t>
            </w:r>
          </w:p>
        </w:tc>
        <w:tc>
          <w:tcPr>
            <w:tcW w:type="dxa" w:w="2160"/>
          </w:tcPr>
          <w:p/>
        </w:tc>
      </w:tr>
      <w:tr>
        <w:tc>
          <w:tcPr>
            <w:tcW w:type="dxa" w:w="2160"/>
          </w:tcPr>
          <w:p>
            <w:pPr>
              <w:ind w:left="0"/>
              <w:jc w:val="left"/>
            </w:pPr>
            <w:r>
              <w:t>EGRFOO</w:t>
            </w:r>
          </w:p>
        </w:tc>
        <w:tc>
          <w:tcPr>
            <w:tcW w:type="dxa" w:w="2160"/>
          </w:tcPr>
          <w:p>
            <w:pPr>
              <w:ind w:left="0"/>
              <w:jc w:val="left"/>
            </w:pPr>
            <w:r>
              <w:t>1985-01-21</w:t>
            </w:r>
          </w:p>
        </w:tc>
        <w:tc>
          <w:tcPr>
            <w:tcW w:type="dxa" w:w="2160"/>
          </w:tcPr>
          <w:p/>
        </w:tc>
        <w:tc>
          <w:tcPr>
            <w:tcW w:type="dxa" w:w="2160"/>
          </w:tcPr>
          <w:p>
            <w:pPr>
              <w:ind w:left="0"/>
              <w:jc w:val="left"/>
            </w:pPr>
            <w:r>
              <w:t>GR</w:t>
            </w:r>
          </w:p>
        </w:tc>
      </w:tr>
    </w:tbl>
    <w:p/>
    <w:p>
      <w:r>
        <w:t>Μεταμόρφωση παρόμοιων παρατηρήσεων:</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r>
        <w:t>Τελική κατάσταση:</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ID</w:t>
            </w:r>
          </w:p>
        </w:tc>
        <w:tc>
          <w:tcPr>
            <w:tcW w:type="dxa" w:w="2160"/>
          </w:tcPr>
          <w:p>
            <w:pPr>
              <w:ind w:left="0"/>
              <w:jc w:val="left"/>
            </w:pPr>
            <w:r>
              <w:t>BIRTH</w:t>
            </w:r>
          </w:p>
        </w:tc>
        <w:tc>
          <w:tcPr>
            <w:tcW w:type="dxa" w:w="2160"/>
          </w:tcPr>
          <w:p>
            <w:pPr>
              <w:ind w:left="0"/>
              <w:jc w:val="left"/>
            </w:pPr>
            <w:r>
              <w:t>CLOSE</w:t>
            </w:r>
          </w:p>
        </w:tc>
        <w:tc>
          <w:tcPr>
            <w:tcW w:type="dxa" w:w="2160"/>
          </w:tcPr>
          <w:p>
            <w:pPr>
              <w:ind w:left="0"/>
              <w:jc w:val="left"/>
            </w:pPr>
            <w:r>
              <w:t>COUNTRY OF BIRTH</w:t>
            </w:r>
          </w:p>
        </w:tc>
      </w:tr>
      <w:tr>
        <w:tc>
          <w:tcPr>
            <w:tcW w:type="dxa" w:w="2160"/>
          </w:tcPr>
          <w:p>
            <w:pPr>
              <w:ind w:left="0"/>
              <w:jc w:val="left"/>
            </w:pPr>
            <w:r>
              <w:t>EGRFOO</w:t>
            </w:r>
          </w:p>
        </w:tc>
        <w:tc>
          <w:tcPr>
            <w:tcW w:type="dxa" w:w="2160"/>
          </w:tcPr>
          <w:p>
            <w:pPr>
              <w:ind w:left="0"/>
              <w:jc w:val="left"/>
            </w:pPr>
            <w:r>
              <w:t>1985-01-21</w:t>
            </w:r>
          </w:p>
        </w:tc>
        <w:tc>
          <w:tcPr>
            <w:tcW w:type="dxa" w:w="2160"/>
          </w:tcPr>
          <w:p>
            <w:pPr>
              <w:ind w:left="0"/>
              <w:jc w:val="left"/>
            </w:pPr>
            <w:r>
              <w:t>2022-09-21</w:t>
            </w:r>
          </w:p>
        </w:tc>
        <w:tc>
          <w:tcPr>
            <w:tcW w:type="dxa" w:w="2160"/>
          </w:tcPr>
          <w:p>
            <w:pPr>
              <w:ind w:left="0"/>
              <w:jc w:val="left"/>
            </w:pPr>
            <w:r>
              <w:t>GR</w:t>
            </w:r>
          </w:p>
        </w:tc>
      </w:tr>
    </w:tbl>
    <w:p/>
    <w:p>
      <w:pPr>
        <w:pStyle w:val="Heading1"/>
      </w:pPr>
      <w:r>
        <w:t>Κατηγορίες Δεδομένων</w:t>
      </w:r>
    </w:p>
    <w:tbl>
      <w:tblPr>
        <w:tblW w:type="auto" w:w="0"/>
        <w:tblLook w:firstColumn="1" w:firstRow="1" w:lastColumn="0" w:lastRow="0" w:noHBand="0" w:noVBand="1" w:val="04A0"/>
      </w:tblPr>
      <w:tblGrid>
        <w:gridCol w:w="8640"/>
      </w:tblGrid>
      <w:tr>
        <w:tc>
          <w:tcPr>
            <w:tcW w:type="dxa" w:w="8640"/>
          </w:tcPr>
          <w:p>
            <w:pPr>
              <w:ind w:left="0"/>
              <w:jc w:val="left"/>
            </w:pPr>
            <w:r>
              <w:t>Κατηγορία</w:t>
            </w:r>
          </w:p>
        </w:tc>
      </w:tr>
      <w:tr>
        <w:tc>
          <w:tcPr>
            <w:tcW w:type="dxa" w:w="8640"/>
          </w:tcPr>
          <w:p>
            <w:pPr>
              <w:ind w:left="0"/>
              <w:jc w:val="left"/>
            </w:pPr>
            <w:r>
              <w:t>SELF_INFO (SI)</w:t>
            </w:r>
          </w:p>
        </w:tc>
      </w:tr>
      <w:tr>
        <w:tc>
          <w:tcPr>
            <w:tcW w:type="dxa" w:w="8640"/>
          </w:tcPr>
          <w:p>
            <w:pPr>
              <w:ind w:left="0"/>
              <w:jc w:val="left"/>
            </w:pPr>
            <w:r>
              <w:t>SELF_KEY (SK)</w:t>
            </w:r>
          </w:p>
        </w:tc>
      </w:tr>
      <w:tr>
        <w:tc>
          <w:tcPr>
            <w:tcW w:type="dxa" w:w="8640"/>
          </w:tcPr>
          <w:p>
            <w:pPr>
              <w:ind w:left="0"/>
              <w:jc w:val="left"/>
            </w:pPr>
            <w:r>
              <w:t>OTHER_INFO (OI)</w:t>
            </w:r>
          </w:p>
        </w:tc>
      </w:tr>
      <w:tr>
        <w:tc>
          <w:tcPr>
            <w:tcW w:type="dxa" w:w="8640"/>
          </w:tcPr>
          <w:p>
            <w:pPr>
              <w:ind w:left="0"/>
              <w:jc w:val="left"/>
            </w:pPr>
            <w:r>
              <w:t>OTHER_KEY (OK)</w:t>
            </w:r>
          </w:p>
        </w:tc>
      </w:tr>
      <w:tr>
        <w:tc>
          <w:tcPr>
            <w:tcW w:type="dxa" w:w="8640"/>
          </w:tcPr>
          <w:p>
            <w:pPr>
              <w:ind w:left="0"/>
              <w:jc w:val="left"/>
            </w:pPr>
            <w:r>
              <w:t>BSI (BSI)</w:t>
            </w:r>
          </w:p>
        </w:tc>
      </w:tr>
      <w:tr>
        <w:tc>
          <w:tcPr>
            <w:tcW w:type="dxa" w:w="8640"/>
          </w:tcPr>
          <w:p>
            <w:pPr>
              <w:ind w:left="0"/>
              <w:jc w:val="left"/>
            </w:pPr>
            <w:r>
              <w:t>INCOME (INC)</w:t>
            </w:r>
          </w:p>
        </w:tc>
      </w:tr>
    </w:tbl>
    <w:p/>
    <w:p>
      <w:r>
        <w:t xml:space="preserve">Για κάθε από τις έξι κατηγορίες δεδομένων του </w:t>
      </w:r>
      <w:r>
        <w:t>IFDat</w:t>
      </w:r>
      <w:r>
        <w:t xml:space="preserve"> ο παραπάνω πίνακας παρέχει την ονομασία της κατηγορίας δεδομένων, το ακρώνυμο της κατηγορίας σε παρένθεση αλλά και σύνδεσμο με την ενότητα που περιγράφει τα ακόλουθα για κάθε πίνακα:</w:t>
      </w:r>
    </w:p>
    <w:p>
      <w:pPr>
        <w:pStyle w:val="ListBullet"/>
      </w:pPr>
      <w:r>
        <w:t>Διαστάσεις του πίνακα</w:t>
      </w:r>
    </w:p>
    <w:p>
      <w:pPr>
        <w:pStyle w:val="ListBullet"/>
      </w:pPr>
      <w:r>
        <w:t>Μεταβλητές του πίνακα</w:t>
      </w:r>
    </w:p>
    <w:p>
      <w:pPr>
        <w:pStyle w:val="ListBullet"/>
      </w:pPr>
      <w:r>
        <w:t xml:space="preserve">Τα χαρακτηριστικά της κάθε μεταβλητής του πίνακα σε περίπτωση που υπάρχει διαφοροποίηση σε σχέση με τις οδηγίες στο </w:t>
      </w:r>
      <w:r>
        <w:t>Γενικές Οδηγίες</w:t>
      </w:r>
      <w:r>
        <w:t>.</w:t>
      </w:r>
    </w:p>
    <w:p>
      <w:r>
        <w:t>Στον τίτλο της κάθε διάστασης, μεταβλητής και χαρακτηριστικού δίνεται η ονομασία καθώς και σε παρένθεση ο κωδικός της ονομασίας σε περίπτωση που διαφέρει από την ονομασία.</w:t>
      </w:r>
    </w:p>
    <w:p>
      <w:pPr>
        <w:pStyle w:val="Heading1"/>
      </w:pPr>
      <w:r>
        <w:t>SELF_INFO (SI): Πληροφοριακά στοιχεία ίδιου λογαριασμού</w:t>
      </w:r>
    </w:p>
    <w:p>
      <w:r>
        <w:t xml:space="preserve">Χρησιμοποιείται για την παροχή πληροφοριακών στοιχείων της </w:t>
      </w:r>
      <w:r>
        <w:t>ΠΜ</w:t>
      </w:r>
      <w:r>
        <w:t xml:space="preserve">, των χρηματοοικονομικών μέσων που έχει εκδώσει η </w:t>
      </w:r>
      <w:r>
        <w:t>ΠΜ</w:t>
      </w:r>
      <w:r>
        <w:t xml:space="preserve">, της διαχειρίστριας εταιρείας της </w:t>
      </w:r>
      <w:r>
        <w:t>ΠΜ</w:t>
      </w:r>
      <w:r>
        <w:t xml:space="preserve"> κατά περίπτωση,  της </w:t>
      </w:r>
      <w:r>
        <w:t>ΜΠΣ</w:t>
      </w:r>
      <w:r>
        <w:t xml:space="preserve"> σε περίπτωση που δεν είναι η ίδια με την </w:t>
      </w:r>
      <w:r>
        <w:t>ΠΜ</w:t>
      </w:r>
      <w:r>
        <w:t xml:space="preserve"> και των προσώπων επικοινωνίας που είναι υπεύθυνα για την παροχή των στοιχείων εκ μέρους της </w:t>
      </w:r>
      <w:r>
        <w:t>ΜΠΣ</w:t>
      </w:r>
      <w:r>
        <w:t>.</w:t>
      </w:r>
    </w:p>
    <w:p>
      <w:r>
        <w:t>Στις παρακάτω ενότητες περιγράφονται οι διαστάσεις και οι μεταβλητές του κάθε πίνακα.</w:t>
      </w:r>
    </w:p>
    <w:p>
      <w:pPr>
        <w:pStyle w:val="Heading2"/>
      </w:pPr>
      <w:r>
        <w:t>FUND</w:t>
      </w:r>
    </w:p>
    <w:p>
      <w:r>
        <w:t xml:space="preserve">Χρησιμοποιείται για την παροχή πληροφοριακών στοιχείων της </w:t>
      </w:r>
      <w:r>
        <w:t>ΠΜ</w:t>
      </w:r>
      <w:r>
        <w:t xml:space="preserve">.  Τα στοιχεία αυτά είτε ορίζονται μια φορά είτε παραμένουν σταθερά κατά τη  διάρκεια του κύκλου ζωής της </w:t>
      </w:r>
      <w:r>
        <w:t>ΠΜ</w:t>
      </w:r>
      <w:r>
        <w:t>.</w:t>
      </w:r>
    </w:p>
    <w:p>
      <w:pPr>
        <w:pStyle w:val="Heading3"/>
      </w:pPr>
      <w:r>
        <w:t>ΔΙΑΣΤΑΣΕΙΣ</w:t>
      </w:r>
    </w:p>
    <w:p>
      <w:pPr>
        <w:pStyle w:val="Heading3"/>
      </w:pPr>
      <w:r>
        <w:t>ΜΕΤΑΒΛΗΤΕΣ</w:t>
      </w:r>
    </w:p>
    <w:p>
      <w:pPr>
        <w:pStyle w:val="Heading2"/>
      </w:pPr>
      <w:r>
        <w:t>STATIC_FUND</w:t>
      </w:r>
    </w:p>
    <w:p>
      <w:r>
        <w:t xml:space="preserve">Χρησιμοποιείται για την παροχή πληροφοριακών στοιχείων της </w:t>
      </w:r>
      <w:r>
        <w:t>ΠΜ</w:t>
      </w:r>
      <w:r>
        <w:t xml:space="preserve">. Τα στοιχεία αυτά δύναται μεταβληθούν κατά τη διάρκεια του κύκλου ζωής της </w:t>
      </w:r>
      <w:r>
        <w:t>ΠΜ</w:t>
      </w:r>
      <w:r>
        <w:t xml:space="preserve"> ·</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πληροφοριακών στοιχείων χρεογράφων που έχει εκδώσει η </w:t>
      </w:r>
      <w:r>
        <w:t>ΠΜ</w:t>
      </w:r>
      <w:r>
        <w:t>. Τα στοιχεία αυτά είτε ορίζονται μια φορά είτε παραμένουν σταθεϱά κατά τη διάρκεια του κύκλου ζωής του χρεογράφου.</w:t>
      </w:r>
    </w:p>
    <w:p>
      <w:pPr>
        <w:pStyle w:val="Heading3"/>
      </w:pPr>
      <w:r>
        <w:t>ΔΙΑΣΤΑΣΕΙΣ</w:t>
      </w:r>
    </w:p>
    <w:p>
      <w:pPr>
        <w:pStyle w:val="Heading3"/>
      </w:pPr>
      <w:r>
        <w:t>ΜΕΤΑΒΛΗΤΕΣ</w:t>
      </w:r>
    </w:p>
    <w:p>
      <w:pPr>
        <w:pStyle w:val="Heading2"/>
      </w:pPr>
      <w:r>
        <w:t>STATIC_DEBT</w:t>
      </w:r>
    </w:p>
    <w:p>
      <w:r>
        <w:t xml:space="preserve">Χρησιμοποιείται για την παροχή πληροφοριακών στοιχείων των χρεογράφων που έχει εκδώσει η </w:t>
      </w:r>
      <w:r>
        <w:t>ΠΜ</w:t>
      </w:r>
      <w:r>
        <w:t>. Τα στοιχεία αυτά δύναται να μεταβληθούν κατά τη διάρκεια του κύκλου ζωής του χρεογράφου.</w:t>
      </w:r>
    </w:p>
    <w:p>
      <w:pPr>
        <w:pStyle w:val="Heading3"/>
      </w:pPr>
      <w:r>
        <w:t>ΔΙΑΣΤΑΣΕΙΣ</w:t>
      </w:r>
    </w:p>
    <w:p>
      <w:pPr>
        <w:pStyle w:val="Heading3"/>
      </w:pPr>
      <w:r>
        <w:t>ΜΕΤΑΒΛΗΤΕΣ</w:t>
      </w:r>
    </w:p>
    <w:p>
      <w:pPr>
        <w:pStyle w:val="Heading2"/>
      </w:pPr>
      <w:r>
        <w:t>SHARE</w:t>
      </w:r>
    </w:p>
    <w:p>
      <w:r>
        <w:t xml:space="preserve">Χρησιμοποιείται για την παροχή πληροφοριακών στοιχείων των μετοχών/μεριδίων που έχει εκδώσει η </w:t>
      </w:r>
      <w:r>
        <w:t>ΠΜ</w:t>
      </w:r>
      <w:r>
        <w:t>. Τα στοιχεία αυτά είτε ορίζονται μια φορά είτε παραμένουν σταθεϱά κατά τη διάρκεια του κύκλου ζωής της μετοχής/μεριδίου.</w:t>
      </w:r>
    </w:p>
    <w:p>
      <w:pPr>
        <w:pStyle w:val="Heading3"/>
      </w:pPr>
      <w:r>
        <w:t>ΔΙΑΣΤΑΣΕΙΣ</w:t>
      </w:r>
    </w:p>
    <w:p>
      <w:pPr>
        <w:pStyle w:val="Heading3"/>
      </w:pPr>
      <w:r>
        <w:t>ΜΕΤΑΒΛΗΤΕΣ</w:t>
      </w:r>
    </w:p>
    <w:p>
      <w:pPr>
        <w:pStyle w:val="Heading2"/>
      </w:pPr>
      <w:r>
        <w:t>STATIC_SHARE</w:t>
      </w:r>
    </w:p>
    <w:p>
      <w:r>
        <w:t xml:space="preserve">Χρησιμοποιείται για την παροχή πληροφοριακών στοιχείων των μετοχών/μεριδίων που έχει εκδώσει η </w:t>
      </w:r>
      <w:r>
        <w:t>ΠΜ</w:t>
      </w:r>
      <w:r>
        <w:t>. Τα στοιχεία αυτά δύναται να μεταβληθούν κατά τη διάρκεια του κύκλου ζωής της μετοχής/μεριδίου.</w:t>
      </w:r>
    </w:p>
    <w:p>
      <w:pPr>
        <w:pStyle w:val="Heading3"/>
      </w:pPr>
      <w:r>
        <w:t>ΔΙΑΣΤΑΣΕΙΣ</w:t>
      </w:r>
    </w:p>
    <w:p>
      <w:pPr>
        <w:pStyle w:val="Heading3"/>
      </w:pPr>
      <w:r>
        <w:t>ΜΕΤΑΒΛΗΤΕΣ</w:t>
      </w:r>
    </w:p>
    <w:p>
      <w:pPr>
        <w:pStyle w:val="Heading2"/>
      </w:pPr>
      <w:r>
        <w:t>MANAGEMENT</w:t>
      </w:r>
    </w:p>
    <w:p>
      <w:r>
        <w:t xml:space="preserve">Χρησιμοποιείται για την παροχή πληροφοριακών στοιχείων της διαχειρίστριας εταιρείας σε περίπτωση που η </w:t>
      </w:r>
      <w:r>
        <w:t>ΠΜ</w:t>
      </w:r>
      <w:r>
        <w:t xml:space="preserve"> έχει διαχειρίστρια εταιρεία. Τα στοιχεία αυτά δύναται μεταβληθούν κατά τη διάρκεια του κύκλου ζωής της διαχειρίστριας εταιρείας.</w:t>
      </w:r>
    </w:p>
    <w:p>
      <w:pPr>
        <w:pStyle w:val="Heading3"/>
      </w:pPr>
      <w:r>
        <w:t>ΔΙΑΣΤΑΣΕΙΣ</w:t>
      </w:r>
    </w:p>
    <w:p>
      <w:pPr>
        <w:pStyle w:val="Heading3"/>
      </w:pPr>
      <w:r>
        <w:t>ΜΕΤΑΒΛΗΤΕΣ</w:t>
      </w:r>
    </w:p>
    <w:p>
      <w:pPr>
        <w:pStyle w:val="Heading2"/>
      </w:pPr>
      <w:r>
        <w:t>STATIC_MANAGEMNT</w:t>
      </w:r>
    </w:p>
    <w:p>
      <w:r>
        <w:t xml:space="preserve">Χρησιμοποιείται για την παροχή πληροφοριακών στοιχείων της </w:t>
      </w:r>
      <w:r>
        <w:t>ΠΜ</w:t>
      </w:r>
      <w:r>
        <w:t xml:space="preserve">. Τα στοιχεία αυτά δύναται μεταβληθούν κατά τη διάρκεια του κύκλου ζωής της </w:t>
      </w:r>
      <w:r>
        <w:t>ΠΜ</w:t>
      </w:r>
      <w:r>
        <w:t xml:space="preserve"> ·</w:t>
      </w:r>
    </w:p>
    <w:p>
      <w:pPr>
        <w:pStyle w:val="Heading3"/>
      </w:pPr>
      <w:r>
        <w:t>ΔΙΑΣΤΑΣΕΙΣ</w:t>
      </w:r>
    </w:p>
    <w:p>
      <w:pPr>
        <w:pStyle w:val="Heading3"/>
      </w:pPr>
      <w:r>
        <w:t>ΜΕΤΑΒΛΗΤΕΣ</w:t>
      </w:r>
    </w:p>
    <w:p>
      <w:pPr>
        <w:pStyle w:val="Heading2"/>
      </w:pPr>
      <w:r>
        <w:t>RA</w:t>
      </w:r>
    </w:p>
    <w:p>
      <w:r>
        <w:t xml:space="preserve">Χρησιμοποιείται για την παροχή πληροφοριακών στοιχείων της ``ΜΠΣ``.  Σε περίπτωση που η </w:t>
      </w:r>
      <w:r>
        <w:t>ΜΠΣ</w:t>
      </w:r>
      <w:r>
        <w:t xml:space="preserve"> είναι και η διαχειρίστρια εταιρεία ή η ίδια η </w:t>
      </w:r>
      <w:r>
        <w:t>ΠΜ</w:t>
      </w:r>
      <w:r>
        <w:t xml:space="preserve"> ο συγκεκριμένος πίνακας δεν χρειάζεται να συμπληρωθεί αφού παρόμοια στοιχεία αναγγέλλονται στους πίνακες FUND ή MANAGEMENT.  Τα στοιχεία αυτά είτε ορίζονται μια φορά είτε παραμένουν σταθερά κατά τη διάρκεια του κύκλου ζωής της </w:t>
      </w:r>
      <w:r>
        <w:t>ΜΠΣ</w:t>
      </w:r>
      <w:r>
        <w:t>.</w:t>
      </w:r>
    </w:p>
    <w:p>
      <w:pPr>
        <w:pStyle w:val="Heading3"/>
      </w:pPr>
      <w:r>
        <w:t>ΔΙΑΣΤΑΣΕΙΣ</w:t>
      </w:r>
    </w:p>
    <w:p>
      <w:pPr>
        <w:pStyle w:val="Heading3"/>
      </w:pPr>
      <w:r>
        <w:t>ΜΕΤΑΒΛΗΤΕΣ</w:t>
      </w:r>
    </w:p>
    <w:p>
      <w:pPr>
        <w:pStyle w:val="Heading2"/>
      </w:pPr>
      <w:r>
        <w:t>STATIC_RA</w:t>
      </w:r>
    </w:p>
    <w:p>
      <w:r>
        <w:t xml:space="preserve">Χρησιμοποιείται για την παροχή πληροφοριακών στοιχείων της ``ΜΠΣ``.  Σε περίπτωση που η </w:t>
      </w:r>
      <w:r>
        <w:t>ΜΠΣ</w:t>
      </w:r>
      <w:r>
        <w:t xml:space="preserve"> είναι και η διαχειρίστρια εταιρεία ή η ίδια η </w:t>
      </w:r>
      <w:r>
        <w:t>ΠΜ</w:t>
      </w:r>
      <w:r>
        <w:t xml:space="preserve"> ο συγκεκριμένος πίνακας δεν χρειάζεται να συμπληρωθεί αφού παρόμοια στοιχεία αναγγέλλονται στους πίνακες FUND ή MANAGEMENT.  Τα στοιχεία αυτά δύναται μεταβληθούν κατά τη διάρκεια του κύκλου ζωής της </w:t>
      </w:r>
      <w:r>
        <w:t>ΜΠΣ</w:t>
      </w:r>
      <w:r>
        <w:t>.</w:t>
      </w:r>
    </w:p>
    <w:p>
      <w:pPr>
        <w:pStyle w:val="Heading3"/>
      </w:pPr>
      <w:r>
        <w:t>ΔΙΑΣΤΑΣΕΙΣ</w:t>
      </w:r>
    </w:p>
    <w:p>
      <w:pPr>
        <w:pStyle w:val="Heading3"/>
      </w:pPr>
      <w:r>
        <w:t>ΜΕΤΑΒΛΗΤΕΣ</w:t>
      </w:r>
    </w:p>
    <w:p>
      <w:pPr>
        <w:pStyle w:val="Heading2"/>
      </w:pPr>
      <w:r>
        <w:t>CONTACT</w:t>
      </w:r>
    </w:p>
    <w:p>
      <w:r>
        <w:t xml:space="preserve">Χρησιμοποιείται για την παροχή πληροφοριακών στοιχείων των προσώπων επικοινωνίας που παρέχουν στοιχεία εκ μέρους της </w:t>
      </w:r>
      <w:r>
        <w:t>ΜΠΣ</w:t>
      </w:r>
      <w:r>
        <w:t>.</w:t>
      </w:r>
    </w:p>
    <w:p>
      <w:pPr>
        <w:pStyle w:val="Heading3"/>
      </w:pPr>
      <w:r>
        <w:t>ΔΙΑΣΤΑΣΕΙΣ</w:t>
      </w:r>
    </w:p>
    <w:p>
      <w:pPr>
        <w:pStyle w:val="Heading3"/>
      </w:pPr>
      <w:r>
        <w:t>ΜΕΤΑΒΛΗΤΕΣ</w:t>
      </w:r>
    </w:p>
    <w:p>
      <w:pPr>
        <w:pStyle w:val="Heading2"/>
      </w:pPr>
      <w:r>
        <w:t>CONTACT_TO_RA</w:t>
      </w:r>
    </w:p>
    <w:p>
      <w:r>
        <w:t xml:space="preserve">Χρησιμοποιείται για την παροχή πληροφοριακών στοιχείων σε σχέση με την εργασιακή σχέση μεταξύ του προσώπου επικοινωνίας και της </w:t>
      </w:r>
      <w:r>
        <w:t>ΜΠΣ</w:t>
      </w:r>
      <w:r>
        <w:t xml:space="preserve"> ·</w:t>
      </w:r>
    </w:p>
    <w:p>
      <w:pPr>
        <w:pStyle w:val="Heading3"/>
      </w:pPr>
      <w:r>
        <w:t>ΔΙΑΣΤΑΣΕΙΣ</w:t>
      </w:r>
    </w:p>
    <w:p>
      <w:pPr>
        <w:pStyle w:val="Heading3"/>
      </w:pPr>
      <w:r>
        <w:t>ΜΕΤΑΒΛΗΤΕΣ</w:t>
      </w:r>
    </w:p>
    <w:p>
      <w:pPr>
        <w:pStyle w:val="Heading1"/>
      </w:pPr>
      <w:r>
        <w:t>SELF_KEY (SK): Βασικά στοιχεία χρηματοοικονομικών μέσων ιδίου λογαριασμού</w:t>
      </w:r>
    </w:p>
    <w:p>
      <w:r>
        <w:t xml:space="preserve">Χρησιμοποιείται για την παροχή βασικών περιοδικών στοιχείων των μέσων που που έχει εκδώσει η </w:t>
      </w:r>
      <w:r>
        <w:t>ΠΜ</w:t>
      </w:r>
      <w:r>
        <w:t>.</w:t>
      </w:r>
    </w:p>
    <w:p>
      <w:r>
        <w:t>Στα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SHARE</w:t>
      </w:r>
    </w:p>
    <w:p>
      <w:r>
        <w:t xml:space="preserve">Χρησιμοποιείται για την παροχή περιοδικών στοιχείων των μετοχών/μεριδίων που που έχει εκδώσει η </w:t>
      </w:r>
      <w:r>
        <w:t>ΠΜ</w:t>
      </w:r>
      <w:r>
        <w:t>.</w:t>
      </w:r>
    </w:p>
    <w:p>
      <w:pPr>
        <w:pStyle w:val="Heading3"/>
      </w:pPr>
      <w:r>
        <w:t>ΔΙΑΣΤΑΣΕΙΣ</w:t>
      </w:r>
    </w:p>
    <w:p>
      <w:pPr>
        <w:pStyle w:val="Heading3"/>
      </w:pPr>
      <w:r>
        <w:t>ΜΕΤΑΒΛΗΤΕΣ</w:t>
      </w:r>
    </w:p>
    <w:p>
      <w:pPr>
        <w:pStyle w:val="Heading2"/>
      </w:pPr>
      <w:r>
        <w:t>DIVIDEND</w:t>
      </w:r>
    </w:p>
    <w:p>
      <w:r>
        <w:t xml:space="preserve">Χρησιμοποιείται για την παροχή μεταβλητών στοιχείων για τα μερίσματα των τίτλων που που έχει εκδώσει η </w:t>
      </w:r>
      <w:r>
        <w:t>ΠΜ</w:t>
      </w:r>
      <w:r>
        <w:t>.</w:t>
      </w:r>
    </w:p>
    <w:p>
      <w:pPr>
        <w:pStyle w:val="Heading3"/>
      </w:pPr>
      <w:r>
        <w:t>ΔΙΑΣΤΑΣΕΙΣ</w:t>
      </w:r>
    </w:p>
    <w:p>
      <w:pPr>
        <w:pStyle w:val="Heading3"/>
      </w:pPr>
      <w:r>
        <w:t>ΜΕΤΑΒΛΗΤΕΣ</w:t>
      </w:r>
    </w:p>
    <w:p>
      <w:pPr>
        <w:pStyle w:val="Heading2"/>
      </w:pPr>
      <w:r>
        <w:t>SPLIT</w:t>
      </w:r>
    </w:p>
    <w:p>
      <w:r>
        <w:t xml:space="preserve">Χρησιμοποιείται για την παροχή μεταβλητών στοιχείων για τις διασπάσεις και συμπτύξεις μετοχών/μεριδίων που που έχει εκδώσει η </w:t>
      </w:r>
      <w:r>
        <w:t>ΠΜ</w:t>
      </w:r>
      <w:r>
        <w:t xml:space="preserve"> ·</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περιοδικών στοιχείων των χρεογράφων που που έχει εκδώσει η </w:t>
      </w:r>
      <w:r>
        <w:t>ΠΜ</w:t>
      </w:r>
      <w:r>
        <w:t>.</w:t>
      </w:r>
    </w:p>
    <w:p>
      <w:pPr>
        <w:pStyle w:val="Heading3"/>
      </w:pPr>
      <w:r>
        <w:t>ΔΙΑΣΤΑΣΕΙΣ</w:t>
      </w:r>
    </w:p>
    <w:p>
      <w:pPr>
        <w:pStyle w:val="Heading3"/>
      </w:pPr>
      <w:r>
        <w:t>ΜΕΤΑΒΛΗΤΕΣ</w:t>
      </w:r>
    </w:p>
    <w:p>
      <w:pPr>
        <w:pStyle w:val="Heading2"/>
      </w:pPr>
      <w:r>
        <w:t>TRANCHE</w:t>
      </w:r>
    </w:p>
    <w:p>
      <w:r>
        <w:t xml:space="preserve">Χρησιμοποιείται για την παροχή στοιχείων εκδόσεων ομολόγων σε δόσεις της </w:t>
      </w:r>
      <w:r>
        <w:rPr>
          <w:b/>
        </w:rPr>
        <w:t>ΠΜ</w:t>
      </w:r>
      <w:r>
        <w:t>.</w:t>
      </w:r>
    </w:p>
    <w:p>
      <w:pPr>
        <w:pStyle w:val="Heading3"/>
      </w:pPr>
      <w:r>
        <w:t>ΔΙΑΣΤΑΣΕΙΣ</w:t>
      </w:r>
    </w:p>
    <w:p>
      <w:pPr>
        <w:pStyle w:val="Heading3"/>
      </w:pPr>
      <w:r>
        <w:t>ΜΕΤΑΒΛΗΤΕΣ</w:t>
      </w:r>
    </w:p>
    <w:p>
      <w:pPr>
        <w:pStyle w:val="Heading2"/>
      </w:pPr>
      <w:r>
        <w:t>REDEMPTION</w:t>
      </w:r>
    </w:p>
    <w:p>
      <w:r>
        <w:t xml:space="preserve">Χρησιμοποιείται για την παροχή στοιχείων μερικών εξοφλήσεων των χρεογράφων που έχει εκδώσει η </w:t>
      </w:r>
      <w:r>
        <w:rPr>
          <w:b/>
        </w:rPr>
        <w:t>ΠΜ</w:t>
      </w:r>
      <w:r>
        <w:t>.</w:t>
      </w:r>
    </w:p>
    <w:p>
      <w:pPr>
        <w:pStyle w:val="Heading3"/>
      </w:pPr>
      <w:r>
        <w:t>ΔΙΑΣΤΑΣΕΙΣ</w:t>
      </w:r>
    </w:p>
    <w:p>
      <w:pPr>
        <w:pStyle w:val="Heading3"/>
      </w:pPr>
      <w:r>
        <w:t>ΜΕΤΑΒΛΗΤΕΣ</w:t>
      </w:r>
    </w:p>
    <w:p>
      <w:pPr>
        <w:pStyle w:val="Heading2"/>
      </w:pPr>
      <w:r>
        <w:t>COUPON</w:t>
      </w:r>
    </w:p>
    <w:p>
      <w:r>
        <w:t xml:space="preserve">Χρησιμοποιείται για την παροχή μεταβλητών στοιχείων των τοκομεριδίων από χρεόγραφα που που έχει εκδώσει η </w:t>
      </w:r>
      <w:r>
        <w:t>ΠΜ</w:t>
      </w:r>
      <w:r>
        <w:t xml:space="preserve"> ·</w:t>
      </w:r>
    </w:p>
    <w:p>
      <w:pPr>
        <w:pStyle w:val="Heading3"/>
      </w:pPr>
      <w:r>
        <w:t>ΔΙΑΣΤΑΣΕΙΣ</w:t>
      </w:r>
    </w:p>
    <w:p>
      <w:pPr>
        <w:pStyle w:val="Heading3"/>
      </w:pPr>
      <w:r>
        <w:t>ΜΕΤΑΒΛΗΤΕΣ</w:t>
      </w:r>
    </w:p>
    <w:p>
      <w:pPr>
        <w:pStyle w:val="Heading1"/>
      </w:pPr>
      <w:r>
        <w:t>OTHER_INFO (OI): Λοιπά Πληροφοριακά Στοιχεία</w:t>
      </w:r>
    </w:p>
    <w:p>
      <w:r>
        <w:t>Χρησιμοποιείται για την παροχή πληροφοριακών στοιχείων σε σχέση με:</w:t>
      </w:r>
    </w:p>
    <w:p>
      <w:pPr>
        <w:pStyle w:val="ListBullet"/>
      </w:pPr>
      <w:r>
        <w:t xml:space="preserve">τα χρηματοοικονομικά περιουσιακά στοιχεία της </w:t>
      </w:r>
      <w:r>
        <w:t>ΠΜ</w:t>
      </w:r>
      <w:r>
        <w:t xml:space="preserve"> ·</w:t>
      </w:r>
    </w:p>
    <w:p>
      <w:pPr>
        <w:pStyle w:val="ListBullet"/>
      </w:pPr>
      <w:r>
        <w:t xml:space="preserve">των εκδοτών των χρηματοοικονομικών περιουσιακών στοιχείων της </w:t>
      </w:r>
      <w:r>
        <w:t>ΠΜ</w:t>
      </w:r>
      <w:r>
        <w:t xml:space="preserve"> ·</w:t>
      </w:r>
    </w:p>
    <w:p>
      <w:pPr>
        <w:pStyle w:val="ListBullet"/>
      </w:pPr>
      <w:r>
        <w:t xml:space="preserve">την ακίνητη περιουσία της </w:t>
      </w:r>
      <w:r>
        <w:t>ΠΜ</w:t>
      </w:r>
      <w:r>
        <w:t xml:space="preserve"> ·</w:t>
      </w:r>
    </w:p>
    <w:p>
      <w:pPr>
        <w:pStyle w:val="ListBullet"/>
      </w:pPr>
      <w:r>
        <w:t xml:space="preserve">τους κατόχους των μετοχών/μεριδίων/ομολόγων που η </w:t>
      </w:r>
      <w:r>
        <w:t>ΠΜ</w:t>
      </w:r>
      <w:r>
        <w:t xml:space="preserve"> έχει εκδώσει.</w:t>
      </w:r>
    </w:p>
    <w:p>
      <w:r>
        <w:t>Στις παρακάτω ενότητες περιγράφονται οι μεταβλητές του κάθε πίνακα:</w:t>
      </w:r>
    </w:p>
    <w:p>
      <w:pPr>
        <w:pStyle w:val="Heading2"/>
      </w:pPr>
      <w:r>
        <w:t>ISSUER</w:t>
      </w:r>
    </w:p>
    <w:p>
      <w:r>
        <w:t xml:space="preserve">Χρησιμοποιείται για την παροχή πληροφοριακών στοιχείων των εκδοτών των χρηματοοικονομικών περιουσιακών στοιχείων που κατέχει η </w:t>
      </w:r>
      <w:r>
        <w:t>ΠΜ</w:t>
      </w:r>
      <w:r>
        <w:t xml:space="preserve">. Τα στοιχεία αυτά είτε ορίζονται μια φορά είτε παραμένουν σταθεϱά κατά τη διάρκεια του κύκλου ζωής του εκδότη.  Σε περίπτωση που τα στοιχεία ενός εκδότη έχουν ήδη αναγγελθεί και στο </w:t>
      </w:r>
      <w:r>
        <w:t>SELF_INFO (SI): Πληροφοριακά στοιχεία ίδιου λογαριασμού</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STATIC_ISSUER</w:t>
      </w:r>
    </w:p>
    <w:p>
      <w:r>
        <w:t xml:space="preserve">Χρησιμοποιείται για την παροχή πληροφοριακών στοιχείων των εκδοτών των χρηματοοικονομικών περιουσιακών στοιχείων που κατέχει η </w:t>
      </w:r>
      <w:r>
        <w:t>ΠΜ</w:t>
      </w:r>
      <w:r>
        <w:t xml:space="preserve">. Τα στοιχεία αυτά δύναται να μεταβληθούν κατά τη διάρκεια του κύκλου ζωής του εκδότη.  Σε περίπτωση που τα στοιχεία ενός εκδότη έχουν ήδη αναγγελθεί και στο </w:t>
      </w:r>
      <w:r>
        <w:t>SELF_INFO (SI): Πληροφοριακά στοιχεία ίδιου λογαριασμού</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HOLDER</w:t>
      </w:r>
    </w:p>
    <w:p>
      <w:r>
        <w:t xml:space="preserve">Χρησιμοποιείται για την παροχή πληροφοριακών στοιχείων των κατόχων των μετοχών/μεριδίων/ομολόγων που έχει εκδώσει η  </w:t>
      </w:r>
      <w:r>
        <w:t>ΠΜ</w:t>
      </w:r>
      <w:r>
        <w:t xml:space="preserve">. Τα στοιχεία αυτά είτε ορίζονται μια φορά είτε παραμένουν σταθεϱά κατά τη διάρκεια του κύκλου ζωής του κατόχου.  Σε περίπτωση που τα στοιχεία ενός κατόχου έχουν ήδη αναγγελθεί και στο </w:t>
      </w:r>
      <w:r>
        <w:t>SELF_INFO (SI): Πληροφοριακά στοιχεία ίδιου λογαριασμού</w:t>
      </w:r>
      <w:r>
        <w:t xml:space="preserve"> ή στο </w:t>
      </w:r>
      <w:r>
        <w:t>ISSUER</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STATIC_HOLDER</w:t>
      </w:r>
    </w:p>
    <w:p>
      <w:r>
        <w:t xml:space="preserve">Χρησιμοποιείται για την παροχή πληροφοριακών στοιχείων των κατόχων των μετοχών/μεριδίων/ομολόγων που έχει εκδώσει η </w:t>
      </w:r>
      <w:r>
        <w:t>ΠΜ</w:t>
      </w:r>
      <w:r>
        <w:t xml:space="preserve">. Τα στοιχεία αυτά δύναται να μεταβληθούν κατά τη διάρκεια του κύκλου ζωής του κατόχου.  Σε περίπτωση που τα στοιχεία ενός κατόχου έχουν ήδη αναγγελθεί και στο </w:t>
      </w:r>
      <w:r>
        <w:t>SELF_INFO (SI): Πληροφοριακά στοιχεία ίδιου λογαριασμού</w:t>
      </w:r>
      <w:r>
        <w:t xml:space="preserve"> ή στο </w:t>
      </w:r>
      <w:r>
        <w:t>STATIC_ISSUER</w:t>
      </w:r>
      <w:r>
        <w:t xml:space="preserve">  δεν χρειάζεται να υποβληθούν εκ νέου εδώ.</w:t>
      </w:r>
    </w:p>
    <w:p>
      <w:pPr>
        <w:pStyle w:val="Heading3"/>
      </w:pPr>
      <w:r>
        <w:t>ΔΙΑΣΤΑΣΕΙΣ</w:t>
      </w:r>
    </w:p>
    <w:p>
      <w:pPr>
        <w:pStyle w:val="Heading3"/>
      </w:pPr>
      <w:r>
        <w:t>ΜΕΤΑΒΛΗΤΕΣ</w:t>
      </w:r>
    </w:p>
    <w:p>
      <w:pPr>
        <w:pStyle w:val="Heading2"/>
      </w:pPr>
      <w:r>
        <w:t>DEPOSIT</w:t>
      </w:r>
    </w:p>
    <w:p>
      <w:r>
        <w:t xml:space="preserve">Χρησιμοποιείται για την παροχή πληροφοριακών στοιχείων των καταθετικών λογαριασμών που κατέχει η </w:t>
      </w:r>
      <w:r>
        <w:t>ΠΜ</w:t>
      </w:r>
      <w:r>
        <w:t>. Τα στοιχεία αυτά είτε ορίζονται μια φορά είτε παραμένουν σταθεϱά κατά τη διάρκεια του κύκλου ζωής του καταθετικού λογαριασμού.</w:t>
      </w:r>
    </w:p>
    <w:p>
      <w:pPr>
        <w:pStyle w:val="Heading3"/>
      </w:pPr>
      <w:r>
        <w:t>ΔΙΑΣΤΑΣΕΙΣ</w:t>
      </w:r>
    </w:p>
    <w:p>
      <w:pPr>
        <w:pStyle w:val="Heading3"/>
      </w:pPr>
      <w:r>
        <w:t>ΜΕΤΑΒΛΗΤΕΣ</w:t>
      </w:r>
    </w:p>
    <w:p>
      <w:pPr>
        <w:pStyle w:val="Heading2"/>
      </w:pPr>
      <w:r>
        <w:t>STATIC_DEPOSIT</w:t>
      </w:r>
    </w:p>
    <w:p>
      <w:r>
        <w:t xml:space="preserve">Χρησιμοποιείται για την παροχή πληροφοριακών στοιχείων των καταθετικών λογαριασμών που κατέχει η </w:t>
      </w:r>
      <w:r>
        <w:t>ΠΜ</w:t>
      </w:r>
      <w:r>
        <w:t>. Τα στοιχεία αυτά δύναται να μεταβληθούν κατά τη διάρκεια του κύκλου ζωής του καταθετικού λογαριασμού.</w:t>
      </w:r>
    </w:p>
    <w:p>
      <w:pPr>
        <w:pStyle w:val="Heading3"/>
      </w:pPr>
      <w:r>
        <w:t>ΔΙΑΣΤΑΣΕΙΣ</w:t>
      </w:r>
    </w:p>
    <w:p>
      <w:pPr>
        <w:pStyle w:val="Heading3"/>
      </w:pPr>
      <w:r>
        <w:t>ΜΕΤΑΒΛΗΤΕΣ</w:t>
      </w:r>
    </w:p>
    <w:p>
      <w:pPr>
        <w:pStyle w:val="Heading2"/>
      </w:pPr>
      <w:r>
        <w:t>SFT</w:t>
      </w:r>
    </w:p>
    <w:p>
      <w:r>
        <w:t xml:space="preserve">Χρησιμοποιείται για την παροχή πληροφοριακών στοιχείων πράξεων χρηματοδότησης χρεογράφων που συναλλάσσεται η </w:t>
      </w:r>
      <w:r>
        <w:t>ΠΜ</w:t>
      </w:r>
      <w:r>
        <w:t>. Τα στοιχεία αυτά είτε ορίζονται μια φορά είτε παραμένουν σταθεϱά κατά τη διάρκεια του κύκλου ζωής των πράξεων.</w:t>
      </w:r>
    </w:p>
    <w:p>
      <w:pPr>
        <w:pStyle w:val="Heading3"/>
      </w:pPr>
      <w:r>
        <w:t>ΔΙΑΣΤΑΣΕΙΣ</w:t>
      </w:r>
    </w:p>
    <w:p>
      <w:pPr>
        <w:pStyle w:val="Heading3"/>
      </w:pPr>
      <w:r>
        <w:t>ΜΕΤΑΒΛΗΤΕΣ</w:t>
      </w:r>
    </w:p>
    <w:p>
      <w:pPr>
        <w:pStyle w:val="Heading2"/>
      </w:pPr>
      <w:r>
        <w:t>STATIC_SFT</w:t>
      </w:r>
    </w:p>
    <w:p>
      <w:r>
        <w:t xml:space="preserve">Χρησιμοποιείται για την παροχή πληροφοριακών στοιχείων πράξεων χρηματοδότησης χρεογράφων που συναλλάσσεται η </w:t>
      </w:r>
      <w:r>
        <w:t>ΠΜ</w:t>
      </w:r>
      <w:r>
        <w:t>. Τα στοιχεία αυτά δύναται να μεταβληθούν κατά τη διάρκεια του κύκλου ζωής των πράξεων.</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πληροφοριακών στοιχείων χρεογράφων  που κατέχει η </w:t>
      </w:r>
      <w:r>
        <w:t>ΠΜ</w:t>
      </w:r>
      <w:r>
        <w:t>. Τα στοιχεία αυτά είτε ορίζονται μια φορά είτε παραμένουν σταθεϱά κατά τη διάρκεια του κύκλου ζωής του χρεογράφου.</w:t>
      </w:r>
    </w:p>
    <w:p>
      <w:pPr>
        <w:pStyle w:val="Heading3"/>
      </w:pPr>
      <w:r>
        <w:t>ΔΙΑΣΤΑΣΕΙΣ</w:t>
      </w:r>
    </w:p>
    <w:p>
      <w:pPr>
        <w:pStyle w:val="Heading3"/>
      </w:pPr>
      <w:r>
        <w:t>ΜΕΤΑΒΛΗΤΕΣ</w:t>
      </w:r>
    </w:p>
    <w:p>
      <w:pPr>
        <w:pStyle w:val="Heading2"/>
      </w:pPr>
      <w:r>
        <w:t>STATIC_DEBT</w:t>
      </w:r>
    </w:p>
    <w:p>
      <w:r>
        <w:t xml:space="preserve">Χρησιμοποιείται για την παροχή πληροφοριακών στοιχείων χρεογράφων  που κατέχει η </w:t>
      </w:r>
      <w:r>
        <w:t>ΠΜ</w:t>
      </w:r>
      <w:r>
        <w:t>. Τα στοιχεία αυτά δύναται να μεταβληθούν κατά τη διάρκεια του κύκλου ζωής του χρεογράφου.</w:t>
      </w:r>
    </w:p>
    <w:p>
      <w:pPr>
        <w:pStyle w:val="Heading3"/>
      </w:pPr>
      <w:r>
        <w:t>ΔΙΑΣΤΑΣΕΙΣ</w:t>
      </w:r>
    </w:p>
    <w:p>
      <w:pPr>
        <w:pStyle w:val="Heading3"/>
      </w:pPr>
      <w:r>
        <w:t>ΜΕΤΑΒΛΗΤΕΣ</w:t>
      </w:r>
    </w:p>
    <w:p>
      <w:pPr>
        <w:pStyle w:val="Heading2"/>
      </w:pPr>
      <w:r>
        <w:t>LOAN</w:t>
      </w:r>
    </w:p>
    <w:p>
      <w:r>
        <w:t xml:space="preserve">Χρησιμοποιείται για την παροχή πληροφοριακών στοιχείων των δανείων που έχει λάβει η </w:t>
      </w:r>
      <w:r>
        <w:t>ΠΜ</w:t>
      </w:r>
      <w:r>
        <w:t>. Τα στοιχεία αυτά είτε ορίζονται μια φορά είτε παραμένουν σταθεϱά κατά τη διάρκεια του κύκλου ζωής του δανείου.</w:t>
      </w:r>
    </w:p>
    <w:p>
      <w:pPr>
        <w:pStyle w:val="Heading3"/>
      </w:pPr>
      <w:r>
        <w:t>ΔΙΑΣΤΑΣΕΙΣ</w:t>
      </w:r>
    </w:p>
    <w:p>
      <w:pPr>
        <w:pStyle w:val="Heading3"/>
      </w:pPr>
      <w:r>
        <w:t>ΜΕΤΑΒΛΗΤΕΣ</w:t>
      </w:r>
    </w:p>
    <w:p>
      <w:pPr>
        <w:pStyle w:val="Heading2"/>
      </w:pPr>
      <w:r>
        <w:t>STATIC_LOAN</w:t>
      </w:r>
    </w:p>
    <w:p>
      <w:r>
        <w:t xml:space="preserve">Χρησιμοποιείται για την παροχή πληροφοριακών στοιχείων των δανείων που έχει λάβει η </w:t>
      </w:r>
      <w:r>
        <w:t>ΠΜ</w:t>
      </w:r>
      <w:r>
        <w:t>. Τα στοιχεία αυτά δύναται να μεταβληθούν κατά τη διάρκεια του κύκλου ζωής του δανείου.</w:t>
      </w:r>
    </w:p>
    <w:p>
      <w:pPr>
        <w:pStyle w:val="Heading3"/>
      </w:pPr>
      <w:r>
        <w:t>ΔΙΑΣΤΑΣΕΙΣ</w:t>
      </w:r>
    </w:p>
    <w:p>
      <w:pPr>
        <w:pStyle w:val="Heading3"/>
      </w:pPr>
      <w:r>
        <w:t>ΜΕΤΑΒΛΗΤΕΣ</w:t>
      </w:r>
    </w:p>
    <w:p>
      <w:pPr>
        <w:pStyle w:val="Heading2"/>
      </w:pPr>
      <w:r>
        <w:t>SHARE</w:t>
      </w:r>
    </w:p>
    <w:p>
      <w:r>
        <w:t xml:space="preserve">Χρησιμοποιείται για την παροχή πληροφοριακών στοιχείων συμμετοχικών τίτλων ή μετοχών/μεριδίων επενδυτικών οργανισμών που κατέχει η </w:t>
      </w:r>
      <w:r>
        <w:t>ΠΜ</w:t>
      </w:r>
      <w:r>
        <w:t>. Τα στοιχεία αυτά είτε ορίζονται μια φορά είτε παραμένουν σταθεϱά κατά τη διάρκεια του κύκλου ζωής των τίτλων.</w:t>
      </w:r>
    </w:p>
    <w:p>
      <w:pPr>
        <w:pStyle w:val="Heading3"/>
      </w:pPr>
      <w:r>
        <w:t>ΔΙΑΣΤΑΣΕΙΣ</w:t>
      </w:r>
    </w:p>
    <w:p>
      <w:pPr>
        <w:pStyle w:val="Heading3"/>
      </w:pPr>
      <w:r>
        <w:t>ΜΕΤΑΒΛΗΤΕΣ</w:t>
      </w:r>
    </w:p>
    <w:p>
      <w:pPr>
        <w:pStyle w:val="Heading2"/>
      </w:pPr>
      <w:r>
        <w:t>STATIC_SHARE</w:t>
      </w:r>
    </w:p>
    <w:p>
      <w:r>
        <w:t xml:space="preserve">Χρησιμοποιείται για την παροχή πληροφοριακών στοιχείων συμμετοχικών τίτλων ή μετοχών/μεριδίων επενδυτικών οργανισμών που κατέχει η </w:t>
      </w:r>
      <w:r>
        <w:t>ΠΜ</w:t>
      </w:r>
      <w:r>
        <w:t>. Τα στοιχεία αυτά δύναται να μεταβληθούν κατά τη διάρκεια του κύκλου ζωής των τίτλων.</w:t>
      </w:r>
    </w:p>
    <w:p>
      <w:pPr>
        <w:pStyle w:val="Heading3"/>
      </w:pPr>
      <w:r>
        <w:t>ΔΙΑΣΤΑΣΕΙΣ</w:t>
      </w:r>
    </w:p>
    <w:p>
      <w:pPr>
        <w:pStyle w:val="Heading3"/>
      </w:pPr>
      <w:r>
        <w:t>ΜΕΤΑΒΛΗΤΕΣ</w:t>
      </w:r>
    </w:p>
    <w:p>
      <w:pPr>
        <w:pStyle w:val="Heading2"/>
      </w:pPr>
      <w:r>
        <w:t>EXT_DER</w:t>
      </w:r>
    </w:p>
    <w:p>
      <w:r>
        <w:t xml:space="preserve">Χρησιμοποιείται για την παροχή πληροφοριακών στοιχείων διαπραγματεύσιμων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2"/>
      </w:pPr>
      <w:r>
        <w:t>OTC_DER</w:t>
      </w:r>
    </w:p>
    <w:p>
      <w:r>
        <w:t xml:space="preserve">Χρησιμοποιείται για την παροχή πληροφοριακών στοιχείων εξωχρηματιστηριακών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2"/>
      </w:pPr>
      <w:r>
        <w:t>RES_RE</w:t>
      </w:r>
    </w:p>
    <w:p>
      <w:r>
        <w:t xml:space="preserve">Χρησιμοποιείται για την παροχή πληροφοριακών στοιχείων οικιστικών ακινήτων που κατέχει η </w:t>
      </w:r>
      <w:r>
        <w:t>ΠΜ</w:t>
      </w:r>
      <w:r>
        <w:t>.</w:t>
      </w:r>
    </w:p>
    <w:p>
      <w:pPr>
        <w:pStyle w:val="Heading3"/>
      </w:pPr>
      <w:r>
        <w:t>ΔΙΑΣΤΑΣΕΙΣ</w:t>
      </w:r>
    </w:p>
    <w:p>
      <w:pPr>
        <w:pStyle w:val="Heading3"/>
      </w:pPr>
      <w:r>
        <w:t>ΜΕΤΑΒΛΗΤΕΣ</w:t>
      </w:r>
    </w:p>
    <w:p>
      <w:pPr>
        <w:pStyle w:val="Heading2"/>
      </w:pPr>
      <w:r>
        <w:t>COM_RE</w:t>
      </w:r>
    </w:p>
    <w:p>
      <w:r>
        <w:t xml:space="preserve">Χρησιμοποιείται για την παροχή πληροφοριακών στοιχείων επαγγελματικών ακινήτων που κατέχει η </w:t>
      </w:r>
      <w:r>
        <w:t>ΠΜ</w:t>
      </w:r>
      <w:r>
        <w:t>.</w:t>
      </w:r>
    </w:p>
    <w:p>
      <w:pPr>
        <w:pStyle w:val="Heading3"/>
      </w:pPr>
      <w:r>
        <w:t>ΔΙΑΣΤΑΣΕΙΣ</w:t>
      </w:r>
    </w:p>
    <w:p>
      <w:pPr>
        <w:pStyle w:val="Heading3"/>
      </w:pPr>
      <w:r>
        <w:t>ΜΕΤΑΒΛΗΤΕΣ</w:t>
      </w:r>
    </w:p>
    <w:p>
      <w:pPr>
        <w:pStyle w:val="Heading1"/>
      </w:pPr>
      <w:r>
        <w:t>OTHER_KEY (OK): Βασικά στοιχεία χρηματοοικονομικών μέσων που κατέχει η ΠΜ</w:t>
      </w:r>
    </w:p>
    <w:p>
      <w:r>
        <w:t xml:space="preserve">Χρησιμοποιείται για την παροχή βασικών περιοδικών στοιχείων χρηματοοικονομικών μέσων που κατέχει η </w:t>
      </w:r>
      <w:r>
        <w:t>ΠΜ</w:t>
      </w:r>
      <w:r>
        <w:t>.</w:t>
      </w:r>
    </w:p>
    <w:p>
      <w:r>
        <w:t>Στα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SHARE</w:t>
      </w:r>
    </w:p>
    <w:p>
      <w:r>
        <w:t xml:space="preserve">Χρησιμοποιείται για την παροχή περιοδικών στοιχείων των συμμετοχικών τίτλων ή/και των  μετοχών/μεριδίων επενδυτικών οργανισμών  που κατέχει η </w:t>
      </w:r>
      <w:r>
        <w:t>ΠΜ</w:t>
      </w:r>
      <w:r>
        <w:t>.</w:t>
      </w:r>
    </w:p>
    <w:p>
      <w:pPr>
        <w:pStyle w:val="Heading3"/>
      </w:pPr>
      <w:r>
        <w:t>ΔΙΑΣΤΑΣΕΙΣ</w:t>
      </w:r>
    </w:p>
    <w:p>
      <w:pPr>
        <w:pStyle w:val="Heading3"/>
      </w:pPr>
      <w:r>
        <w:t>ΜΕΤΑΒΛΗΤΕΣ</w:t>
      </w:r>
    </w:p>
    <w:p>
      <w:pPr>
        <w:pStyle w:val="Heading2"/>
      </w:pPr>
      <w:r>
        <w:t>DIVIDEND</w:t>
      </w:r>
    </w:p>
    <w:p>
      <w:r>
        <w:t xml:space="preserve">Χρησιμοποιείται για την παροχή μεταβλητών στοιχείων σε σχέση με τα μερίσματα των συμμετοχικών τίτλων ή/και των μετοχών/μεριδίων επενδυτικών οργανισμών  που κατέχει η </w:t>
      </w:r>
      <w:r>
        <w:t>ΠΜ</w:t>
      </w:r>
      <w:r>
        <w:t>.</w:t>
      </w:r>
    </w:p>
    <w:p>
      <w:pPr>
        <w:pStyle w:val="Heading3"/>
      </w:pPr>
      <w:r>
        <w:t>ΔΙΑΣΤΑΣΕΙΣ</w:t>
      </w:r>
    </w:p>
    <w:p>
      <w:pPr>
        <w:pStyle w:val="Heading3"/>
      </w:pPr>
      <w:r>
        <w:t>ΜΕΤΑΒΛΗΤΕΣ</w:t>
      </w:r>
    </w:p>
    <w:p>
      <w:pPr>
        <w:pStyle w:val="Heading2"/>
      </w:pPr>
      <w:r>
        <w:t>SPLIT</w:t>
      </w:r>
    </w:p>
    <w:p>
      <w:r>
        <w:t xml:space="preserve">Χρησιμοποιείται για την παροχή μεταβλητών στοιχείων για τις διασπάσεις και συμπτύξεις συμμετοχικών τίτλων ή/και μετοχών/μεριδίων επενδυτικών οργανισμών που κατέχει η </w:t>
      </w:r>
      <w:r>
        <w:t>ΠΜ</w:t>
      </w:r>
      <w:r>
        <w:t xml:space="preserve"> ·</w:t>
      </w:r>
    </w:p>
    <w:p>
      <w:pPr>
        <w:pStyle w:val="Heading3"/>
      </w:pPr>
      <w:r>
        <w:t>ΔΙΑΣΤΑΣΕΙΣ</w:t>
      </w:r>
    </w:p>
    <w:p>
      <w:pPr>
        <w:pStyle w:val="Heading3"/>
      </w:pPr>
      <w:r>
        <w:t>ΜΕΤΑΒΛΗΤΕΣ</w:t>
      </w:r>
    </w:p>
    <w:p>
      <w:pPr>
        <w:pStyle w:val="Heading2"/>
      </w:pPr>
      <w:r>
        <w:t>DEBT</w:t>
      </w:r>
    </w:p>
    <w:p>
      <w:r>
        <w:t xml:space="preserve">Χρησιμοποιείται για την παροχή περιοδικών στοιχείων των χρεογράφων που κατέχει η </w:t>
      </w:r>
      <w:r>
        <w:t>ΠΜ</w:t>
      </w:r>
      <w:r>
        <w:t>.</w:t>
      </w:r>
    </w:p>
    <w:p>
      <w:pPr>
        <w:pStyle w:val="Heading3"/>
      </w:pPr>
      <w:r>
        <w:t>ΔΙΑΣΤΑΣΕΙΣ</w:t>
      </w:r>
    </w:p>
    <w:p>
      <w:pPr>
        <w:pStyle w:val="Heading3"/>
      </w:pPr>
      <w:r>
        <w:t>ΜΕΤΑΒΛΗΤΕΣ</w:t>
      </w:r>
    </w:p>
    <w:p>
      <w:pPr>
        <w:pStyle w:val="Heading2"/>
      </w:pPr>
      <w:r>
        <w:t>COUPON</w:t>
      </w:r>
    </w:p>
    <w:p>
      <w:r>
        <w:t xml:space="preserve">Χρησιμοποιείται για την παροχή μεταβλητών στοιχείων των τοκομεριδίων από χρεόγραφα που κατέχει η </w:t>
      </w:r>
      <w:r>
        <w:t>ΠΜ</w:t>
      </w:r>
      <w:r>
        <w:t xml:space="preserve"> ·</w:t>
      </w:r>
    </w:p>
    <w:p>
      <w:pPr>
        <w:pStyle w:val="Heading3"/>
      </w:pPr>
      <w:r>
        <w:t>ΔΙΑΣΤΑΣΕΙΣ</w:t>
      </w:r>
    </w:p>
    <w:p>
      <w:pPr>
        <w:pStyle w:val="Heading3"/>
      </w:pPr>
      <w:r>
        <w:t>ΜΕΤΑΒΛΗΤΕΣ</w:t>
      </w:r>
    </w:p>
    <w:p>
      <w:pPr>
        <w:pStyle w:val="Heading2"/>
      </w:pPr>
      <w:r>
        <w:t>EXT_DERIVATIVE</w:t>
      </w:r>
    </w:p>
    <w:p>
      <w:r>
        <w:t xml:space="preserve">Χρησιμοποιείται για την παροχή περιοδικών στοιχείων των διαπραγματεύσιμων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2"/>
      </w:pPr>
      <w:r>
        <w:t>OTC_DERIVATIVE</w:t>
      </w:r>
    </w:p>
    <w:p>
      <w:r>
        <w:t xml:space="preserve">Χρησιμοποιείται για την παροχή περιοδικών στοιχείων των εξωχρηματιστηριακών  χρηματοοικονομικών παραγώγων που κατέχει η </w:t>
      </w:r>
      <w:r>
        <w:t>ΠΜ</w:t>
      </w:r>
      <w:r>
        <w:t>.</w:t>
      </w:r>
    </w:p>
    <w:p>
      <w:pPr>
        <w:pStyle w:val="Heading3"/>
      </w:pPr>
      <w:r>
        <w:t>ΔΙΑΣΤΑΣΕΙΣ</w:t>
      </w:r>
    </w:p>
    <w:p>
      <w:pPr>
        <w:pStyle w:val="Heading3"/>
      </w:pPr>
      <w:r>
        <w:t>ΜΕΤΑΒΛΗΤΕΣ</w:t>
      </w:r>
    </w:p>
    <w:p>
      <w:pPr>
        <w:pStyle w:val="Heading1"/>
      </w:pPr>
      <w:r>
        <w:t>BSI (BSI): Λογαριασμοί Ισολογισμού Balance Sheet Items</w:t>
      </w:r>
    </w:p>
    <w:p>
      <w:r>
        <w:t xml:space="preserve">Χρησιμοποιείται για την παροχή στοιχείων λογαριασμών ισολογισμού της </w:t>
      </w:r>
      <w:r>
        <w:t>ΠΜ</w:t>
      </w:r>
      <w:r>
        <w:t>.</w:t>
      </w:r>
    </w:p>
    <w:p>
      <w:r>
        <w:t>Στις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CASH</w:t>
      </w:r>
    </w:p>
    <w:p>
      <w:r>
        <w:t xml:space="preserve">Χρησιμοποιείται για την παροχή λογιστικών στοιχείων των χρηματικών διαθέσιμων της </w:t>
      </w:r>
      <w:r>
        <w:t>ΠΜ</w:t>
      </w:r>
      <w:r>
        <w:t>.</w:t>
      </w:r>
    </w:p>
    <w:p>
      <w:pPr>
        <w:pStyle w:val="Heading3"/>
      </w:pPr>
      <w:r>
        <w:t>ΔΙΑΣΤΑΣΕΙΣ</w:t>
      </w:r>
    </w:p>
    <w:p>
      <w:pPr>
        <w:pStyle w:val="Heading3"/>
      </w:pPr>
      <w:r>
        <w:t>ΜΕΤΑΒΛΗΤΕΣ</w:t>
      </w:r>
    </w:p>
    <w:p>
      <w:pPr>
        <w:pStyle w:val="Heading2"/>
      </w:pPr>
      <w:r>
        <w:t>DEPOSIT</w:t>
      </w:r>
    </w:p>
    <w:p>
      <w:r>
        <w:t xml:space="preserve">Χρησιμοποιείται για την παροχή λογιστικών στοιχείων των καταθέσεων της </w:t>
      </w:r>
      <w:r>
        <w:t>ΠΜ</w:t>
      </w:r>
      <w:r>
        <w:t xml:space="preserve">. Για τον ορισμό της κατάθεσης δείτε </w:t>
      </w:r>
      <w:r>
        <w:t>εδώ</w:t>
      </w:r>
      <w:r>
        <w:t xml:space="preserve">.  Οι τιμές των μεταβλητών εκφράζονται στο </w:t>
      </w:r>
      <w:r>
        <w:t>νόμισμα</w:t>
      </w:r>
      <w:r>
        <w:t xml:space="preserve"> της κατάθεσης εκτός και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ASSET_SFT</w:t>
      </w:r>
    </w:p>
    <w:p>
      <w:r>
        <w:t xml:space="preserve">Χρησιμοποιείται για την παροχή λογιστικών στοιχείων συναλλαγών χρηματοδότησης χρεογράφων όπου η </w:t>
      </w:r>
      <w:r>
        <w:t>ΠΜ</w:t>
      </w:r>
      <w:r>
        <w:t xml:space="preserve"> έχει δανείσει χρηματικά διαθέσιμα . Για τον ορισμό των πράξεων χρηματοδότησης χρεογράφων δείτε </w:t>
      </w:r>
      <w:r>
        <w:t>εδώ</w:t>
      </w:r>
      <w:r>
        <w:t xml:space="preserve">.  Οι τιμές των μεταβλητών εκφράζονται στο </w:t>
      </w:r>
      <w:r>
        <w:t>νόμισμα</w:t>
      </w:r>
      <w:r>
        <w:t xml:space="preserve"> της συναλλαγής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ASSET_DEBT</w:t>
      </w:r>
    </w:p>
    <w:p>
      <w:r>
        <w:t xml:space="preserve">Χρησιμοποιείται για την παροχή λογιστικών στοιχείων των χρεογράφων που κατέχει η </w:t>
      </w:r>
      <w:r>
        <w:t>ΠΜ</w:t>
      </w:r>
      <w:r>
        <w:t xml:space="preserve">. Για τον ορισμό του χρεογράφου δείτε </w:t>
      </w:r>
      <w:r>
        <w:t>εδώ</w:t>
      </w:r>
      <w:r>
        <w:t xml:space="preserve">.  Οι τιμές των μεταβλητών εκφράζονται στο </w:t>
      </w:r>
      <w:r>
        <w:t>νόμισμα</w:t>
      </w:r>
      <w:r>
        <w:t xml:space="preserve"> του χρεογράφου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SHARE</w:t>
      </w:r>
    </w:p>
    <w:p>
      <w:r>
        <w:t xml:space="preserve">Χρησιμοποιείται για την παροχή λογιστικών στοιχείων των συμμετοχικών τίτλων ή/και μετοχές/μερίδια επενδυτικών οργανισμών που κατέχει η </w:t>
      </w:r>
      <w:r>
        <w:t>ΠΜ</w:t>
      </w:r>
      <w:r>
        <w:t xml:space="preserve">. Για τον ορισμό των παραπάνω τίτλων δείτε </w:t>
      </w:r>
      <w:r>
        <w:t>εδώ</w:t>
      </w:r>
      <w:r>
        <w:t xml:space="preserve">.  Οι τιμές των μεταβλητών εκφράζονται στο </w:t>
      </w:r>
      <w:r>
        <w:t>νόμισμα</w:t>
      </w:r>
      <w:r>
        <w:t xml:space="preserve"> των τίτλων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EXT_DERIVATIVE</w:t>
      </w:r>
    </w:p>
    <w:p>
      <w:r>
        <w:t xml:space="preserve">Χρησιμοποιείται για την παροχή λογιστικών στοιχείων διαπραγματεύσιμων χρηματοοικονομικών παραγώγων που κατέχει η </w:t>
      </w:r>
      <w:r>
        <w:t>ΠΜ</w:t>
      </w:r>
      <w:r>
        <w:t xml:space="preserve">. Για τον ορισμό των παραγώγων δείτε </w:t>
      </w:r>
      <w:r>
        <w:t>εδώ</w:t>
      </w:r>
      <w:r>
        <w:t xml:space="preserve">.  Οι τιμές των μεταβλητών εκφράζονται στο </w:t>
      </w:r>
      <w:r>
        <w:t>νόμισμα</w:t>
      </w:r>
      <w:r>
        <w:t xml:space="preserve"> των παραγώγων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OTC_DERIVATIVE</w:t>
      </w:r>
    </w:p>
    <w:p>
      <w:r>
        <w:t xml:space="preserve">Χρησιμοποιείται για την παροχή λογιστικών στοιχείων εξωχρηματιστηριακών  χρηματοοικονομικών παραγώγων που κατέχει η </w:t>
      </w:r>
      <w:r>
        <w:t>ΠΜ</w:t>
      </w:r>
      <w:r>
        <w:t xml:space="preserve">. Για τον ορισμό των παραγώγων δείτε </w:t>
      </w:r>
      <w:r>
        <w:t>εδώ</w:t>
      </w:r>
      <w:r>
        <w:t xml:space="preserve">.  Οι τιμές των μεταβλητών εκφράζονται στο </w:t>
      </w:r>
      <w:r>
        <w:t>νόμισμα</w:t>
      </w:r>
      <w:r>
        <w:t xml:space="preserve"> των παραγώγων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RESIDENTIAL_RE</w:t>
      </w:r>
    </w:p>
    <w:p>
      <w:r>
        <w:t xml:space="preserve">Χρησιμοποιείται για την παροχή λογιστικών στοιχείων οικιστικών ακινήτων που κατέχει η </w:t>
      </w:r>
      <w:r>
        <w:t>ΠΜ</w:t>
      </w:r>
      <w:r>
        <w:t xml:space="preserve">. Οι τιμές των μεταβλητών εκφράζονται στο </w:t>
      </w:r>
      <w:r>
        <w:t>νόμισμα αναφοράς</w:t>
      </w:r>
      <w:r>
        <w:t xml:space="preserve"> του ισολογισμού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COMMERCIAL_RE</w:t>
      </w:r>
    </w:p>
    <w:p>
      <w:r>
        <w:t xml:space="preserve">Χρησιμοποιείται για την παροχή λογιστικών στοιχείων επαγγελματικών ακινήτων που κατέχει η </w:t>
      </w:r>
      <w:r>
        <w:t>ΠΜ</w:t>
      </w:r>
      <w:r>
        <w:t xml:space="preserve">. Οι τιμές των μεταβλητών εκφράζονται στο </w:t>
      </w:r>
      <w:r>
        <w:t>νόμισμα αναφοράς</w:t>
      </w:r>
      <w:r>
        <w:t xml:space="preserve"> του ισολογισμού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REM_FIXED</w:t>
      </w:r>
    </w:p>
    <w:p>
      <w:r>
        <w:t xml:space="preserve">Χρησιμοποιείται για την παροχή λογιστικών στοιχείων λοιπών μη χρηματοοικονομικών περιουσιακών στοιχείων της </w:t>
      </w:r>
      <w:r>
        <w:t>ΠΜ</w:t>
      </w:r>
      <w:r>
        <w:t xml:space="preserve">.  Οι τιμές των μεταβλητών εκφράζονται στο </w:t>
      </w:r>
      <w:r>
        <w:t>νόμισμα αναφοράς</w:t>
      </w:r>
      <w:r>
        <w:t xml:space="preserve"> του ισολογισμού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ASSET_REM</w:t>
      </w:r>
    </w:p>
    <w:p>
      <w:r>
        <w:t xml:space="preserve">Χρησιμοποιείται για την παροχή λογιστικών στοιχείων λοιπών εισπρακτέων λογαριασμών της </w:t>
      </w:r>
      <w:r>
        <w:t>ΠΜ</w:t>
      </w:r>
      <w:r>
        <w:t>.</w:t>
      </w:r>
    </w:p>
    <w:p>
      <w:pPr>
        <w:pStyle w:val="Heading3"/>
      </w:pPr>
      <w:r>
        <w:t>ΔΙΑΣΤΑΣΕΙΣ</w:t>
      </w:r>
    </w:p>
    <w:p>
      <w:pPr>
        <w:pStyle w:val="Heading3"/>
      </w:pPr>
      <w:r>
        <w:t>ΜΕΤΑΒΛΗΤΕΣ</w:t>
      </w:r>
    </w:p>
    <w:p>
      <w:pPr>
        <w:pStyle w:val="Heading2"/>
      </w:pPr>
      <w:r>
        <w:t>LIAB_SFT</w:t>
      </w:r>
    </w:p>
    <w:p>
      <w:r>
        <w:t xml:space="preserve">Χρησιμοποιείται για την παροχή λογιστικών στοιχείων συναλλαγών χρηματοδότησης χρεογράφων όπου η </w:t>
      </w:r>
      <w:r>
        <w:t>ΠΜ</w:t>
      </w:r>
      <w:r>
        <w:t xml:space="preserve"> έχει δανειστεί χρηματικά διαθέσιμα . Για τον ορισμό των πράξεων χρηματοδότησης χρεογράφων δείτε </w:t>
      </w:r>
      <w:r>
        <w:t>εδώ</w:t>
      </w:r>
      <w:r>
        <w:t xml:space="preserve">.  Οι τιμές των μεταβλητών εκφράζονται στο </w:t>
      </w:r>
      <w:r>
        <w:t>νόμισμα</w:t>
      </w:r>
      <w:r>
        <w:t xml:space="preserve"> της συναλλαγής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L_DEBT</w:t>
      </w:r>
    </w:p>
    <w:p>
      <w:r>
        <w:t xml:space="preserve">Χρησιμοποιείται για την παροχή λογιστικών στοιχείων των χρεογράφων που έχει εκδώσει η </w:t>
      </w:r>
      <w:r>
        <w:t>ΠΜ</w:t>
      </w:r>
      <w:r>
        <w:t xml:space="preserve">. Για τον ορισμό του χρεογράφου δείτε </w:t>
      </w:r>
      <w:r>
        <w:t>εδώ</w:t>
      </w:r>
      <w:r>
        <w:t xml:space="preserve">.  Οι τιμές των μεταβλητών εκφράζονται στο </w:t>
      </w:r>
      <w:r>
        <w:t>νόμισμα</w:t>
      </w:r>
      <w:r>
        <w:t xml:space="preserve"> του χρεογράφου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LOAN</w:t>
      </w:r>
    </w:p>
    <w:p>
      <w:r>
        <w:t xml:space="preserve">Χρησιμοποιείται για την παροχή λογιστικών στοιχείων δανείων που έχει λάβει η </w:t>
      </w:r>
      <w:r>
        <w:t>ΠΜ</w:t>
      </w:r>
      <w:r>
        <w:t xml:space="preserve">. Για τον ορισμό του δανείου δείτε </w:t>
      </w:r>
      <w:r>
        <w:t>εδώ</w:t>
      </w:r>
      <w:r>
        <w:t xml:space="preserve">.  Οι τιμές των μεταβλητών εκφράζονται στο </w:t>
      </w:r>
      <w:r>
        <w:t>νόμισμα</w:t>
      </w:r>
      <w:r>
        <w:t xml:space="preserve"> του δανείου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2"/>
      </w:pPr>
      <w:r>
        <w:t>LIAB_REM</w:t>
      </w:r>
    </w:p>
    <w:p>
      <w:r>
        <w:t xml:space="preserve">Χρησιμοποιείται για την παροχή λογιστικών στοιχείων λοιπών πληρωτέων λογαριασμών της </w:t>
      </w:r>
      <w:r>
        <w:t>ΠΜ</w:t>
      </w:r>
      <w:r>
        <w:t>.</w:t>
      </w:r>
    </w:p>
    <w:p>
      <w:pPr>
        <w:pStyle w:val="Heading3"/>
      </w:pPr>
      <w:r>
        <w:t>ΔΙΑΣΤΑΣΕΙΣ</w:t>
      </w:r>
    </w:p>
    <w:p>
      <w:pPr>
        <w:pStyle w:val="Heading3"/>
      </w:pPr>
      <w:r>
        <w:t>ΜΕΤΑΒΛΗΤΕΣ</w:t>
      </w:r>
    </w:p>
    <w:p>
      <w:pPr>
        <w:pStyle w:val="Heading2"/>
      </w:pPr>
      <w:r>
        <w:t>HOLDER</w:t>
      </w:r>
    </w:p>
    <w:p>
      <w:r>
        <w:t xml:space="preserve">Χρησιμοποιείται για την παροχή λογιστικών στοιχείων των μετοχών/μεριδίων που που έχει εκδώσει η </w:t>
      </w:r>
      <w:r>
        <w:t>ΠΜ</w:t>
      </w:r>
      <w:r>
        <w:t xml:space="preserve">.  Οι τιμές των μεταβλητών εκφράζονται στο </w:t>
      </w:r>
      <w:r>
        <w:t>νόμισμα</w:t>
      </w:r>
      <w:r>
        <w:t xml:space="preserve"> της μετοχής/μεριδίου εκτός και αν αναφέρεται κάτι διαφορετικό στον ορισμό της μεταβλητής.</w:t>
      </w:r>
    </w:p>
    <w:p>
      <w:pPr>
        <w:pStyle w:val="Heading3"/>
      </w:pPr>
      <w:r>
        <w:t>ΔΙΑΣΤΑΣΕΙΣ</w:t>
      </w:r>
    </w:p>
    <w:p>
      <w:pPr>
        <w:pStyle w:val="Heading3"/>
      </w:pPr>
      <w:r>
        <w:t>ΜΕΤΑΒΛΗΤΕΣ</w:t>
      </w:r>
    </w:p>
    <w:p>
      <w:pPr>
        <w:pStyle w:val="Heading1"/>
      </w:pPr>
      <w:r>
        <w:t>INCOME (INC): Εισόδημα Παρατηρούμενης Μονάδας</w:t>
      </w:r>
    </w:p>
    <w:p>
      <w:r>
        <w:t xml:space="preserve">Χρησιμοποιείται για την παροχή στοιχείων εισοδήματος της </w:t>
      </w:r>
      <w:r>
        <w:t>ΠΜ</w:t>
      </w:r>
      <w:r>
        <w:t xml:space="preserve"> σε δεδουλευμένη βάση.  Τα στοιχεία συλλέγονται ανά μετοχή/μερίδιο της παρατηρούμενης μονάδας και όχι ανά παρατηρούμενη μονάδα.</w:t>
      </w:r>
    </w:p>
    <w:p>
      <w:r>
        <w:t>Στις παρακάτω ενότητες περιγράφονται οι μεταβλητές και κατά περίπτωση οι διαστάσεις και τα χαρακτηριστικά των μεταβλητών του κάθε πίνακα.</w:t>
      </w:r>
    </w:p>
    <w:p>
      <w:pPr>
        <w:pStyle w:val="Heading2"/>
      </w:pPr>
      <w:r>
        <w:t>REVENUE</w:t>
      </w:r>
    </w:p>
    <w:p>
      <w:r>
        <w:t>Χρησιμοποιείται για την υποβολή στοιχείων εσόδων.</w:t>
      </w:r>
    </w:p>
    <w:p>
      <w:pPr>
        <w:pStyle w:val="Heading3"/>
      </w:pPr>
      <w:r>
        <w:t>ΔΙΑΣΤΑΣΕΙΣ</w:t>
      </w:r>
    </w:p>
    <w:p>
      <w:pPr>
        <w:pStyle w:val="Heading3"/>
      </w:pPr>
      <w:r>
        <w:t>ΜΕΤΑΒΛΗΤΕΣ</w:t>
      </w:r>
    </w:p>
    <w:p>
      <w:pPr>
        <w:pStyle w:val="Heading2"/>
      </w:pPr>
      <w:r>
        <w:t>EXPENSE</w:t>
      </w:r>
    </w:p>
    <w:p>
      <w:r>
        <w:t>Χρησιμοποιείται για την υποβολή στοιχείων εξόδων.</w:t>
      </w:r>
    </w:p>
    <w:p>
      <w:pPr>
        <w:pStyle w:val="Heading3"/>
      </w:pPr>
      <w:r>
        <w:t>ΔΙΑΣΤΑΣΕΙΣ</w:t>
      </w:r>
    </w:p>
    <w:p>
      <w:pPr>
        <w:pStyle w:val="Heading3"/>
      </w:pPr>
      <w:r>
        <w:t>ΜΕΤΑΒΛΗΤΕΣ</w:t>
      </w:r>
    </w:p>
    <w:p>
      <w:pPr>
        <w:pStyle w:val="Heading1"/>
      </w:pPr>
      <w:r>
        <w:t>Παραδείγματα Υποβολών</w:t>
      </w:r>
    </w:p>
    <w:p>
      <w:r>
        <w:t xml:space="preserve">Παρακάτω παρέχονται παραδείγματα υποβολών από υποθετικές </w:t>
      </w:r>
      <w:r>
        <w:t>ΠΜ</w:t>
      </w:r>
      <w:r>
        <w:t>.</w:t>
      </w:r>
    </w:p>
    <w:p>
      <w:pPr>
        <w:pStyle w:val="Heading2"/>
      </w:pPr>
      <w:r>
        <w:t>Υποβολή από διαχειρίστρια εταιρεία</w:t>
      </w:r>
    </w:p>
    <w:p>
      <w:r>
        <w:t>Σε αυτό το παράδειγμα μία διαχειρίστρια εταιρεία αμοιβαίων κεφαλαίων με αναγνωριστικό κωδικό ESCB_ID: GRMFMC000 που ιδρύθηκε τον Ιανουάριο του 2022, υποβάλλει για πρώτη φορά στοιχεία IFDat κατά την διάρκεια του Φεβρουαρίου του 2022. Στον παρακάτω πίνακα φαίνονται οι προθεσμίες που ισχύουν για κάθε κατηγορία δεδομένων αλλά και παραδείγματα υποβολών σε μορφότυπο αρχείου excel ή json.</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Data Category</w:t>
            </w:r>
          </w:p>
        </w:tc>
        <w:tc>
          <w:tcPr>
            <w:tcW w:type="dxa" w:w="2160"/>
          </w:tcPr>
          <w:p>
            <w:pPr>
              <w:ind w:left="0"/>
              <w:jc w:val="left"/>
            </w:pPr>
            <w:r>
              <w:t>Deadline</w:t>
            </w:r>
          </w:p>
        </w:tc>
        <w:tc>
          <w:tcPr>
            <w:tcW w:type="dxa" w:w="2160"/>
          </w:tcPr>
          <w:p>
            <w:pPr>
              <w:ind w:left="0"/>
              <w:jc w:val="left"/>
            </w:pPr>
            <w:r>
              <w:t>Excel Example</w:t>
            </w:r>
          </w:p>
        </w:tc>
        <w:tc>
          <w:tcPr>
            <w:tcW w:type="dxa" w:w="2160"/>
          </w:tcPr>
          <w:p>
            <w:pPr>
              <w:ind w:left="0"/>
              <w:jc w:val="left"/>
            </w:pPr>
            <w:r>
              <w:t>Json Example</w:t>
            </w:r>
          </w:p>
        </w:tc>
      </w:tr>
      <w:tr>
        <w:tc>
          <w:tcPr>
            <w:tcW w:type="dxa" w:w="2160"/>
          </w:tcPr>
          <w:p>
            <w:pPr>
              <w:ind w:left="0"/>
              <w:jc w:val="left"/>
            </w:pPr>
            <w:r>
              <w:t>SELF_INFO</w:t>
            </w:r>
          </w:p>
        </w:tc>
        <w:tc>
          <w:tcPr>
            <w:tcW w:type="dxa" w:w="2160"/>
          </w:tcPr>
          <w:p>
            <w:pPr>
              <w:ind w:left="0"/>
              <w:jc w:val="left"/>
            </w:pPr>
            <w:r>
              <w:t>2022-02-02 (T0+2B)</w:t>
            </w:r>
          </w:p>
        </w:tc>
        <w:tc>
          <w:tcPr>
            <w:tcW w:type="dxa" w:w="2160"/>
          </w:tcPr>
          <w:p>
            <w:pPr>
              <w:ind w:left="0"/>
              <w:jc w:val="left"/>
            </w:pPr>
            <w:r>
              <w:t>SI_T0</w:t>
            </w:r>
          </w:p>
        </w:tc>
        <w:tc>
          <w:tcPr>
            <w:tcW w:type="dxa" w:w="2160"/>
          </w:tcPr>
          <w:p>
            <w:pPr>
              <w:ind w:left="0"/>
              <w:jc w:val="left"/>
            </w:pPr>
            <w:r>
              <w:t>SI_T0</w:t>
            </w:r>
          </w:p>
        </w:tc>
      </w:tr>
      <w:tr>
        <w:tc>
          <w:tcPr>
            <w:tcW w:type="dxa" w:w="2160"/>
          </w:tcPr>
          <w:p>
            <w:pPr>
              <w:ind w:left="0"/>
              <w:jc w:val="left"/>
            </w:pPr>
            <w:r>
              <w:t>SELF_KEY</w:t>
            </w:r>
          </w:p>
        </w:tc>
        <w:tc>
          <w:tcPr>
            <w:tcW w:type="dxa" w:w="2160"/>
          </w:tcPr>
          <w:p>
            <w:pPr>
              <w:ind w:left="0"/>
              <w:jc w:val="left"/>
            </w:pPr>
            <w:r>
              <w:t>2022-02-02 (T0+2B)</w:t>
            </w:r>
          </w:p>
        </w:tc>
        <w:tc>
          <w:tcPr>
            <w:tcW w:type="dxa" w:w="2160"/>
          </w:tcPr>
          <w:p>
            <w:pPr>
              <w:ind w:left="0"/>
              <w:jc w:val="left"/>
            </w:pPr>
            <w:r>
              <w:t>SK_T0</w:t>
            </w:r>
          </w:p>
        </w:tc>
        <w:tc>
          <w:tcPr>
            <w:tcW w:type="dxa" w:w="2160"/>
          </w:tcPr>
          <w:p>
            <w:pPr>
              <w:ind w:left="0"/>
              <w:jc w:val="left"/>
            </w:pPr>
            <w:r>
              <w:t>SK_T0</w:t>
            </w:r>
          </w:p>
        </w:tc>
      </w:tr>
      <w:tr>
        <w:tc>
          <w:tcPr>
            <w:tcW w:type="dxa" w:w="2160"/>
          </w:tcPr>
          <w:p>
            <w:pPr>
              <w:ind w:left="0"/>
              <w:jc w:val="left"/>
            </w:pPr>
            <w:r>
              <w:t>OTHER_INFO</w:t>
            </w:r>
          </w:p>
        </w:tc>
        <w:tc>
          <w:tcPr>
            <w:tcW w:type="dxa" w:w="2160"/>
          </w:tcPr>
          <w:p>
            <w:pPr>
              <w:ind w:left="0"/>
              <w:jc w:val="left"/>
            </w:pPr>
            <w:r>
              <w:t>2022-02-14 (T0+10B)</w:t>
            </w:r>
          </w:p>
        </w:tc>
        <w:tc>
          <w:tcPr>
            <w:tcW w:type="dxa" w:w="2160"/>
          </w:tcPr>
          <w:p>
            <w:pPr>
              <w:ind w:left="0"/>
              <w:jc w:val="left"/>
            </w:pPr>
            <w:r>
              <w:t>OI_T0</w:t>
            </w:r>
          </w:p>
        </w:tc>
        <w:tc>
          <w:tcPr>
            <w:tcW w:type="dxa" w:w="2160"/>
          </w:tcPr>
          <w:p>
            <w:pPr>
              <w:ind w:left="0"/>
              <w:jc w:val="left"/>
            </w:pPr>
            <w:r>
              <w:t>OI_T0</w:t>
            </w:r>
          </w:p>
        </w:tc>
      </w:tr>
      <w:tr>
        <w:tc>
          <w:tcPr>
            <w:tcW w:type="dxa" w:w="2160"/>
          </w:tcPr>
          <w:p>
            <w:pPr>
              <w:ind w:left="0"/>
              <w:jc w:val="left"/>
            </w:pPr>
            <w:r>
              <w:t>OTHER_KEY</w:t>
            </w:r>
          </w:p>
        </w:tc>
        <w:tc>
          <w:tcPr>
            <w:tcW w:type="dxa" w:w="2160"/>
          </w:tcPr>
          <w:p>
            <w:pPr>
              <w:ind w:left="0"/>
              <w:jc w:val="left"/>
            </w:pPr>
            <w:r>
              <w:t>2022-02-14 (T0+10B)</w:t>
            </w:r>
          </w:p>
        </w:tc>
        <w:tc>
          <w:tcPr>
            <w:tcW w:type="dxa" w:w="2160"/>
          </w:tcPr>
          <w:p>
            <w:pPr>
              <w:ind w:left="0"/>
              <w:jc w:val="left"/>
            </w:pPr>
            <w:r>
              <w:t>OK_T0</w:t>
            </w:r>
          </w:p>
        </w:tc>
        <w:tc>
          <w:tcPr>
            <w:tcW w:type="dxa" w:w="2160"/>
          </w:tcPr>
          <w:p>
            <w:pPr>
              <w:ind w:left="0"/>
              <w:jc w:val="left"/>
            </w:pPr>
            <w:r>
              <w:t>OK_T0</w:t>
            </w:r>
          </w:p>
        </w:tc>
      </w:tr>
      <w:tr>
        <w:tc>
          <w:tcPr>
            <w:tcW w:type="dxa" w:w="2160"/>
          </w:tcPr>
          <w:p>
            <w:pPr>
              <w:ind w:left="0"/>
              <w:jc w:val="left"/>
            </w:pPr>
            <w:r>
              <w:t>BSI</w:t>
            </w:r>
          </w:p>
        </w:tc>
        <w:tc>
          <w:tcPr>
            <w:tcW w:type="dxa" w:w="2160"/>
          </w:tcPr>
          <w:p>
            <w:pPr>
              <w:ind w:left="0"/>
              <w:jc w:val="left"/>
            </w:pPr>
            <w:r>
              <w:t>2022-02-14 (T0+10B)</w:t>
            </w:r>
          </w:p>
        </w:tc>
        <w:tc>
          <w:tcPr>
            <w:tcW w:type="dxa" w:w="2160"/>
          </w:tcPr>
          <w:p>
            <w:pPr>
              <w:ind w:left="0"/>
              <w:jc w:val="left"/>
            </w:pPr>
            <w:r>
              <w:t>BSI_T0</w:t>
            </w:r>
          </w:p>
        </w:tc>
        <w:tc>
          <w:tcPr>
            <w:tcW w:type="dxa" w:w="2160"/>
          </w:tcPr>
          <w:p>
            <w:pPr>
              <w:ind w:left="0"/>
              <w:jc w:val="left"/>
            </w:pPr>
            <w:r>
              <w:t>BSI_T0</w:t>
            </w:r>
          </w:p>
        </w:tc>
      </w:tr>
      <w:tr>
        <w:tc>
          <w:tcPr>
            <w:tcW w:type="dxa" w:w="2160"/>
          </w:tcPr>
          <w:p>
            <w:pPr>
              <w:ind w:left="0"/>
              <w:jc w:val="left"/>
            </w:pPr>
            <w:r>
              <w:t>INCOME</w:t>
            </w:r>
          </w:p>
        </w:tc>
        <w:tc>
          <w:tcPr>
            <w:tcW w:type="dxa" w:w="2160"/>
          </w:tcPr>
          <w:p>
            <w:pPr>
              <w:ind w:left="0"/>
              <w:jc w:val="left"/>
            </w:pPr>
            <w:r>
              <w:t>2022-02-14 (T0+10B)</w:t>
            </w:r>
          </w:p>
        </w:tc>
        <w:tc>
          <w:tcPr>
            <w:tcW w:type="dxa" w:w="2160"/>
          </w:tcPr>
          <w:p>
            <w:pPr>
              <w:ind w:left="0"/>
              <w:jc w:val="left"/>
            </w:pPr>
            <w:r>
              <w:t>INC_T0</w:t>
            </w:r>
          </w:p>
        </w:tc>
        <w:tc>
          <w:tcPr>
            <w:tcW w:type="dxa" w:w="2160"/>
          </w:tcPr>
          <w:p>
            <w:pPr>
              <w:ind w:left="0"/>
              <w:jc w:val="left"/>
            </w:pPr>
            <w:r>
              <w:t>INC_T0</w:t>
            </w:r>
          </w:p>
        </w:tc>
      </w:tr>
    </w:tbl>
    <w:p/>
    <w:p>
      <w:pPr>
        <w:pStyle w:val="Heading1"/>
      </w:pPr>
      <w:r>
        <w:t>Validation</w:t>
      </w:r>
    </w:p>
    <w:p>
      <w:r>
        <w:t xml:space="preserve">All files successfully submitted based on the steps described in </w:t>
      </w:r>
      <w:r>
        <w:t>file submission</w:t>
      </w:r>
      <w:r>
        <w:t xml:space="preserve"> are validated every day at 08:00am, 11:00am and 2:00pm local time and if no critical_errors occur they are loaded into the system database.  For each authorized user that has submitted at least one file on the time intervals formed from the above times a validation report is prepared by the platform for all files that the authorized user has submitted, data of the validation report are loaded into the system validation database and the report is disseminated to the user.</w:t>
      </w:r>
    </w:p>
    <w:p>
      <w:r>
        <w:t xml:space="preserve">The validation report is formatted as a </w:t>
      </w:r>
      <w:r>
        <w:t>.json</w:t>
      </w:r>
      <w:r>
        <w:t xml:space="preserve"> file and contains the following attributes:</w:t>
      </w:r>
    </w:p>
    <w:p>
      <w:pPr>
        <w:pStyle w:val="Heading1"/>
      </w:pPr>
      <w:r>
        <w:t>Critical Errors</w:t>
      </w:r>
    </w:p>
    <w:p>
      <w:r>
        <w:t>This section describes the critical errors that can occur while an authorized user submits data on behalf of a RA.  If a critical error occurs the respective file is not furthered processed and is not loaded into the system database.</w:t>
      </w:r>
    </w:p>
    <w:p>
      <w:pPr>
        <w:pStyle w:val="Heading1"/>
      </w:pPr>
      <w:r>
        <w:t>Schema Error</w:t>
      </w:r>
    </w:p>
    <w:p>
      <w:r>
        <w:t>For each error that arises because the submitted json file does not validate its corresponding schema the following attributes are provided:</w:t>
      </w:r>
    </w:p>
    <w:p>
      <w:pPr>
        <w:pStyle w:val="Heading1"/>
      </w:pPr>
      <w:r>
        <w:t>Αναγνωριστικοί κωδικοί</w:t>
      </w:r>
    </w:p>
    <w:p>
      <w:r>
        <w:t>Στις παρακάτω ενότητες περιγράφεται η δομή των αναγνωριστικών κωδικών που χρησιμοποιούνται για την αναγνώριση οντοτήτων.</w:t>
      </w:r>
    </w:p>
    <w:p>
      <w:r>
        <w:t>Όταν στον μορφότυπο των παρακάτω κωδικών μια λέξη περικλείεται με άγκιστρα τότε αυτή η λέξη είναι η ονομασία της θέσης που αντικαθίσταται με το πραγματικό περιεχόμενο όταν διαμορφώνεται ο κωδικός (</w:t>
      </w:r>
      <w:r>
        <w:t>Αλφαριθμητικές τιμές</w:t>
      </w:r>
      <w:r>
        <w:t xml:space="preserve">).  Η θέση </w:t>
      </w:r>
      <w:r>
        <w:t>ESCB_ID</w:t>
      </w:r>
      <w:r>
        <w:t xml:space="preserve"> αναφέρεται στον αναγνωριστικό κωδικό </w:t>
      </w:r>
      <w:r>
        <w:t>ESCB_ID</w:t>
      </w:r>
      <w:r>
        <w:t xml:space="preserve"> της </w:t>
      </w:r>
      <w:r>
        <w:t>ΜΠΣ</w:t>
      </w:r>
      <w:r>
        <w:t xml:space="preserve"> και οι τιμές του για κάθε </w:t>
      </w:r>
      <w:r>
        <w:t>ΜΠΣ</w:t>
      </w:r>
      <w:r>
        <w:t xml:space="preserve"> δίδονται στο </w:t>
      </w:r>
      <w:r>
        <w:t>Μονάδες Παροχής Στοιχείων</w:t>
      </w:r>
      <w:r>
        <w:t>.</w:t>
      </w:r>
    </w:p>
    <w:p>
      <w:r>
        <w:t xml:space="preserve">Σε περίπτωση αλλαγής της </w:t>
      </w:r>
      <w:r>
        <w:t>ΜΠΣ</w:t>
      </w:r>
      <w:r>
        <w:t xml:space="preserve"> για μία </w:t>
      </w:r>
      <w:r>
        <w:t>ΠΜ</w:t>
      </w:r>
      <w:r>
        <w:t xml:space="preserve"> τότε η νέα </w:t>
      </w:r>
      <w:r>
        <w:t>ΜΠΣ</w:t>
      </w:r>
      <w:r>
        <w:t xml:space="preserve"> θα πρέπει να συσχετίσει τους εσωτερικούς κωδικούς της προηγουμένης </w:t>
      </w:r>
      <w:r>
        <w:t>ΜΠΣ</w:t>
      </w:r>
      <w:r>
        <w:t xml:space="preserve"> με νέους κωδικούς που αποδίδει η νέα </w:t>
      </w:r>
      <w:r>
        <w:t>ΜΠΣ</w:t>
      </w:r>
      <w:r>
        <w:t>.</w:t>
      </w:r>
    </w:p>
    <w:p>
      <w:pPr>
        <w:pStyle w:val="Heading2"/>
      </w:pPr>
      <w:r>
        <w:t>ORG (Αναγνωριστικός κωδικός Θεσμικής μονάδας)</w:t>
      </w:r>
    </w:p>
    <w:p>
      <w:r>
        <w:t xml:space="preserve">Ο αναγνωριστικός κωδικός μιας θεσμικής μονάδας αναφέρεται ως ο κωδικός </w:t>
      </w:r>
      <w:r>
        <w:rPr>
          <w:b/>
        </w:rPr>
        <w:t>ORG</w:t>
      </w:r>
      <w:r>
        <w:t>.</w:t>
      </w:r>
    </w:p>
    <w:p>
      <w:r>
        <w:t xml:space="preserve">Η θεσμική μονάδα ορίζεται στο κεφάλαιο 2 του </w:t>
      </w:r>
      <w:r>
        <w:t>ESA2010</w:t>
      </w:r>
      <w:r>
        <w:t>.</w:t>
      </w:r>
    </w:p>
    <w:p>
      <w:r>
        <w:t xml:space="preserve">Για θεσμικές μονάδες που δεν είναι νοικοκυριά ο πρώτος από τους ακόλουθους αναγνωριστικούς κωδικούς που είναι διαθέσιμος θεωρείται ο κωδικός </w:t>
      </w:r>
      <w:r>
        <w:rPr>
          <w:b/>
        </w:rPr>
        <w:t>ORG</w:t>
      </w:r>
      <w:r>
        <w:t>:</w:t>
      </w:r>
    </w:p>
    <w:p>
      <w:pPr>
        <w:pStyle w:val="ListBullet"/>
      </w:pPr>
      <w:r>
        <w:t xml:space="preserve">Ο αναγνωριστικός κωδικός θεσμικής μονάδας του Ευρωπαϊκού Συστήματος Κεντρικών Τραπεζών </w:t>
      </w:r>
      <w:r>
        <w:t>ESCB_ID</w:t>
      </w:r>
      <w:r>
        <w:t xml:space="preserve"> ή αλλιώς </w:t>
      </w:r>
      <w:r>
        <w:t>RIAD_ID</w:t>
      </w:r>
      <w:r>
        <w:t xml:space="preserve"> της μορφής </w:t>
      </w:r>
      <w:r>
        <w:t>E{ESCB_ID}</w:t>
      </w:r>
      <w:r>
        <w:t xml:space="preserve">.  Για παράδειγμα o κωδικός της </w:t>
      </w:r>
      <w:r>
        <w:t>Eurobank ΑΕΔΑΚ</w:t>
      </w:r>
      <w:r>
        <w:t xml:space="preserve"> είναι ο </w:t>
      </w:r>
      <w:r>
        <w:t>EGRMFMC010</w:t>
      </w:r>
      <w:r>
        <w:t xml:space="preserve"> και του </w:t>
      </w:r>
      <w:r>
        <w:t>ΔΗΛΟΣ SYNTHESIS Best Red - Fund of Funds Μετοχικό</w:t>
      </w:r>
      <w:r>
        <w:t xml:space="preserve"> είναι ο </w:t>
      </w:r>
      <w:r>
        <w:t>EGRAK00118</w:t>
      </w:r>
      <w:r>
        <w:t>.</w:t>
      </w:r>
    </w:p>
    <w:p>
      <w:pPr>
        <w:pStyle w:val="ListBullet"/>
      </w:pPr>
      <w:r>
        <w:t>Ο αναγνωριστικός κωδικός νομικής οντότητας (</w:t>
      </w:r>
      <w:r>
        <w:t>LEI_ID</w:t>
      </w:r>
      <w:r>
        <w:t xml:space="preserve">) της  μορφής </w:t>
      </w:r>
      <w:r>
        <w:t>L{LEI}</w:t>
      </w:r>
      <w:r>
        <w:t xml:space="preserve"> όπου η θέση </w:t>
      </w:r>
      <w:r>
        <w:t>LEI</w:t>
      </w:r>
      <w:r>
        <w:t xml:space="preserve"> αντικαθίσταται με τον κωδικό που έχει εκδοθεί σύμφωνα με το πρότυπο ISO-17442.  Για παράδειγμα ο κωδικός του </w:t>
      </w:r>
      <w:r>
        <w:t>EUROBANK GF Global Equities Μετοχικό Εξωτερικού</w:t>
      </w:r>
      <w:r>
        <w:t xml:space="preserve"> είναι ο </w:t>
      </w:r>
      <w:r>
        <w:t>L213800LKCZH28UVU8H60</w:t>
      </w:r>
      <w:r>
        <w:t>.</w:t>
      </w:r>
    </w:p>
    <w:p>
      <w:pPr>
        <w:pStyle w:val="ListBullet"/>
      </w:pPr>
      <w:r>
        <w:t xml:space="preserve">Ο αναγνωριστικός κωδικός φορολογικού μητρώου της μορφής </w:t>
      </w:r>
      <w:r>
        <w:t>T{CC}{CODE}</w:t>
      </w:r>
      <w:r>
        <w:t xml:space="preserve"> όπου η θέση </w:t>
      </w:r>
      <w:r>
        <w:t>CC</w:t>
      </w:r>
      <w:r>
        <w:t xml:space="preserve"> αντικαθίσταται με τον διψήφιο κωδικό χώρας ISO 3166-1 alpha-2 που έχει εκδώσει τον αναγνωριστικό κωδικό και η θέση </w:t>
      </w:r>
      <w: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t>Προντέα ΑΕΕΑΠ</w:t>
      </w:r>
      <w:r>
        <w:t xml:space="preserve"> είναι ο </w:t>
      </w:r>
      <w:r>
        <w:t>TGR099555020</w:t>
      </w:r>
      <w:r>
        <w:t>.</w:t>
      </w:r>
    </w:p>
    <w:p>
      <w:pPr>
        <w:pStyle w:val="ListBullet"/>
      </w:pPr>
      <w:r>
        <w:t xml:space="preserve">Ο αναγνωριστικός κωδικός εμπορικού μητρώου της μορφής </w:t>
      </w:r>
      <w:r>
        <w:t>Β{CC}{CODE}</w:t>
      </w:r>
      <w:r>
        <w:t xml:space="preserve"> όπου η θέση </w:t>
      </w:r>
      <w:r>
        <w:t>CC</w:t>
      </w:r>
      <w:r>
        <w:t xml:space="preserve"> αντικαθίσταται με τον διψήφιο κωδικό χώρας ISO 3166-1 alpha-2 που έχει εκδώσει τον αναγνωριστικό κωδικό και η θέση </w:t>
      </w:r>
      <w: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t>ΝΟΒΑΛ ΠΡΟΠΕΡΤΥ ΑΕΕΑΠ</w:t>
      </w:r>
      <w:r>
        <w:t xml:space="preserve"> είναι ο </w:t>
      </w:r>
      <w:r>
        <w:t>BGR15232160000</w:t>
      </w:r>
      <w:r>
        <w:t>.</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στην θεσμική μονάδα, π.χ. </w:t>
      </w:r>
      <w:r>
        <w:t>PGRMFMC000_B1</w:t>
      </w:r>
      <w:r>
        <w:t>.</w:t>
      </w:r>
    </w:p>
    <w:p>
      <w:r>
        <w:t xml:space="preserve">Για θεσμικές μονάδες που είναι νοικοκυριά ο κωδικός </w:t>
      </w:r>
      <w:r>
        <w:t>ORG</w:t>
      </w:r>
      <w:r>
        <w:t xml:space="preserve"> έχει τη μορφή </w:t>
      </w:r>
      <w:r>
        <w:t>P{ESCB_ID}_{CODE}</w:t>
      </w:r>
      <w:r>
        <w:t xml:space="preserve"> όπου η θέση </w:t>
      </w:r>
      <w:r>
        <w:t>CODE</w:t>
      </w:r>
      <w:r>
        <w:t xml:space="preserve"> αντικαθίσταται από τον αναγνωριστικό κωδικό που έχει αποδώσει η </w:t>
      </w:r>
      <w:r>
        <w:t>ΜΠΣ</w:t>
      </w:r>
      <w:r>
        <w:t xml:space="preserve"> στο νοικοκυριό χωρίς όμως να μπορεί να αναγνωρισθεί το συγκεκριμένο νοικοκυριό εκτός της </w:t>
      </w:r>
      <w:r>
        <w:t>ΜΠΣ</w:t>
      </w:r>
      <w:r>
        <w:t xml:space="preserve">, π.χ. </w:t>
      </w:r>
      <w:r>
        <w:t>PGRMFMC000_H1</w:t>
      </w:r>
      <w:r>
        <w:t>.</w:t>
      </w:r>
    </w:p>
    <w:p>
      <w:pPr>
        <w:pStyle w:val="Heading2"/>
      </w:pPr>
      <w:r>
        <w:t>PSN (φυσικό πρόσωπο)</w:t>
      </w:r>
    </w:p>
    <w:p>
      <w:r>
        <w:t xml:space="preserve">Ο αναγνωριστικός κωδικός ενός προσώπου που είτε αποστέλλει είτε λαμβάνει αρχεία είτε είναι μέλος ενός νοικοκυριού αναφέρεται ως ο κωδικός </w:t>
      </w:r>
      <w:r>
        <w:rPr>
          <w:b/>
        </w:rPr>
        <w:t>PSN</w:t>
      </w:r>
      <w:r>
        <w:t>.</w:t>
      </w:r>
    </w:p>
    <w:p>
      <w:r>
        <w:t xml:space="preserve">Ως αναγνωριστικός κωδικός </w:t>
      </w:r>
      <w:r>
        <w:rPr>
          <w:b/>
        </w:rPr>
        <w:t>PSN</w:t>
      </w:r>
      <w:r>
        <w:t xml:space="preserve"> ορίζεται ο αναγνωριστικός κωδικός που του έχει αποδωθεί από το πληροφοριακό σύστημα IRIS της ΤτΕ.</w:t>
      </w:r>
    </w:p>
    <w:p>
      <w:pPr>
        <w:pStyle w:val="Heading2"/>
      </w:pPr>
      <w:r>
        <w:t>DEP (κατάθεση)</w:t>
      </w:r>
    </w:p>
    <w:p>
      <w:r>
        <w:t xml:space="preserve">Ο αναγνωριστικός κωδικός ενός καταθετικού λογαριασμού αναφέρεται ως ο κωδικός </w:t>
      </w:r>
      <w:r>
        <w:rPr>
          <w:b/>
        </w:rPr>
        <w:t>DEP</w:t>
      </w:r>
      <w:r>
        <w:t>.</w:t>
      </w:r>
    </w:p>
    <w:p>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r>
        <w:t xml:space="preserve">Περισσότερες πληροφορίες στον </w:t>
      </w:r>
      <w:r>
        <w:t>ESA2010</w:t>
      </w:r>
      <w:r>
        <w:t xml:space="preserve"> παράγραφοι 5.79 έως και 5.88 με την διευκρίνηση ότι οι συμφωνίες επαναγοράς (repos) περιλαμβάνονται στο </w:t>
      </w:r>
      <w:r>
        <w:t>sft</w:t>
      </w:r>
      <w:r>
        <w:t>.</w:t>
      </w:r>
    </w:p>
    <w:p>
      <w:r>
        <w:t xml:space="preserve">Ο πρώτος από τους ακόλουθους αναγνωριστικούς κωδικούς που είναι διαθέσιμος θεωρείται ο κωδικός </w:t>
      </w:r>
      <w:r>
        <w:rPr>
          <w:b/>
        </w:rPr>
        <w:t>DEP</w:t>
      </w:r>
      <w:r>
        <w:t>:</w:t>
      </w:r>
    </w:p>
    <w:p>
      <w:pPr>
        <w:pStyle w:val="ListBullet"/>
      </w:pPr>
      <w:r>
        <w:t xml:space="preserve">Ο αναγνωριστικός κωδικός IBAN του καταθετικού λογαριασμού της μορφής </w:t>
      </w:r>
      <w:r>
        <w:t>Ι{CODE}</w:t>
      </w:r>
      <w:r>
        <w:t xml:space="preserve"> όπου η θέση </w:t>
      </w:r>
      <w:r>
        <w:t>CODE</w:t>
      </w:r>
      <w:r>
        <w:t xml:space="preserve"> αντικαθίσταται με το ΙΒΑΝ κωδικό</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στον καταθετικό λογαριασμό, π.χ. </w:t>
      </w:r>
      <w:r>
        <w:t>PGRMFMC000_DEP1</w:t>
      </w:r>
      <w:r>
        <w:t>.</w:t>
      </w:r>
    </w:p>
    <w:p>
      <w:pPr>
        <w:pStyle w:val="Heading2"/>
      </w:pPr>
      <w:r>
        <w:t>SFT (πράξη χρηματοδότησης χρεογράφων)</w:t>
      </w:r>
    </w:p>
    <w:p>
      <w:r>
        <w:t xml:space="preserve">Ο αναγνωριστικός κωδικός μίας πράξης χρηματοδότησης χρεογράφων αναφέρεται ως ο κωδικός </w:t>
      </w:r>
      <w:r>
        <w:rPr>
          <w:b/>
        </w:rPr>
        <w:t>SFT</w:t>
      </w:r>
      <w:r>
        <w:t>.</w:t>
      </w:r>
    </w:p>
    <w:p>
      <w:r>
        <w:t xml:space="preserve">Οι πράξεις χρηματοδότησης χρεογράφων αναφέρονται σε συναλλαγές όπου τα μέρη συμφωνούν να ανταλλάξουν χρηματοπιστωτικά μέσα με τη ρητή δέσμευση να αντιστραφεί η αρχική συναλλαγή. Τέτοιες πράξεις εμφανίζονται στη λογιστική της </w:t>
      </w:r>
      <w:r>
        <w:t>ΠΜ</w:t>
      </w:r>
      <w:r>
        <w:t xml:space="preserve"> μόνο εάν το ένα μέρος της συναλλαγής αφορά διαθέσιμα.  Τα αξιόγραφα που παρέχονται στο πλαίσιο μιας πράξης χρηματοδότησης χρεογράφων θεωρείται ότι δεν έχουν αλλάξει οικονομική κυριότητα επειδή ο δανειστής εξακολουθεί να είναι ο δικαιούχος του εισοδήματος που αποφέρει το αξιόγραφο και να υπόκειται στους κινδύνους ή στα οφέλη οποιασδήποτε αλλαγής στην τιμή του αξιόγραφου.  Σε περίπτωση που το μέρος της συμφωνίας πουλήσει τα αξιόγραφα που έχει δανειστεί τότε θα πρέπει να εμφανίσει αρνητικές συμμετοχές στα συγκεκριμένα αξιόγραφα έτσι ώστε να αποφευχθεί διπλή καταμέτρηση αφού τόσο ο αρχικός κάτοχος όσο και ο αγοραστής των αξιόγραφων τα παρουσιάζουν ως διακρατήσεις στον ισολογισμό τους.</w:t>
      </w:r>
    </w:p>
    <w:p>
      <w:r>
        <w:t xml:space="preserve">Περισσότερες πληροφορίες στον </w:t>
      </w:r>
      <w:r>
        <w:t>ESA2010</w:t>
      </w:r>
      <w:r>
        <w:t xml:space="preserve"> παράγραφοι 5.126 έως και 5.133 καθώς και στον κανονισμό (EE) 2015/2365.</w:t>
      </w:r>
    </w:p>
    <w:p>
      <w:r>
        <w:t xml:space="preserve">Ο αναγνωριστικός κωδικός </w:t>
      </w:r>
      <w:r>
        <w:rPr>
          <w:b/>
        </w:rPr>
        <w:t>SFT</w:t>
      </w:r>
      <w:r>
        <w:t xml:space="preserve"> έχει τη μορφή </w:t>
      </w:r>
      <w:r>
        <w:t>P{ESCB_ID}_{CODE}</w:t>
      </w:r>
      <w:r>
        <w:t xml:space="preserve"> όπου η θέση </w:t>
      </w:r>
      <w:r>
        <w:t>CODE</w:t>
      </w:r>
      <w:r>
        <w:t xml:space="preserve"> αντικαθίσταται με τον εσωτερικό κωδικό που η </w:t>
      </w:r>
      <w:r>
        <w:t>ΜΠΣ</w:t>
      </w:r>
      <w:r>
        <w:t xml:space="preserve"> έχει αποδώσει στην συμφωνία χρηματοδότησης χρεογράφων , π.χ. </w:t>
      </w:r>
      <w:r>
        <w:t>PGRMFMC000_SFT1</w:t>
      </w:r>
      <w:r>
        <w:t>.</w:t>
      </w:r>
    </w:p>
    <w:p>
      <w:pPr>
        <w:pStyle w:val="Heading2"/>
      </w:pPr>
      <w:r>
        <w:t>LON (δάνειο)</w:t>
      </w:r>
    </w:p>
    <w:p>
      <w:r>
        <w:t xml:space="preserve">Ο αναγνωριστικός κωδικός ενός δανείου αναφέρεται ως ο κωδικός </w:t>
      </w:r>
      <w:r>
        <w:rPr>
          <w:b/>
        </w:rPr>
        <w:t>LON</w:t>
      </w:r>
      <w:r>
        <w:t>.</w:t>
      </w:r>
    </w:p>
    <w:p>
      <w:r>
        <w:t>Δάνεια δημιουργούνται όταν οι πιστωτές δανείζουν χρήματα στους οφειλέτες.  Τα κύρια χαρακτηριστικά των δανείων είναι τα ακόλουθα:</w:t>
      </w:r>
    </w:p>
    <w:p>
      <w:pPr>
        <w:pStyle w:val="ListBullet"/>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Bullet"/>
      </w:pPr>
      <w:r>
        <w:t>η πρωτοβουλία λήψης δανείου προέρχεται συνήθως από το δανειζόμενο</w:t>
      </w:r>
    </w:p>
    <w:p>
      <w:pPr>
        <w:pStyle w:val="ListBullet"/>
      </w:pPr>
      <w:r>
        <w:t>το δάνειο είναι άνευ όρων χρέος προς τον πιστωτή, το οποίο πρέπει να εξοφληθεί στη λήξη του και το οποίο είναι τοκοφόρο</w:t>
      </w:r>
    </w:p>
    <w:p>
      <w:r>
        <w:t xml:space="preserve">Περισσότερες πληροφορίες στον </w:t>
      </w:r>
      <w:r>
        <w:t>ESA2010</w:t>
      </w:r>
      <w:r>
        <w:t xml:space="preserve"> παράγραφοι 5.112 έως και 5.138 με την διευκρίνηση ότι ο δανεισμός αξιογράφων και οι συμφωνίες επαναγοράς περιλαμβάνονται στο </w:t>
      </w:r>
      <w:r>
        <w:t>sft</w:t>
      </w:r>
      <w:r>
        <w:t>.</w:t>
      </w:r>
    </w:p>
    <w:p>
      <w:r>
        <w:t xml:space="preserve">Ο αναγνωριστικός κωδικός </w:t>
      </w:r>
      <w:r>
        <w:rPr>
          <w:b/>
        </w:rPr>
        <w:t>LON</w:t>
      </w:r>
      <w:r>
        <w:t xml:space="preserve"> έχει τη μορφή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δάνειο, π.χ. </w:t>
      </w:r>
      <w:r>
        <w:t>PGRMFMC000_LON1</w:t>
      </w:r>
      <w:r>
        <w:t>.</w:t>
      </w:r>
    </w:p>
    <w:p>
      <w:pPr>
        <w:pStyle w:val="Heading2"/>
      </w:pPr>
      <w:r>
        <w:t>DBT (χρεόγραφο)</w:t>
      </w:r>
    </w:p>
    <w:p>
      <w:r>
        <w:t xml:space="preserve">Ο αναγνωριστικός κωδικός ενός χρεογράφου αναφέρεται ως ο κωδικός </w:t>
      </w:r>
      <w:r>
        <w:rPr>
          <w:b/>
        </w:rPr>
        <w:t>DBT</w:t>
      </w:r>
      <w:r>
        <w:t>.</w:t>
      </w:r>
    </w:p>
    <w:p>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r>
        <w:t xml:space="preserve">Περισσότερες πληροφορίες στον </w:t>
      </w:r>
      <w:r>
        <w:t>ESA2010</w:t>
      </w:r>
      <w:r>
        <w:t xml:space="preserve"> παράγραφοι 5.89 έως και 5.111.</w:t>
      </w:r>
    </w:p>
    <w:p>
      <w:r>
        <w:t xml:space="preserve">Ο πρώτος από τους ακόλουθους αναγνωριστικούς κωδικούς που είναι διαθέσιμος θεωρείται ο κωδικός </w:t>
      </w:r>
      <w:r>
        <w:rPr>
          <w:b/>
        </w:rPr>
        <w:t>DBT</w:t>
      </w:r>
      <w:r>
        <w:t>:</w:t>
      </w:r>
    </w:p>
    <w:p>
      <w:pPr>
        <w:pStyle w:val="ListBullet"/>
      </w:pPr>
      <w:r>
        <w:t xml:space="preserve">Ο αναγνωριστικός κωδικός ISIN του χρεογράφου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χρεόγραφο, π.χ. </w:t>
      </w:r>
      <w:r>
        <w:t>PGRMFMC000_DBT1</w:t>
      </w:r>
      <w:r>
        <w:t>.</w:t>
      </w:r>
    </w:p>
    <w:p>
      <w:pPr>
        <w:pStyle w:val="Heading2"/>
      </w:pPr>
      <w:r>
        <w:t>SHR (συμμετοχικός τίτλος)</w:t>
      </w:r>
    </w:p>
    <w:p>
      <w:r>
        <w:t xml:space="preserve">Ο αναγνωριστικός ενός συμμετοχικού τίτλου ή μίας μετοχής/μεριδίου επενδυτικού οργανισμού αναφέρεται ως ο κωδικός </w:t>
      </w:r>
      <w:r>
        <w:rPr>
          <w:b/>
        </w:rPr>
        <w:t>SHR</w:t>
      </w:r>
      <w:r>
        <w:t>.</w:t>
      </w:r>
    </w:p>
    <w:p>
      <w:r>
        <w:t>Οι συμμετοχικοί τίτλοι και οι μετοχής ή τα μερίδια επενδυτικών οργανισμών είναι υπολειμματικές απαιτήσεις επί των περιουσιακών στοιχείων των θεσμικών μονάδων που εξέδωσαν τις μετοχές ή τα μερίδια.</w:t>
      </w:r>
    </w:p>
    <w:p>
      <w:r>
        <w:t xml:space="preserve">Περισσότερες πληροφορίες στον </w:t>
      </w:r>
      <w:r>
        <w:t>ESA2010</w:t>
      </w:r>
      <w:r>
        <w:t xml:space="preserve"> παράγραφοι 5.139 έως και 5.167.</w:t>
      </w:r>
    </w:p>
    <w:p>
      <w:r>
        <w:t xml:space="preserve">Ο πρώτος από τους ακόλουθους αναγνωριστικούς κωδικούς που είναι διαθέσιμος θεωρείται ο κωδικός </w:t>
      </w:r>
      <w:r>
        <w:rPr>
          <w:b/>
        </w:rPr>
        <w:t>SHR</w:t>
      </w:r>
      <w:r>
        <w:t>:</w:t>
      </w:r>
    </w:p>
    <w:p>
      <w:pPr>
        <w:pStyle w:val="ListBullet"/>
      </w:pPr>
      <w:r>
        <w:t xml:space="preserve">Ο αναγνωριστικός κωδικός ISIN του συμμετοχικού τίτλου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συμμετοχικό τίτλο ή τη μετοχή/μεριδίου επενδυτικού οργανισμού, π.χ. </w:t>
      </w:r>
      <w:r>
        <w:t>PGRMFMC000_SHR1</w:t>
      </w:r>
      <w:r>
        <w:t>.</w:t>
      </w:r>
    </w:p>
    <w:p>
      <w:pPr>
        <w:pStyle w:val="Heading2"/>
      </w:pPr>
      <w:r>
        <w:t>EDR (διαπραγματεύσιμο χρηματοοικονομικό παράγωγο)</w:t>
      </w:r>
    </w:p>
    <w:p>
      <w:r>
        <w:t xml:space="preserve">Ο αναγνωριστικός κωδικός ενός διαπραγματεύσιμου χρηματοοικονομικού παραγώγου αναφέρεται ως ο κωδικός </w:t>
      </w:r>
      <w:r>
        <w:rPr>
          <w:b/>
        </w:rPr>
        <w:t>EDR</w:t>
      </w:r>
      <w:r>
        <w:t>.</w:t>
      </w:r>
    </w:p>
    <w:p>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διαπραγματεύσιμα χρηματοοικονομικά παράγωγα αφορούν παράγωγα διαπραγματεύσιμα σε οργανωμένη αγορά.</w:t>
      </w:r>
    </w:p>
    <w:p>
      <w:r>
        <w:t xml:space="preserve">Περισσότερες πληροφορίες στον </w:t>
      </w:r>
      <w:r>
        <w:t>ESA2010</w:t>
      </w:r>
      <w:r>
        <w:t xml:space="preserve"> παράγραφοι 5.198 έως και 5.229.</w:t>
      </w:r>
    </w:p>
    <w:p>
      <w:r>
        <w:t xml:space="preserve">Ο πρώτος από τους ακόλουθους αναγνωριστικούς κωδικούς που είναι διαθέσιμος θεωρείται ο κωδικός </w:t>
      </w:r>
      <w:r>
        <w:rPr>
          <w:b/>
        </w:rPr>
        <w:t>EDR</w:t>
      </w:r>
      <w:r>
        <w:t>:</w:t>
      </w:r>
    </w:p>
    <w:p>
      <w:pPr>
        <w:pStyle w:val="ListBullet"/>
      </w:pPr>
      <w:r>
        <w:t xml:space="preserve">Ο αναγνωριστικός κωδικός ISIN του διαπραγματεύσιμου χρηματοοικονομικού παραγώγου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διαπραγματεύσιμο χρηματοοικονομικό παράγωγο, π.χ. </w:t>
      </w:r>
      <w:r>
        <w:t>PGRMFMC000_EDR1</w:t>
      </w:r>
      <w:r>
        <w:t>.</w:t>
      </w:r>
    </w:p>
    <w:p>
      <w:pPr>
        <w:pStyle w:val="Heading2"/>
      </w:pPr>
      <w:r>
        <w:t>ODR (εξωχρηματιστηριακό χρηματοοικονομικό παράγωγο)</w:t>
      </w:r>
    </w:p>
    <w:p>
      <w:r>
        <w:t xml:space="preserve">Ο αναγνωριστικός κωδικός ενός εξωχρηματιστηριακού χρηματοοικονομικού παραγώγου αναφέρεται ως ο κωδικός </w:t>
      </w:r>
      <w:r>
        <w:rPr>
          <w:b/>
        </w:rPr>
        <w:t>ODR</w:t>
      </w:r>
      <w:r>
        <w:t>.</w:t>
      </w:r>
    </w:p>
    <w:p>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εξωχρηματιστηριακά χρηματοοικονομικά παράγωγα αφορούν παράγωγα που δεν είναι διαπραγματεύσιμα σε οργανωμένη αγορά.</w:t>
      </w:r>
    </w:p>
    <w:p>
      <w:r>
        <w:t xml:space="preserve">Περισσότερες πληροφορίες στον </w:t>
      </w:r>
      <w:r>
        <w:t>ESA2010</w:t>
      </w:r>
      <w:r>
        <w:t xml:space="preserve"> παράγραφοι 5.198 έως και 5.229.</w:t>
      </w:r>
    </w:p>
    <w:p>
      <w:r>
        <w:t xml:space="preserve">Ο πρώτος από τους ακόλουθους αναγνωριστικούς κωδικούς που είναι διαθέσιμος θεωρείται ο κωδικός </w:t>
      </w:r>
      <w:r>
        <w:rPr>
          <w:b/>
        </w:rPr>
        <w:t>ODR</w:t>
      </w:r>
      <w:r>
        <w:t>:</w:t>
      </w:r>
    </w:p>
    <w:p>
      <w:pPr>
        <w:pStyle w:val="ListBullet"/>
      </w:pPr>
      <w:r>
        <w:t xml:space="preserve">Ο αναγνωριστικός κωδικός ISIN του εξωχρηματιστηριακού παραγώγου της μορφής </w:t>
      </w:r>
      <w:r>
        <w:t>I{CODE}</w:t>
      </w:r>
      <w:r>
        <w:t xml:space="preserve"> όπου η θέση </w:t>
      </w:r>
      <w:r>
        <w:t>CODE</w:t>
      </w:r>
      <w:r>
        <w:t xml:space="preserve"> αντικαθίσταται με τον κωδικό ISIN.</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εξωχρηματιστηριακό χρηματοοικονομικό παράγωγο, π.χ. </w:t>
      </w:r>
      <w:r>
        <w:t>PGRMFMC000_ODR1</w:t>
      </w:r>
      <w:r>
        <w:t>.</w:t>
      </w:r>
    </w:p>
    <w:p>
      <w:pPr>
        <w:pStyle w:val="Heading2"/>
      </w:pPr>
      <w:r>
        <w:t>RRE (οικιστικό ακίνητο)</w:t>
      </w:r>
    </w:p>
    <w:p>
      <w:r>
        <w:t xml:space="preserve">Ο αναγνωριστικός ενός οικιστικού ακινήτου αναφέρεται ως ο κωδικός </w:t>
      </w:r>
      <w:r>
        <w:rPr>
          <w:b/>
        </w:rPr>
        <w:t>RRE</w:t>
      </w:r>
      <w:r>
        <w:t>.</w:t>
      </w:r>
    </w:p>
    <w:p>
      <w:r>
        <w:t>Στα οικιστικά ακίνητα περιλαμβάνονται κάθε είδος ακίνητο που χρησιμοποιείται ως κατοικία (διαμέρισμα, μεζονέτα, κ.λπ.) ή δύναται να χρησιμοποιηθεί στο μέλλον ως κατοικία (ημιτελή κτίσματα κατοικιών κ.λπ.), καθώς και οι βοηθητικοί χώροι και τα παρακολουθήματα αυτών.  Περιλαμβάνονται επίσης τα άρτια και οικοδομήσιμα οικόπεδα που προορίζονται για οικιστική χρήση δηλαδή για ανέγερση κατοικιών στο μέλλον.</w:t>
      </w:r>
    </w:p>
    <w:p>
      <w:r>
        <w:t xml:space="preserve">Περισσότερες πληροφορίες στην </w:t>
      </w:r>
      <w:r>
        <w:t>Πράξη Διοικητή της ΤτΕ Αριθμ. 2610/31.10.2008</w:t>
      </w:r>
      <w:r>
        <w:t>.</w:t>
      </w:r>
    </w:p>
    <w:p>
      <w:r>
        <w:t xml:space="preserve">Ο πρώτος από τους ακόλουθους αναγνωριστικούς κωδικούς που είναι διαθέσιμος θεωρείται ο κωδικός </w:t>
      </w:r>
      <w:r>
        <w:rPr>
          <w:b/>
        </w:rPr>
        <w:t>RRE</w:t>
      </w:r>
      <w:r>
        <w:t>:</w:t>
      </w:r>
    </w:p>
    <w:p>
      <w:pPr>
        <w:pStyle w:val="ListBullet"/>
      </w:pPr>
      <w:r>
        <w:t xml:space="preserve">Ο εθνικός κωδικός ακινήτου της μορφής </w:t>
      </w:r>
      <w:r>
        <w:t>Ν{CC}{CODE}</w:t>
      </w:r>
      <w:r>
        <w:t xml:space="preserve"> όπου η θέση </w:t>
      </w:r>
      <w:r>
        <w:t>CC</w:t>
      </w:r>
      <w:r>
        <w:t xml:space="preserve"> αντικαθίσταται με τον διψήφιο κωδικό χώρας ISO 3166-1 alpha-2 που έχει εκδώσει τον εθνικό κωδικό ακινήτου και η θέση </w:t>
      </w:r>
      <w:r>
        <w:t>CODE</w:t>
      </w:r>
      <w:r>
        <w:t xml:space="preserve"> με τον επίσημο εθνικό κωδικό ακινήτου χωρίς τον διψήφιο κωδικό χώρας αν ξεκινάει με αυτόν, π.χ. </w:t>
      </w:r>
      <w:r>
        <w:t>NGR00394910040</w:t>
      </w:r>
      <w:r>
        <w:t>.</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οικιστικό ακίνητο, π.χ. </w:t>
      </w:r>
      <w:r>
        <w:t>PGRMFMC000_RRE1</w:t>
      </w:r>
      <w:r>
        <w:t>.</w:t>
      </w:r>
    </w:p>
    <w:p>
      <w:pPr>
        <w:pStyle w:val="Heading2"/>
      </w:pPr>
      <w:r>
        <w:t>CRE (επαγγελματικό ακίνητο)</w:t>
      </w:r>
    </w:p>
    <w:p>
      <w:r>
        <w:t xml:space="preserve">Ο αναγνωριστικός ενός οικιστικού ακινήτου αναφέρεται ως ο κωδικός </w:t>
      </w:r>
      <w:r>
        <w:rPr>
          <w:b/>
        </w:rPr>
        <w:t>CRE</w:t>
      </w:r>
      <w:r>
        <w:t>.</w:t>
      </w:r>
    </w:p>
    <w:p>
      <w:r>
        <w:t>Στα επαγγελματικά ακίνητα περιλαμβάνονται κάθε είδος ακίνητο που χρησιμοποιείται ή δύναται να χρησιμοποιηθεί για επιχειρηματικούς σκοπούς και ανήκει σε μία από τις παρακάτω γενικές κατηγορίες με βάση τη χρήση του: γραφείο, κατάστημα, επαγγελματική αποθήκη, βιομηχανικό-βιοτεχνικό ακίνητο, ακίνητο με χρήσεις τουρισμού, εστίασης-αναψυχής (εστιατόριο, θέατρο, κ.ά.), ειδική επαγγελματική χρήση (χώρος στάθμευσης, πρατήριο καυσίμων κ.ά.), όπως και το σύνολο των υποκατηγοριών που αυτές περιλαμβάνουν.</w:t>
      </w:r>
    </w:p>
    <w:p>
      <w:r>
        <w:t xml:space="preserve">Περισσότερες πληροφορίες στην </w:t>
      </w:r>
      <w:r>
        <w:t>Πράξη Εκτελεστικής Επιτροπής της ΤτΕ Αριθμ. 23/26.07.2013</w:t>
      </w:r>
      <w:r>
        <w:t>.</w:t>
      </w:r>
    </w:p>
    <w:p>
      <w:r>
        <w:t xml:space="preserve">Ο πρώτος από τους ακόλουθους αναγνωριστικούς κωδικούς που είναι διαθέσιμος θεωρείται ο κωδικός </w:t>
      </w:r>
      <w:r>
        <w:rPr>
          <w:b/>
        </w:rPr>
        <w:t>CRE</w:t>
      </w:r>
      <w:r>
        <w:t>:</w:t>
      </w:r>
    </w:p>
    <w:p>
      <w:pPr>
        <w:pStyle w:val="ListBullet"/>
      </w:pPr>
      <w:r>
        <w:t xml:space="preserve">Ο εθνικός κωδικός ακινήτου της μορφής </w:t>
      </w:r>
      <w:r>
        <w:t>Ν{CC}{CODE}</w:t>
      </w:r>
      <w:r>
        <w:t xml:space="preserve"> όπου η θέση </w:t>
      </w:r>
      <w:r>
        <w:t>CC</w:t>
      </w:r>
      <w:r>
        <w:t xml:space="preserve"> αντικαθίσταται με τον διψήφιο κωδικό χώρας ISO 3166-1 alpha-2 που έχει εκδώσει τον εθνικό κωδικό ακινήτου και η θέση </w:t>
      </w:r>
      <w:r>
        <w:t>CODE</w:t>
      </w:r>
      <w:r>
        <w:t xml:space="preserve"> με τον επίσημο εθνικό κωδικό ακινήτου χωρίς τον διψήφιο κωδικό χώρας αν ξεκινάει με αυτόν, π.χ. </w:t>
      </w:r>
      <w:r>
        <w:t>NGR00394910040</w:t>
      </w:r>
      <w:r>
        <w:t>.</w:t>
      </w:r>
    </w:p>
    <w:p>
      <w:pPr>
        <w:pStyle w:val="ListBullet"/>
      </w:pPr>
      <w:r>
        <w:t xml:space="preserve">Εσωτερικός αναγνωριστικός κωδικός της μορφής </w:t>
      </w:r>
      <w:r>
        <w:t>P{ESCB_ID}_{CODE}</w:t>
      </w:r>
      <w:r>
        <w:t xml:space="preserve"> όπου η θέση </w:t>
      </w:r>
      <w:r>
        <w:t>CODE</w:t>
      </w:r>
      <w:r>
        <w:t xml:space="preserve"> αντικαθίσταται με τον εσωτερικό κωδικό που η </w:t>
      </w:r>
      <w:r>
        <w:t>ΜΠΣ</w:t>
      </w:r>
      <w:r>
        <w:t xml:space="preserve"> έχει αποδώσει στο επαγγελματικό ακίνητο, π.χ. </w:t>
      </w:r>
      <w:r>
        <w:t>PGRMFMC000_CRE1</w:t>
      </w:r>
      <w:r>
        <w:t>.</w:t>
      </w:r>
    </w:p>
    <w:p>
      <w:pPr>
        <w:pStyle w:val="Heading1"/>
      </w:pPr>
      <w:r>
        <w:t>Μονάδες Παροχής Στοιχείων</w:t>
      </w:r>
    </w:p>
    <w:p>
      <w:r>
        <w:t xml:space="preserve">Για κάθε </w:t>
      </w:r>
      <w:r>
        <w:t>ΜΠΣ</w:t>
      </w:r>
      <w:r>
        <w:t xml:space="preserve"> στο παρακάτω πίνακα δίνονται ο αναγνωριστικός κωδικός </w:t>
      </w:r>
      <w:r>
        <w:rPr>
          <w:b/>
        </w:rPr>
        <w:t>ORG</w:t>
      </w:r>
      <w:r>
        <w:t xml:space="preserve"> (</w:t>
      </w:r>
      <w:r>
        <w:t>Αναγνωριστικοί κωδικοί</w:t>
      </w:r>
      <w:r>
        <w:t>), o αναγνωριστικός κωδικός που της έχει αποδοθεί από το ΕΣΚΤ (</w:t>
      </w:r>
      <w:r>
        <w:rPr>
          <w:b/>
        </w:rPr>
        <w:t>ESCB_ID</w:t>
      </w:r>
      <w:r>
        <w:t>), ο αριθμός φορολογικού μητρώου (</w:t>
      </w:r>
      <w:r>
        <w:rPr>
          <w:b/>
        </w:rPr>
        <w:t>TAX_ID</w:t>
      </w:r>
      <w:r>
        <w:t>) και η επωνυμία της (</w:t>
      </w:r>
      <w:r>
        <w:rPr>
          <w:b/>
        </w:rPr>
        <w:t>ΕΠΩΝΥΜΙΑ</w:t>
      </w:r>
      <w:r>
        <w:t>).</w:t>
      </w:r>
    </w:p>
    <w:tbl>
      <w:tblPr>
        <w:tblW w:type="auto" w:w="0"/>
        <w:tblLook w:firstColumn="1" w:firstRow="1" w:lastColumn="0" w:lastRow="0" w:noHBand="0" w:noVBand="1" w:val="04A0"/>
      </w:tblPr>
      <w:tblGrid>
        <w:gridCol w:w="2160"/>
        <w:gridCol w:w="2160"/>
        <w:gridCol w:w="2160"/>
        <w:gridCol w:w="2160"/>
      </w:tblGrid>
      <w:tr>
        <w:tc>
          <w:tcPr>
            <w:tcW w:type="dxa" w:w="2160"/>
          </w:tcPr>
          <w:p>
            <w:pPr>
              <w:ind w:left="0"/>
              <w:jc w:val="left"/>
            </w:pPr>
            <w:r>
              <w:t>ORG</w:t>
            </w:r>
          </w:p>
        </w:tc>
        <w:tc>
          <w:tcPr>
            <w:tcW w:type="dxa" w:w="2160"/>
          </w:tcPr>
          <w:p>
            <w:pPr>
              <w:ind w:left="0"/>
              <w:jc w:val="left"/>
            </w:pPr>
            <w:r>
              <w:t>ESCB_ID</w:t>
            </w:r>
          </w:p>
        </w:tc>
        <w:tc>
          <w:tcPr>
            <w:tcW w:type="dxa" w:w="2160"/>
          </w:tcPr>
          <w:p>
            <w:pPr>
              <w:ind w:left="0"/>
              <w:jc w:val="left"/>
            </w:pPr>
            <w:r>
              <w:t>TAX_ID</w:t>
            </w:r>
          </w:p>
        </w:tc>
        <w:tc>
          <w:tcPr>
            <w:tcW w:type="dxa" w:w="2160"/>
          </w:tcPr>
          <w:p>
            <w:pPr>
              <w:ind w:left="0"/>
              <w:jc w:val="left"/>
            </w:pPr>
            <w:r>
              <w:t>ΕΠΩΝΥΜΙΑ</w:t>
            </w:r>
          </w:p>
        </w:tc>
      </w:tr>
      <w:tr>
        <w:tc>
          <w:tcPr>
            <w:tcW w:type="dxa" w:w="2160"/>
          </w:tcPr>
          <w:p>
            <w:pPr>
              <w:ind w:left="0"/>
              <w:jc w:val="left"/>
            </w:pPr>
            <w:r>
              <w:t>EGR094321237</w:t>
            </w:r>
          </w:p>
        </w:tc>
        <w:tc>
          <w:tcPr>
            <w:tcW w:type="dxa" w:w="2160"/>
          </w:tcPr>
          <w:p>
            <w:pPr>
              <w:ind w:left="0"/>
              <w:jc w:val="left"/>
            </w:pPr>
            <w:r>
              <w:t>GR094321237</w:t>
            </w:r>
          </w:p>
        </w:tc>
        <w:tc>
          <w:tcPr>
            <w:tcW w:type="dxa" w:w="2160"/>
          </w:tcPr>
          <w:p>
            <w:pPr>
              <w:ind w:left="0"/>
              <w:jc w:val="left"/>
            </w:pPr>
            <w:r>
              <w:t>GR094321237</w:t>
            </w:r>
          </w:p>
        </w:tc>
        <w:tc>
          <w:tcPr>
            <w:tcW w:type="dxa" w:w="2160"/>
          </w:tcPr>
          <w:p>
            <w:pPr>
              <w:ind w:left="0"/>
              <w:jc w:val="left"/>
            </w:pPr>
            <w:r>
              <w:t>PREMIA PROPERTIES ΑΕΕΑΠ</w:t>
            </w:r>
          </w:p>
        </w:tc>
      </w:tr>
      <w:tr>
        <w:tc>
          <w:tcPr>
            <w:tcW w:type="dxa" w:w="2160"/>
          </w:tcPr>
          <w:p>
            <w:pPr>
              <w:ind w:left="0"/>
              <w:jc w:val="left"/>
            </w:pPr>
            <w:r>
              <w:t>EGR099757323</w:t>
            </w:r>
          </w:p>
        </w:tc>
        <w:tc>
          <w:tcPr>
            <w:tcW w:type="dxa" w:w="2160"/>
          </w:tcPr>
          <w:p>
            <w:pPr>
              <w:ind w:left="0"/>
              <w:jc w:val="left"/>
            </w:pPr>
            <w:r>
              <w:t>GR099757323</w:t>
            </w:r>
          </w:p>
        </w:tc>
        <w:tc>
          <w:tcPr>
            <w:tcW w:type="dxa" w:w="2160"/>
          </w:tcPr>
          <w:p>
            <w:pPr>
              <w:ind w:left="0"/>
              <w:jc w:val="left"/>
            </w:pPr>
            <w:r>
              <w:t>GR099757323</w:t>
            </w:r>
          </w:p>
        </w:tc>
        <w:tc>
          <w:tcPr>
            <w:tcW w:type="dxa" w:w="2160"/>
          </w:tcPr>
          <w:p>
            <w:pPr>
              <w:ind w:left="0"/>
              <w:jc w:val="left"/>
            </w:pPr>
            <w:r>
              <w:t>ELIKONOS CAPITAL ΑΕΔΟΕΕ</w:t>
            </w:r>
          </w:p>
        </w:tc>
      </w:tr>
      <w:tr>
        <w:tc>
          <w:tcPr>
            <w:tcW w:type="dxa" w:w="2160"/>
          </w:tcPr>
          <w:p>
            <w:pPr>
              <w:ind w:left="0"/>
              <w:jc w:val="left"/>
            </w:pPr>
            <w:r>
              <w:t>EGR800398384</w:t>
            </w:r>
          </w:p>
        </w:tc>
        <w:tc>
          <w:tcPr>
            <w:tcW w:type="dxa" w:w="2160"/>
          </w:tcPr>
          <w:p>
            <w:pPr>
              <w:ind w:left="0"/>
              <w:jc w:val="left"/>
            </w:pPr>
            <w:r>
              <w:t>GR800398384</w:t>
            </w:r>
          </w:p>
        </w:tc>
        <w:tc>
          <w:tcPr>
            <w:tcW w:type="dxa" w:w="2160"/>
          </w:tcPr>
          <w:p>
            <w:pPr>
              <w:ind w:left="0"/>
              <w:jc w:val="left"/>
            </w:pPr>
            <w:r>
              <w:t>GR800398384</w:t>
            </w:r>
          </w:p>
        </w:tc>
        <w:tc>
          <w:tcPr>
            <w:tcW w:type="dxa" w:w="2160"/>
          </w:tcPr>
          <w:p>
            <w:pPr>
              <w:ind w:left="0"/>
              <w:jc w:val="left"/>
            </w:pPr>
            <w:r>
              <w:t>PIRAEUS JEREMIE TECHNOLOGY CATALYST MANAGEMENT ΜΟΝΟΠΡΟΣΩΠΗ ΑΕΔΑΚΕΣ</w:t>
            </w:r>
          </w:p>
        </w:tc>
      </w:tr>
      <w:tr>
        <w:tc>
          <w:tcPr>
            <w:tcW w:type="dxa" w:w="2160"/>
          </w:tcPr>
          <w:p>
            <w:pPr>
              <w:ind w:left="0"/>
              <w:jc w:val="left"/>
            </w:pPr>
            <w:r>
              <w:t>EGR800433747</w:t>
            </w:r>
          </w:p>
        </w:tc>
        <w:tc>
          <w:tcPr>
            <w:tcW w:type="dxa" w:w="2160"/>
          </w:tcPr>
          <w:p>
            <w:pPr>
              <w:ind w:left="0"/>
              <w:jc w:val="left"/>
            </w:pPr>
            <w:r>
              <w:t>GR800433747</w:t>
            </w:r>
          </w:p>
        </w:tc>
        <w:tc>
          <w:tcPr>
            <w:tcW w:type="dxa" w:w="2160"/>
          </w:tcPr>
          <w:p>
            <w:pPr>
              <w:ind w:left="0"/>
              <w:jc w:val="left"/>
            </w:pPr>
            <w:r>
              <w:t>GR800433747</w:t>
            </w:r>
          </w:p>
        </w:tc>
        <w:tc>
          <w:tcPr>
            <w:tcW w:type="dxa" w:w="2160"/>
          </w:tcPr>
          <w:p>
            <w:pPr>
              <w:ind w:left="0"/>
              <w:jc w:val="left"/>
            </w:pPr>
            <w:r>
              <w:t>Openfund ΑΕΔΑΚΕΣ</w:t>
            </w:r>
          </w:p>
        </w:tc>
      </w:tr>
      <w:tr>
        <w:tc>
          <w:tcPr>
            <w:tcW w:type="dxa" w:w="2160"/>
          </w:tcPr>
          <w:p>
            <w:pPr>
              <w:ind w:left="0"/>
              <w:jc w:val="left"/>
            </w:pPr>
            <w:r>
              <w:t>EGR800597834</w:t>
            </w:r>
          </w:p>
        </w:tc>
        <w:tc>
          <w:tcPr>
            <w:tcW w:type="dxa" w:w="2160"/>
          </w:tcPr>
          <w:p>
            <w:pPr>
              <w:ind w:left="0"/>
              <w:jc w:val="left"/>
            </w:pPr>
            <w:r>
              <w:t>GR800597834</w:t>
            </w:r>
          </w:p>
        </w:tc>
        <w:tc>
          <w:tcPr>
            <w:tcW w:type="dxa" w:w="2160"/>
          </w:tcPr>
          <w:p>
            <w:pPr>
              <w:ind w:left="0"/>
              <w:jc w:val="left"/>
            </w:pPr>
            <w:r>
              <w:t>GR800597834</w:t>
            </w:r>
          </w:p>
        </w:tc>
        <w:tc>
          <w:tcPr>
            <w:tcW w:type="dxa" w:w="2160"/>
          </w:tcPr>
          <w:p>
            <w:pPr>
              <w:ind w:left="0"/>
              <w:jc w:val="left"/>
            </w:pPr>
            <w:r>
              <w:t>DECA INVESTMENTS ΑΕΔΟΕΕ</w:t>
            </w:r>
          </w:p>
        </w:tc>
      </w:tr>
      <w:tr>
        <w:tc>
          <w:tcPr>
            <w:tcW w:type="dxa" w:w="2160"/>
          </w:tcPr>
          <w:p>
            <w:pPr>
              <w:ind w:left="0"/>
              <w:jc w:val="left"/>
            </w:pPr>
            <w:r>
              <w:t>EGR800639356</w:t>
            </w:r>
          </w:p>
        </w:tc>
        <w:tc>
          <w:tcPr>
            <w:tcW w:type="dxa" w:w="2160"/>
          </w:tcPr>
          <w:p>
            <w:pPr>
              <w:ind w:left="0"/>
              <w:jc w:val="left"/>
            </w:pPr>
            <w:r>
              <w:t>GR800639356</w:t>
            </w:r>
          </w:p>
        </w:tc>
        <w:tc>
          <w:tcPr>
            <w:tcW w:type="dxa" w:w="2160"/>
          </w:tcPr>
          <w:p>
            <w:pPr>
              <w:ind w:left="0"/>
              <w:jc w:val="left"/>
            </w:pPr>
            <w:r>
              <w:t>GR800639356</w:t>
            </w:r>
          </w:p>
        </w:tc>
        <w:tc>
          <w:tcPr>
            <w:tcW w:type="dxa" w:w="2160"/>
          </w:tcPr>
          <w:p>
            <w:pPr>
              <w:ind w:left="0"/>
              <w:jc w:val="left"/>
            </w:pPr>
            <w:r>
              <w:t>LEVANT PARTNETS ΑΕΔΟΕΕ</w:t>
            </w:r>
          </w:p>
        </w:tc>
      </w:tr>
      <w:tr>
        <w:tc>
          <w:tcPr>
            <w:tcW w:type="dxa" w:w="2160"/>
          </w:tcPr>
          <w:p>
            <w:pPr>
              <w:ind w:left="0"/>
              <w:jc w:val="left"/>
            </w:pPr>
            <w:r>
              <w:t>EGR800792234</w:t>
            </w:r>
          </w:p>
        </w:tc>
        <w:tc>
          <w:tcPr>
            <w:tcW w:type="dxa" w:w="2160"/>
          </w:tcPr>
          <w:p>
            <w:pPr>
              <w:ind w:left="0"/>
              <w:jc w:val="left"/>
            </w:pPr>
            <w:r>
              <w:t>GR800792234</w:t>
            </w:r>
          </w:p>
        </w:tc>
        <w:tc>
          <w:tcPr>
            <w:tcW w:type="dxa" w:w="2160"/>
          </w:tcPr>
          <w:p>
            <w:pPr>
              <w:ind w:left="0"/>
              <w:jc w:val="left"/>
            </w:pPr>
            <w:r>
              <w:t>GR800792234</w:t>
            </w:r>
          </w:p>
        </w:tc>
        <w:tc>
          <w:tcPr>
            <w:tcW w:type="dxa" w:w="2160"/>
          </w:tcPr>
          <w:p>
            <w:pPr>
              <w:ind w:left="0"/>
              <w:jc w:val="left"/>
            </w:pPr>
            <w:r>
              <w:t>Marathon ΑΕΔΑΚΕΣ</w:t>
            </w:r>
          </w:p>
        </w:tc>
      </w:tr>
      <w:tr>
        <w:tc>
          <w:tcPr>
            <w:tcW w:type="dxa" w:w="2160"/>
          </w:tcPr>
          <w:p>
            <w:pPr>
              <w:ind w:left="0"/>
              <w:jc w:val="left"/>
            </w:pPr>
            <w:r>
              <w:t>EGR800901770</w:t>
            </w:r>
          </w:p>
        </w:tc>
        <w:tc>
          <w:tcPr>
            <w:tcW w:type="dxa" w:w="2160"/>
          </w:tcPr>
          <w:p>
            <w:pPr>
              <w:ind w:left="0"/>
              <w:jc w:val="left"/>
            </w:pPr>
            <w:r>
              <w:t>GR800901770</w:t>
            </w:r>
          </w:p>
        </w:tc>
        <w:tc>
          <w:tcPr>
            <w:tcW w:type="dxa" w:w="2160"/>
          </w:tcPr>
          <w:p>
            <w:pPr>
              <w:ind w:left="0"/>
              <w:jc w:val="left"/>
            </w:pPr>
            <w:r>
              <w:t>GR800901770</w:t>
            </w:r>
          </w:p>
        </w:tc>
        <w:tc>
          <w:tcPr>
            <w:tcW w:type="dxa" w:w="2160"/>
          </w:tcPr>
          <w:p>
            <w:pPr>
              <w:ind w:left="0"/>
              <w:jc w:val="left"/>
            </w:pPr>
            <w:r>
              <w:t>EOS CAPITAL PARTNERS ΑΕΔΟΕΕ</w:t>
            </w:r>
          </w:p>
        </w:tc>
      </w:tr>
      <w:tr>
        <w:tc>
          <w:tcPr>
            <w:tcW w:type="dxa" w:w="2160"/>
          </w:tcPr>
          <w:p>
            <w:pPr>
              <w:ind w:left="0"/>
              <w:jc w:val="left"/>
            </w:pPr>
            <w:r>
              <w:t>EGR800903737</w:t>
            </w:r>
          </w:p>
        </w:tc>
        <w:tc>
          <w:tcPr>
            <w:tcW w:type="dxa" w:w="2160"/>
          </w:tcPr>
          <w:p>
            <w:pPr>
              <w:ind w:left="0"/>
              <w:jc w:val="left"/>
            </w:pPr>
            <w:r>
              <w:t>GR800903737</w:t>
            </w:r>
          </w:p>
        </w:tc>
        <w:tc>
          <w:tcPr>
            <w:tcW w:type="dxa" w:w="2160"/>
          </w:tcPr>
          <w:p>
            <w:pPr>
              <w:ind w:left="0"/>
              <w:jc w:val="left"/>
            </w:pPr>
            <w:r>
              <w:t>GR800903737</w:t>
            </w:r>
          </w:p>
        </w:tc>
        <w:tc>
          <w:tcPr>
            <w:tcW w:type="dxa" w:w="2160"/>
          </w:tcPr>
          <w:p>
            <w:pPr>
              <w:ind w:left="0"/>
              <w:jc w:val="left"/>
            </w:pPr>
            <w:r>
              <w:t>METAVALLON PARTNERS ΑΕΔΑΚΕΣ</w:t>
            </w:r>
          </w:p>
        </w:tc>
      </w:tr>
      <w:tr>
        <w:tc>
          <w:tcPr>
            <w:tcW w:type="dxa" w:w="2160"/>
          </w:tcPr>
          <w:p>
            <w:pPr>
              <w:ind w:left="0"/>
              <w:jc w:val="left"/>
            </w:pPr>
            <w:r>
              <w:t>EGR800911079</w:t>
            </w:r>
          </w:p>
        </w:tc>
        <w:tc>
          <w:tcPr>
            <w:tcW w:type="dxa" w:w="2160"/>
          </w:tcPr>
          <w:p>
            <w:pPr>
              <w:ind w:left="0"/>
              <w:jc w:val="left"/>
            </w:pPr>
            <w:r>
              <w:t>GR800911079</w:t>
            </w:r>
          </w:p>
        </w:tc>
        <w:tc>
          <w:tcPr>
            <w:tcW w:type="dxa" w:w="2160"/>
          </w:tcPr>
          <w:p>
            <w:pPr>
              <w:ind w:left="0"/>
              <w:jc w:val="left"/>
            </w:pPr>
            <w:r>
              <w:t>GR800911079</w:t>
            </w:r>
          </w:p>
        </w:tc>
        <w:tc>
          <w:tcPr>
            <w:tcW w:type="dxa" w:w="2160"/>
          </w:tcPr>
          <w:p>
            <w:pPr>
              <w:ind w:left="0"/>
              <w:jc w:val="left"/>
            </w:pPr>
            <w:r>
              <w:t>ΓΙΟΥΝΙΦΑΝΤ ΑΕΔΑΚΕΣ</w:t>
            </w:r>
          </w:p>
        </w:tc>
      </w:tr>
      <w:tr>
        <w:tc>
          <w:tcPr>
            <w:tcW w:type="dxa" w:w="2160"/>
          </w:tcPr>
          <w:p>
            <w:pPr>
              <w:ind w:left="0"/>
              <w:jc w:val="left"/>
            </w:pPr>
            <w:r>
              <w:t>EGR801296864</w:t>
            </w:r>
          </w:p>
        </w:tc>
        <w:tc>
          <w:tcPr>
            <w:tcW w:type="dxa" w:w="2160"/>
          </w:tcPr>
          <w:p>
            <w:pPr>
              <w:ind w:left="0"/>
              <w:jc w:val="left"/>
            </w:pPr>
            <w:r>
              <w:t>GR801296864</w:t>
            </w:r>
          </w:p>
        </w:tc>
        <w:tc>
          <w:tcPr>
            <w:tcW w:type="dxa" w:w="2160"/>
          </w:tcPr>
          <w:p>
            <w:pPr>
              <w:ind w:left="0"/>
              <w:jc w:val="left"/>
            </w:pPr>
            <w:r>
              <w:t>GR801296864</w:t>
            </w:r>
          </w:p>
        </w:tc>
        <w:tc>
          <w:tcPr>
            <w:tcW w:type="dxa" w:w="2160"/>
          </w:tcPr>
          <w:p>
            <w:pPr>
              <w:ind w:left="0"/>
              <w:jc w:val="left"/>
            </w:pPr>
            <w:r>
              <w:t>THERMI VENTURE CAPITAL MANAGEMENT ΑΕΔΑΚΕΣ</w:t>
            </w:r>
          </w:p>
        </w:tc>
      </w:tr>
      <w:tr>
        <w:tc>
          <w:tcPr>
            <w:tcW w:type="dxa" w:w="2160"/>
          </w:tcPr>
          <w:p>
            <w:pPr>
              <w:ind w:left="0"/>
              <w:jc w:val="left"/>
            </w:pPr>
            <w:r>
              <w:t>EGR801322351</w:t>
            </w:r>
          </w:p>
        </w:tc>
        <w:tc>
          <w:tcPr>
            <w:tcW w:type="dxa" w:w="2160"/>
          </w:tcPr>
          <w:p>
            <w:pPr>
              <w:ind w:left="0"/>
              <w:jc w:val="left"/>
            </w:pPr>
            <w:r>
              <w:t>GR801322351</w:t>
            </w:r>
          </w:p>
        </w:tc>
        <w:tc>
          <w:tcPr>
            <w:tcW w:type="dxa" w:w="2160"/>
          </w:tcPr>
          <w:p>
            <w:pPr>
              <w:ind w:left="0"/>
              <w:jc w:val="left"/>
            </w:pPr>
            <w:r>
              <w:t>GR801322351</w:t>
            </w:r>
          </w:p>
        </w:tc>
        <w:tc>
          <w:tcPr>
            <w:tcW w:type="dxa" w:w="2160"/>
          </w:tcPr>
          <w:p>
            <w:pPr>
              <w:ind w:left="0"/>
              <w:jc w:val="left"/>
            </w:pPr>
            <w:r>
              <w:t>VENTURE STORIES PARTNERS ΑΕΔΑΚΕΣ</w:t>
            </w:r>
          </w:p>
        </w:tc>
      </w:tr>
      <w:tr>
        <w:tc>
          <w:tcPr>
            <w:tcW w:type="dxa" w:w="2160"/>
          </w:tcPr>
          <w:p>
            <w:pPr>
              <w:ind w:left="0"/>
              <w:jc w:val="left"/>
            </w:pPr>
            <w:r>
              <w:t>EGR801390415</w:t>
            </w:r>
          </w:p>
        </w:tc>
        <w:tc>
          <w:tcPr>
            <w:tcW w:type="dxa" w:w="2160"/>
          </w:tcPr>
          <w:p>
            <w:pPr>
              <w:ind w:left="0"/>
              <w:jc w:val="left"/>
            </w:pPr>
            <w:r>
              <w:t>GR801390415</w:t>
            </w:r>
          </w:p>
        </w:tc>
        <w:tc>
          <w:tcPr>
            <w:tcW w:type="dxa" w:w="2160"/>
          </w:tcPr>
          <w:p>
            <w:pPr>
              <w:ind w:left="0"/>
              <w:jc w:val="left"/>
            </w:pPr>
            <w:r>
              <w:t>GR801390415</w:t>
            </w:r>
          </w:p>
        </w:tc>
        <w:tc>
          <w:tcPr>
            <w:tcW w:type="dxa" w:w="2160"/>
          </w:tcPr>
          <w:p>
            <w:pPr>
              <w:ind w:left="0"/>
              <w:jc w:val="left"/>
            </w:pPr>
            <w:r>
              <w:t>SOUTHBRIDGE ADVISORS ΑΕΔΟΕΕ</w:t>
            </w:r>
          </w:p>
        </w:tc>
      </w:tr>
      <w:tr>
        <w:tc>
          <w:tcPr>
            <w:tcW w:type="dxa" w:w="2160"/>
          </w:tcPr>
          <w:p>
            <w:pPr>
              <w:ind w:left="0"/>
              <w:jc w:val="left"/>
            </w:pPr>
            <w:r>
              <w:t>EGR801446716</w:t>
            </w:r>
          </w:p>
        </w:tc>
        <w:tc>
          <w:tcPr>
            <w:tcW w:type="dxa" w:w="2160"/>
          </w:tcPr>
          <w:p>
            <w:pPr>
              <w:ind w:left="0"/>
              <w:jc w:val="left"/>
            </w:pPr>
            <w:r>
              <w:t>GR801446716</w:t>
            </w:r>
          </w:p>
        </w:tc>
        <w:tc>
          <w:tcPr>
            <w:tcW w:type="dxa" w:w="2160"/>
          </w:tcPr>
          <w:p>
            <w:pPr>
              <w:ind w:left="0"/>
              <w:jc w:val="left"/>
            </w:pPr>
            <w:r>
              <w:t>GR801446716</w:t>
            </w:r>
          </w:p>
        </w:tc>
        <w:tc>
          <w:tcPr>
            <w:tcW w:type="dxa" w:w="2160"/>
          </w:tcPr>
          <w:p>
            <w:pPr>
              <w:ind w:left="0"/>
              <w:jc w:val="left"/>
            </w:pPr>
            <w:r>
              <w:t>BLUE GREEN WHITE CAPITAL ΑΕΔΑΚΕΣ</w:t>
            </w:r>
          </w:p>
        </w:tc>
      </w:tr>
      <w:tr>
        <w:tc>
          <w:tcPr>
            <w:tcW w:type="dxa" w:w="2160"/>
          </w:tcPr>
          <w:p>
            <w:pPr>
              <w:ind w:left="0"/>
              <w:jc w:val="left"/>
            </w:pPr>
            <w:r>
              <w:t>EGR801446949</w:t>
            </w:r>
          </w:p>
        </w:tc>
        <w:tc>
          <w:tcPr>
            <w:tcW w:type="dxa" w:w="2160"/>
          </w:tcPr>
          <w:p>
            <w:pPr>
              <w:ind w:left="0"/>
              <w:jc w:val="left"/>
            </w:pPr>
            <w:r>
              <w:t>GR801446949</w:t>
            </w:r>
          </w:p>
        </w:tc>
        <w:tc>
          <w:tcPr>
            <w:tcW w:type="dxa" w:w="2160"/>
          </w:tcPr>
          <w:p>
            <w:pPr>
              <w:ind w:left="0"/>
              <w:jc w:val="left"/>
            </w:pPr>
            <w:r>
              <w:t>GR801446949</w:t>
            </w:r>
          </w:p>
        </w:tc>
        <w:tc>
          <w:tcPr>
            <w:tcW w:type="dxa" w:w="2160"/>
          </w:tcPr>
          <w:p>
            <w:pPr>
              <w:ind w:left="0"/>
              <w:jc w:val="left"/>
            </w:pPr>
            <w:r>
              <w:t>GREEK BRANDS VENTURES ΑΕΔΑΚΕΣ</w:t>
            </w:r>
          </w:p>
        </w:tc>
      </w:tr>
      <w:tr>
        <w:tc>
          <w:tcPr>
            <w:tcW w:type="dxa" w:w="2160"/>
          </w:tcPr>
          <w:p>
            <w:pPr>
              <w:ind w:left="0"/>
              <w:jc w:val="left"/>
            </w:pPr>
            <w:r>
              <w:t>EGR801470046</w:t>
            </w:r>
          </w:p>
        </w:tc>
        <w:tc>
          <w:tcPr>
            <w:tcW w:type="dxa" w:w="2160"/>
          </w:tcPr>
          <w:p>
            <w:pPr>
              <w:ind w:left="0"/>
              <w:jc w:val="left"/>
            </w:pPr>
            <w:r>
              <w:t>GR801470046</w:t>
            </w:r>
          </w:p>
        </w:tc>
        <w:tc>
          <w:tcPr>
            <w:tcW w:type="dxa" w:w="2160"/>
          </w:tcPr>
          <w:p>
            <w:pPr>
              <w:ind w:left="0"/>
              <w:jc w:val="left"/>
            </w:pPr>
            <w:r>
              <w:t>GR801470046</w:t>
            </w:r>
          </w:p>
        </w:tc>
        <w:tc>
          <w:tcPr>
            <w:tcW w:type="dxa" w:w="2160"/>
          </w:tcPr>
          <w:p>
            <w:pPr>
              <w:ind w:left="0"/>
              <w:jc w:val="left"/>
            </w:pPr>
            <w:r>
              <w:t>NEW ENERGY PARTNERS ΑΕΔΑΚΕΣ</w:t>
            </w:r>
          </w:p>
        </w:tc>
      </w:tr>
      <w:tr>
        <w:tc>
          <w:tcPr>
            <w:tcW w:type="dxa" w:w="2160"/>
          </w:tcPr>
          <w:p>
            <w:pPr>
              <w:ind w:left="0"/>
              <w:jc w:val="left"/>
            </w:pPr>
            <w:r>
              <w:t>EGR801554045</w:t>
            </w:r>
          </w:p>
        </w:tc>
        <w:tc>
          <w:tcPr>
            <w:tcW w:type="dxa" w:w="2160"/>
          </w:tcPr>
          <w:p>
            <w:pPr>
              <w:ind w:left="0"/>
              <w:jc w:val="left"/>
            </w:pPr>
            <w:r>
              <w:t>GR801554045</w:t>
            </w:r>
          </w:p>
        </w:tc>
        <w:tc>
          <w:tcPr>
            <w:tcW w:type="dxa" w:w="2160"/>
          </w:tcPr>
          <w:p>
            <w:pPr>
              <w:ind w:left="0"/>
              <w:jc w:val="left"/>
            </w:pPr>
            <w:r>
              <w:t>GR801554045</w:t>
            </w:r>
          </w:p>
        </w:tc>
        <w:tc>
          <w:tcPr>
            <w:tcW w:type="dxa" w:w="2160"/>
          </w:tcPr>
          <w:p>
            <w:pPr>
              <w:ind w:left="0"/>
              <w:jc w:val="left"/>
            </w:pPr>
            <w:r>
              <w:t>SIREC ENERGY CAPITAL PARTNERS ΜΟΝΟΠΡΟΣΩΠΗ ΑΕΔΑΚΕΣ</w:t>
            </w:r>
          </w:p>
        </w:tc>
      </w:tr>
      <w:tr>
        <w:tc>
          <w:tcPr>
            <w:tcW w:type="dxa" w:w="2160"/>
          </w:tcPr>
          <w:p>
            <w:pPr>
              <w:ind w:left="0"/>
              <w:jc w:val="left"/>
            </w:pPr>
            <w:r>
              <w:t>EGR801698110</w:t>
            </w:r>
          </w:p>
        </w:tc>
        <w:tc>
          <w:tcPr>
            <w:tcW w:type="dxa" w:w="2160"/>
          </w:tcPr>
          <w:p>
            <w:pPr>
              <w:ind w:left="0"/>
              <w:jc w:val="left"/>
            </w:pPr>
            <w:r>
              <w:t>GR801698110</w:t>
            </w:r>
          </w:p>
        </w:tc>
        <w:tc>
          <w:tcPr>
            <w:tcW w:type="dxa" w:w="2160"/>
          </w:tcPr>
          <w:p>
            <w:pPr>
              <w:ind w:left="0"/>
              <w:jc w:val="left"/>
            </w:pPr>
            <w:r>
              <w:t>GR801698110</w:t>
            </w:r>
          </w:p>
        </w:tc>
        <w:tc>
          <w:tcPr>
            <w:tcW w:type="dxa" w:w="2160"/>
          </w:tcPr>
          <w:p>
            <w:pPr>
              <w:ind w:left="0"/>
              <w:jc w:val="left"/>
            </w:pPr>
            <w:r>
              <w:t>ELBRIDGE CAPITAL MANAGEMENT ΑΕΔΑΚΕΣ</w:t>
            </w:r>
          </w:p>
        </w:tc>
      </w:tr>
      <w:tr>
        <w:tc>
          <w:tcPr>
            <w:tcW w:type="dxa" w:w="2160"/>
          </w:tcPr>
          <w:p>
            <w:pPr>
              <w:ind w:left="0"/>
              <w:jc w:val="left"/>
            </w:pPr>
            <w:r>
              <w:t>EGR801812106</w:t>
            </w:r>
          </w:p>
        </w:tc>
        <w:tc>
          <w:tcPr>
            <w:tcW w:type="dxa" w:w="2160"/>
          </w:tcPr>
          <w:p>
            <w:pPr>
              <w:ind w:left="0"/>
              <w:jc w:val="left"/>
            </w:pPr>
            <w:r>
              <w:t>GR801812106</w:t>
            </w:r>
          </w:p>
        </w:tc>
        <w:tc>
          <w:tcPr>
            <w:tcW w:type="dxa" w:w="2160"/>
          </w:tcPr>
          <w:p>
            <w:pPr>
              <w:ind w:left="0"/>
              <w:jc w:val="left"/>
            </w:pPr>
            <w:r>
              <w:t>GR801812106</w:t>
            </w:r>
          </w:p>
        </w:tc>
        <w:tc>
          <w:tcPr>
            <w:tcW w:type="dxa" w:w="2160"/>
          </w:tcPr>
          <w:p>
            <w:pPr>
              <w:ind w:left="0"/>
              <w:jc w:val="left"/>
            </w:pPr>
            <w:r>
              <w:t>LSTONE ΑΕΔΑΚΕΣ</w:t>
            </w:r>
          </w:p>
        </w:tc>
      </w:tr>
      <w:tr>
        <w:tc>
          <w:tcPr>
            <w:tcW w:type="dxa" w:w="2160"/>
          </w:tcPr>
          <w:p>
            <w:pPr>
              <w:ind w:left="0"/>
              <w:jc w:val="left"/>
            </w:pPr>
            <w:r>
              <w:t>EGR801878297</w:t>
            </w:r>
          </w:p>
        </w:tc>
        <w:tc>
          <w:tcPr>
            <w:tcW w:type="dxa" w:w="2160"/>
          </w:tcPr>
          <w:p>
            <w:pPr>
              <w:ind w:left="0"/>
              <w:jc w:val="left"/>
            </w:pPr>
            <w:r>
              <w:t>GR801878297</w:t>
            </w:r>
          </w:p>
        </w:tc>
        <w:tc>
          <w:tcPr>
            <w:tcW w:type="dxa" w:w="2160"/>
          </w:tcPr>
          <w:p>
            <w:pPr>
              <w:ind w:left="0"/>
              <w:jc w:val="left"/>
            </w:pPr>
            <w:r>
              <w:t>GR801878297</w:t>
            </w:r>
          </w:p>
        </w:tc>
        <w:tc>
          <w:tcPr>
            <w:tcW w:type="dxa" w:w="2160"/>
          </w:tcPr>
          <w:p>
            <w:pPr>
              <w:ind w:left="0"/>
              <w:jc w:val="left"/>
            </w:pPr>
            <w:r>
              <w:t>BIG PI ΑΕΔΑΚΕΣ</w:t>
            </w:r>
          </w:p>
        </w:tc>
      </w:tr>
      <w:tr>
        <w:tc>
          <w:tcPr>
            <w:tcW w:type="dxa" w:w="2160"/>
          </w:tcPr>
          <w:p>
            <w:pPr>
              <w:ind w:left="0"/>
              <w:jc w:val="left"/>
            </w:pPr>
            <w:r>
              <w:t>EGR802025852</w:t>
            </w:r>
          </w:p>
        </w:tc>
        <w:tc>
          <w:tcPr>
            <w:tcW w:type="dxa" w:w="2160"/>
          </w:tcPr>
          <w:p>
            <w:pPr>
              <w:ind w:left="0"/>
              <w:jc w:val="left"/>
            </w:pPr>
            <w:r>
              <w:t>GR802025852</w:t>
            </w:r>
          </w:p>
        </w:tc>
        <w:tc>
          <w:tcPr>
            <w:tcW w:type="dxa" w:w="2160"/>
          </w:tcPr>
          <w:p>
            <w:pPr>
              <w:ind w:left="0"/>
              <w:jc w:val="left"/>
            </w:pPr>
            <w:r>
              <w:t>GR802025852</w:t>
            </w:r>
          </w:p>
        </w:tc>
        <w:tc>
          <w:tcPr>
            <w:tcW w:type="dxa" w:w="2160"/>
          </w:tcPr>
          <w:p>
            <w:pPr>
              <w:ind w:left="0"/>
              <w:jc w:val="left"/>
            </w:pPr>
            <w:r>
              <w:t>IGROW VENTURE PARTNERS ΑΕΔΑΚΕΣ</w:t>
            </w:r>
          </w:p>
        </w:tc>
      </w:tr>
      <w:tr>
        <w:tc>
          <w:tcPr>
            <w:tcW w:type="dxa" w:w="2160"/>
          </w:tcPr>
          <w:p>
            <w:pPr>
              <w:ind w:left="0"/>
              <w:jc w:val="left"/>
            </w:pPr>
            <w:r>
              <w:t>EGR996764210</w:t>
            </w:r>
          </w:p>
        </w:tc>
        <w:tc>
          <w:tcPr>
            <w:tcW w:type="dxa" w:w="2160"/>
          </w:tcPr>
          <w:p>
            <w:pPr>
              <w:ind w:left="0"/>
              <w:jc w:val="left"/>
            </w:pPr>
            <w:r>
              <w:t>GR996764210</w:t>
            </w:r>
          </w:p>
        </w:tc>
        <w:tc>
          <w:tcPr>
            <w:tcW w:type="dxa" w:w="2160"/>
          </w:tcPr>
          <w:p>
            <w:pPr>
              <w:ind w:left="0"/>
              <w:jc w:val="left"/>
            </w:pPr>
            <w:r>
              <w:t>GR996764210</w:t>
            </w:r>
          </w:p>
        </w:tc>
        <w:tc>
          <w:tcPr>
            <w:tcW w:type="dxa" w:w="2160"/>
          </w:tcPr>
          <w:p>
            <w:pPr>
              <w:ind w:left="0"/>
              <w:jc w:val="left"/>
            </w:pPr>
            <w:r>
              <w:t>ΣΥΜΜΕΤΟΧΕΣ 5G ΑΕ</w:t>
            </w:r>
          </w:p>
        </w:tc>
      </w:tr>
      <w:tr>
        <w:tc>
          <w:tcPr>
            <w:tcW w:type="dxa" w:w="2160"/>
          </w:tcPr>
          <w:p>
            <w:pPr>
              <w:ind w:left="0"/>
              <w:jc w:val="left"/>
            </w:pPr>
            <w:r>
              <w:t>EGR997148287</w:t>
            </w:r>
          </w:p>
        </w:tc>
        <w:tc>
          <w:tcPr>
            <w:tcW w:type="dxa" w:w="2160"/>
          </w:tcPr>
          <w:p>
            <w:pPr>
              <w:ind w:left="0"/>
              <w:jc w:val="left"/>
            </w:pPr>
            <w:r>
              <w:t>GR997148287</w:t>
            </w:r>
          </w:p>
        </w:tc>
        <w:tc>
          <w:tcPr>
            <w:tcW w:type="dxa" w:w="2160"/>
          </w:tcPr>
          <w:p>
            <w:pPr>
              <w:ind w:left="0"/>
              <w:jc w:val="left"/>
            </w:pPr>
            <w:r>
              <w:t>GR997148287</w:t>
            </w:r>
          </w:p>
        </w:tc>
        <w:tc>
          <w:tcPr>
            <w:tcW w:type="dxa" w:w="2160"/>
          </w:tcPr>
          <w:p>
            <w:pPr>
              <w:ind w:left="0"/>
              <w:jc w:val="left"/>
            </w:pPr>
            <w:r>
              <w:t>ΕΛΛΗΝΙΚΗ ΑΕΔΟΕΕ</w:t>
            </w:r>
          </w:p>
        </w:tc>
      </w:tr>
      <w:tr>
        <w:tc>
          <w:tcPr>
            <w:tcW w:type="dxa" w:w="2160"/>
          </w:tcPr>
          <w:p>
            <w:pPr>
              <w:ind w:left="0"/>
              <w:jc w:val="left"/>
            </w:pPr>
            <w:r>
              <w:t>EGR998159392</w:t>
            </w:r>
          </w:p>
        </w:tc>
        <w:tc>
          <w:tcPr>
            <w:tcW w:type="dxa" w:w="2160"/>
          </w:tcPr>
          <w:p>
            <w:pPr>
              <w:ind w:left="0"/>
              <w:jc w:val="left"/>
            </w:pPr>
            <w:r>
              <w:t>GR998159392</w:t>
            </w:r>
          </w:p>
        </w:tc>
        <w:tc>
          <w:tcPr>
            <w:tcW w:type="dxa" w:w="2160"/>
          </w:tcPr>
          <w:p>
            <w:pPr>
              <w:ind w:left="0"/>
              <w:jc w:val="left"/>
            </w:pPr>
            <w:r>
              <w:t>GR998159392</w:t>
            </w:r>
          </w:p>
        </w:tc>
        <w:tc>
          <w:tcPr>
            <w:tcW w:type="dxa" w:w="2160"/>
          </w:tcPr>
          <w:p>
            <w:pPr>
              <w:ind w:left="0"/>
              <w:jc w:val="left"/>
            </w:pPr>
            <w:r>
              <w:t>ΑΛΦΑ ΑΕΔΑΚΕΣ</w:t>
            </w:r>
          </w:p>
        </w:tc>
      </w:tr>
      <w:tr>
        <w:tc>
          <w:tcPr>
            <w:tcW w:type="dxa" w:w="2160"/>
          </w:tcPr>
          <w:p>
            <w:pPr>
              <w:ind w:left="0"/>
              <w:jc w:val="left"/>
            </w:pPr>
            <w:r>
              <w:t>EGR998279015</w:t>
            </w:r>
          </w:p>
        </w:tc>
        <w:tc>
          <w:tcPr>
            <w:tcW w:type="dxa" w:w="2160"/>
          </w:tcPr>
          <w:p>
            <w:pPr>
              <w:ind w:left="0"/>
              <w:jc w:val="left"/>
            </w:pPr>
            <w:r>
              <w:t>GR998279015</w:t>
            </w:r>
          </w:p>
        </w:tc>
        <w:tc>
          <w:tcPr>
            <w:tcW w:type="dxa" w:w="2160"/>
          </w:tcPr>
          <w:p>
            <w:pPr>
              <w:ind w:left="0"/>
              <w:jc w:val="left"/>
            </w:pPr>
            <w:r>
              <w:t>GR998279015</w:t>
            </w:r>
          </w:p>
        </w:tc>
        <w:tc>
          <w:tcPr>
            <w:tcW w:type="dxa" w:w="2160"/>
          </w:tcPr>
          <w:p>
            <w:pPr>
              <w:ind w:left="0"/>
              <w:jc w:val="left"/>
            </w:pPr>
            <w:r>
              <w:t>PIRAEUS CAPITAL MANAGEMENT ΜΟΝΟΠΡΟΣΩΠΗ ΑΕΔΑΚΕΣ</w:t>
            </w:r>
          </w:p>
        </w:tc>
      </w:tr>
      <w:tr>
        <w:tc>
          <w:tcPr>
            <w:tcW w:type="dxa" w:w="2160"/>
          </w:tcPr>
          <w:p>
            <w:pPr>
              <w:ind w:left="0"/>
              <w:jc w:val="left"/>
            </w:pPr>
            <w:r>
              <w:t>EGR998642355</w:t>
            </w:r>
          </w:p>
        </w:tc>
        <w:tc>
          <w:tcPr>
            <w:tcW w:type="dxa" w:w="2160"/>
          </w:tcPr>
          <w:p>
            <w:pPr>
              <w:ind w:left="0"/>
              <w:jc w:val="left"/>
            </w:pPr>
            <w:r>
              <w:t>GR998642355</w:t>
            </w:r>
          </w:p>
        </w:tc>
        <w:tc>
          <w:tcPr>
            <w:tcW w:type="dxa" w:w="2160"/>
          </w:tcPr>
          <w:p>
            <w:pPr>
              <w:ind w:left="0"/>
              <w:jc w:val="left"/>
            </w:pPr>
            <w:r>
              <w:t>GR998642355</w:t>
            </w:r>
          </w:p>
        </w:tc>
        <w:tc>
          <w:tcPr>
            <w:tcW w:type="dxa" w:w="2160"/>
          </w:tcPr>
          <w:p>
            <w:pPr>
              <w:ind w:left="0"/>
              <w:jc w:val="left"/>
            </w:pPr>
            <w:r>
              <w:t>CNL CAPITAL ΑΕΔΟΕΕ</w:t>
            </w:r>
          </w:p>
        </w:tc>
      </w:tr>
      <w:tr>
        <w:tc>
          <w:tcPr>
            <w:tcW w:type="dxa" w:w="2160"/>
          </w:tcPr>
          <w:p>
            <w:pPr>
              <w:ind w:left="0"/>
              <w:jc w:val="left"/>
            </w:pPr>
            <w:r>
              <w:t>EGR999510866</w:t>
            </w:r>
          </w:p>
        </w:tc>
        <w:tc>
          <w:tcPr>
            <w:tcW w:type="dxa" w:w="2160"/>
          </w:tcPr>
          <w:p>
            <w:pPr>
              <w:ind w:left="0"/>
              <w:jc w:val="left"/>
            </w:pPr>
            <w:r>
              <w:t>GR999510866</w:t>
            </w:r>
          </w:p>
        </w:tc>
        <w:tc>
          <w:tcPr>
            <w:tcW w:type="dxa" w:w="2160"/>
          </w:tcPr>
          <w:p>
            <w:pPr>
              <w:ind w:left="0"/>
              <w:jc w:val="left"/>
            </w:pPr>
            <w:r>
              <w:t>GR999510866</w:t>
            </w:r>
          </w:p>
        </w:tc>
        <w:tc>
          <w:tcPr>
            <w:tcW w:type="dxa" w:w="2160"/>
          </w:tcPr>
          <w:p>
            <w:pPr>
              <w:ind w:left="0"/>
              <w:jc w:val="left"/>
            </w:pPr>
            <w:r>
              <w:t>ΑΤΤΙΚΑ ΒΕΝΤΣΟΥΡΣ ΑΕΔΑΚΕΣ</w:t>
            </w:r>
          </w:p>
        </w:tc>
      </w:tr>
      <w:tr>
        <w:tc>
          <w:tcPr>
            <w:tcW w:type="dxa" w:w="2160"/>
          </w:tcPr>
          <w:p>
            <w:pPr>
              <w:ind w:left="0"/>
              <w:jc w:val="left"/>
            </w:pPr>
            <w:r>
              <w:t>EGR999984680</w:t>
            </w:r>
          </w:p>
        </w:tc>
        <w:tc>
          <w:tcPr>
            <w:tcW w:type="dxa" w:w="2160"/>
          </w:tcPr>
          <w:p>
            <w:pPr>
              <w:ind w:left="0"/>
              <w:jc w:val="left"/>
            </w:pPr>
            <w:r>
              <w:t>GR999984680</w:t>
            </w:r>
          </w:p>
        </w:tc>
        <w:tc>
          <w:tcPr>
            <w:tcW w:type="dxa" w:w="2160"/>
          </w:tcPr>
          <w:p>
            <w:pPr>
              <w:ind w:left="0"/>
              <w:jc w:val="left"/>
            </w:pPr>
            <w:r>
              <w:t>GR999984680</w:t>
            </w:r>
          </w:p>
        </w:tc>
        <w:tc>
          <w:tcPr>
            <w:tcW w:type="dxa" w:w="2160"/>
          </w:tcPr>
          <w:p>
            <w:pPr>
              <w:ind w:left="0"/>
              <w:jc w:val="left"/>
            </w:pPr>
            <w:r>
              <w:t>ΕΛΛΕΝΙΚ ΚΑΠΙΤΑΛ ΠΑΡΤΝΕΡΣ ΑΕΔΑΚΕΣ</w:t>
            </w:r>
          </w:p>
        </w:tc>
      </w:tr>
      <w:tr>
        <w:tc>
          <w:tcPr>
            <w:tcW w:type="dxa" w:w="2160"/>
          </w:tcPr>
          <w:p>
            <w:pPr>
              <w:ind w:left="0"/>
              <w:jc w:val="left"/>
            </w:pPr>
            <w:r>
              <w:t>EGRAEEAP002</w:t>
            </w:r>
          </w:p>
        </w:tc>
        <w:tc>
          <w:tcPr>
            <w:tcW w:type="dxa" w:w="2160"/>
          </w:tcPr>
          <w:p>
            <w:pPr>
              <w:ind w:left="0"/>
              <w:jc w:val="left"/>
            </w:pPr>
            <w:r>
              <w:t>GRAEEAP002</w:t>
            </w:r>
          </w:p>
        </w:tc>
        <w:tc>
          <w:tcPr>
            <w:tcW w:type="dxa" w:w="2160"/>
          </w:tcPr>
          <w:p>
            <w:pPr>
              <w:ind w:left="0"/>
              <w:jc w:val="left"/>
            </w:pPr>
            <w:r>
              <w:t>GR099554901</w:t>
            </w:r>
          </w:p>
        </w:tc>
        <w:tc>
          <w:tcPr>
            <w:tcW w:type="dxa" w:w="2160"/>
          </w:tcPr>
          <w:p>
            <w:pPr>
              <w:ind w:left="0"/>
              <w:jc w:val="left"/>
            </w:pPr>
            <w:r>
              <w:t>TRASTOR ΑΕΕΑΠ</w:t>
            </w:r>
          </w:p>
        </w:tc>
      </w:tr>
      <w:tr>
        <w:tc>
          <w:tcPr>
            <w:tcW w:type="dxa" w:w="2160"/>
          </w:tcPr>
          <w:p>
            <w:pPr>
              <w:ind w:left="0"/>
              <w:jc w:val="left"/>
            </w:pPr>
            <w:r>
              <w:t>EGRAEEAP003</w:t>
            </w:r>
          </w:p>
        </w:tc>
        <w:tc>
          <w:tcPr>
            <w:tcW w:type="dxa" w:w="2160"/>
          </w:tcPr>
          <w:p>
            <w:pPr>
              <w:ind w:left="0"/>
              <w:jc w:val="left"/>
            </w:pPr>
            <w:r>
              <w:t>GRAEEAP003</w:t>
            </w:r>
          </w:p>
        </w:tc>
        <w:tc>
          <w:tcPr>
            <w:tcW w:type="dxa" w:w="2160"/>
          </w:tcPr>
          <w:p>
            <w:pPr>
              <w:ind w:left="0"/>
              <w:jc w:val="left"/>
            </w:pPr>
            <w:r>
              <w:t>GR099555020</w:t>
            </w:r>
          </w:p>
        </w:tc>
        <w:tc>
          <w:tcPr>
            <w:tcW w:type="dxa" w:w="2160"/>
          </w:tcPr>
          <w:p>
            <w:pPr>
              <w:ind w:left="0"/>
              <w:jc w:val="left"/>
            </w:pPr>
            <w:r>
              <w:t>Προντέα ΑΕΕΑΠ</w:t>
            </w:r>
          </w:p>
        </w:tc>
      </w:tr>
      <w:tr>
        <w:tc>
          <w:tcPr>
            <w:tcW w:type="dxa" w:w="2160"/>
          </w:tcPr>
          <w:p>
            <w:pPr>
              <w:ind w:left="0"/>
              <w:jc w:val="left"/>
            </w:pPr>
            <w:r>
              <w:t>EGRAEEAP005</w:t>
            </w:r>
          </w:p>
        </w:tc>
        <w:tc>
          <w:tcPr>
            <w:tcW w:type="dxa" w:w="2160"/>
          </w:tcPr>
          <w:p>
            <w:pPr>
              <w:ind w:left="0"/>
              <w:jc w:val="left"/>
            </w:pPr>
            <w:r>
              <w:t>GRAEEAP005</w:t>
            </w:r>
          </w:p>
        </w:tc>
        <w:tc>
          <w:tcPr>
            <w:tcW w:type="dxa" w:w="2160"/>
          </w:tcPr>
          <w:p>
            <w:pPr>
              <w:ind w:left="0"/>
              <w:jc w:val="left"/>
            </w:pPr>
            <w:r>
              <w:t>GR800397001</w:t>
            </w:r>
          </w:p>
        </w:tc>
        <w:tc>
          <w:tcPr>
            <w:tcW w:type="dxa" w:w="2160"/>
          </w:tcPr>
          <w:p>
            <w:pPr>
              <w:ind w:left="0"/>
              <w:jc w:val="left"/>
            </w:pPr>
            <w:r>
              <w:t>INTERCONTINENTAL INTERNATIONAL ΑΕΕΑΠ</w:t>
            </w:r>
          </w:p>
        </w:tc>
      </w:tr>
      <w:tr>
        <w:tc>
          <w:tcPr>
            <w:tcW w:type="dxa" w:w="2160"/>
          </w:tcPr>
          <w:p>
            <w:pPr>
              <w:ind w:left="0"/>
              <w:jc w:val="left"/>
            </w:pPr>
            <w:r>
              <w:t>EGRAEEAP006</w:t>
            </w:r>
          </w:p>
        </w:tc>
        <w:tc>
          <w:tcPr>
            <w:tcW w:type="dxa" w:w="2160"/>
          </w:tcPr>
          <w:p>
            <w:pPr>
              <w:ind w:left="0"/>
              <w:jc w:val="left"/>
            </w:pPr>
            <w:r>
              <w:t>GRAEEAP006</w:t>
            </w:r>
          </w:p>
        </w:tc>
        <w:tc>
          <w:tcPr>
            <w:tcW w:type="dxa" w:w="2160"/>
          </w:tcPr>
          <w:p>
            <w:pPr>
              <w:ind w:left="0"/>
              <w:jc w:val="left"/>
            </w:pPr>
            <w:r>
              <w:t>GR997521479</w:t>
            </w:r>
          </w:p>
        </w:tc>
        <w:tc>
          <w:tcPr>
            <w:tcW w:type="dxa" w:w="2160"/>
          </w:tcPr>
          <w:p>
            <w:pPr>
              <w:ind w:left="0"/>
              <w:jc w:val="left"/>
            </w:pPr>
            <w:r>
              <w:t>BriQ Properties ΑΕΕΑΠ</w:t>
            </w:r>
          </w:p>
        </w:tc>
      </w:tr>
      <w:tr>
        <w:tc>
          <w:tcPr>
            <w:tcW w:type="dxa" w:w="2160"/>
          </w:tcPr>
          <w:p>
            <w:pPr>
              <w:ind w:left="0"/>
              <w:jc w:val="left"/>
            </w:pPr>
            <w:r>
              <w:t>EGRAEEAP007</w:t>
            </w:r>
          </w:p>
        </w:tc>
        <w:tc>
          <w:tcPr>
            <w:tcW w:type="dxa" w:w="2160"/>
          </w:tcPr>
          <w:p>
            <w:pPr>
              <w:ind w:left="0"/>
              <w:jc w:val="left"/>
            </w:pPr>
            <w:r>
              <w:t>GRAEEAP007</w:t>
            </w:r>
          </w:p>
        </w:tc>
        <w:tc>
          <w:tcPr>
            <w:tcW w:type="dxa" w:w="2160"/>
          </w:tcPr>
          <w:p>
            <w:pPr>
              <w:ind w:left="0"/>
              <w:jc w:val="left"/>
            </w:pPr>
            <w:r>
              <w:t>GR997656128</w:t>
            </w:r>
          </w:p>
        </w:tc>
        <w:tc>
          <w:tcPr>
            <w:tcW w:type="dxa" w:w="2160"/>
          </w:tcPr>
          <w:p>
            <w:pPr>
              <w:ind w:left="0"/>
              <w:jc w:val="left"/>
            </w:pPr>
            <w:r>
              <w:t>ΜΠΛΕ ΚΕΔΡΟΣ ΑΕΕΑΠ</w:t>
            </w:r>
          </w:p>
        </w:tc>
      </w:tr>
      <w:tr>
        <w:tc>
          <w:tcPr>
            <w:tcW w:type="dxa" w:w="2160"/>
          </w:tcPr>
          <w:p>
            <w:pPr>
              <w:ind w:left="0"/>
              <w:jc w:val="left"/>
            </w:pPr>
            <w:r>
              <w:t>EGRAEEAP008</w:t>
            </w:r>
          </w:p>
        </w:tc>
        <w:tc>
          <w:tcPr>
            <w:tcW w:type="dxa" w:w="2160"/>
          </w:tcPr>
          <w:p>
            <w:pPr>
              <w:ind w:left="0"/>
              <w:jc w:val="left"/>
            </w:pPr>
            <w:r>
              <w:t>GRAEEAP008</w:t>
            </w:r>
          </w:p>
        </w:tc>
        <w:tc>
          <w:tcPr>
            <w:tcW w:type="dxa" w:w="2160"/>
          </w:tcPr>
          <w:p>
            <w:pPr>
              <w:ind w:left="0"/>
              <w:jc w:val="left"/>
            </w:pPr>
            <w:r>
              <w:t>GR801077433</w:t>
            </w:r>
          </w:p>
        </w:tc>
        <w:tc>
          <w:tcPr>
            <w:tcW w:type="dxa" w:w="2160"/>
          </w:tcPr>
          <w:p>
            <w:pPr>
              <w:ind w:left="0"/>
              <w:jc w:val="left"/>
            </w:pPr>
            <w:r>
              <w:t>ORILINA PROPERTIES ΑΕΕΑΠ</w:t>
            </w:r>
          </w:p>
        </w:tc>
      </w:tr>
      <w:tr>
        <w:tc>
          <w:tcPr>
            <w:tcW w:type="dxa" w:w="2160"/>
          </w:tcPr>
          <w:p>
            <w:pPr>
              <w:ind w:left="0"/>
              <w:jc w:val="left"/>
            </w:pPr>
            <w:r>
              <w:t>EGRAEEAP009</w:t>
            </w:r>
          </w:p>
        </w:tc>
        <w:tc>
          <w:tcPr>
            <w:tcW w:type="dxa" w:w="2160"/>
          </w:tcPr>
          <w:p>
            <w:pPr>
              <w:ind w:left="0"/>
              <w:jc w:val="left"/>
            </w:pPr>
            <w:r>
              <w:t>GRAEEAP009</w:t>
            </w:r>
          </w:p>
        </w:tc>
        <w:tc>
          <w:tcPr>
            <w:tcW w:type="dxa" w:w="2160"/>
          </w:tcPr>
          <w:p>
            <w:pPr>
              <w:ind w:left="0"/>
              <w:jc w:val="left"/>
            </w:pPr>
            <w:r>
              <w:t>GR996805731</w:t>
            </w:r>
          </w:p>
        </w:tc>
        <w:tc>
          <w:tcPr>
            <w:tcW w:type="dxa" w:w="2160"/>
          </w:tcPr>
          <w:p>
            <w:pPr>
              <w:ind w:left="0"/>
              <w:jc w:val="left"/>
            </w:pPr>
            <w:r>
              <w:t>TRADE ESTATES ΑΕΕΑΠ</w:t>
            </w:r>
          </w:p>
        </w:tc>
      </w:tr>
      <w:tr>
        <w:tc>
          <w:tcPr>
            <w:tcW w:type="dxa" w:w="2160"/>
          </w:tcPr>
          <w:p>
            <w:pPr>
              <w:ind w:left="0"/>
              <w:jc w:val="left"/>
            </w:pPr>
            <w:r>
              <w:t>EGRAEEAP010</w:t>
            </w:r>
          </w:p>
        </w:tc>
        <w:tc>
          <w:tcPr>
            <w:tcW w:type="dxa" w:w="2160"/>
          </w:tcPr>
          <w:p>
            <w:pPr>
              <w:ind w:left="0"/>
              <w:jc w:val="left"/>
            </w:pPr>
            <w:r>
              <w:t>GRAEEAP010</w:t>
            </w:r>
          </w:p>
        </w:tc>
        <w:tc>
          <w:tcPr>
            <w:tcW w:type="dxa" w:w="2160"/>
          </w:tcPr>
          <w:p>
            <w:pPr>
              <w:ind w:left="0"/>
              <w:jc w:val="left"/>
            </w:pPr>
            <w:r>
              <w:t>GR996899546</w:t>
            </w:r>
          </w:p>
        </w:tc>
        <w:tc>
          <w:tcPr>
            <w:tcW w:type="dxa" w:w="2160"/>
          </w:tcPr>
          <w:p>
            <w:pPr>
              <w:ind w:left="0"/>
              <w:jc w:val="left"/>
            </w:pPr>
            <w:r>
              <w:t>NOVAL PROPERTY ΑΕΕΑΠ</w:t>
            </w:r>
          </w:p>
        </w:tc>
      </w:tr>
      <w:tr>
        <w:tc>
          <w:tcPr>
            <w:tcW w:type="dxa" w:w="2160"/>
          </w:tcPr>
          <w:p>
            <w:pPr>
              <w:ind w:left="0"/>
              <w:jc w:val="left"/>
            </w:pPr>
            <w:r>
              <w:t>EGRAEEX002</w:t>
            </w:r>
          </w:p>
        </w:tc>
        <w:tc>
          <w:tcPr>
            <w:tcW w:type="dxa" w:w="2160"/>
          </w:tcPr>
          <w:p>
            <w:pPr>
              <w:ind w:left="0"/>
              <w:jc w:val="left"/>
            </w:pPr>
            <w:r>
              <w:t>GRAEEX002</w:t>
            </w:r>
          </w:p>
        </w:tc>
        <w:tc>
          <w:tcPr>
            <w:tcW w:type="dxa" w:w="2160"/>
          </w:tcPr>
          <w:p>
            <w:pPr>
              <w:ind w:left="0"/>
              <w:jc w:val="left"/>
            </w:pPr>
            <w:r>
              <w:t>GR099759863</w:t>
            </w:r>
          </w:p>
        </w:tc>
        <w:tc>
          <w:tcPr>
            <w:tcW w:type="dxa" w:w="2160"/>
          </w:tcPr>
          <w:p>
            <w:pPr>
              <w:ind w:left="0"/>
              <w:jc w:val="left"/>
            </w:pPr>
            <w:r>
              <w:t>ALPHA TRUST ANDROMEDA ΑΕΕΧ</w:t>
            </w:r>
          </w:p>
        </w:tc>
      </w:tr>
      <w:tr>
        <w:tc>
          <w:tcPr>
            <w:tcW w:type="dxa" w:w="2160"/>
          </w:tcPr>
          <w:p>
            <w:pPr>
              <w:ind w:left="0"/>
              <w:jc w:val="left"/>
            </w:pPr>
            <w:r>
              <w:t>EGRAEPEY059</w:t>
            </w:r>
          </w:p>
        </w:tc>
        <w:tc>
          <w:tcPr>
            <w:tcW w:type="dxa" w:w="2160"/>
          </w:tcPr>
          <w:p>
            <w:pPr>
              <w:ind w:left="0"/>
              <w:jc w:val="left"/>
            </w:pPr>
            <w:r>
              <w:t>GRAEPEY059</w:t>
            </w:r>
          </w:p>
        </w:tc>
        <w:tc>
          <w:tcPr>
            <w:tcW w:type="dxa" w:w="2160"/>
          </w:tcPr>
          <w:p>
            <w:pPr>
              <w:ind w:left="0"/>
              <w:jc w:val="left"/>
            </w:pPr>
            <w:r>
              <w:t>GR998940936</w:t>
            </w:r>
          </w:p>
        </w:tc>
        <w:tc>
          <w:tcPr>
            <w:tcW w:type="dxa" w:w="2160"/>
          </w:tcPr>
          <w:p>
            <w:pPr>
              <w:ind w:left="0"/>
              <w:jc w:val="left"/>
            </w:pPr>
            <w:r>
              <w:t>THETIS CAPITAL ΑΕΠΕΥ</w:t>
            </w:r>
          </w:p>
        </w:tc>
      </w:tr>
      <w:tr>
        <w:tc>
          <w:tcPr>
            <w:tcW w:type="dxa" w:w="2160"/>
          </w:tcPr>
          <w:p>
            <w:pPr>
              <w:ind w:left="0"/>
              <w:jc w:val="left"/>
            </w:pPr>
            <w:r>
              <w:t>EGRAEPEY065</w:t>
            </w:r>
          </w:p>
        </w:tc>
        <w:tc>
          <w:tcPr>
            <w:tcW w:type="dxa" w:w="2160"/>
          </w:tcPr>
          <w:p>
            <w:pPr>
              <w:ind w:left="0"/>
              <w:jc w:val="left"/>
            </w:pPr>
            <w:r>
              <w:t>GRAEPEY065</w:t>
            </w:r>
          </w:p>
        </w:tc>
        <w:tc>
          <w:tcPr>
            <w:tcW w:type="dxa" w:w="2160"/>
          </w:tcPr>
          <w:p>
            <w:pPr>
              <w:ind w:left="0"/>
              <w:jc w:val="left"/>
            </w:pPr>
            <w:r>
              <w:t>GR997472014</w:t>
            </w:r>
          </w:p>
        </w:tc>
        <w:tc>
          <w:tcPr>
            <w:tcW w:type="dxa" w:w="2160"/>
          </w:tcPr>
          <w:p>
            <w:pPr>
              <w:ind w:left="0"/>
              <w:jc w:val="left"/>
            </w:pPr>
            <w:r>
              <w:t>IOLCUS INVESTMENTS ΑΕΔΟΕΕ</w:t>
            </w:r>
          </w:p>
        </w:tc>
      </w:tr>
      <w:tr>
        <w:tc>
          <w:tcPr>
            <w:tcW w:type="dxa" w:w="2160"/>
          </w:tcPr>
          <w:p>
            <w:pPr>
              <w:ind w:left="0"/>
              <w:jc w:val="left"/>
            </w:pPr>
            <w:r>
              <w:t>EGREKES001</w:t>
            </w:r>
          </w:p>
        </w:tc>
        <w:tc>
          <w:tcPr>
            <w:tcW w:type="dxa" w:w="2160"/>
          </w:tcPr>
          <w:p>
            <w:pPr>
              <w:ind w:left="0"/>
              <w:jc w:val="left"/>
            </w:pPr>
            <w:r>
              <w:t>GREKES001</w:t>
            </w:r>
          </w:p>
        </w:tc>
        <w:tc>
          <w:tcPr>
            <w:tcW w:type="dxa" w:w="2160"/>
          </w:tcPr>
          <w:p>
            <w:pPr>
              <w:ind w:left="0"/>
              <w:jc w:val="left"/>
            </w:pPr>
            <w:r>
              <w:t>GR800596087</w:t>
            </w:r>
          </w:p>
        </w:tc>
        <w:tc>
          <w:tcPr>
            <w:tcW w:type="dxa" w:w="2160"/>
          </w:tcPr>
          <w:p>
            <w:pPr>
              <w:ind w:left="0"/>
              <w:jc w:val="left"/>
            </w:pPr>
            <w:r>
              <w:t>CNL CAPITAL ΕΚΕΣ-ΔΟΕΕ</w:t>
            </w:r>
          </w:p>
        </w:tc>
      </w:tr>
      <w:tr>
        <w:tc>
          <w:tcPr>
            <w:tcW w:type="dxa" w:w="2160"/>
          </w:tcPr>
          <w:p>
            <w:pPr>
              <w:ind w:left="0"/>
              <w:jc w:val="left"/>
            </w:pPr>
            <w:r>
              <w:t>EGRMFMC000</w:t>
            </w:r>
          </w:p>
        </w:tc>
        <w:tc>
          <w:tcPr>
            <w:tcW w:type="dxa" w:w="2160"/>
          </w:tcPr>
          <w:p>
            <w:pPr>
              <w:ind w:left="0"/>
              <w:jc w:val="left"/>
            </w:pPr>
            <w:r>
              <w:t>GRMFMC000</w:t>
            </w:r>
          </w:p>
        </w:tc>
        <w:tc>
          <w:tcPr>
            <w:tcW w:type="dxa" w:w="2160"/>
          </w:tcPr>
          <w:p>
            <w:pPr>
              <w:ind w:left="0"/>
              <w:jc w:val="left"/>
            </w:pPr>
            <w:r>
              <w:t>GR000000000</w:t>
            </w:r>
          </w:p>
        </w:tc>
        <w:tc>
          <w:tcPr>
            <w:tcW w:type="dxa" w:w="2160"/>
          </w:tcPr>
          <w:p>
            <w:pPr>
              <w:ind w:left="0"/>
              <w:jc w:val="left"/>
            </w:pPr>
            <w:r>
              <w:t>FOO ΑΕΔΑΚ</w:t>
            </w:r>
          </w:p>
        </w:tc>
      </w:tr>
      <w:tr>
        <w:tc>
          <w:tcPr>
            <w:tcW w:type="dxa" w:w="2160"/>
          </w:tcPr>
          <w:p>
            <w:pPr>
              <w:ind w:left="0"/>
              <w:jc w:val="left"/>
            </w:pPr>
            <w:r>
              <w:t>EGRMFMC001</w:t>
            </w:r>
          </w:p>
        </w:tc>
        <w:tc>
          <w:tcPr>
            <w:tcW w:type="dxa" w:w="2160"/>
          </w:tcPr>
          <w:p>
            <w:pPr>
              <w:ind w:left="0"/>
              <w:jc w:val="left"/>
            </w:pPr>
            <w:r>
              <w:t>GRMFMC001</w:t>
            </w:r>
          </w:p>
        </w:tc>
        <w:tc>
          <w:tcPr>
            <w:tcW w:type="dxa" w:w="2160"/>
          </w:tcPr>
          <w:p>
            <w:pPr>
              <w:ind w:left="0"/>
              <w:jc w:val="left"/>
            </w:pPr>
            <w:r>
              <w:t>GR094351475</w:t>
            </w:r>
          </w:p>
        </w:tc>
        <w:tc>
          <w:tcPr>
            <w:tcW w:type="dxa" w:w="2160"/>
          </w:tcPr>
          <w:p>
            <w:pPr>
              <w:ind w:left="0"/>
              <w:jc w:val="left"/>
            </w:pPr>
            <w:r>
              <w:t>NN ΑΕΔΑΚ</w:t>
            </w:r>
          </w:p>
        </w:tc>
      </w:tr>
      <w:tr>
        <w:tc>
          <w:tcPr>
            <w:tcW w:type="dxa" w:w="2160"/>
          </w:tcPr>
          <w:p>
            <w:pPr>
              <w:ind w:left="0"/>
              <w:jc w:val="left"/>
            </w:pPr>
            <w:r>
              <w:t>EGRMFMC002</w:t>
            </w:r>
          </w:p>
        </w:tc>
        <w:tc>
          <w:tcPr>
            <w:tcW w:type="dxa" w:w="2160"/>
          </w:tcPr>
          <w:p>
            <w:pPr>
              <w:ind w:left="0"/>
              <w:jc w:val="left"/>
            </w:pPr>
            <w:r>
              <w:t>GRMFMC002</w:t>
            </w:r>
          </w:p>
        </w:tc>
        <w:tc>
          <w:tcPr>
            <w:tcW w:type="dxa" w:w="2160"/>
          </w:tcPr>
          <w:p>
            <w:pPr>
              <w:ind w:left="0"/>
              <w:jc w:val="left"/>
            </w:pPr>
            <w:r>
              <w:t>GR094354938</w:t>
            </w:r>
          </w:p>
        </w:tc>
        <w:tc>
          <w:tcPr>
            <w:tcW w:type="dxa" w:w="2160"/>
          </w:tcPr>
          <w:p>
            <w:pPr>
              <w:ind w:left="0"/>
              <w:jc w:val="left"/>
            </w:pPr>
            <w:r>
              <w:t>ALLIANZ ΜΟΝΟΠΡΟΣΩΠΗ ΑΕΔΑΚ</w:t>
            </w:r>
          </w:p>
        </w:tc>
      </w:tr>
      <w:tr>
        <w:tc>
          <w:tcPr>
            <w:tcW w:type="dxa" w:w="2160"/>
          </w:tcPr>
          <w:p>
            <w:pPr>
              <w:ind w:left="0"/>
              <w:jc w:val="left"/>
            </w:pPr>
            <w:r>
              <w:t>EGRMFMC003</w:t>
            </w:r>
          </w:p>
        </w:tc>
        <w:tc>
          <w:tcPr>
            <w:tcW w:type="dxa" w:w="2160"/>
          </w:tcPr>
          <w:p>
            <w:pPr>
              <w:ind w:left="0"/>
              <w:jc w:val="left"/>
            </w:pPr>
            <w:r>
              <w:t>GRMFMC003</w:t>
            </w:r>
          </w:p>
        </w:tc>
        <w:tc>
          <w:tcPr>
            <w:tcW w:type="dxa" w:w="2160"/>
          </w:tcPr>
          <w:p>
            <w:pPr>
              <w:ind w:left="0"/>
              <w:jc w:val="left"/>
            </w:pPr>
            <w:r>
              <w:t>GR094282521</w:t>
            </w:r>
          </w:p>
        </w:tc>
        <w:tc>
          <w:tcPr>
            <w:tcW w:type="dxa" w:w="2160"/>
          </w:tcPr>
          <w:p>
            <w:pPr>
              <w:ind w:left="0"/>
              <w:jc w:val="left"/>
            </w:pPr>
            <w:r>
              <w:t>ALPHA ASSET MANAGEMENT ΑΕΔΑΚ</w:t>
            </w:r>
          </w:p>
        </w:tc>
      </w:tr>
      <w:tr>
        <w:tc>
          <w:tcPr>
            <w:tcW w:type="dxa" w:w="2160"/>
          </w:tcPr>
          <w:p>
            <w:pPr>
              <w:ind w:left="0"/>
              <w:jc w:val="left"/>
            </w:pPr>
            <w:r>
              <w:t>EGRMFMC004</w:t>
            </w:r>
          </w:p>
        </w:tc>
        <w:tc>
          <w:tcPr>
            <w:tcW w:type="dxa" w:w="2160"/>
          </w:tcPr>
          <w:p>
            <w:pPr>
              <w:ind w:left="0"/>
              <w:jc w:val="left"/>
            </w:pPr>
            <w:r>
              <w:t>GRMFMC004</w:t>
            </w:r>
          </w:p>
        </w:tc>
        <w:tc>
          <w:tcPr>
            <w:tcW w:type="dxa" w:w="2160"/>
          </w:tcPr>
          <w:p>
            <w:pPr>
              <w:ind w:left="0"/>
              <w:jc w:val="left"/>
            </w:pPr>
            <w:r>
              <w:t>GR094317734</w:t>
            </w:r>
          </w:p>
        </w:tc>
        <w:tc>
          <w:tcPr>
            <w:tcW w:type="dxa" w:w="2160"/>
          </w:tcPr>
          <w:p>
            <w:pPr>
              <w:ind w:left="0"/>
              <w:jc w:val="left"/>
            </w:pPr>
            <w:r>
              <w:t>ALPHA TRUST ΑΕΔΑΚOEE</w:t>
            </w:r>
          </w:p>
        </w:tc>
      </w:tr>
      <w:tr>
        <w:tc>
          <w:tcPr>
            <w:tcW w:type="dxa" w:w="2160"/>
          </w:tcPr>
          <w:p>
            <w:pPr>
              <w:ind w:left="0"/>
              <w:jc w:val="left"/>
            </w:pPr>
            <w:r>
              <w:t>EGRMFMC005</w:t>
            </w:r>
          </w:p>
        </w:tc>
        <w:tc>
          <w:tcPr>
            <w:tcW w:type="dxa" w:w="2160"/>
          </w:tcPr>
          <w:p>
            <w:pPr>
              <w:ind w:left="0"/>
              <w:jc w:val="left"/>
            </w:pPr>
            <w:r>
              <w:t>GRMFMC005</w:t>
            </w:r>
          </w:p>
        </w:tc>
        <w:tc>
          <w:tcPr>
            <w:tcW w:type="dxa" w:w="2160"/>
          </w:tcPr>
          <w:p>
            <w:pPr>
              <w:ind w:left="0"/>
              <w:jc w:val="left"/>
            </w:pPr>
            <w:r>
              <w:t>GR099760120</w:t>
            </w:r>
          </w:p>
        </w:tc>
        <w:tc>
          <w:tcPr>
            <w:tcW w:type="dxa" w:w="2160"/>
          </w:tcPr>
          <w:p>
            <w:pPr>
              <w:ind w:left="0"/>
              <w:jc w:val="left"/>
            </w:pPr>
            <w:r>
              <w:t>ΑΕΔΑΚ ΑΣΦΑΛΙΣΤΙΚΩΝ ΟΡΓΑΝΙΣΜΩΝ</w:t>
            </w:r>
          </w:p>
        </w:tc>
      </w:tr>
      <w:tr>
        <w:tc>
          <w:tcPr>
            <w:tcW w:type="dxa" w:w="2160"/>
          </w:tcPr>
          <w:p>
            <w:pPr>
              <w:ind w:left="0"/>
              <w:jc w:val="left"/>
            </w:pPr>
            <w:r>
              <w:t>EGRMFMC008</w:t>
            </w:r>
          </w:p>
        </w:tc>
        <w:tc>
          <w:tcPr>
            <w:tcW w:type="dxa" w:w="2160"/>
          </w:tcPr>
          <w:p>
            <w:pPr>
              <w:ind w:left="0"/>
              <w:jc w:val="left"/>
            </w:pPr>
            <w:r>
              <w:t>GRMFMC008</w:t>
            </w:r>
          </w:p>
        </w:tc>
        <w:tc>
          <w:tcPr>
            <w:tcW w:type="dxa" w:w="2160"/>
          </w:tcPr>
          <w:p>
            <w:pPr>
              <w:ind w:left="0"/>
              <w:jc w:val="left"/>
            </w:pPr>
            <w:r>
              <w:t>GR099936130</w:t>
            </w:r>
          </w:p>
        </w:tc>
        <w:tc>
          <w:tcPr>
            <w:tcW w:type="dxa" w:w="2160"/>
          </w:tcPr>
          <w:p>
            <w:pPr>
              <w:ind w:left="0"/>
              <w:jc w:val="left"/>
            </w:pPr>
            <w:r>
              <w:t>ATTICA WEALTH MANAGEMENT ΑΕΔΑΚ</w:t>
            </w:r>
          </w:p>
        </w:tc>
      </w:tr>
      <w:tr>
        <w:tc>
          <w:tcPr>
            <w:tcW w:type="dxa" w:w="2160"/>
          </w:tcPr>
          <w:p>
            <w:pPr>
              <w:ind w:left="0"/>
              <w:jc w:val="left"/>
            </w:pPr>
            <w:r>
              <w:t>EGRMFMC009</w:t>
            </w:r>
          </w:p>
        </w:tc>
        <w:tc>
          <w:tcPr>
            <w:tcW w:type="dxa" w:w="2160"/>
          </w:tcPr>
          <w:p>
            <w:pPr>
              <w:ind w:left="0"/>
              <w:jc w:val="left"/>
            </w:pPr>
            <w:r>
              <w:t>GRMFMC009</w:t>
            </w:r>
          </w:p>
        </w:tc>
        <w:tc>
          <w:tcPr>
            <w:tcW w:type="dxa" w:w="2160"/>
          </w:tcPr>
          <w:p>
            <w:pPr>
              <w:ind w:left="0"/>
              <w:jc w:val="left"/>
            </w:pPr>
            <w:r>
              <w:t>GR094036844</w:t>
            </w:r>
          </w:p>
        </w:tc>
        <w:tc>
          <w:tcPr>
            <w:tcW w:type="dxa" w:w="2160"/>
          </w:tcPr>
          <w:p>
            <w:pPr>
              <w:ind w:left="0"/>
              <w:jc w:val="left"/>
            </w:pPr>
            <w:r>
              <w:t>ΕΘΝΙΚΗ ASSET MANAGEMENT ΜΟΝΟΠΡΟΣΩΠΗ ΑΕΔΑΚ</w:t>
            </w:r>
          </w:p>
        </w:tc>
      </w:tr>
      <w:tr>
        <w:tc>
          <w:tcPr>
            <w:tcW w:type="dxa" w:w="2160"/>
          </w:tcPr>
          <w:p>
            <w:pPr>
              <w:ind w:left="0"/>
              <w:jc w:val="left"/>
            </w:pPr>
            <w:r>
              <w:t>EGRMFMC010</w:t>
            </w:r>
          </w:p>
        </w:tc>
        <w:tc>
          <w:tcPr>
            <w:tcW w:type="dxa" w:w="2160"/>
          </w:tcPr>
          <w:p>
            <w:pPr>
              <w:ind w:left="0"/>
              <w:jc w:val="left"/>
            </w:pPr>
            <w:r>
              <w:t>GRMFMC010</w:t>
            </w:r>
          </w:p>
        </w:tc>
        <w:tc>
          <w:tcPr>
            <w:tcW w:type="dxa" w:w="2160"/>
          </w:tcPr>
          <w:p>
            <w:pPr>
              <w:ind w:left="0"/>
              <w:jc w:val="left"/>
            </w:pPr>
            <w:r>
              <w:t>GR094493219</w:t>
            </w:r>
          </w:p>
        </w:tc>
        <w:tc>
          <w:tcPr>
            <w:tcW w:type="dxa" w:w="2160"/>
          </w:tcPr>
          <w:p>
            <w:pPr>
              <w:ind w:left="0"/>
              <w:jc w:val="left"/>
            </w:pPr>
            <w:r>
              <w:t>Eurobank Asset Management ΑΕΔΑΚ</w:t>
            </w:r>
          </w:p>
        </w:tc>
      </w:tr>
      <w:tr>
        <w:tc>
          <w:tcPr>
            <w:tcW w:type="dxa" w:w="2160"/>
          </w:tcPr>
          <w:p>
            <w:pPr>
              <w:ind w:left="0"/>
              <w:jc w:val="left"/>
            </w:pPr>
            <w:r>
              <w:t>EGRMFMC012</w:t>
            </w:r>
          </w:p>
        </w:tc>
        <w:tc>
          <w:tcPr>
            <w:tcW w:type="dxa" w:w="2160"/>
          </w:tcPr>
          <w:p>
            <w:pPr>
              <w:ind w:left="0"/>
              <w:jc w:val="left"/>
            </w:pPr>
            <w:r>
              <w:t>GRMFMC012</w:t>
            </w:r>
          </w:p>
        </w:tc>
        <w:tc>
          <w:tcPr>
            <w:tcW w:type="dxa" w:w="2160"/>
          </w:tcPr>
          <w:p>
            <w:pPr>
              <w:ind w:left="0"/>
              <w:jc w:val="left"/>
            </w:pPr>
            <w:r>
              <w:t>GR094285719</w:t>
            </w:r>
          </w:p>
        </w:tc>
        <w:tc>
          <w:tcPr>
            <w:tcW w:type="dxa" w:w="2160"/>
          </w:tcPr>
          <w:p>
            <w:pPr>
              <w:ind w:left="0"/>
              <w:jc w:val="left"/>
            </w:pPr>
            <w:r>
              <w:t>ΕΥΡΩΠΑΙΚΗ ΠΙΣΤΗ ASSET MANAGEMENT ΑΕΔΑΚ</w:t>
            </w:r>
          </w:p>
        </w:tc>
      </w:tr>
      <w:tr>
        <w:tc>
          <w:tcPr>
            <w:tcW w:type="dxa" w:w="2160"/>
          </w:tcPr>
          <w:p>
            <w:pPr>
              <w:ind w:left="0"/>
              <w:jc w:val="left"/>
            </w:pPr>
            <w:r>
              <w:t>EGRMFMC013</w:t>
            </w:r>
          </w:p>
        </w:tc>
        <w:tc>
          <w:tcPr>
            <w:tcW w:type="dxa" w:w="2160"/>
          </w:tcPr>
          <w:p>
            <w:pPr>
              <w:ind w:left="0"/>
              <w:jc w:val="left"/>
            </w:pPr>
            <w:r>
              <w:t>GRMFMC013</w:t>
            </w:r>
          </w:p>
        </w:tc>
        <w:tc>
          <w:tcPr>
            <w:tcW w:type="dxa" w:w="2160"/>
          </w:tcPr>
          <w:p>
            <w:pPr>
              <w:ind w:left="0"/>
              <w:jc w:val="left"/>
            </w:pPr>
            <w:r>
              <w:t>GR094325107</w:t>
            </w:r>
          </w:p>
        </w:tc>
        <w:tc>
          <w:tcPr>
            <w:tcW w:type="dxa" w:w="2160"/>
          </w:tcPr>
          <w:p>
            <w:pPr>
              <w:ind w:left="0"/>
              <w:jc w:val="left"/>
            </w:pPr>
            <w:r>
              <w:t>ΤΡΙΤΩΝ ASSET MANAGEMENT ΑΕΔΑΚ</w:t>
            </w:r>
          </w:p>
        </w:tc>
      </w:tr>
      <w:tr>
        <w:tc>
          <w:tcPr>
            <w:tcW w:type="dxa" w:w="2160"/>
          </w:tcPr>
          <w:p>
            <w:pPr>
              <w:ind w:left="0"/>
              <w:jc w:val="left"/>
            </w:pPr>
            <w:r>
              <w:t>EGRMFMC014</w:t>
            </w:r>
          </w:p>
        </w:tc>
        <w:tc>
          <w:tcPr>
            <w:tcW w:type="dxa" w:w="2160"/>
          </w:tcPr>
          <w:p>
            <w:pPr>
              <w:ind w:left="0"/>
              <w:jc w:val="left"/>
            </w:pPr>
            <w:r>
              <w:t>GRMFMC014</w:t>
            </w:r>
          </w:p>
        </w:tc>
        <w:tc>
          <w:tcPr>
            <w:tcW w:type="dxa" w:w="2160"/>
          </w:tcPr>
          <w:p>
            <w:pPr>
              <w:ind w:left="0"/>
              <w:jc w:val="left"/>
            </w:pPr>
            <w:r>
              <w:t>GR094304867</w:t>
            </w:r>
          </w:p>
        </w:tc>
        <w:tc>
          <w:tcPr>
            <w:tcW w:type="dxa" w:w="2160"/>
          </w:tcPr>
          <w:p>
            <w:pPr>
              <w:ind w:left="0"/>
              <w:jc w:val="left"/>
            </w:pPr>
            <w:r>
              <w:t>3Κ INVESTMENT PARTNERS ΑΕΔΑΚ</w:t>
            </w:r>
          </w:p>
        </w:tc>
      </w:tr>
      <w:tr>
        <w:tc>
          <w:tcPr>
            <w:tcW w:type="dxa" w:w="2160"/>
          </w:tcPr>
          <w:p>
            <w:pPr>
              <w:ind w:left="0"/>
              <w:jc w:val="left"/>
            </w:pPr>
            <w:r>
              <w:t>EGRMFMC015</w:t>
            </w:r>
          </w:p>
        </w:tc>
        <w:tc>
          <w:tcPr>
            <w:tcW w:type="dxa" w:w="2160"/>
          </w:tcPr>
          <w:p>
            <w:pPr>
              <w:ind w:left="0"/>
              <w:jc w:val="left"/>
            </w:pPr>
            <w:r>
              <w:t>GRMFMC015</w:t>
            </w:r>
          </w:p>
        </w:tc>
        <w:tc>
          <w:tcPr>
            <w:tcW w:type="dxa" w:w="2160"/>
          </w:tcPr>
          <w:p>
            <w:pPr>
              <w:ind w:left="0"/>
              <w:jc w:val="left"/>
            </w:pPr>
            <w:r>
              <w:t>GR999081601</w:t>
            </w:r>
          </w:p>
        </w:tc>
        <w:tc>
          <w:tcPr>
            <w:tcW w:type="dxa" w:w="2160"/>
          </w:tcPr>
          <w:p>
            <w:pPr>
              <w:ind w:left="0"/>
              <w:jc w:val="left"/>
            </w:pPr>
            <w:r>
              <w:t>ΠΕΙΡΑΙΩΣ ASSET MANAGEMENT ΜΟΝΟΠΡΟΣΩΠΗ ΑΕΔΑΚ</w:t>
            </w:r>
          </w:p>
        </w:tc>
      </w:tr>
      <w:tr>
        <w:tc>
          <w:tcPr>
            <w:tcW w:type="dxa" w:w="2160"/>
          </w:tcPr>
          <w:p>
            <w:pPr>
              <w:ind w:left="0"/>
              <w:jc w:val="left"/>
            </w:pPr>
            <w:r>
              <w:t>EGRMFMC016</w:t>
            </w:r>
          </w:p>
        </w:tc>
        <w:tc>
          <w:tcPr>
            <w:tcW w:type="dxa" w:w="2160"/>
          </w:tcPr>
          <w:p>
            <w:pPr>
              <w:ind w:left="0"/>
              <w:jc w:val="left"/>
            </w:pPr>
            <w:r>
              <w:t>GRMFMC016</w:t>
            </w:r>
          </w:p>
        </w:tc>
        <w:tc>
          <w:tcPr>
            <w:tcW w:type="dxa" w:w="2160"/>
          </w:tcPr>
          <w:p>
            <w:pPr>
              <w:ind w:left="0"/>
              <w:jc w:val="left"/>
            </w:pPr>
            <w:r>
              <w:t>GR094351137</w:t>
            </w:r>
          </w:p>
        </w:tc>
        <w:tc>
          <w:tcPr>
            <w:tcW w:type="dxa" w:w="2160"/>
          </w:tcPr>
          <w:p>
            <w:pPr>
              <w:ind w:left="0"/>
              <w:jc w:val="left"/>
            </w:pPr>
            <w:r>
              <w:t>THETIS ΑΕΔΑΚ</w:t>
            </w:r>
          </w:p>
        </w:tc>
      </w:tr>
      <w:tr>
        <w:tc>
          <w:tcPr>
            <w:tcW w:type="dxa" w:w="2160"/>
          </w:tcPr>
          <w:p>
            <w:pPr>
              <w:ind w:left="0"/>
              <w:jc w:val="left"/>
            </w:pPr>
            <w:r>
              <w:t>EGRMFMC018</w:t>
            </w:r>
          </w:p>
        </w:tc>
        <w:tc>
          <w:tcPr>
            <w:tcW w:type="dxa" w:w="2160"/>
          </w:tcPr>
          <w:p>
            <w:pPr>
              <w:ind w:left="0"/>
              <w:jc w:val="left"/>
            </w:pPr>
            <w:r>
              <w:t>GRMFMC018</w:t>
            </w:r>
          </w:p>
        </w:tc>
        <w:tc>
          <w:tcPr>
            <w:tcW w:type="dxa" w:w="2160"/>
          </w:tcPr>
          <w:p>
            <w:pPr>
              <w:ind w:left="0"/>
              <w:jc w:val="left"/>
            </w:pPr>
            <w:r>
              <w:t>GR099553209</w:t>
            </w:r>
          </w:p>
        </w:tc>
        <w:tc>
          <w:tcPr>
            <w:tcW w:type="dxa" w:w="2160"/>
          </w:tcPr>
          <w:p>
            <w:pPr>
              <w:ind w:left="0"/>
              <w:jc w:val="left"/>
            </w:pPr>
            <w:r>
              <w:t>Optima Asset Management ΑΕΔΑΚ</w:t>
            </w:r>
          </w:p>
        </w:tc>
      </w:tr>
      <w:tr>
        <w:tc>
          <w:tcPr>
            <w:tcW w:type="dxa" w:w="2160"/>
          </w:tcPr>
          <w:p>
            <w:pPr>
              <w:ind w:left="0"/>
              <w:jc w:val="left"/>
            </w:pPr>
            <w:r>
              <w:t>EGRMFMC030</w:t>
            </w:r>
          </w:p>
        </w:tc>
        <w:tc>
          <w:tcPr>
            <w:tcW w:type="dxa" w:w="2160"/>
          </w:tcPr>
          <w:p>
            <w:pPr>
              <w:ind w:left="0"/>
              <w:jc w:val="left"/>
            </w:pPr>
            <w:r>
              <w:t>GRMFMC030</w:t>
            </w:r>
          </w:p>
        </w:tc>
        <w:tc>
          <w:tcPr>
            <w:tcW w:type="dxa" w:w="2160"/>
          </w:tcPr>
          <w:p>
            <w:pPr>
              <w:ind w:left="0"/>
              <w:jc w:val="left"/>
            </w:pPr>
            <w:r>
              <w:t>GR997010182</w:t>
            </w:r>
          </w:p>
        </w:tc>
        <w:tc>
          <w:tcPr>
            <w:tcW w:type="dxa" w:w="2160"/>
          </w:tcPr>
          <w:p>
            <w:pPr>
              <w:ind w:left="0"/>
              <w:jc w:val="left"/>
            </w:pPr>
            <w:r>
              <w:t>ATHOS ASSET MANAGEMENT ΑΕΔΑΚ</w:t>
            </w:r>
          </w:p>
        </w:tc>
      </w:tr>
    </w:tbl>
    <w:p/>
    <w:p>
      <w:r>
        <w:t xml:space="preserve">Οι </w:t>
      </w:r>
      <w:r>
        <w:t>ΜΠΣ</w:t>
      </w:r>
      <w:r>
        <w:t xml:space="preserve"> που οι επωνυμίες τους περιέχουν τη λέξη </w:t>
      </w:r>
      <w:r>
        <w:t>FOO</w:t>
      </w:r>
      <w:r>
        <w:t xml:space="preserve"> δεν είναι αληθινές και χρησιμοποιούνται μόνο στα παραδείγματα υποβολών.</w:t>
      </w:r>
    </w:p>
    <w:p>
      <w:pPr>
        <w:pStyle w:val="Heading1"/>
      </w:pPr>
      <w:r>
        <w:t>What’s new?</w:t>
      </w:r>
    </w:p>
    <w:p>
      <w:pPr>
        <w:pStyle w:val="Heading2"/>
      </w:pPr>
      <w:r>
        <w:t>v0.4.2 (2023-04-18)</w:t>
      </w:r>
    </w:p>
    <w:p>
      <w:pPr>
        <w:pStyle w:val="ListBullet"/>
      </w:pPr>
      <w:r>
        <w:t>Add Reporting Agents</w:t>
      </w:r>
    </w:p>
    <w:p>
      <w:pPr>
        <w:pStyle w:val="Heading2"/>
      </w:pPr>
      <w:r>
        <w:t>v0.4.1 (2023-04-18)</w:t>
      </w:r>
    </w:p>
    <w:p>
      <w:pPr>
        <w:pStyle w:val="ListBullet"/>
      </w:pPr>
      <w:r>
        <w:t>Introduce docx documentation</w:t>
      </w:r>
    </w:p>
    <w:p>
      <w:pPr>
        <w:pStyle w:val="Heading2"/>
      </w:pPr>
      <w:r>
        <w:t>v0.4.0 (2023-04-18)</w:t>
      </w:r>
    </w:p>
    <w:p>
      <w:pPr>
        <w:pStyle w:val="ListBullet"/>
      </w:pPr>
      <w:r>
        <w:t>Introduce one DATA MODEL, one json schema and one template file rather than seperate ones for each category</w:t>
      </w:r>
    </w:p>
    <w:p>
      <w:pPr>
        <w:pStyle w:val="Heading2"/>
      </w:pPr>
      <w:r>
        <w:t>v0.3.1 (2023-04-13)</w:t>
      </w:r>
    </w:p>
    <w:p>
      <w:pPr>
        <w:pStyle w:val="ListBullet"/>
      </w:pPr>
      <w:r>
        <w:t>Fix INTERNAL ID format</w:t>
      </w:r>
    </w:p>
    <w:p>
      <w:pPr>
        <w:pStyle w:val="ListBullet"/>
      </w:pPr>
      <w:r>
        <w:t>Fix minor bugs</w:t>
      </w:r>
    </w:p>
    <w:p>
      <w:pPr>
        <w:pStyle w:val="ListBullet"/>
      </w:pPr>
      <w:r>
        <w:t>Fix syntax</w:t>
      </w:r>
    </w:p>
    <w:p>
      <w:pPr>
        <w:pStyle w:val="Heading2"/>
      </w:pPr>
      <w:r>
        <w:t>v0.3.0 (2023-04-11)</w:t>
      </w:r>
    </w:p>
    <w:p>
      <w:pPr>
        <w:pStyle w:val="ListBullet"/>
      </w:pPr>
      <w:r>
        <w:t>Refactor to IFDat-Docs</w:t>
      </w:r>
    </w:p>
    <w:p>
      <w:pPr>
        <w:pStyle w:val="Heading2"/>
      </w:pPr>
      <w:r>
        <w:t>v0.2.3 (2023-04-03)</w:t>
      </w:r>
    </w:p>
    <w:p>
      <w:pPr>
        <w:pStyle w:val="ListBullet"/>
      </w:pPr>
      <w:r>
        <w:t>Fix bug in restricting Greek IF reporting population.</w:t>
      </w:r>
    </w:p>
    <w:p>
      <w:pPr>
        <w:pStyle w:val="Heading2"/>
      </w:pPr>
      <w:r>
        <w:t>v0.2.2 (2023-03-31)</w:t>
      </w:r>
    </w:p>
    <w:p>
      <w:pPr>
        <w:pStyle w:val="ListBullet"/>
      </w:pPr>
      <w:r>
        <w:t>In Greek Regulation removed the need to get data from foreign IFs, added data submission concerning to IF sector reclassification or IF type change and some more minor improvements.</w:t>
      </w:r>
    </w:p>
    <w:p>
      <w:pPr>
        <w:pStyle w:val="Heading2"/>
      </w:pPr>
      <w:r>
        <w:t>v0.2.1 (2023-03-29)</w:t>
      </w:r>
    </w:p>
    <w:p>
      <w:pPr>
        <w:pStyle w:val="ListBullet"/>
      </w:pPr>
      <w:r>
        <w:t>In IFDat, BSI, DEPOSIT removed arrears and write-offs</w:t>
      </w:r>
    </w:p>
    <w:p>
      <w:pPr>
        <w:pStyle w:val="ListBullet"/>
      </w:pPr>
      <w:r>
        <w:t>Fix OTC_DERIVATIVE BSI stock greek definition</w:t>
      </w:r>
    </w:p>
    <w:p>
      <w:pPr>
        <w:pStyle w:val="ListBullet"/>
      </w:pPr>
      <w:r>
        <w:t>Bug fixes</w:t>
      </w:r>
    </w:p>
    <w:p>
      <w:pPr>
        <w:pStyle w:val="Heading2"/>
      </w:pPr>
      <w:r>
        <w:t>v0.2.0 (2023-01-16)</w:t>
      </w:r>
    </w:p>
    <w:p>
      <w:pPr>
        <w:pStyle w:val="ListBullet"/>
      </w:pPr>
      <w:r>
        <w:t>In IFDat domain new RA tables in self_info category.</w:t>
      </w:r>
    </w:p>
    <w:p>
      <w:pPr>
        <w:pStyle w:val="ListBullet"/>
      </w:pPr>
      <w:r>
        <w:t xml:space="preserve">In IFDat domain introduce DEDUPLICATE OF measures in case of a change in </w:t>
      </w:r>
      <w:r>
        <w:t>RA</w:t>
      </w:r>
      <w:r>
        <w:t>.</w:t>
      </w:r>
    </w:p>
    <w:p>
      <w:pPr>
        <w:pStyle w:val="ListBullet"/>
      </w:pPr>
      <w:r>
        <w:t>Update documentation to accomodate above changes.</w:t>
      </w:r>
    </w:p>
    <w:p>
      <w:pPr>
        <w:pStyle w:val="ListBullet"/>
      </w:pPr>
      <w:r>
        <w:t>Fix syntax and spelling bugs in documentation.</w:t>
      </w:r>
    </w:p>
    <w:p>
      <w:pPr>
        <w:pStyle w:val="Heading2"/>
      </w:pPr>
      <w:r>
        <w:t>v0.1.1 (2023-01-04)</w:t>
      </w:r>
    </w:p>
    <w:p>
      <w:pPr>
        <w:pStyle w:val="ListBullet"/>
      </w:pPr>
      <w:r>
        <w:t>Introduce License</w:t>
      </w:r>
    </w:p>
    <w:p>
      <w:pPr>
        <w:pStyle w:val="ListBullet"/>
      </w:pPr>
      <w:r>
        <w:t>Documentation fixes</w:t>
      </w:r>
    </w:p>
    <w:p>
      <w:pPr>
        <w:pStyle w:val="Heading2"/>
      </w:pPr>
      <w:r>
        <w:t>v0.1.0 (2023-01-04)</w:t>
      </w:r>
    </w:p>
    <w:p>
      <w:pPr>
        <w:pStyle w:val="ListBullet"/>
      </w:pPr>
      <w:r>
        <w:t>Pre-release of documentation</w:t>
      </w:r>
    </w:p>
    <w:p>
      <w:pPr>
        <w:pStyle w:val="Heading1"/>
      </w:pPr>
      <w:r>
        <w:t>Development</w:t>
      </w:r>
    </w:p>
    <w:p>
      <w:r>
        <w:t xml:space="preserve">We’d love you to contribute to </w:t>
      </w:r>
      <w:r>
        <w:rPr>
          <w:i/>
        </w:rPr>
        <w:t>IFDat-docs</w:t>
      </w:r>
      <w:r>
        <w:t>!</w:t>
      </w:r>
    </w:p>
    <w:p>
      <w:pPr>
        <w:pStyle w:val="Heading2"/>
      </w:pPr>
      <w:r>
        <w:t>Issues</w:t>
      </w:r>
    </w:p>
    <w:p>
      <w:r>
        <w:t>Questions, feature requests and bug reports are all welcome as [discussions or issues](</w:t>
      </w:r>
      <w:r>
        <w:t>https://github.com/lerooze/ifdat-docs/issues/new/choose</w:t>
      </w:r>
      <w:r>
        <w:t>).</w:t>
      </w:r>
    </w:p>
    <w:p>
      <w:pPr>
        <w:pStyle w:val="Heading2"/>
      </w:pPr>
      <w:r>
        <w:t>Pull Requests</w:t>
      </w:r>
    </w:p>
    <w:p>
      <w:r>
        <w:t>It should be extremely simple to get started and create a Pull Request.</w:t>
      </w:r>
    </w:p>
    <w:p>
      <w:r>
        <w:t xml:space="preserve">You’ll need to have a version between </w:t>
      </w:r>
      <w:r>
        <w:rPr>
          <w:b/>
        </w:rPr>
        <w:t>python 3.8 and 3.11</w:t>
      </w:r>
      <w:r>
        <w:t xml:space="preserve"> and </w:t>
      </w:r>
      <w:r>
        <w:rPr>
          <w:b/>
        </w:rPr>
        <w:t>git</w:t>
      </w:r>
      <w:r>
        <w:t xml:space="preserve"> installed.</w:t>
      </w:r>
    </w:p>
    <w:p>
      <w:pPr>
        <w:jc w:val="left"/>
      </w:pPr>
      <w:r>
        <w:t># 1. clone your fork and cd into the repo directory</w:t>
        <w:br/>
        <w:t>git clone git@github.com:&lt;your username&gt;/ifdat-docs.git</w:t>
        <w:br/>
        <w:t>cd ifdat-docs</w:t>
        <w:br/>
        <w:br/>
        <w:t># 2. Set up a virtualenv</w:t>
        <w:br/>
        <w:t>python -m venv env</w:t>
        <w:br/>
        <w:br/>
        <w:t># 3. Activate virtualenv</w:t>
        <w:br/>
        <w:t>source env/bin/activate</w:t>
        <w:br/>
        <w:br/>
        <w:t># 4. Inatall ifdat-docs</w:t>
        <w:br/>
        <w:t>pip install --editable .[docs]</w:t>
        <w:br/>
        <w:br/>
        <w:t># 5. Checkout a new branch and make your changes</w:t>
        <w:br/>
        <w:t>git checkout -b my-new-feature-branch</w:t>
        <w:br/>
        <w:t># make your changes...</w:t>
        <w:br/>
        <w:br/>
        <w:t># 6. Build documentation</w:t>
        <w:br/>
        <w:t>sphinx-build -b html docs/source docs/_build/html</w:t>
        <w:br/>
        <w:br/>
        <w:t># ... commit, push, and create your pull request</w:t>
      </w:r>
    </w:p>
    <w:p>
      <w:pPr>
        <w:pStyle w:val="Heading1"/>
      </w:pPr>
      <w:r>
        <w:t>Glossary</w:t>
      </w:r>
    </w:p>
    <w:p>
      <w:pPr>
        <w:pStyle w:val="Heading1"/>
      </w:pPr>
      <w:r>
        <w:t>License</w:t>
      </w:r>
    </w:p>
    <w:p>
      <w:r>
        <w:t xml:space="preserve">Copyright 2022–2023, </w:t>
      </w:r>
      <w:r>
        <w:t>journey developers</w:t>
      </w:r>
      <w:r>
        <w:t>.</w:t>
      </w:r>
    </w:p>
    <w:p>
      <w:r>
        <w:t>Licensed under the Apache License, Version 2.0 (the “License”); you may not use these files except in compliance with the License. You may obtain a copy of the License:</w:t>
      </w:r>
    </w:p>
    <w:p>
      <w:pPr>
        <w:pStyle w:val="ListBullet"/>
      </w:pPr>
      <w:r>
        <w:t xml:space="preserve">from the file </w:t>
      </w:r>
      <w:r>
        <w:t>LICENSE</w:t>
      </w:r>
      <w:r>
        <w:t xml:space="preserve"> included with the source code, or</w:t>
      </w:r>
    </w:p>
    <w:p>
      <w:pPr>
        <w:pStyle w:val="ListBullet"/>
      </w:pPr>
      <w:r>
        <w:t xml:space="preserve">at </w:t>
      </w:r>
      <w:r>
        <w:t>http://www.apache.org/licenses/LICENSE-2.0</w:t>
      </w:r>
    </w:p>
    <w:p>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